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ascii="Times New Roman"/>
          <w:color w:val="auto"/>
          <w:sz w:val="20"/>
        </w:rPr>
      </w:pPr>
    </w:p>
    <w:p>
      <w:pPr>
        <w:pStyle w:val="6"/>
        <w:rPr>
          <w:rFonts w:ascii="Times New Roman"/>
          <w:color w:val="auto"/>
          <w:sz w:val="20"/>
        </w:rPr>
      </w:pPr>
    </w:p>
    <w:p>
      <w:pPr>
        <w:pStyle w:val="6"/>
        <w:rPr>
          <w:rFonts w:ascii="Times New Roman"/>
          <w:color w:val="auto"/>
          <w:sz w:val="20"/>
        </w:rPr>
      </w:pPr>
    </w:p>
    <w:p>
      <w:pPr>
        <w:pStyle w:val="6"/>
        <w:rPr>
          <w:rFonts w:ascii="Times New Roman"/>
          <w:color w:val="auto"/>
          <w:sz w:val="20"/>
        </w:rPr>
      </w:pPr>
    </w:p>
    <w:p>
      <w:pPr>
        <w:pStyle w:val="6"/>
        <w:rPr>
          <w:rFonts w:ascii="Times New Roman"/>
          <w:color w:val="auto"/>
          <w:sz w:val="20"/>
        </w:rPr>
      </w:pPr>
    </w:p>
    <w:p>
      <w:pPr>
        <w:pStyle w:val="6"/>
        <w:spacing w:before="9"/>
        <w:rPr>
          <w:rFonts w:ascii="Times New Roman"/>
          <w:color w:val="auto"/>
          <w:sz w:val="29"/>
        </w:rPr>
      </w:pPr>
    </w:p>
    <w:p>
      <w:pPr>
        <w:spacing w:before="33"/>
        <w:ind w:left="0" w:right="153" w:firstLine="0"/>
        <w:jc w:val="center"/>
        <w:rPr>
          <w:b/>
          <w:color w:val="auto"/>
          <w:sz w:val="48"/>
        </w:rPr>
      </w:pPr>
      <w:r>
        <w:rPr>
          <w:b/>
          <w:color w:val="auto"/>
          <w:sz w:val="48"/>
        </w:rPr>
        <w:t>台州市建设工程</w:t>
      </w:r>
    </w:p>
    <w:p>
      <w:pPr>
        <w:pStyle w:val="6"/>
        <w:spacing w:before="5"/>
        <w:rPr>
          <w:b/>
          <w:color w:val="auto"/>
          <w:sz w:val="34"/>
        </w:rPr>
      </w:pPr>
    </w:p>
    <w:p>
      <w:pPr>
        <w:spacing w:before="1"/>
        <w:ind w:left="0" w:right="163" w:firstLine="0"/>
        <w:jc w:val="center"/>
        <w:rPr>
          <w:b/>
          <w:color w:val="auto"/>
          <w:sz w:val="84"/>
        </w:rPr>
      </w:pPr>
      <w:r>
        <w:rPr>
          <w:b/>
          <w:color w:val="auto"/>
          <w:sz w:val="84"/>
        </w:rPr>
        <w:t>招 标 文 件</w:t>
      </w:r>
    </w:p>
    <w:p>
      <w:pPr>
        <w:pStyle w:val="6"/>
        <w:rPr>
          <w:b/>
          <w:color w:val="auto"/>
          <w:sz w:val="84"/>
        </w:rPr>
      </w:pPr>
    </w:p>
    <w:p>
      <w:pPr>
        <w:pStyle w:val="6"/>
        <w:rPr>
          <w:b/>
          <w:color w:val="auto"/>
          <w:sz w:val="89"/>
        </w:rPr>
      </w:pPr>
    </w:p>
    <w:p>
      <w:pPr>
        <w:spacing w:before="62"/>
        <w:ind w:left="0" w:right="1356" w:firstLine="0"/>
        <w:jc w:val="center"/>
        <w:rPr>
          <w:color w:val="auto"/>
          <w:sz w:val="28"/>
        </w:rPr>
      </w:pPr>
      <w:r>
        <w:rPr>
          <w:rFonts w:hint="eastAsia"/>
          <w:color w:val="auto"/>
          <w:sz w:val="28"/>
          <w:lang w:val="en-US" w:eastAsia="zh-CN"/>
        </w:rPr>
        <w:t xml:space="preserve">              </w:t>
      </w:r>
      <w:r>
        <w:rPr>
          <w:color w:val="auto"/>
          <w:sz w:val="28"/>
        </w:rPr>
        <w:t>招标项目：</w:t>
      </w:r>
      <w:r>
        <w:rPr>
          <w:rFonts w:hint="eastAsia"/>
          <w:color w:val="auto"/>
          <w:sz w:val="28"/>
          <w:u w:val="single"/>
          <w:lang w:eastAsia="zh-CN"/>
        </w:rPr>
        <w:t>玉环海洋经济转型示范区</w:t>
      </w:r>
      <w:r>
        <w:rPr>
          <w:rFonts w:hint="eastAsia"/>
          <w:color w:val="auto"/>
          <w:sz w:val="28"/>
          <w:u w:val="single"/>
        </w:rPr>
        <w:t>道路清扫保洁、河道保洁及沿道路垃圾收集清运项目</w:t>
      </w:r>
    </w:p>
    <w:p>
      <w:pPr>
        <w:pStyle w:val="6"/>
        <w:spacing w:before="2"/>
        <w:rPr>
          <w:color w:val="auto"/>
          <w:sz w:val="24"/>
        </w:rPr>
      </w:pPr>
    </w:p>
    <w:p>
      <w:pPr>
        <w:spacing w:before="62"/>
        <w:ind w:left="2092" w:right="0" w:firstLine="0"/>
        <w:jc w:val="left"/>
        <w:rPr>
          <w:color w:val="auto"/>
          <w:sz w:val="28"/>
        </w:rPr>
      </w:pPr>
      <w:r>
        <w:rPr>
          <w:color w:val="auto"/>
          <w:sz w:val="28"/>
        </w:rPr>
        <w:t>招 标 人：</w:t>
      </w:r>
      <w:r>
        <w:rPr>
          <w:rFonts w:hint="eastAsia"/>
          <w:color w:val="auto"/>
          <w:sz w:val="28"/>
          <w:u w:val="single"/>
          <w:lang w:eastAsia="zh-CN"/>
        </w:rPr>
        <w:t>浙江玉环经济开发区管理委员会</w:t>
      </w:r>
      <w:r>
        <w:rPr>
          <w:color w:val="auto"/>
          <w:sz w:val="28"/>
          <w:u w:val="single"/>
        </w:rPr>
        <w:t>（盖章）</w:t>
      </w:r>
    </w:p>
    <w:p>
      <w:pPr>
        <w:pStyle w:val="6"/>
        <w:rPr>
          <w:color w:val="auto"/>
          <w:sz w:val="20"/>
        </w:rPr>
      </w:pPr>
    </w:p>
    <w:p>
      <w:pPr>
        <w:spacing w:before="234"/>
        <w:ind w:left="2092" w:right="0" w:firstLine="0"/>
        <w:jc w:val="left"/>
        <w:rPr>
          <w:color w:val="auto"/>
          <w:sz w:val="28"/>
        </w:rPr>
      </w:pPr>
      <w:r>
        <w:rPr>
          <w:color w:val="auto"/>
          <w:sz w:val="28"/>
        </w:rPr>
        <w:t>招标代理机构：</w:t>
      </w:r>
      <w:r>
        <w:rPr>
          <w:rFonts w:hint="eastAsia"/>
          <w:color w:val="auto"/>
          <w:sz w:val="28"/>
          <w:u w:val="single"/>
          <w:lang w:eastAsia="zh-CN"/>
        </w:rPr>
        <w:t>建经投资咨询有限公司</w:t>
      </w:r>
      <w:r>
        <w:rPr>
          <w:color w:val="auto"/>
          <w:sz w:val="28"/>
          <w:u w:val="single"/>
        </w:rPr>
        <w:t>（盖章）</w:t>
      </w:r>
    </w:p>
    <w:p>
      <w:pPr>
        <w:pStyle w:val="6"/>
        <w:rPr>
          <w:color w:val="auto"/>
          <w:sz w:val="20"/>
        </w:rPr>
      </w:pPr>
    </w:p>
    <w:p>
      <w:pPr>
        <w:spacing w:before="237"/>
        <w:ind w:left="2092" w:right="0" w:firstLine="0"/>
        <w:jc w:val="left"/>
        <w:rPr>
          <w:rFonts w:hint="eastAsia" w:eastAsia="宋体"/>
          <w:color w:val="auto"/>
          <w:sz w:val="28"/>
          <w:lang w:eastAsia="zh-CN"/>
        </w:rPr>
      </w:pPr>
      <w:r>
        <w:rPr>
          <w:color w:val="auto"/>
          <w:sz w:val="28"/>
        </w:rPr>
        <w:t>代理项目负责人：</w:t>
      </w:r>
      <w:r>
        <w:rPr>
          <w:rFonts w:hint="eastAsia"/>
          <w:color w:val="auto"/>
          <w:sz w:val="28"/>
          <w:u w:val="single"/>
          <w:lang w:eastAsia="zh-CN"/>
        </w:rPr>
        <w:t>王先生</w:t>
      </w: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spacing w:before="4"/>
        <w:rPr>
          <w:color w:val="auto"/>
          <w:sz w:val="14"/>
        </w:rPr>
      </w:pPr>
    </w:p>
    <w:p>
      <w:pPr>
        <w:spacing w:before="70"/>
        <w:ind w:left="0" w:right="158" w:firstLine="0"/>
        <w:jc w:val="center"/>
        <w:rPr>
          <w:color w:val="auto"/>
          <w:sz w:val="28"/>
        </w:rPr>
      </w:pPr>
      <w:r>
        <w:rPr>
          <w:color w:val="auto"/>
          <w:sz w:val="28"/>
        </w:rPr>
        <w:t>二</w:t>
      </w:r>
      <w:r>
        <w:rPr>
          <w:rFonts w:ascii="Times New Roman" w:eastAsia="Times New Roman"/>
          <w:color w:val="auto"/>
          <w:sz w:val="28"/>
        </w:rPr>
        <w:t>O</w:t>
      </w:r>
      <w:r>
        <w:rPr>
          <w:color w:val="auto"/>
          <w:sz w:val="28"/>
        </w:rPr>
        <w:t>一八年</w:t>
      </w:r>
      <w:r>
        <w:rPr>
          <w:rFonts w:hint="eastAsia"/>
          <w:color w:val="auto"/>
          <w:sz w:val="28"/>
          <w:lang w:eastAsia="zh-CN"/>
        </w:rPr>
        <w:t>八</w:t>
      </w:r>
      <w:r>
        <w:rPr>
          <w:color w:val="auto"/>
          <w:sz w:val="28"/>
        </w:rPr>
        <w:t>月</w:t>
      </w:r>
    </w:p>
    <w:p>
      <w:pPr>
        <w:spacing w:after="0"/>
        <w:jc w:val="center"/>
        <w:rPr>
          <w:color w:val="auto"/>
          <w:sz w:val="28"/>
        </w:rPr>
        <w:sectPr>
          <w:type w:val="continuous"/>
          <w:pgSz w:w="11910" w:h="16840"/>
          <w:pgMar w:top="1600" w:right="860" w:bottom="280" w:left="1020" w:header="720" w:footer="720" w:gutter="0"/>
        </w:sectPr>
      </w:pPr>
    </w:p>
    <w:p>
      <w:pPr>
        <w:pStyle w:val="6"/>
        <w:spacing w:before="6"/>
        <w:rPr>
          <w:color w:val="auto"/>
          <w:sz w:val="12"/>
        </w:rPr>
      </w:pPr>
    </w:p>
    <w:p>
      <w:pPr>
        <w:tabs>
          <w:tab w:val="left" w:pos="1322"/>
        </w:tabs>
        <w:spacing w:before="38"/>
        <w:ind w:left="0" w:right="161" w:firstLine="0"/>
        <w:jc w:val="center"/>
        <w:rPr>
          <w:rFonts w:hint="eastAsia" w:ascii="黑体" w:eastAsia="黑体"/>
          <w:b/>
          <w:color w:val="auto"/>
          <w:sz w:val="44"/>
        </w:rPr>
      </w:pPr>
      <w:r>
        <w:rPr>
          <w:rFonts w:hint="eastAsia" w:ascii="黑体" w:eastAsia="黑体"/>
          <w:b/>
          <w:color w:val="auto"/>
          <w:sz w:val="44"/>
        </w:rPr>
        <w:t>目</w:t>
      </w:r>
      <w:r>
        <w:rPr>
          <w:rFonts w:hint="eastAsia" w:ascii="黑体" w:eastAsia="黑体"/>
          <w:b/>
          <w:color w:val="auto"/>
          <w:sz w:val="44"/>
        </w:rPr>
        <w:tab/>
      </w:r>
      <w:r>
        <w:rPr>
          <w:rFonts w:hint="eastAsia" w:ascii="黑体" w:eastAsia="黑体"/>
          <w:b/>
          <w:color w:val="auto"/>
          <w:sz w:val="44"/>
        </w:rPr>
        <w:t>录</w:t>
      </w:r>
    </w:p>
    <w:sdt>
      <w:sdtPr>
        <w:rPr>
          <w:color w:val="auto"/>
        </w:rPr>
        <w:id w:val="0"/>
        <w:docPartObj>
          <w:docPartGallery w:val="Table of Contents"/>
          <w:docPartUnique/>
        </w:docPartObj>
      </w:sdtPr>
      <w:sdtEndPr>
        <w:rPr>
          <w:color w:val="auto"/>
        </w:rPr>
      </w:sdtEndPr>
      <w:sdtContent>
        <w:p>
          <w:pPr>
            <w:pStyle w:val="10"/>
            <w:tabs>
              <w:tab w:val="right" w:leader="dot" w:pos="9913"/>
            </w:tabs>
            <w:spacing w:before="124"/>
            <w:rPr>
              <w:rFonts w:ascii="Times New Roman" w:eastAsia="Times New Roman"/>
              <w:color w:val="auto"/>
            </w:rPr>
          </w:pPr>
          <w:r>
            <w:rPr>
              <w:color w:val="auto"/>
            </w:rPr>
            <w:fldChar w:fldCharType="begin"/>
          </w:r>
          <w:r>
            <w:rPr>
              <w:color w:val="auto"/>
            </w:rPr>
            <w:instrText xml:space="preserve"> HYPERLINK \l "_bookmark0" </w:instrText>
          </w:r>
          <w:r>
            <w:rPr>
              <w:color w:val="auto"/>
            </w:rPr>
            <w:fldChar w:fldCharType="separate"/>
          </w:r>
          <w:r>
            <w:rPr>
              <w:color w:val="auto"/>
            </w:rPr>
            <w:t>第一章</w:t>
          </w:r>
          <w:r>
            <w:rPr>
              <w:color w:val="auto"/>
              <w:spacing w:val="-2"/>
            </w:rPr>
            <w:t xml:space="preserve"> </w:t>
          </w:r>
          <w:r>
            <w:rPr>
              <w:color w:val="auto"/>
            </w:rPr>
            <w:t>招标公告</w:t>
          </w:r>
          <w:r>
            <w:rPr>
              <w:color w:val="auto"/>
            </w:rPr>
            <w:tab/>
          </w:r>
          <w:r>
            <w:rPr>
              <w:rFonts w:ascii="Times New Roman" w:eastAsia="Times New Roman"/>
              <w:color w:val="auto"/>
            </w:rPr>
            <w:t>2</w:t>
          </w:r>
          <w:r>
            <w:rPr>
              <w:rFonts w:ascii="Times New Roman" w:eastAsia="Times New Roman"/>
              <w:color w:val="auto"/>
            </w:rPr>
            <w:fldChar w:fldCharType="end"/>
          </w:r>
        </w:p>
        <w:p>
          <w:pPr>
            <w:pStyle w:val="12"/>
            <w:numPr>
              <w:ilvl w:val="0"/>
              <w:numId w:val="1"/>
            </w:numPr>
            <w:tabs>
              <w:tab w:val="left" w:pos="1050"/>
              <w:tab w:val="right" w:leader="dot" w:pos="9799"/>
            </w:tabs>
            <w:spacing w:before="122"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"_bookmark1" </w:instrText>
          </w:r>
          <w:r>
            <w:rPr>
              <w:color w:val="auto"/>
            </w:rPr>
            <w:fldChar w:fldCharType="separate"/>
          </w:r>
          <w:r>
            <w:rPr>
              <w:color w:val="auto"/>
            </w:rPr>
            <w:t>招标条件</w:t>
          </w:r>
          <w:r>
            <w:rPr>
              <w:color w:val="auto"/>
            </w:rPr>
            <w:tab/>
          </w:r>
          <w:r>
            <w:rPr>
              <w:rFonts w:ascii="Times New Roman" w:eastAsia="Times New Roman"/>
              <w:color w:val="auto"/>
            </w:rPr>
            <w:t>2</w:t>
          </w:r>
          <w:r>
            <w:rPr>
              <w:rFonts w:ascii="Times New Roman" w:eastAsia="Times New Roman"/>
              <w:color w:val="auto"/>
            </w:rPr>
            <w:fldChar w:fldCharType="end"/>
          </w:r>
        </w:p>
        <w:p>
          <w:pPr>
            <w:pStyle w:val="12"/>
            <w:numPr>
              <w:ilvl w:val="0"/>
              <w:numId w:val="1"/>
            </w:numPr>
            <w:tabs>
              <w:tab w:val="left" w:pos="1050"/>
              <w:tab w:val="right" w:leader="dot" w:pos="9799"/>
            </w:tabs>
            <w:spacing w:before="125"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"_bookmark2" </w:instrText>
          </w:r>
          <w:r>
            <w:rPr>
              <w:color w:val="auto"/>
            </w:rPr>
            <w:fldChar w:fldCharType="separate"/>
          </w:r>
          <w:r>
            <w:rPr>
              <w:color w:val="auto"/>
            </w:rPr>
            <w:t>项目概况与招标范围</w:t>
          </w:r>
          <w:r>
            <w:rPr>
              <w:color w:val="auto"/>
            </w:rPr>
            <w:tab/>
          </w:r>
          <w:r>
            <w:rPr>
              <w:rFonts w:ascii="Times New Roman" w:eastAsia="Times New Roman"/>
              <w:color w:val="auto"/>
            </w:rPr>
            <w:t>2</w:t>
          </w:r>
          <w:r>
            <w:rPr>
              <w:rFonts w:ascii="Times New Roman" w:eastAsia="Times New Roman"/>
              <w:color w:val="auto"/>
            </w:rPr>
            <w:fldChar w:fldCharType="end"/>
          </w:r>
        </w:p>
        <w:p>
          <w:pPr>
            <w:pStyle w:val="12"/>
            <w:numPr>
              <w:ilvl w:val="0"/>
              <w:numId w:val="1"/>
            </w:numPr>
            <w:tabs>
              <w:tab w:val="left" w:pos="1050"/>
              <w:tab w:val="right" w:leader="dot" w:pos="9799"/>
            </w:tabs>
            <w:spacing w:before="122"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"_bookmark3" </w:instrText>
          </w:r>
          <w:r>
            <w:rPr>
              <w:color w:val="auto"/>
            </w:rPr>
            <w:fldChar w:fldCharType="separate"/>
          </w:r>
          <w:r>
            <w:rPr>
              <w:color w:val="auto"/>
            </w:rPr>
            <w:t>投标人资格要求</w:t>
          </w:r>
          <w:r>
            <w:rPr>
              <w:color w:val="auto"/>
            </w:rPr>
            <w:tab/>
          </w:r>
          <w:r>
            <w:rPr>
              <w:rFonts w:ascii="Times New Roman" w:eastAsia="Times New Roman"/>
              <w:color w:val="auto"/>
            </w:rPr>
            <w:t>2</w:t>
          </w:r>
          <w:r>
            <w:rPr>
              <w:rFonts w:ascii="Times New Roman" w:eastAsia="Times New Roman"/>
              <w:color w:val="auto"/>
            </w:rPr>
            <w:fldChar w:fldCharType="end"/>
          </w:r>
        </w:p>
        <w:p>
          <w:pPr>
            <w:pStyle w:val="12"/>
            <w:numPr>
              <w:ilvl w:val="0"/>
              <w:numId w:val="1"/>
            </w:numPr>
            <w:tabs>
              <w:tab w:val="left" w:pos="1050"/>
              <w:tab w:val="right" w:leader="dot" w:pos="9799"/>
            </w:tabs>
            <w:spacing w:before="125"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"_bookmark4" </w:instrText>
          </w:r>
          <w:r>
            <w:rPr>
              <w:color w:val="auto"/>
            </w:rPr>
            <w:fldChar w:fldCharType="separate"/>
          </w:r>
          <w:r>
            <w:rPr>
              <w:color w:val="auto"/>
            </w:rPr>
            <w:t>招标文件的获取</w:t>
          </w:r>
          <w:r>
            <w:rPr>
              <w:color w:val="auto"/>
            </w:rPr>
            <w:tab/>
          </w:r>
          <w:r>
            <w:rPr>
              <w:rFonts w:ascii="Times New Roman" w:eastAsia="Times New Roman"/>
              <w:color w:val="auto"/>
            </w:rPr>
            <w:t>2</w:t>
          </w:r>
          <w:r>
            <w:rPr>
              <w:rFonts w:ascii="Times New Roman" w:eastAsia="Times New Roman"/>
              <w:color w:val="auto"/>
            </w:rPr>
            <w:fldChar w:fldCharType="end"/>
          </w:r>
        </w:p>
        <w:p>
          <w:pPr>
            <w:pStyle w:val="12"/>
            <w:numPr>
              <w:ilvl w:val="0"/>
              <w:numId w:val="1"/>
            </w:numPr>
            <w:tabs>
              <w:tab w:val="left" w:pos="1050"/>
              <w:tab w:val="right" w:leader="dot" w:pos="9799"/>
            </w:tabs>
            <w:spacing w:before="122"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"_bookmark5" </w:instrText>
          </w:r>
          <w:r>
            <w:rPr>
              <w:color w:val="auto"/>
            </w:rPr>
            <w:fldChar w:fldCharType="separate"/>
          </w:r>
          <w:r>
            <w:rPr>
              <w:color w:val="auto"/>
            </w:rPr>
            <w:t>投标文件的递交</w:t>
          </w:r>
          <w:r>
            <w:rPr>
              <w:color w:val="auto"/>
            </w:rPr>
            <w:tab/>
          </w:r>
          <w:r>
            <w:rPr>
              <w:rFonts w:ascii="Times New Roman" w:eastAsia="Times New Roman"/>
              <w:color w:val="auto"/>
            </w:rPr>
            <w:t>3</w:t>
          </w:r>
          <w:r>
            <w:rPr>
              <w:rFonts w:ascii="Times New Roman" w:eastAsia="Times New Roman"/>
              <w:color w:val="auto"/>
            </w:rPr>
            <w:fldChar w:fldCharType="end"/>
          </w:r>
        </w:p>
        <w:p>
          <w:pPr>
            <w:pStyle w:val="12"/>
            <w:numPr>
              <w:ilvl w:val="0"/>
              <w:numId w:val="1"/>
            </w:numPr>
            <w:tabs>
              <w:tab w:val="left" w:pos="1050"/>
              <w:tab w:val="right" w:leader="dot" w:pos="9799"/>
            </w:tabs>
            <w:spacing w:before="124"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"_bookmark6" </w:instrText>
          </w:r>
          <w:r>
            <w:rPr>
              <w:color w:val="auto"/>
            </w:rPr>
            <w:fldChar w:fldCharType="separate"/>
          </w:r>
          <w:r>
            <w:rPr>
              <w:color w:val="auto"/>
            </w:rPr>
            <w:t>发布公告媒介</w:t>
          </w:r>
          <w:r>
            <w:rPr>
              <w:color w:val="auto"/>
            </w:rPr>
            <w:tab/>
          </w:r>
          <w:r>
            <w:rPr>
              <w:rFonts w:ascii="Times New Roman" w:eastAsia="Times New Roman"/>
              <w:color w:val="auto"/>
            </w:rPr>
            <w:t>3</w:t>
          </w:r>
          <w:r>
            <w:rPr>
              <w:rFonts w:ascii="Times New Roman" w:eastAsia="Times New Roman"/>
              <w:color w:val="auto"/>
            </w:rPr>
            <w:fldChar w:fldCharType="end"/>
          </w:r>
        </w:p>
        <w:p>
          <w:pPr>
            <w:pStyle w:val="12"/>
            <w:numPr>
              <w:ilvl w:val="0"/>
              <w:numId w:val="1"/>
            </w:numPr>
            <w:tabs>
              <w:tab w:val="left" w:pos="1050"/>
              <w:tab w:val="right" w:leader="dot" w:pos="9799"/>
            </w:tabs>
            <w:spacing w:before="125" w:after="0" w:line="240" w:lineRule="auto"/>
            <w:ind w:left="1049" w:right="0" w:hanging="159"/>
            <w:jc w:val="left"/>
            <w:rPr>
              <w:rFonts w:ascii="Times New Roman" w:eastAsia="Times New Roman"/>
              <w:color w:val="auto"/>
            </w:rPr>
          </w:pPr>
          <w:r>
            <w:rPr>
              <w:color w:val="auto"/>
            </w:rPr>
            <w:fldChar w:fldCharType="begin"/>
          </w:r>
          <w:r>
            <w:rPr>
              <w:color w:val="auto"/>
            </w:rPr>
            <w:instrText xml:space="preserve"> HYPERLINK \l "_bookmark7" </w:instrText>
          </w:r>
          <w:r>
            <w:rPr>
              <w:color w:val="auto"/>
            </w:rPr>
            <w:fldChar w:fldCharType="separate"/>
          </w:r>
          <w:r>
            <w:rPr>
              <w:color w:val="auto"/>
            </w:rPr>
            <w:t>联系方式</w:t>
          </w:r>
          <w:r>
            <w:rPr>
              <w:color w:val="auto"/>
            </w:rPr>
            <w:tab/>
          </w:r>
          <w:r>
            <w:rPr>
              <w:rFonts w:ascii="Times New Roman" w:eastAsia="Times New Roman"/>
              <w:color w:val="auto"/>
            </w:rPr>
            <w:t>3</w:t>
          </w:r>
          <w:r>
            <w:rPr>
              <w:rFonts w:ascii="Times New Roman" w:eastAsia="Times New Roman"/>
              <w:color w:val="auto"/>
            </w:rPr>
            <w:fldChar w:fldCharType="end"/>
          </w:r>
        </w:p>
        <w:p>
          <w:pPr>
            <w:pStyle w:val="10"/>
            <w:tabs>
              <w:tab w:val="right" w:leader="dot" w:pos="9913"/>
            </w:tabs>
            <w:rPr>
              <w:rFonts w:ascii="Times New Roman" w:eastAsia="Times New Roman"/>
              <w:color w:val="auto"/>
            </w:rPr>
          </w:pPr>
          <w:r>
            <w:rPr>
              <w:color w:val="auto"/>
            </w:rPr>
            <w:fldChar w:fldCharType="begin"/>
          </w:r>
          <w:r>
            <w:rPr>
              <w:color w:val="auto"/>
            </w:rPr>
            <w:instrText xml:space="preserve"> HYPERLINK \l "_bookmark8" </w:instrText>
          </w:r>
          <w:r>
            <w:rPr>
              <w:color w:val="auto"/>
            </w:rPr>
            <w:fldChar w:fldCharType="separate"/>
          </w:r>
          <w:r>
            <w:rPr>
              <w:color w:val="auto"/>
            </w:rPr>
            <w:t>第二章</w:t>
          </w:r>
          <w:r>
            <w:rPr>
              <w:color w:val="auto"/>
              <w:spacing w:val="-2"/>
            </w:rPr>
            <w:t xml:space="preserve"> </w:t>
          </w:r>
          <w:r>
            <w:rPr>
              <w:color w:val="auto"/>
            </w:rPr>
            <w:t>投标须知前附表</w:t>
          </w:r>
          <w:r>
            <w:rPr>
              <w:color w:val="auto"/>
            </w:rPr>
            <w:tab/>
          </w:r>
          <w:r>
            <w:rPr>
              <w:rFonts w:ascii="Times New Roman" w:eastAsia="Times New Roman"/>
              <w:color w:val="auto"/>
            </w:rPr>
            <w:t>4</w:t>
          </w:r>
          <w:r>
            <w:rPr>
              <w:rFonts w:ascii="Times New Roman" w:eastAsia="Times New Roman"/>
              <w:color w:val="auto"/>
            </w:rPr>
            <w:fldChar w:fldCharType="end"/>
          </w:r>
        </w:p>
        <w:p>
          <w:pPr>
            <w:pStyle w:val="7"/>
            <w:tabs>
              <w:tab w:val="left" w:pos="1856"/>
              <w:tab w:val="left" w:pos="2276"/>
              <w:tab w:val="right" w:leader="dot" w:pos="9799"/>
            </w:tabs>
            <w:spacing w:before="233"/>
            <w:rPr>
              <w:rFonts w:ascii="Times New Roman" w:eastAsia="Times New Roman"/>
              <w:color w:val="auto"/>
            </w:rPr>
          </w:pPr>
          <w:r>
            <w:rPr>
              <w:color w:val="auto"/>
            </w:rPr>
            <w:fldChar w:fldCharType="begin"/>
          </w:r>
          <w:r>
            <w:rPr>
              <w:color w:val="auto"/>
            </w:rPr>
            <w:instrText xml:space="preserve"> HYPERLINK \l "_bookmark9" </w:instrText>
          </w:r>
          <w:r>
            <w:rPr>
              <w:color w:val="auto"/>
            </w:rPr>
            <w:fldChar w:fldCharType="separate"/>
          </w:r>
          <w:r>
            <w:rPr>
              <w:color w:val="auto"/>
            </w:rPr>
            <w:t>第一节</w:t>
          </w:r>
          <w:r>
            <w:rPr>
              <w:color w:val="auto"/>
            </w:rPr>
            <w:tab/>
          </w:r>
          <w:r>
            <w:rPr>
              <w:color w:val="auto"/>
            </w:rPr>
            <w:t>总</w:t>
          </w:r>
          <w:r>
            <w:rPr>
              <w:color w:val="auto"/>
            </w:rPr>
            <w:tab/>
          </w:r>
          <w:r>
            <w:rPr>
              <w:color w:val="auto"/>
            </w:rPr>
            <w:t>则</w:t>
          </w:r>
          <w:r>
            <w:rPr>
              <w:color w:val="auto"/>
            </w:rPr>
            <w:tab/>
          </w:r>
          <w:r>
            <w:rPr>
              <w:rFonts w:ascii="Times New Roman" w:eastAsia="Times New Roman"/>
              <w:color w:val="auto"/>
            </w:rPr>
            <w:t>6</w:t>
          </w:r>
          <w:r>
            <w:rPr>
              <w:rFonts w:ascii="Times New Roman" w:eastAsia="Times New Roman"/>
              <w:color w:val="auto"/>
            </w:rPr>
            <w:fldChar w:fldCharType="end"/>
          </w:r>
        </w:p>
        <w:p>
          <w:pPr>
            <w:pStyle w:val="7"/>
            <w:tabs>
              <w:tab w:val="left" w:pos="1856"/>
              <w:tab w:val="right" w:leader="dot" w:pos="9799"/>
            </w:tabs>
            <w:spacing w:before="129"/>
            <w:rPr>
              <w:rFonts w:ascii="Times New Roman" w:eastAsia="Times New Roman"/>
              <w:color w:val="auto"/>
            </w:rPr>
          </w:pPr>
          <w:r>
            <w:rPr>
              <w:color w:val="auto"/>
            </w:rPr>
            <w:fldChar w:fldCharType="begin"/>
          </w:r>
          <w:r>
            <w:rPr>
              <w:color w:val="auto"/>
            </w:rPr>
            <w:instrText xml:space="preserve"> HYPERLINK \l "_bookmark10" </w:instrText>
          </w:r>
          <w:r>
            <w:rPr>
              <w:color w:val="auto"/>
            </w:rPr>
            <w:fldChar w:fldCharType="separate"/>
          </w:r>
          <w:r>
            <w:rPr>
              <w:color w:val="auto"/>
            </w:rPr>
            <w:t>第二节</w:t>
          </w:r>
          <w:r>
            <w:rPr>
              <w:color w:val="auto"/>
            </w:rPr>
            <w:tab/>
          </w:r>
          <w:r>
            <w:rPr>
              <w:color w:val="auto"/>
            </w:rPr>
            <w:t>招标文件</w:t>
          </w:r>
          <w:r>
            <w:rPr>
              <w:color w:val="auto"/>
            </w:rPr>
            <w:tab/>
          </w:r>
          <w:r>
            <w:rPr>
              <w:rFonts w:ascii="Times New Roman" w:eastAsia="Times New Roman"/>
              <w:color w:val="auto"/>
            </w:rPr>
            <w:t>6</w:t>
          </w:r>
          <w:r>
            <w:rPr>
              <w:rFonts w:ascii="Times New Roman" w:eastAsia="Times New Roman"/>
              <w:color w:val="auto"/>
            </w:rPr>
            <w:fldChar w:fldCharType="end"/>
          </w:r>
        </w:p>
        <w:p>
          <w:pPr>
            <w:pStyle w:val="7"/>
            <w:tabs>
              <w:tab w:val="left" w:pos="1856"/>
              <w:tab w:val="right" w:leader="dot" w:pos="9799"/>
            </w:tabs>
            <w:spacing w:before="132"/>
            <w:rPr>
              <w:rFonts w:ascii="Times New Roman" w:eastAsia="Times New Roman"/>
              <w:color w:val="auto"/>
            </w:rPr>
          </w:pPr>
          <w:r>
            <w:rPr>
              <w:color w:val="auto"/>
            </w:rPr>
            <w:fldChar w:fldCharType="begin"/>
          </w:r>
          <w:r>
            <w:rPr>
              <w:color w:val="auto"/>
            </w:rPr>
            <w:instrText xml:space="preserve"> HYPERLINK \l "_bookmark11" </w:instrText>
          </w:r>
          <w:r>
            <w:rPr>
              <w:color w:val="auto"/>
            </w:rPr>
            <w:fldChar w:fldCharType="separate"/>
          </w:r>
          <w:r>
            <w:rPr>
              <w:color w:val="auto"/>
            </w:rPr>
            <w:t>第三节</w:t>
          </w:r>
          <w:r>
            <w:rPr>
              <w:color w:val="auto"/>
            </w:rPr>
            <w:tab/>
          </w:r>
          <w:r>
            <w:rPr>
              <w:color w:val="auto"/>
            </w:rPr>
            <w:t>投标文件的编制</w:t>
          </w:r>
          <w:r>
            <w:rPr>
              <w:color w:val="auto"/>
            </w:rPr>
            <w:tab/>
          </w:r>
          <w:r>
            <w:rPr>
              <w:rFonts w:ascii="Times New Roman" w:eastAsia="Times New Roman"/>
              <w:color w:val="auto"/>
            </w:rPr>
            <w:t>7</w:t>
          </w:r>
          <w:r>
            <w:rPr>
              <w:rFonts w:ascii="Times New Roman" w:eastAsia="Times New Roman"/>
              <w:color w:val="auto"/>
            </w:rPr>
            <w:fldChar w:fldCharType="end"/>
          </w:r>
        </w:p>
        <w:p>
          <w:pPr>
            <w:pStyle w:val="7"/>
            <w:tabs>
              <w:tab w:val="left" w:pos="1856"/>
              <w:tab w:val="right" w:leader="dot" w:pos="9799"/>
            </w:tabs>
            <w:rPr>
              <w:rFonts w:ascii="Times New Roman" w:eastAsia="Times New Roman"/>
              <w:color w:val="auto"/>
            </w:rPr>
          </w:pPr>
          <w:r>
            <w:rPr>
              <w:color w:val="auto"/>
            </w:rPr>
            <w:fldChar w:fldCharType="begin"/>
          </w:r>
          <w:r>
            <w:rPr>
              <w:color w:val="auto"/>
            </w:rPr>
            <w:instrText xml:space="preserve"> HYPERLINK \l "_bookmark12" </w:instrText>
          </w:r>
          <w:r>
            <w:rPr>
              <w:color w:val="auto"/>
            </w:rPr>
            <w:fldChar w:fldCharType="separate"/>
          </w:r>
          <w:r>
            <w:rPr>
              <w:color w:val="auto"/>
            </w:rPr>
            <w:t>第四节</w:t>
          </w:r>
          <w:r>
            <w:rPr>
              <w:color w:val="auto"/>
            </w:rPr>
            <w:tab/>
          </w:r>
          <w:r>
            <w:rPr>
              <w:color w:val="auto"/>
            </w:rPr>
            <w:t>投标文件的递交</w:t>
          </w:r>
          <w:r>
            <w:rPr>
              <w:color w:val="auto"/>
            </w:rPr>
            <w:tab/>
          </w:r>
          <w:r>
            <w:rPr>
              <w:rFonts w:ascii="Times New Roman" w:eastAsia="Times New Roman"/>
              <w:color w:val="auto"/>
            </w:rPr>
            <w:t>8</w:t>
          </w:r>
          <w:r>
            <w:rPr>
              <w:rFonts w:ascii="Times New Roman" w:eastAsia="Times New Roman"/>
              <w:color w:val="auto"/>
            </w:rPr>
            <w:fldChar w:fldCharType="end"/>
          </w:r>
        </w:p>
        <w:p>
          <w:pPr>
            <w:pStyle w:val="7"/>
            <w:tabs>
              <w:tab w:val="left" w:pos="1856"/>
              <w:tab w:val="left" w:pos="2382"/>
              <w:tab w:val="right" w:leader="dot" w:pos="9799"/>
            </w:tabs>
            <w:spacing w:before="130"/>
            <w:rPr>
              <w:rFonts w:ascii="Times New Roman" w:eastAsia="Times New Roman"/>
              <w:color w:val="auto"/>
            </w:rPr>
          </w:pPr>
          <w:r>
            <w:rPr>
              <w:color w:val="auto"/>
            </w:rPr>
            <w:fldChar w:fldCharType="begin"/>
          </w:r>
          <w:r>
            <w:rPr>
              <w:color w:val="auto"/>
            </w:rPr>
            <w:instrText xml:space="preserve"> HYPERLINK \l "_bookmark13" </w:instrText>
          </w:r>
          <w:r>
            <w:rPr>
              <w:color w:val="auto"/>
            </w:rPr>
            <w:fldChar w:fldCharType="separate"/>
          </w:r>
          <w:r>
            <w:rPr>
              <w:color w:val="auto"/>
            </w:rPr>
            <w:t>第五节</w:t>
          </w:r>
          <w:r>
            <w:rPr>
              <w:color w:val="auto"/>
            </w:rPr>
            <w:tab/>
          </w:r>
          <w:r>
            <w:rPr>
              <w:color w:val="auto"/>
            </w:rPr>
            <w:t>开</w:t>
          </w:r>
          <w:r>
            <w:rPr>
              <w:color w:val="auto"/>
            </w:rPr>
            <w:tab/>
          </w:r>
          <w:r>
            <w:rPr>
              <w:color w:val="auto"/>
            </w:rPr>
            <w:t>标</w:t>
          </w:r>
          <w:r>
            <w:rPr>
              <w:color w:val="auto"/>
            </w:rPr>
            <w:tab/>
          </w:r>
          <w:r>
            <w:rPr>
              <w:rFonts w:ascii="Times New Roman" w:eastAsia="Times New Roman"/>
              <w:color w:val="auto"/>
            </w:rPr>
            <w:t>9</w:t>
          </w:r>
          <w:r>
            <w:rPr>
              <w:rFonts w:ascii="Times New Roman" w:eastAsia="Times New Roman"/>
              <w:color w:val="auto"/>
            </w:rPr>
            <w:fldChar w:fldCharType="end"/>
          </w:r>
        </w:p>
        <w:p>
          <w:pPr>
            <w:pStyle w:val="7"/>
            <w:tabs>
              <w:tab w:val="left" w:pos="1856"/>
              <w:tab w:val="left" w:pos="2382"/>
              <w:tab w:val="right" w:leader="dot" w:pos="9799"/>
            </w:tabs>
            <w:rPr>
              <w:rFonts w:ascii="Times New Roman" w:eastAsia="Times New Roman"/>
              <w:color w:val="auto"/>
            </w:rPr>
          </w:pPr>
          <w:r>
            <w:rPr>
              <w:color w:val="auto"/>
            </w:rPr>
            <w:fldChar w:fldCharType="begin"/>
          </w:r>
          <w:r>
            <w:rPr>
              <w:color w:val="auto"/>
            </w:rPr>
            <w:instrText xml:space="preserve"> HYPERLINK \l "_bookmark14" </w:instrText>
          </w:r>
          <w:r>
            <w:rPr>
              <w:color w:val="auto"/>
            </w:rPr>
            <w:fldChar w:fldCharType="separate"/>
          </w:r>
          <w:r>
            <w:rPr>
              <w:color w:val="auto"/>
            </w:rPr>
            <w:t>第六节</w:t>
          </w:r>
          <w:r>
            <w:rPr>
              <w:color w:val="auto"/>
            </w:rPr>
            <w:tab/>
          </w:r>
          <w:r>
            <w:rPr>
              <w:color w:val="auto"/>
            </w:rPr>
            <w:t>评</w:t>
          </w:r>
          <w:r>
            <w:rPr>
              <w:color w:val="auto"/>
            </w:rPr>
            <w:tab/>
          </w:r>
          <w:r>
            <w:rPr>
              <w:color w:val="auto"/>
            </w:rPr>
            <w:t>标</w:t>
          </w:r>
          <w:r>
            <w:rPr>
              <w:color w:val="auto"/>
            </w:rPr>
            <w:tab/>
          </w:r>
          <w:r>
            <w:rPr>
              <w:rFonts w:ascii="Times New Roman" w:eastAsia="Times New Roman"/>
              <w:color w:val="auto"/>
            </w:rPr>
            <w:t>9</w:t>
          </w:r>
          <w:r>
            <w:rPr>
              <w:rFonts w:ascii="Times New Roman" w:eastAsia="Times New Roman"/>
              <w:color w:val="auto"/>
            </w:rPr>
            <w:fldChar w:fldCharType="end"/>
          </w:r>
        </w:p>
        <w:p>
          <w:pPr>
            <w:pStyle w:val="7"/>
            <w:tabs>
              <w:tab w:val="left" w:pos="1858"/>
              <w:tab w:val="right" w:leader="dot" w:pos="9804"/>
            </w:tabs>
            <w:spacing w:before="132"/>
            <w:ind w:left="887"/>
            <w:rPr>
              <w:rFonts w:ascii="Times New Roman" w:eastAsia="Times New Roman"/>
              <w:color w:val="auto"/>
            </w:rPr>
          </w:pPr>
          <w:r>
            <w:rPr>
              <w:color w:val="auto"/>
            </w:rPr>
            <w:fldChar w:fldCharType="begin"/>
          </w:r>
          <w:r>
            <w:rPr>
              <w:color w:val="auto"/>
            </w:rPr>
            <w:instrText xml:space="preserve"> HYPERLINK \l "_bookmark15" </w:instrText>
          </w:r>
          <w:r>
            <w:rPr>
              <w:color w:val="auto"/>
            </w:rPr>
            <w:fldChar w:fldCharType="separate"/>
          </w:r>
          <w:r>
            <w:rPr>
              <w:color w:val="auto"/>
            </w:rPr>
            <w:t>第七节</w:t>
          </w:r>
          <w:r>
            <w:rPr>
              <w:color w:val="auto"/>
            </w:rPr>
            <w:tab/>
          </w:r>
          <w:r>
            <w:rPr>
              <w:color w:val="auto"/>
            </w:rPr>
            <w:t>授予合同</w:t>
          </w:r>
          <w:r>
            <w:rPr>
              <w:color w:val="auto"/>
            </w:rPr>
            <w:tab/>
          </w:r>
          <w:r>
            <w:rPr>
              <w:rFonts w:ascii="Times New Roman" w:eastAsia="Times New Roman"/>
              <w:color w:val="auto"/>
            </w:rPr>
            <w:t>11</w:t>
          </w:r>
          <w:r>
            <w:rPr>
              <w:rFonts w:ascii="Times New Roman" w:eastAsia="Times New Roman"/>
              <w:color w:val="auto"/>
            </w:rPr>
            <w:fldChar w:fldCharType="end"/>
          </w:r>
        </w:p>
        <w:p>
          <w:pPr>
            <w:pStyle w:val="10"/>
            <w:tabs>
              <w:tab w:val="left" w:pos="1523"/>
              <w:tab w:val="right" w:leader="dot" w:pos="9913"/>
            </w:tabs>
            <w:spacing w:before="142"/>
            <w:rPr>
              <w:rFonts w:ascii="Times New Roman" w:eastAsia="Times New Roman"/>
              <w:color w:val="auto"/>
            </w:rPr>
          </w:pPr>
          <w:r>
            <w:rPr>
              <w:color w:val="auto"/>
            </w:rPr>
            <w:fldChar w:fldCharType="begin"/>
          </w:r>
          <w:r>
            <w:rPr>
              <w:color w:val="auto"/>
            </w:rPr>
            <w:instrText xml:space="preserve"> HYPERLINK \l "_bookmark16" </w:instrText>
          </w:r>
          <w:r>
            <w:rPr>
              <w:color w:val="auto"/>
            </w:rPr>
            <w:fldChar w:fldCharType="separate"/>
          </w:r>
          <w:r>
            <w:rPr>
              <w:color w:val="auto"/>
            </w:rPr>
            <w:t>第三章</w:t>
          </w:r>
          <w:r>
            <w:rPr>
              <w:color w:val="auto"/>
            </w:rPr>
            <w:tab/>
          </w:r>
          <w:r>
            <w:rPr>
              <w:color w:val="auto"/>
            </w:rPr>
            <w:t>合同主要条款</w:t>
          </w:r>
          <w:r>
            <w:rPr>
              <w:color w:val="auto"/>
            </w:rPr>
            <w:tab/>
          </w:r>
          <w:r>
            <w:rPr>
              <w:rFonts w:ascii="Times New Roman" w:eastAsia="Times New Roman"/>
              <w:color w:val="auto"/>
            </w:rPr>
            <w:t>13</w:t>
          </w:r>
          <w:r>
            <w:rPr>
              <w:rFonts w:ascii="Times New Roman" w:eastAsia="Times New Roman"/>
              <w:color w:val="auto"/>
            </w:rPr>
            <w:fldChar w:fldCharType="end"/>
          </w:r>
        </w:p>
        <w:p>
          <w:pPr>
            <w:pStyle w:val="10"/>
            <w:tabs>
              <w:tab w:val="left" w:pos="1523"/>
              <w:tab w:val="right" w:leader="dot" w:pos="9913"/>
            </w:tabs>
            <w:spacing w:before="124"/>
            <w:rPr>
              <w:rFonts w:ascii="Times New Roman" w:eastAsia="Times New Roman"/>
              <w:color w:val="auto"/>
            </w:rPr>
          </w:pPr>
          <w:r>
            <w:rPr>
              <w:color w:val="auto"/>
            </w:rPr>
            <w:fldChar w:fldCharType="begin"/>
          </w:r>
          <w:r>
            <w:rPr>
              <w:color w:val="auto"/>
            </w:rPr>
            <w:instrText xml:space="preserve"> HYPERLINK \l "_bookmark17" </w:instrText>
          </w:r>
          <w:r>
            <w:rPr>
              <w:color w:val="auto"/>
            </w:rPr>
            <w:fldChar w:fldCharType="separate"/>
          </w:r>
          <w:r>
            <w:rPr>
              <w:color w:val="auto"/>
            </w:rPr>
            <w:t>第四章</w:t>
          </w:r>
          <w:r>
            <w:rPr>
              <w:color w:val="auto"/>
            </w:rPr>
            <w:tab/>
          </w:r>
          <w:r>
            <w:rPr>
              <w:color w:val="auto"/>
            </w:rPr>
            <w:t>考核办法和考核评分标准</w:t>
          </w:r>
          <w:r>
            <w:rPr>
              <w:color w:val="auto"/>
            </w:rPr>
            <w:tab/>
          </w:r>
          <w:r>
            <w:rPr>
              <w:rFonts w:ascii="Times New Roman" w:eastAsia="Times New Roman"/>
              <w:color w:val="auto"/>
            </w:rPr>
            <w:t>16</w:t>
          </w:r>
          <w:r>
            <w:rPr>
              <w:rFonts w:ascii="Times New Roman" w:eastAsia="Times New Roman"/>
              <w:color w:val="auto"/>
            </w:rPr>
            <w:fldChar w:fldCharType="end"/>
          </w:r>
        </w:p>
        <w:p>
          <w:pPr>
            <w:pStyle w:val="10"/>
            <w:tabs>
              <w:tab w:val="left" w:pos="1523"/>
              <w:tab w:val="right" w:leader="dot" w:pos="9913"/>
            </w:tabs>
            <w:rPr>
              <w:rFonts w:ascii="Times New Roman" w:eastAsia="Times New Roman"/>
              <w:color w:val="auto"/>
            </w:rPr>
          </w:pPr>
          <w:r>
            <w:rPr>
              <w:color w:val="auto"/>
            </w:rPr>
            <w:fldChar w:fldCharType="begin"/>
          </w:r>
          <w:r>
            <w:rPr>
              <w:color w:val="auto"/>
            </w:rPr>
            <w:instrText xml:space="preserve"> HYPERLINK \l "_bookmark18" </w:instrText>
          </w:r>
          <w:r>
            <w:rPr>
              <w:color w:val="auto"/>
            </w:rPr>
            <w:fldChar w:fldCharType="separate"/>
          </w:r>
          <w:r>
            <w:rPr>
              <w:color w:val="auto"/>
            </w:rPr>
            <w:t>第五章</w:t>
          </w:r>
          <w:r>
            <w:rPr>
              <w:color w:val="auto"/>
            </w:rPr>
            <w:tab/>
          </w:r>
          <w:r>
            <w:rPr>
              <w:color w:val="auto"/>
            </w:rPr>
            <w:t>评标办法</w:t>
          </w:r>
          <w:r>
            <w:rPr>
              <w:color w:val="auto"/>
            </w:rPr>
            <w:tab/>
          </w:r>
          <w:r>
            <w:rPr>
              <w:rFonts w:ascii="Times New Roman" w:eastAsia="Times New Roman"/>
              <w:color w:val="auto"/>
            </w:rPr>
            <w:t>19</w:t>
          </w:r>
          <w:r>
            <w:rPr>
              <w:rFonts w:ascii="Times New Roman" w:eastAsia="Times New Roman"/>
              <w:color w:val="auto"/>
            </w:rPr>
            <w:fldChar w:fldCharType="end"/>
          </w:r>
        </w:p>
        <w:p>
          <w:pPr>
            <w:pStyle w:val="11"/>
            <w:tabs>
              <w:tab w:val="right" w:leader="dot" w:pos="9799"/>
            </w:tabs>
            <w:rPr>
              <w:rFonts w:ascii="Times New Roman" w:eastAsia="Times New Roman"/>
              <w:color w:val="auto"/>
            </w:rPr>
          </w:pPr>
          <w:r>
            <w:rPr>
              <w:color w:val="auto"/>
            </w:rPr>
            <w:fldChar w:fldCharType="begin"/>
          </w:r>
          <w:r>
            <w:rPr>
              <w:color w:val="auto"/>
            </w:rPr>
            <w:instrText xml:space="preserve"> HYPERLINK \l "_bookmark19" </w:instrText>
          </w:r>
          <w:r>
            <w:rPr>
              <w:color w:val="auto"/>
            </w:rPr>
            <w:fldChar w:fldCharType="separate"/>
          </w:r>
          <w:r>
            <w:rPr>
              <w:color w:val="auto"/>
            </w:rPr>
            <w:t>附件一：</w:t>
          </w:r>
          <w:r>
            <w:rPr>
              <w:color w:val="auto"/>
            </w:rPr>
            <w:tab/>
          </w:r>
          <w:r>
            <w:rPr>
              <w:rFonts w:ascii="Times New Roman" w:eastAsia="Times New Roman"/>
              <w:color w:val="auto"/>
            </w:rPr>
            <w:t>20</w:t>
          </w:r>
          <w:r>
            <w:rPr>
              <w:rFonts w:ascii="Times New Roman" w:eastAsia="Times New Roman"/>
              <w:color w:val="auto"/>
            </w:rPr>
            <w:fldChar w:fldCharType="end"/>
          </w:r>
        </w:p>
        <w:p>
          <w:pPr>
            <w:pStyle w:val="11"/>
            <w:tabs>
              <w:tab w:val="right" w:leader="dot" w:pos="9799"/>
            </w:tabs>
            <w:spacing w:before="125"/>
            <w:rPr>
              <w:rFonts w:ascii="Times New Roman" w:eastAsia="Times New Roman"/>
              <w:color w:val="auto"/>
            </w:rPr>
          </w:pPr>
          <w:r>
            <w:rPr>
              <w:color w:val="auto"/>
            </w:rPr>
            <w:fldChar w:fldCharType="begin"/>
          </w:r>
          <w:r>
            <w:rPr>
              <w:color w:val="auto"/>
            </w:rPr>
            <w:instrText xml:space="preserve"> HYPERLINK \l "_bookmark20" </w:instrText>
          </w:r>
          <w:r>
            <w:rPr>
              <w:color w:val="auto"/>
            </w:rPr>
            <w:fldChar w:fldCharType="separate"/>
          </w:r>
          <w:r>
            <w:rPr>
              <w:color w:val="auto"/>
            </w:rPr>
            <w:t>附件二：</w:t>
          </w:r>
          <w:r>
            <w:rPr>
              <w:color w:val="auto"/>
            </w:rPr>
            <w:tab/>
          </w:r>
          <w:r>
            <w:rPr>
              <w:rFonts w:ascii="Times New Roman" w:eastAsia="Times New Roman"/>
              <w:color w:val="auto"/>
            </w:rPr>
            <w:t>21</w:t>
          </w:r>
          <w:r>
            <w:rPr>
              <w:rFonts w:ascii="Times New Roman" w:eastAsia="Times New Roman"/>
              <w:color w:val="auto"/>
            </w:rPr>
            <w:fldChar w:fldCharType="end"/>
          </w:r>
        </w:p>
        <w:p>
          <w:pPr>
            <w:pStyle w:val="11"/>
            <w:tabs>
              <w:tab w:val="right" w:leader="dot" w:pos="9799"/>
            </w:tabs>
            <w:rPr>
              <w:rFonts w:ascii="Times New Roman" w:eastAsia="Times New Roman"/>
              <w:color w:val="auto"/>
            </w:rPr>
          </w:pPr>
          <w:r>
            <w:rPr>
              <w:color w:val="auto"/>
            </w:rPr>
            <w:fldChar w:fldCharType="begin"/>
          </w:r>
          <w:r>
            <w:rPr>
              <w:color w:val="auto"/>
            </w:rPr>
            <w:instrText xml:space="preserve"> HYPERLINK \l "_bookmark21" </w:instrText>
          </w:r>
          <w:r>
            <w:rPr>
              <w:color w:val="auto"/>
            </w:rPr>
            <w:fldChar w:fldCharType="separate"/>
          </w:r>
          <w:r>
            <w:rPr>
              <w:color w:val="auto"/>
            </w:rPr>
            <w:t>附件三：</w:t>
          </w:r>
          <w:r>
            <w:rPr>
              <w:color w:val="auto"/>
            </w:rPr>
            <w:tab/>
          </w:r>
          <w:r>
            <w:rPr>
              <w:rFonts w:ascii="Times New Roman" w:eastAsia="Times New Roman"/>
              <w:color w:val="auto"/>
            </w:rPr>
            <w:t>22</w:t>
          </w:r>
          <w:r>
            <w:rPr>
              <w:rFonts w:ascii="Times New Roman" w:eastAsia="Times New Roman"/>
              <w:color w:val="auto"/>
            </w:rPr>
            <w:fldChar w:fldCharType="end"/>
          </w:r>
        </w:p>
        <w:p>
          <w:pPr>
            <w:pStyle w:val="11"/>
            <w:tabs>
              <w:tab w:val="right" w:leader="dot" w:pos="9799"/>
            </w:tabs>
            <w:spacing w:before="125"/>
            <w:rPr>
              <w:rFonts w:ascii="Times New Roman" w:eastAsia="Times New Roman"/>
              <w:color w:val="auto"/>
            </w:rPr>
          </w:pPr>
          <w:r>
            <w:rPr>
              <w:color w:val="auto"/>
            </w:rPr>
            <w:fldChar w:fldCharType="begin"/>
          </w:r>
          <w:r>
            <w:rPr>
              <w:color w:val="auto"/>
            </w:rPr>
            <w:instrText xml:space="preserve"> HYPERLINK \l "_bookmark22" </w:instrText>
          </w:r>
          <w:r>
            <w:rPr>
              <w:color w:val="auto"/>
            </w:rPr>
            <w:fldChar w:fldCharType="separate"/>
          </w:r>
          <w:r>
            <w:rPr>
              <w:color w:val="auto"/>
            </w:rPr>
            <w:t>附件四：</w:t>
          </w:r>
          <w:r>
            <w:rPr>
              <w:color w:val="auto"/>
            </w:rPr>
            <w:tab/>
          </w:r>
          <w:r>
            <w:rPr>
              <w:rFonts w:ascii="Times New Roman" w:eastAsia="Times New Roman"/>
              <w:color w:val="auto"/>
            </w:rPr>
            <w:t>23</w:t>
          </w:r>
          <w:r>
            <w:rPr>
              <w:rFonts w:ascii="Times New Roman" w:eastAsia="Times New Roman"/>
              <w:color w:val="auto"/>
            </w:rPr>
            <w:fldChar w:fldCharType="end"/>
          </w:r>
        </w:p>
      </w:sdtContent>
    </w:sdt>
    <w:p>
      <w:pPr>
        <w:spacing w:after="0"/>
        <w:rPr>
          <w:rFonts w:ascii="Times New Roman" w:eastAsia="Times New Roman"/>
          <w:color w:val="auto"/>
        </w:rPr>
        <w:sectPr>
          <w:headerReference r:id="rId3" w:type="default"/>
          <w:footerReference r:id="rId4" w:type="default"/>
          <w:pgSz w:w="11910" w:h="16840"/>
          <w:pgMar w:top="1360" w:right="860" w:bottom="1060" w:left="1020" w:header="873" w:footer="863" w:gutter="0"/>
          <w:pgNumType w:start="1"/>
        </w:sectPr>
      </w:pPr>
    </w:p>
    <w:p>
      <w:pPr>
        <w:pStyle w:val="2"/>
        <w:spacing w:before="404"/>
        <w:ind w:left="0" w:right="158"/>
        <w:jc w:val="center"/>
        <w:rPr>
          <w:color w:val="auto"/>
        </w:rPr>
      </w:pPr>
      <w:bookmarkStart w:id="0" w:name="第一章 招标公告"/>
      <w:bookmarkEnd w:id="0"/>
      <w:bookmarkStart w:id="1" w:name="_bookmark0"/>
      <w:bookmarkEnd w:id="1"/>
      <w:r>
        <w:rPr>
          <w:color w:val="auto"/>
        </w:rPr>
        <w:t>第一章 招标公告</w:t>
      </w:r>
    </w:p>
    <w:p>
      <w:pPr>
        <w:pStyle w:val="6"/>
        <w:rPr>
          <w:rFonts w:ascii="黑体"/>
          <w:b/>
          <w:color w:val="auto"/>
          <w:sz w:val="22"/>
        </w:rPr>
      </w:pPr>
    </w:p>
    <w:p>
      <w:pPr>
        <w:pStyle w:val="6"/>
        <w:spacing w:before="1"/>
        <w:rPr>
          <w:rFonts w:ascii="黑体"/>
          <w:b/>
          <w:color w:val="auto"/>
          <w:sz w:val="23"/>
        </w:rPr>
      </w:pPr>
    </w:p>
    <w:p>
      <w:pPr>
        <w:pStyle w:val="4"/>
        <w:numPr>
          <w:ilvl w:val="0"/>
          <w:numId w:val="2"/>
        </w:numPr>
        <w:tabs>
          <w:tab w:val="left" w:pos="841"/>
        </w:tabs>
        <w:spacing w:before="1" w:after="0" w:line="240" w:lineRule="auto"/>
        <w:ind w:left="840" w:right="0" w:hanging="159"/>
        <w:jc w:val="left"/>
        <w:rPr>
          <w:rFonts w:hint="eastAsia" w:ascii="宋体" w:eastAsia="宋体"/>
          <w:color w:val="auto"/>
        </w:rPr>
      </w:pPr>
      <w:bookmarkStart w:id="2" w:name="1.招标条件"/>
      <w:bookmarkEnd w:id="2"/>
      <w:bookmarkStart w:id="3" w:name="_bookmark1"/>
      <w:bookmarkEnd w:id="3"/>
      <w:bookmarkStart w:id="4" w:name="_bookmark1"/>
      <w:bookmarkEnd w:id="4"/>
      <w:r>
        <w:rPr>
          <w:rFonts w:hint="eastAsia" w:ascii="宋体" w:eastAsia="宋体"/>
          <w:color w:val="auto"/>
        </w:rPr>
        <w:t>招标条件</w:t>
      </w:r>
    </w:p>
    <w:p>
      <w:pPr>
        <w:pStyle w:val="6"/>
        <w:spacing w:before="2"/>
        <w:rPr>
          <w:b/>
          <w:color w:val="auto"/>
          <w:sz w:val="32"/>
        </w:rPr>
      </w:pPr>
    </w:p>
    <w:p>
      <w:pPr>
        <w:pStyle w:val="6"/>
        <w:spacing w:line="499" w:lineRule="auto"/>
        <w:ind w:left="681" w:right="840" w:firstLine="420"/>
        <w:rPr>
          <w:color w:val="auto"/>
        </w:rPr>
      </w:pPr>
      <w:r>
        <w:rPr>
          <w:color w:val="auto"/>
          <w:spacing w:val="-10"/>
        </w:rPr>
        <w:t xml:space="preserve">本招标项目 </w:t>
      </w:r>
      <w:r>
        <w:rPr>
          <w:rFonts w:hint="eastAsia" w:ascii="Times New Roman"/>
          <w:color w:val="auto"/>
          <w:lang w:eastAsia="zh-CN"/>
        </w:rPr>
        <w:t>玉环海洋经济转型示范区道路清扫保洁、河道保洁及沿道路垃圾收集清运项目</w:t>
      </w:r>
      <w:r>
        <w:rPr>
          <w:color w:val="auto"/>
        </w:rPr>
        <w:t>已由相关部门批准实</w:t>
      </w:r>
      <w:r>
        <w:rPr>
          <w:color w:val="auto"/>
          <w:spacing w:val="-9"/>
          <w:w w:val="95"/>
        </w:rPr>
        <w:t>施，招标人</w:t>
      </w:r>
      <w:r>
        <w:rPr>
          <w:color w:val="auto"/>
          <w:w w:val="95"/>
        </w:rPr>
        <w:t>（项目业主</w:t>
      </w:r>
      <w:r>
        <w:rPr>
          <w:color w:val="auto"/>
          <w:spacing w:val="-20"/>
          <w:w w:val="95"/>
        </w:rPr>
        <w:t>）</w:t>
      </w:r>
      <w:r>
        <w:rPr>
          <w:color w:val="auto"/>
          <w:spacing w:val="-3"/>
          <w:w w:val="95"/>
        </w:rPr>
        <w:t>为</w:t>
      </w:r>
      <w:r>
        <w:rPr>
          <w:rFonts w:hint="eastAsia"/>
          <w:color w:val="auto"/>
          <w:spacing w:val="-3"/>
          <w:lang w:eastAsia="zh-CN"/>
        </w:rPr>
        <w:t>浙江玉环经济开发区管理委员会</w:t>
      </w:r>
      <w:r>
        <w:rPr>
          <w:color w:val="auto"/>
          <w:spacing w:val="-3"/>
          <w:w w:val="95"/>
        </w:rPr>
        <w:t>，建设资金来</w:t>
      </w:r>
      <w:r>
        <w:rPr>
          <w:color w:val="auto"/>
          <w:spacing w:val="-3"/>
          <w:w w:val="95"/>
          <w:u w:val="single"/>
        </w:rPr>
        <w:t>自</w:t>
      </w:r>
      <w:r>
        <w:rPr>
          <w:rFonts w:hint="eastAsia"/>
          <w:color w:val="auto"/>
          <w:spacing w:val="-3"/>
          <w:w w:val="95"/>
          <w:u w:val="single"/>
          <w:lang w:eastAsia="zh-CN"/>
        </w:rPr>
        <w:t>筹</w:t>
      </w:r>
      <w:r>
        <w:rPr>
          <w:color w:val="auto"/>
          <w:spacing w:val="-3"/>
          <w:w w:val="95"/>
        </w:rPr>
        <w:t>，委托</w:t>
      </w:r>
      <w:r>
        <w:rPr>
          <w:rFonts w:hint="eastAsia"/>
          <w:color w:val="auto"/>
          <w:spacing w:val="-3"/>
          <w:w w:val="95"/>
          <w:lang w:eastAsia="zh-CN"/>
        </w:rPr>
        <w:t>建经投资咨询</w:t>
      </w:r>
      <w:r>
        <w:rPr>
          <w:color w:val="auto"/>
          <w:spacing w:val="-3"/>
        </w:rPr>
        <w:t>限公司进行招标代理。项目已具备招标条件，现对该项目进行公开招标。</w:t>
      </w:r>
    </w:p>
    <w:p>
      <w:pPr>
        <w:pStyle w:val="4"/>
        <w:numPr>
          <w:ilvl w:val="0"/>
          <w:numId w:val="2"/>
        </w:numPr>
        <w:tabs>
          <w:tab w:val="left" w:pos="841"/>
        </w:tabs>
        <w:spacing w:before="121" w:after="0" w:line="240" w:lineRule="auto"/>
        <w:ind w:left="840" w:right="0" w:hanging="159"/>
        <w:jc w:val="left"/>
        <w:rPr>
          <w:rFonts w:hint="eastAsia" w:ascii="宋体" w:eastAsia="宋体"/>
          <w:color w:val="auto"/>
        </w:rPr>
      </w:pPr>
      <w:bookmarkStart w:id="5" w:name="_bookmark2"/>
      <w:bookmarkEnd w:id="5"/>
      <w:bookmarkStart w:id="6" w:name="_bookmark2"/>
      <w:bookmarkEnd w:id="6"/>
      <w:bookmarkStart w:id="7" w:name="2.项目概况与招标范围"/>
      <w:bookmarkEnd w:id="7"/>
      <w:r>
        <w:rPr>
          <w:rFonts w:hint="eastAsia" w:ascii="宋体" w:eastAsia="宋体"/>
          <w:color w:val="auto"/>
        </w:rPr>
        <w:t>项目概况与招标范围</w:t>
      </w:r>
    </w:p>
    <w:p>
      <w:pPr>
        <w:pStyle w:val="6"/>
        <w:rPr>
          <w:b/>
          <w:color w:val="auto"/>
          <w:sz w:val="32"/>
        </w:rPr>
      </w:pPr>
    </w:p>
    <w:p>
      <w:pPr>
        <w:pStyle w:val="17"/>
        <w:numPr>
          <w:ilvl w:val="1"/>
          <w:numId w:val="2"/>
        </w:numPr>
        <w:tabs>
          <w:tab w:val="left" w:pos="1571"/>
          <w:tab w:val="left" w:pos="1572"/>
        </w:tabs>
        <w:spacing w:before="0" w:after="0" w:line="499" w:lineRule="auto"/>
        <w:ind w:left="681" w:right="892" w:firstLine="420"/>
        <w:jc w:val="left"/>
        <w:rPr>
          <w:color w:val="auto"/>
          <w:sz w:val="21"/>
        </w:rPr>
      </w:pPr>
      <w:r>
        <w:rPr>
          <w:color w:val="auto"/>
          <w:w w:val="95"/>
          <w:sz w:val="21"/>
        </w:rPr>
        <w:t>项目概况：</w:t>
      </w:r>
      <w:r>
        <w:rPr>
          <w:rFonts w:hint="eastAsia"/>
          <w:color w:val="auto"/>
          <w:w w:val="95"/>
          <w:sz w:val="21"/>
        </w:rPr>
        <w:t>本项目位于玉环海洋经济转型示范区，道路清扫保洁、河道保洁及沿道路垃圾收集清运项目总面积为373416m2（其中道路面积348666m2、河道面积24750m2)，另公厕保洁1座,项目服务期为12个月</w:t>
      </w:r>
      <w:r>
        <w:rPr>
          <w:color w:val="auto"/>
          <w:sz w:val="21"/>
        </w:rPr>
        <w:t>；</w:t>
      </w:r>
    </w:p>
    <w:p>
      <w:pPr>
        <w:pStyle w:val="17"/>
        <w:numPr>
          <w:ilvl w:val="1"/>
          <w:numId w:val="2"/>
        </w:numPr>
        <w:tabs>
          <w:tab w:val="left" w:pos="1571"/>
          <w:tab w:val="left" w:pos="1572"/>
        </w:tabs>
        <w:spacing w:before="2" w:after="0" w:line="240" w:lineRule="auto"/>
        <w:ind w:left="1572" w:right="0" w:hanging="471"/>
        <w:jc w:val="left"/>
        <w:rPr>
          <w:color w:val="auto"/>
          <w:sz w:val="21"/>
        </w:rPr>
      </w:pPr>
      <w:r>
        <w:rPr>
          <w:color w:val="auto"/>
          <w:sz w:val="21"/>
        </w:rPr>
        <w:t>招标范围：招标人指定范围内的清扫保洁工作；</w:t>
      </w:r>
    </w:p>
    <w:p>
      <w:pPr>
        <w:pStyle w:val="6"/>
        <w:spacing w:before="8"/>
        <w:rPr>
          <w:color w:val="auto"/>
          <w:sz w:val="22"/>
        </w:rPr>
      </w:pPr>
    </w:p>
    <w:p>
      <w:pPr>
        <w:pStyle w:val="17"/>
        <w:numPr>
          <w:ilvl w:val="1"/>
          <w:numId w:val="2"/>
        </w:numPr>
        <w:tabs>
          <w:tab w:val="left" w:pos="1571"/>
          <w:tab w:val="left" w:pos="1572"/>
        </w:tabs>
        <w:spacing w:before="0" w:after="0" w:line="240" w:lineRule="auto"/>
        <w:ind w:left="1572" w:right="0" w:hanging="471"/>
        <w:jc w:val="left"/>
        <w:rPr>
          <w:color w:val="auto"/>
          <w:sz w:val="21"/>
        </w:rPr>
      </w:pPr>
      <w:r>
        <w:rPr>
          <w:color w:val="auto"/>
          <w:sz w:val="21"/>
        </w:rPr>
        <w:t>本次招标分为：一个标段；</w:t>
      </w:r>
    </w:p>
    <w:p>
      <w:pPr>
        <w:pStyle w:val="6"/>
        <w:spacing w:before="8"/>
        <w:rPr>
          <w:color w:val="auto"/>
          <w:sz w:val="22"/>
        </w:rPr>
      </w:pPr>
    </w:p>
    <w:p>
      <w:pPr>
        <w:pStyle w:val="6"/>
        <w:tabs>
          <w:tab w:val="left" w:pos="1571"/>
        </w:tabs>
        <w:ind w:left="1101"/>
        <w:rPr>
          <w:color w:val="auto"/>
        </w:rPr>
      </w:pPr>
      <w:r>
        <w:rPr>
          <w:rFonts w:ascii="Times New Roman" w:hAnsi="Times New Roman" w:eastAsia="Times New Roman"/>
          <w:color w:val="auto"/>
        </w:rPr>
        <w:t>2.4</w:t>
      </w:r>
      <w:r>
        <w:rPr>
          <w:rFonts w:ascii="Times New Roman" w:hAnsi="Times New Roman" w:eastAsia="Times New Roman"/>
          <w:color w:val="auto"/>
        </w:rPr>
        <w:tab/>
      </w:r>
      <w:r>
        <w:rPr>
          <w:color w:val="auto"/>
        </w:rPr>
        <w:t>服务期限：</w:t>
      </w:r>
      <w:r>
        <w:rPr>
          <w:rFonts w:hint="eastAsia" w:ascii="Times New Roman" w:hAnsi="Times New Roman"/>
          <w:color w:val="auto"/>
          <w:lang w:val="en-US" w:eastAsia="zh-CN"/>
        </w:rPr>
        <w:t>1年</w:t>
      </w:r>
      <w:r>
        <w:rPr>
          <w:color w:val="auto"/>
        </w:rPr>
        <w:t>；</w:t>
      </w:r>
    </w:p>
    <w:p>
      <w:pPr>
        <w:pStyle w:val="6"/>
        <w:spacing w:before="11"/>
        <w:rPr>
          <w:color w:val="auto"/>
          <w:sz w:val="22"/>
        </w:rPr>
      </w:pPr>
    </w:p>
    <w:p>
      <w:pPr>
        <w:pStyle w:val="6"/>
        <w:tabs>
          <w:tab w:val="left" w:pos="1571"/>
        </w:tabs>
        <w:ind w:left="1101"/>
        <w:rPr>
          <w:color w:val="auto"/>
        </w:rPr>
      </w:pPr>
      <w:r>
        <w:rPr>
          <w:rFonts w:ascii="Times New Roman" w:eastAsia="Times New Roman"/>
          <w:color w:val="auto"/>
        </w:rPr>
        <w:t>2.5</w:t>
      </w:r>
      <w:r>
        <w:rPr>
          <w:rFonts w:ascii="Times New Roman" w:eastAsia="Times New Roman"/>
          <w:color w:val="auto"/>
        </w:rPr>
        <w:tab/>
      </w:r>
      <w:r>
        <w:rPr>
          <w:color w:val="auto"/>
        </w:rPr>
        <w:t>质量标准：合格。</w:t>
      </w:r>
    </w:p>
    <w:p>
      <w:pPr>
        <w:pStyle w:val="6"/>
        <w:rPr>
          <w:color w:val="auto"/>
          <w:sz w:val="32"/>
        </w:rPr>
      </w:pPr>
    </w:p>
    <w:p>
      <w:pPr>
        <w:pStyle w:val="4"/>
        <w:numPr>
          <w:ilvl w:val="0"/>
          <w:numId w:val="2"/>
        </w:numPr>
        <w:tabs>
          <w:tab w:val="left" w:pos="841"/>
        </w:tabs>
        <w:spacing w:before="0" w:after="0" w:line="240" w:lineRule="auto"/>
        <w:ind w:left="840" w:right="0" w:hanging="159"/>
        <w:jc w:val="left"/>
        <w:rPr>
          <w:rFonts w:hint="eastAsia" w:ascii="宋体" w:eastAsia="宋体"/>
          <w:color w:val="auto"/>
        </w:rPr>
      </w:pPr>
      <w:bookmarkStart w:id="8" w:name="3.投标人资格要求"/>
      <w:bookmarkEnd w:id="8"/>
      <w:bookmarkStart w:id="9" w:name="_bookmark3"/>
      <w:bookmarkEnd w:id="9"/>
      <w:bookmarkStart w:id="10" w:name="_bookmark3"/>
      <w:bookmarkEnd w:id="10"/>
      <w:r>
        <w:rPr>
          <w:rFonts w:hint="eastAsia" w:ascii="宋体" w:eastAsia="宋体"/>
          <w:color w:val="auto"/>
        </w:rPr>
        <w:t>投标人资格要求</w:t>
      </w:r>
    </w:p>
    <w:p>
      <w:pPr>
        <w:pStyle w:val="6"/>
        <w:rPr>
          <w:b/>
          <w:color w:val="auto"/>
          <w:sz w:val="32"/>
        </w:rPr>
      </w:pPr>
    </w:p>
    <w:p>
      <w:pPr>
        <w:pStyle w:val="17"/>
        <w:numPr>
          <w:ilvl w:val="1"/>
          <w:numId w:val="2"/>
        </w:numPr>
        <w:tabs>
          <w:tab w:val="left" w:pos="1571"/>
          <w:tab w:val="left" w:pos="1572"/>
        </w:tabs>
        <w:spacing w:before="0" w:after="0" w:line="501" w:lineRule="auto"/>
        <w:ind w:left="681" w:right="892" w:firstLine="420"/>
        <w:jc w:val="left"/>
        <w:rPr>
          <w:color w:val="auto"/>
          <w:sz w:val="21"/>
        </w:rPr>
      </w:pPr>
      <w:r>
        <w:rPr>
          <w:color w:val="auto"/>
          <w:w w:val="95"/>
          <w:sz w:val="21"/>
        </w:rPr>
        <w:t>本次招标要求申请人为</w:t>
      </w:r>
      <w:r>
        <w:rPr>
          <w:rFonts w:hint="eastAsia"/>
          <w:color w:val="auto"/>
          <w:w w:val="95"/>
          <w:sz w:val="21"/>
        </w:rPr>
        <w:t>注册在玉环市境内</w:t>
      </w:r>
      <w:r>
        <w:rPr>
          <w:color w:val="auto"/>
          <w:w w:val="95"/>
          <w:sz w:val="21"/>
        </w:rPr>
        <w:t>营业执照经营范围内包含“清扫保洁”等相关环卫工作业务的独立企业法人</w:t>
      </w:r>
      <w:r>
        <w:rPr>
          <w:rFonts w:hint="eastAsia"/>
          <w:color w:val="auto"/>
          <w:w w:val="95"/>
          <w:sz w:val="21"/>
          <w:lang w:eastAsia="zh-CN"/>
        </w:rPr>
        <w:t>，且承担过单个合同金额</w:t>
      </w:r>
      <w:r>
        <w:rPr>
          <w:rFonts w:hint="eastAsia"/>
          <w:color w:val="auto"/>
          <w:w w:val="95"/>
          <w:sz w:val="21"/>
          <w:lang w:val="en-US" w:eastAsia="zh-CN"/>
        </w:rPr>
        <w:t>15</w:t>
      </w:r>
      <w:r>
        <w:rPr>
          <w:rFonts w:hint="eastAsia"/>
          <w:color w:val="auto"/>
          <w:w w:val="95"/>
          <w:sz w:val="21"/>
          <w:lang w:eastAsia="zh-CN"/>
        </w:rPr>
        <w:t>万以上类似项目业绩</w:t>
      </w:r>
      <w:r>
        <w:rPr>
          <w:color w:val="auto"/>
          <w:w w:val="95"/>
          <w:sz w:val="21"/>
        </w:rPr>
        <w:t>。</w:t>
      </w:r>
    </w:p>
    <w:p>
      <w:pPr>
        <w:pStyle w:val="17"/>
        <w:numPr>
          <w:ilvl w:val="1"/>
          <w:numId w:val="2"/>
        </w:numPr>
        <w:tabs>
          <w:tab w:val="left" w:pos="1571"/>
          <w:tab w:val="left" w:pos="1572"/>
        </w:tabs>
        <w:spacing w:before="0" w:after="0" w:line="499" w:lineRule="auto"/>
        <w:ind w:left="681" w:right="895" w:firstLine="420"/>
        <w:jc w:val="left"/>
        <w:rPr>
          <w:color w:val="auto"/>
          <w:sz w:val="21"/>
        </w:rPr>
      </w:pPr>
      <w:r>
        <w:rPr>
          <w:color w:val="auto"/>
          <w:w w:val="95"/>
          <w:sz w:val="21"/>
        </w:rPr>
        <w:t>投标人（包括法定代表人和项目负责人）无行贿犯罪记录（由投标文件提交截止之</w:t>
      </w:r>
      <w:r>
        <w:rPr>
          <w:color w:val="auto"/>
          <w:spacing w:val="-14"/>
          <w:sz w:val="21"/>
        </w:rPr>
        <w:t xml:space="preserve">日上溯 </w:t>
      </w:r>
      <w:r>
        <w:rPr>
          <w:rFonts w:ascii="Times New Roman" w:eastAsia="Times New Roman"/>
          <w:color w:val="auto"/>
          <w:sz w:val="21"/>
        </w:rPr>
        <w:t>3</w:t>
      </w:r>
      <w:r>
        <w:rPr>
          <w:rFonts w:ascii="Times New Roman" w:eastAsia="Times New Roman"/>
          <w:color w:val="auto"/>
          <w:spacing w:val="1"/>
          <w:sz w:val="21"/>
        </w:rPr>
        <w:t xml:space="preserve"> </w:t>
      </w:r>
      <w:r>
        <w:rPr>
          <w:color w:val="auto"/>
          <w:sz w:val="21"/>
        </w:rPr>
        <w:t>年）。</w:t>
      </w:r>
    </w:p>
    <w:p>
      <w:pPr>
        <w:pStyle w:val="17"/>
        <w:numPr>
          <w:ilvl w:val="1"/>
          <w:numId w:val="2"/>
        </w:numPr>
        <w:tabs>
          <w:tab w:val="left" w:pos="1571"/>
          <w:tab w:val="left" w:pos="1572"/>
        </w:tabs>
        <w:spacing w:before="0" w:after="0" w:line="240" w:lineRule="auto"/>
        <w:ind w:left="1572" w:right="0" w:hanging="471"/>
        <w:jc w:val="left"/>
        <w:rPr>
          <w:color w:val="auto"/>
          <w:sz w:val="21"/>
        </w:rPr>
      </w:pPr>
      <w:r>
        <w:rPr>
          <w:color w:val="auto"/>
          <w:sz w:val="21"/>
        </w:rPr>
        <w:t>本次招标不接受联合体投标。</w:t>
      </w:r>
    </w:p>
    <w:p>
      <w:pPr>
        <w:pStyle w:val="6"/>
        <w:spacing w:before="6"/>
        <w:rPr>
          <w:color w:val="auto"/>
          <w:sz w:val="22"/>
        </w:rPr>
      </w:pPr>
    </w:p>
    <w:p>
      <w:pPr>
        <w:pStyle w:val="6"/>
        <w:spacing w:line="499" w:lineRule="auto"/>
        <w:ind w:left="681" w:right="840" w:firstLine="420"/>
        <w:rPr>
          <w:color w:val="auto"/>
          <w:spacing w:val="-7"/>
        </w:rPr>
      </w:pPr>
      <w:r>
        <w:rPr>
          <w:color w:val="auto"/>
          <w:spacing w:val="-7"/>
          <w:w w:val="95"/>
        </w:rPr>
        <w:t>本次招标实行资格后审，资格审查的具体要求见招标文件。资格后审不合格的投标人投标</w:t>
      </w:r>
      <w:r>
        <w:rPr>
          <w:color w:val="auto"/>
          <w:spacing w:val="-7"/>
        </w:rPr>
        <w:t>文件将按</w:t>
      </w:r>
      <w:r>
        <w:rPr>
          <w:rFonts w:hint="eastAsia"/>
          <w:color w:val="auto"/>
          <w:spacing w:val="-7"/>
          <w:lang w:eastAsia="zh-CN"/>
        </w:rPr>
        <w:t>无效</w:t>
      </w:r>
      <w:r>
        <w:rPr>
          <w:color w:val="auto"/>
          <w:spacing w:val="-7"/>
        </w:rPr>
        <w:t>标处理。</w:t>
      </w:r>
    </w:p>
    <w:p>
      <w:pPr>
        <w:pStyle w:val="6"/>
        <w:spacing w:line="499" w:lineRule="auto"/>
        <w:ind w:left="681" w:right="840" w:firstLine="420"/>
        <w:rPr>
          <w:color w:val="auto"/>
          <w:spacing w:val="-7"/>
        </w:rPr>
      </w:pPr>
    </w:p>
    <w:p>
      <w:pPr>
        <w:pStyle w:val="6"/>
        <w:spacing w:line="499" w:lineRule="auto"/>
        <w:ind w:left="681" w:right="840" w:firstLine="420"/>
        <w:rPr>
          <w:color w:val="auto"/>
          <w:spacing w:val="-7"/>
        </w:rPr>
      </w:pPr>
    </w:p>
    <w:p>
      <w:pPr>
        <w:pStyle w:val="4"/>
        <w:numPr>
          <w:ilvl w:val="0"/>
          <w:numId w:val="2"/>
        </w:numPr>
        <w:tabs>
          <w:tab w:val="left" w:pos="841"/>
        </w:tabs>
        <w:spacing w:before="122" w:after="0" w:line="240" w:lineRule="auto"/>
        <w:ind w:left="840" w:right="0" w:hanging="159"/>
        <w:jc w:val="left"/>
        <w:rPr>
          <w:rFonts w:hint="eastAsia" w:ascii="宋体" w:eastAsia="宋体"/>
          <w:color w:val="auto"/>
        </w:rPr>
      </w:pPr>
      <w:bookmarkStart w:id="11" w:name="4.招标文件的获取"/>
      <w:bookmarkEnd w:id="11"/>
      <w:bookmarkStart w:id="12" w:name="_bookmark4"/>
      <w:bookmarkEnd w:id="12"/>
      <w:bookmarkStart w:id="13" w:name="_bookmark4"/>
      <w:bookmarkEnd w:id="13"/>
      <w:r>
        <w:rPr>
          <w:rFonts w:hint="eastAsia" w:ascii="宋体" w:eastAsia="宋体"/>
          <w:color w:val="auto"/>
        </w:rPr>
        <w:t>招标文件的获取</w:t>
      </w:r>
    </w:p>
    <w:p>
      <w:pPr>
        <w:pStyle w:val="6"/>
        <w:spacing w:before="5"/>
        <w:rPr>
          <w:b/>
          <w:color w:val="auto"/>
          <w:sz w:val="18"/>
        </w:rPr>
      </w:pPr>
    </w:p>
    <w:p>
      <w:pPr>
        <w:pStyle w:val="17"/>
        <w:numPr>
          <w:ilvl w:val="1"/>
          <w:numId w:val="2"/>
        </w:numPr>
        <w:tabs>
          <w:tab w:val="left" w:pos="1571"/>
          <w:tab w:val="left" w:pos="1572"/>
        </w:tabs>
        <w:spacing w:before="77" w:after="0" w:line="501" w:lineRule="auto"/>
        <w:ind w:left="681" w:right="741" w:firstLine="420"/>
        <w:jc w:val="left"/>
        <w:rPr>
          <w:color w:val="auto"/>
          <w:sz w:val="21"/>
        </w:rPr>
      </w:pPr>
      <w:r>
        <w:rPr>
          <w:color w:val="auto"/>
          <w:sz w:val="21"/>
        </w:rPr>
        <w:t>凡有意参加投标申请人，请在玉环市公共资源交易中心（</w:t>
      </w:r>
      <w:r>
        <w:rPr>
          <w:rFonts w:ascii="Times New Roman" w:hAnsi="Times New Roman" w:eastAsia="Times New Roman"/>
          <w:color w:val="auto"/>
          <w:sz w:val="21"/>
        </w:rPr>
        <w:t>http</w:t>
      </w:r>
      <w:r>
        <w:rPr>
          <w:color w:val="auto"/>
          <w:sz w:val="21"/>
        </w:rPr>
        <w:t>：</w:t>
      </w:r>
      <w:r>
        <w:rPr>
          <w:rFonts w:ascii="Times New Roman" w:hAnsi="Times New Roman" w:eastAsia="Times New Roman"/>
          <w:color w:val="auto"/>
          <w:sz w:val="21"/>
        </w:rPr>
        <w:t>//</w:t>
      </w:r>
      <w:r>
        <w:rPr>
          <w:color w:val="auto"/>
        </w:rPr>
        <w:fldChar w:fldCharType="begin"/>
      </w:r>
      <w:r>
        <w:rPr>
          <w:color w:val="auto"/>
        </w:rPr>
        <w:instrText xml:space="preserve"> HYPERLINK "http://www/" \h </w:instrText>
      </w:r>
      <w:r>
        <w:rPr>
          <w:color w:val="auto"/>
        </w:rPr>
        <w:fldChar w:fldCharType="separate"/>
      </w:r>
      <w:r>
        <w:rPr>
          <w:rFonts w:ascii="Times New Roman" w:hAnsi="Times New Roman" w:eastAsia="Times New Roman"/>
          <w:color w:val="auto"/>
          <w:sz w:val="21"/>
        </w:rPr>
        <w:t>www.</w:t>
      </w:r>
      <w:r>
        <w:rPr>
          <w:rFonts w:ascii="Times New Roman" w:hAnsi="Times New Roman" w:eastAsia="Times New Roman"/>
          <w:color w:val="auto"/>
          <w:spacing w:val="-15"/>
          <w:sz w:val="21"/>
        </w:rPr>
        <w:t xml:space="preserve"> </w:t>
      </w:r>
      <w:r>
        <w:rPr>
          <w:rFonts w:ascii="Times New Roman" w:hAnsi="Times New Roman" w:eastAsia="Times New Roman"/>
          <w:color w:val="auto"/>
          <w:spacing w:val="-15"/>
          <w:sz w:val="21"/>
        </w:rPr>
        <w:fldChar w:fldCharType="end"/>
      </w:r>
      <w:r>
        <w:rPr>
          <w:rFonts w:ascii="Times New Roman" w:hAnsi="Times New Roman" w:eastAsia="Times New Roman"/>
          <w:color w:val="auto"/>
          <w:sz w:val="21"/>
        </w:rPr>
        <w:t>yhjyzx.com.</w:t>
      </w:r>
      <w:r>
        <w:rPr>
          <w:color w:val="auto"/>
          <w:sz w:val="21"/>
        </w:rPr>
        <w:t>） 网站的“</w:t>
      </w:r>
      <w:r>
        <w:rPr>
          <w:rFonts w:hint="eastAsia"/>
          <w:color w:val="auto"/>
          <w:sz w:val="21"/>
          <w:lang w:eastAsia="zh-CN"/>
        </w:rPr>
        <w:t>乡镇平台交易信息</w:t>
      </w:r>
      <w:r>
        <w:rPr>
          <w:color w:val="auto"/>
          <w:sz w:val="21"/>
        </w:rPr>
        <w:t>”公告附件处下载招标文件等。</w:t>
      </w:r>
    </w:p>
    <w:p>
      <w:pPr>
        <w:pStyle w:val="17"/>
        <w:numPr>
          <w:ilvl w:val="1"/>
          <w:numId w:val="2"/>
        </w:numPr>
        <w:tabs>
          <w:tab w:val="left" w:pos="1571"/>
          <w:tab w:val="left" w:pos="1572"/>
        </w:tabs>
        <w:spacing w:before="0" w:after="0" w:line="265" w:lineRule="exact"/>
        <w:ind w:left="1572" w:right="0" w:hanging="471"/>
        <w:jc w:val="left"/>
        <w:rPr>
          <w:color w:val="auto"/>
          <w:sz w:val="21"/>
        </w:rPr>
      </w:pPr>
      <w:r>
        <w:rPr>
          <w:color w:val="auto"/>
          <w:sz w:val="21"/>
        </w:rPr>
        <w:t>招标人不统一组织现场踏勘和召开投标预备会，投标人视需要自行前往现场进行踏</w:t>
      </w:r>
    </w:p>
    <w:p>
      <w:pPr>
        <w:pStyle w:val="6"/>
        <w:spacing w:before="8"/>
        <w:rPr>
          <w:color w:val="auto"/>
          <w:sz w:val="22"/>
        </w:rPr>
      </w:pPr>
    </w:p>
    <w:p>
      <w:pPr>
        <w:pStyle w:val="6"/>
        <w:ind w:left="681"/>
        <w:rPr>
          <w:color w:val="auto"/>
        </w:rPr>
      </w:pPr>
      <w:r>
        <w:rPr>
          <w:color w:val="auto"/>
        </w:rPr>
        <w:t>勘。</w:t>
      </w:r>
    </w:p>
    <w:p>
      <w:pPr>
        <w:pStyle w:val="6"/>
        <w:rPr>
          <w:color w:val="auto"/>
          <w:sz w:val="20"/>
        </w:rPr>
      </w:pPr>
    </w:p>
    <w:p>
      <w:pPr>
        <w:pStyle w:val="4"/>
        <w:numPr>
          <w:ilvl w:val="0"/>
          <w:numId w:val="2"/>
        </w:numPr>
        <w:tabs>
          <w:tab w:val="left" w:pos="841"/>
        </w:tabs>
        <w:spacing w:before="156" w:after="0" w:line="240" w:lineRule="auto"/>
        <w:ind w:left="840" w:right="0" w:hanging="159"/>
        <w:jc w:val="left"/>
        <w:rPr>
          <w:rFonts w:hint="eastAsia" w:ascii="宋体" w:eastAsia="宋体"/>
          <w:color w:val="auto"/>
        </w:rPr>
      </w:pPr>
      <w:bookmarkStart w:id="14" w:name="5.投标文件的递交"/>
      <w:bookmarkEnd w:id="14"/>
      <w:bookmarkStart w:id="15" w:name="_bookmark5"/>
      <w:bookmarkEnd w:id="15"/>
      <w:bookmarkStart w:id="16" w:name="_bookmark5"/>
      <w:bookmarkEnd w:id="16"/>
      <w:r>
        <w:rPr>
          <w:rFonts w:hint="eastAsia" w:ascii="宋体" w:eastAsia="宋体"/>
          <w:color w:val="auto"/>
        </w:rPr>
        <w:t>投标文件的递交</w:t>
      </w:r>
    </w:p>
    <w:p>
      <w:pPr>
        <w:pStyle w:val="6"/>
        <w:rPr>
          <w:b/>
          <w:color w:val="auto"/>
          <w:sz w:val="32"/>
        </w:rPr>
      </w:pPr>
    </w:p>
    <w:p>
      <w:pPr>
        <w:pStyle w:val="17"/>
        <w:numPr>
          <w:ilvl w:val="1"/>
          <w:numId w:val="2"/>
        </w:numPr>
        <w:tabs>
          <w:tab w:val="left" w:pos="1571"/>
          <w:tab w:val="left" w:pos="1572"/>
        </w:tabs>
        <w:spacing w:before="0" w:after="0" w:line="499" w:lineRule="auto"/>
        <w:ind w:left="681" w:right="842" w:firstLine="420"/>
        <w:jc w:val="left"/>
        <w:rPr>
          <w:color w:val="auto"/>
          <w:sz w:val="21"/>
        </w:rPr>
      </w:pPr>
      <w:r>
        <w:rPr>
          <w:color w:val="auto"/>
          <w:sz w:val="21"/>
        </w:rPr>
        <w:t>投标文件递交的截止时间（投标截止时间）</w:t>
      </w:r>
      <w:r>
        <w:rPr>
          <w:color w:val="auto"/>
          <w:spacing w:val="-26"/>
          <w:sz w:val="21"/>
        </w:rPr>
        <w:t xml:space="preserve">为 </w:t>
      </w:r>
      <w:r>
        <w:rPr>
          <w:rFonts w:ascii="Times New Roman" w:eastAsia="Times New Roman"/>
          <w:color w:val="auto"/>
          <w:sz w:val="21"/>
        </w:rPr>
        <w:t>2018</w:t>
      </w:r>
      <w:r>
        <w:rPr>
          <w:rFonts w:ascii="Times New Roman" w:eastAsia="Times New Roman"/>
          <w:color w:val="auto"/>
          <w:spacing w:val="-3"/>
          <w:sz w:val="21"/>
        </w:rPr>
        <w:t xml:space="preserve"> </w:t>
      </w:r>
      <w:r>
        <w:rPr>
          <w:color w:val="auto"/>
          <w:spacing w:val="-26"/>
          <w:sz w:val="21"/>
        </w:rPr>
        <w:t xml:space="preserve">年 </w:t>
      </w:r>
      <w:r>
        <w:rPr>
          <w:rFonts w:hint="eastAsia" w:ascii="Times New Roman"/>
          <w:color w:val="auto"/>
          <w:sz w:val="21"/>
          <w:lang w:val="en-US" w:eastAsia="zh-CN"/>
        </w:rPr>
        <w:t>8</w:t>
      </w:r>
      <w:r>
        <w:rPr>
          <w:rFonts w:ascii="Times New Roman" w:eastAsia="Times New Roman"/>
          <w:color w:val="auto"/>
          <w:sz w:val="21"/>
        </w:rPr>
        <w:t xml:space="preserve"> 月</w:t>
      </w:r>
      <w:r>
        <w:rPr>
          <w:rFonts w:hint="eastAsia" w:ascii="Times New Roman" w:eastAsia="Times New Roman"/>
          <w:color w:val="auto"/>
          <w:sz w:val="21"/>
          <w:lang w:val="en-US" w:eastAsia="zh-CN"/>
        </w:rPr>
        <w:t>21日</w:t>
      </w:r>
      <w:r>
        <w:rPr>
          <w:rFonts w:hint="eastAsia" w:ascii="Times New Roman"/>
          <w:color w:val="auto"/>
          <w:sz w:val="21"/>
          <w:lang w:val="en-US" w:eastAsia="zh-CN"/>
        </w:rPr>
        <w:t xml:space="preserve"> </w:t>
      </w:r>
      <w:r>
        <w:rPr>
          <w:rFonts w:hint="eastAsia" w:ascii="Times New Roman"/>
          <w:color w:val="auto"/>
          <w:sz w:val="21"/>
          <w:lang w:val="en-US" w:eastAsia="zh-CN"/>
        </w:rPr>
        <w:t>15时</w:t>
      </w:r>
      <w:r>
        <w:rPr>
          <w:color w:val="auto"/>
          <w:spacing w:val="-28"/>
          <w:sz w:val="21"/>
        </w:rPr>
        <w:t xml:space="preserve"> </w:t>
      </w:r>
      <w:r>
        <w:rPr>
          <w:rFonts w:hint="eastAsia" w:ascii="Times New Roman"/>
          <w:color w:val="auto"/>
          <w:sz w:val="21"/>
          <w:lang w:val="en-US" w:eastAsia="zh-CN"/>
        </w:rPr>
        <w:t>0</w:t>
      </w:r>
      <w:r>
        <w:rPr>
          <w:rFonts w:ascii="Times New Roman" w:eastAsia="Times New Roman"/>
          <w:color w:val="auto"/>
          <w:sz w:val="21"/>
        </w:rPr>
        <w:t>0</w:t>
      </w:r>
      <w:r>
        <w:rPr>
          <w:rFonts w:ascii="Times New Roman" w:eastAsia="Times New Roman"/>
          <w:color w:val="auto"/>
          <w:spacing w:val="-3"/>
          <w:sz w:val="21"/>
        </w:rPr>
        <w:t xml:space="preserve"> </w:t>
      </w:r>
      <w:r>
        <w:rPr>
          <w:color w:val="auto"/>
          <w:sz w:val="21"/>
        </w:rPr>
        <w:t>分，递交地点为</w:t>
      </w:r>
      <w:r>
        <w:rPr>
          <w:rFonts w:hint="eastAsia"/>
          <w:color w:val="auto"/>
          <w:sz w:val="21"/>
          <w:lang w:eastAsia="zh-CN"/>
        </w:rPr>
        <w:t>玉环经济开发区办公大楼B108室</w:t>
      </w:r>
      <w:r>
        <w:rPr>
          <w:color w:val="auto"/>
          <w:sz w:val="21"/>
        </w:rPr>
        <w:t>。</w:t>
      </w:r>
    </w:p>
    <w:p>
      <w:pPr>
        <w:pStyle w:val="17"/>
        <w:numPr>
          <w:ilvl w:val="1"/>
          <w:numId w:val="2"/>
        </w:numPr>
        <w:tabs>
          <w:tab w:val="left" w:pos="1571"/>
          <w:tab w:val="left" w:pos="1572"/>
        </w:tabs>
        <w:spacing w:before="2" w:after="0" w:line="240" w:lineRule="auto"/>
        <w:ind w:left="1572" w:right="0" w:hanging="471"/>
        <w:jc w:val="left"/>
        <w:rPr>
          <w:color w:val="auto"/>
          <w:sz w:val="21"/>
        </w:rPr>
      </w:pPr>
      <w:r>
        <w:rPr>
          <w:color w:val="auto"/>
          <w:sz w:val="21"/>
        </w:rPr>
        <w:t>逾期送达的或者未送达指定地点的投标文件，招标人不予受理。</w:t>
      </w:r>
    </w:p>
    <w:p>
      <w:pPr>
        <w:pStyle w:val="6"/>
        <w:rPr>
          <w:color w:val="auto"/>
          <w:sz w:val="32"/>
        </w:rPr>
      </w:pPr>
    </w:p>
    <w:p>
      <w:pPr>
        <w:pStyle w:val="4"/>
        <w:numPr>
          <w:ilvl w:val="0"/>
          <w:numId w:val="2"/>
        </w:numPr>
        <w:tabs>
          <w:tab w:val="left" w:pos="841"/>
        </w:tabs>
        <w:spacing w:before="0" w:after="0" w:line="240" w:lineRule="auto"/>
        <w:ind w:left="840" w:right="0" w:hanging="159"/>
        <w:jc w:val="left"/>
        <w:rPr>
          <w:rFonts w:hint="eastAsia" w:ascii="宋体" w:eastAsia="宋体"/>
          <w:color w:val="auto"/>
        </w:rPr>
      </w:pPr>
      <w:bookmarkStart w:id="17" w:name="_bookmark6"/>
      <w:bookmarkEnd w:id="17"/>
      <w:bookmarkStart w:id="18" w:name="_bookmark6"/>
      <w:bookmarkEnd w:id="18"/>
      <w:bookmarkStart w:id="19" w:name="6.发布公告媒介"/>
      <w:bookmarkEnd w:id="19"/>
      <w:r>
        <w:rPr>
          <w:rFonts w:hint="eastAsia" w:ascii="宋体" w:eastAsia="宋体"/>
          <w:color w:val="auto"/>
        </w:rPr>
        <w:t>发布公告媒介</w:t>
      </w:r>
    </w:p>
    <w:p>
      <w:pPr>
        <w:pStyle w:val="6"/>
        <w:rPr>
          <w:b/>
          <w:color w:val="auto"/>
          <w:sz w:val="32"/>
        </w:rPr>
      </w:pPr>
    </w:p>
    <w:p>
      <w:pPr>
        <w:pStyle w:val="6"/>
        <w:ind w:left="1101"/>
        <w:rPr>
          <w:color w:val="auto"/>
        </w:rPr>
      </w:pPr>
      <w:r>
        <w:rPr>
          <w:color w:val="auto"/>
        </w:rPr>
        <w:t>本次招标公告在玉环市公共资源交易中心网站部门平台发布。</w:t>
      </w:r>
    </w:p>
    <w:p>
      <w:pPr>
        <w:pStyle w:val="6"/>
        <w:rPr>
          <w:color w:val="auto"/>
          <w:sz w:val="20"/>
        </w:rPr>
      </w:pPr>
    </w:p>
    <w:p>
      <w:pPr>
        <w:pStyle w:val="4"/>
        <w:numPr>
          <w:ilvl w:val="0"/>
          <w:numId w:val="2"/>
        </w:numPr>
        <w:tabs>
          <w:tab w:val="left" w:pos="841"/>
        </w:tabs>
        <w:spacing w:before="156" w:after="0" w:line="240" w:lineRule="auto"/>
        <w:ind w:left="840" w:right="0" w:hanging="159"/>
        <w:jc w:val="left"/>
        <w:rPr>
          <w:rFonts w:hint="eastAsia" w:ascii="宋体" w:eastAsia="宋体"/>
          <w:color w:val="auto"/>
        </w:rPr>
      </w:pPr>
      <w:bookmarkStart w:id="20" w:name="_bookmark7"/>
      <w:bookmarkEnd w:id="20"/>
      <w:bookmarkStart w:id="21" w:name="_bookmark7"/>
      <w:bookmarkEnd w:id="21"/>
      <w:bookmarkStart w:id="22" w:name="7.联系方式"/>
      <w:bookmarkEnd w:id="22"/>
      <w:r>
        <w:rPr>
          <w:rFonts w:hint="eastAsia" w:ascii="宋体" w:eastAsia="宋体"/>
          <w:color w:val="auto"/>
        </w:rPr>
        <w:t>联系方式</w:t>
      </w:r>
    </w:p>
    <w:p>
      <w:pPr>
        <w:pStyle w:val="6"/>
        <w:spacing w:before="4"/>
        <w:rPr>
          <w:b/>
          <w:color w:val="auto"/>
          <w:sz w:val="25"/>
        </w:rPr>
      </w:pPr>
    </w:p>
    <w:p>
      <w:pPr>
        <w:pStyle w:val="6"/>
        <w:tabs>
          <w:tab w:val="left" w:pos="5428"/>
        </w:tabs>
        <w:ind w:left="806"/>
        <w:rPr>
          <w:rFonts w:hint="eastAsia" w:eastAsia="宋体"/>
          <w:color w:val="auto"/>
          <w:lang w:eastAsia="zh-CN"/>
        </w:rPr>
      </w:pPr>
      <w:r>
        <w:rPr>
          <w:color w:val="auto"/>
        </w:rPr>
        <w:t>招</w:t>
      </w:r>
      <w:r>
        <w:rPr>
          <w:color w:val="auto"/>
          <w:spacing w:val="-3"/>
        </w:rPr>
        <w:t xml:space="preserve"> </w:t>
      </w:r>
      <w:r>
        <w:rPr>
          <w:color w:val="auto"/>
        </w:rPr>
        <w:t>标</w:t>
      </w:r>
      <w:r>
        <w:rPr>
          <w:color w:val="auto"/>
          <w:spacing w:val="-3"/>
        </w:rPr>
        <w:t xml:space="preserve"> </w:t>
      </w:r>
      <w:r>
        <w:rPr>
          <w:color w:val="auto"/>
        </w:rPr>
        <w:t>人：</w:t>
      </w:r>
      <w:r>
        <w:rPr>
          <w:rFonts w:hint="eastAsia"/>
          <w:color w:val="auto"/>
          <w:lang w:eastAsia="zh-CN"/>
        </w:rPr>
        <w:t>浙江玉环经济开发区管理委员会</w:t>
      </w:r>
      <w:r>
        <w:rPr>
          <w:color w:val="auto"/>
        </w:rPr>
        <w:tab/>
      </w:r>
      <w:r>
        <w:rPr>
          <w:color w:val="auto"/>
        </w:rPr>
        <w:t>招标代理机构：</w:t>
      </w:r>
      <w:r>
        <w:rPr>
          <w:rFonts w:hint="eastAsia"/>
          <w:color w:val="auto"/>
          <w:lang w:eastAsia="zh-CN"/>
        </w:rPr>
        <w:t>建经投资咨询有限公司</w:t>
      </w:r>
    </w:p>
    <w:p>
      <w:pPr>
        <w:pStyle w:val="6"/>
        <w:spacing w:before="2"/>
        <w:rPr>
          <w:color w:val="auto"/>
          <w:sz w:val="23"/>
        </w:rPr>
      </w:pPr>
    </w:p>
    <w:p>
      <w:pPr>
        <w:pStyle w:val="6"/>
        <w:tabs>
          <w:tab w:val="left" w:pos="5431"/>
        </w:tabs>
        <w:ind w:left="806"/>
        <w:rPr>
          <w:rFonts w:hint="eastAsia" w:eastAsia="宋体"/>
          <w:color w:val="auto"/>
          <w:lang w:eastAsia="zh-CN"/>
        </w:rPr>
      </w:pPr>
      <w:r>
        <w:rPr>
          <w:color w:val="auto"/>
        </w:rPr>
        <w:t>联</w:t>
      </w:r>
      <w:r>
        <w:rPr>
          <w:color w:val="auto"/>
          <w:spacing w:val="-2"/>
        </w:rPr>
        <w:t xml:space="preserve"> </w:t>
      </w:r>
      <w:r>
        <w:rPr>
          <w:color w:val="auto"/>
        </w:rPr>
        <w:t>系</w:t>
      </w:r>
      <w:r>
        <w:rPr>
          <w:color w:val="auto"/>
          <w:spacing w:val="-2"/>
        </w:rPr>
        <w:t xml:space="preserve"> </w:t>
      </w:r>
      <w:r>
        <w:rPr>
          <w:color w:val="auto"/>
        </w:rPr>
        <w:t>人：</w:t>
      </w:r>
      <w:r>
        <w:rPr>
          <w:rFonts w:hint="eastAsia"/>
          <w:color w:val="auto"/>
          <w:lang w:eastAsia="zh-CN"/>
        </w:rPr>
        <w:t>董先生</w:t>
      </w:r>
      <w:r>
        <w:rPr>
          <w:color w:val="auto"/>
        </w:rPr>
        <w:tab/>
      </w:r>
      <w:r>
        <w:rPr>
          <w:color w:val="auto"/>
        </w:rPr>
        <w:t>联</w:t>
      </w:r>
      <w:r>
        <w:rPr>
          <w:color w:val="auto"/>
          <w:spacing w:val="2"/>
        </w:rPr>
        <w:t xml:space="preserve"> </w:t>
      </w:r>
      <w:r>
        <w:rPr>
          <w:color w:val="auto"/>
        </w:rPr>
        <w:t>系 人：</w:t>
      </w:r>
      <w:r>
        <w:rPr>
          <w:rFonts w:hint="eastAsia"/>
          <w:color w:val="auto"/>
          <w:lang w:eastAsia="zh-CN"/>
        </w:rPr>
        <w:t>王先生</w:t>
      </w:r>
    </w:p>
    <w:p>
      <w:pPr>
        <w:pStyle w:val="6"/>
        <w:spacing w:before="3"/>
        <w:rPr>
          <w:color w:val="auto"/>
          <w:sz w:val="23"/>
        </w:rPr>
      </w:pPr>
    </w:p>
    <w:p>
      <w:pPr>
        <w:pStyle w:val="6"/>
        <w:tabs>
          <w:tab w:val="left" w:pos="1435"/>
          <w:tab w:val="left" w:pos="5431"/>
          <w:tab w:val="left" w:pos="6062"/>
        </w:tabs>
        <w:ind w:left="806"/>
        <w:rPr>
          <w:rFonts w:hint="eastAsia" w:ascii="Times New Roman" w:eastAsia="宋体"/>
          <w:color w:val="auto"/>
          <w:lang w:val="en-US" w:eastAsia="zh-CN"/>
        </w:rPr>
      </w:pPr>
      <w:r>
        <w:rPr>
          <w:color w:val="auto"/>
        </w:rPr>
        <w:t>电</w:t>
      </w:r>
      <w:r>
        <w:rPr>
          <w:color w:val="auto"/>
        </w:rPr>
        <w:tab/>
      </w:r>
      <w:r>
        <w:rPr>
          <w:color w:val="auto"/>
        </w:rPr>
        <w:t>话：</w:t>
      </w:r>
      <w:r>
        <w:rPr>
          <w:rFonts w:hint="eastAsia" w:ascii="Times New Roman"/>
          <w:color w:val="auto"/>
          <w:lang w:val="en-US" w:eastAsia="zh-CN"/>
        </w:rPr>
        <w:t>13819618678</w:t>
      </w:r>
      <w:r>
        <w:rPr>
          <w:rFonts w:ascii="Times New Roman" w:eastAsia="Times New Roman"/>
          <w:color w:val="auto"/>
        </w:rPr>
        <w:tab/>
      </w:r>
      <w:r>
        <w:rPr>
          <w:color w:val="auto"/>
        </w:rPr>
        <w:t>电</w:t>
      </w:r>
      <w:r>
        <w:rPr>
          <w:color w:val="auto"/>
        </w:rPr>
        <w:tab/>
      </w:r>
      <w:r>
        <w:rPr>
          <w:color w:val="auto"/>
        </w:rPr>
        <w:t>话：</w:t>
      </w:r>
      <w:r>
        <w:rPr>
          <w:rFonts w:hint="eastAsia" w:ascii="Times New Roman"/>
          <w:color w:val="auto"/>
          <w:lang w:val="en-US" w:eastAsia="zh-CN"/>
        </w:rPr>
        <w:t>18257670313</w:t>
      </w:r>
    </w:p>
    <w:p>
      <w:pPr>
        <w:spacing w:after="0"/>
        <w:rPr>
          <w:rFonts w:ascii="Times New Roman" w:eastAsia="Times New Roman"/>
          <w:color w:val="auto"/>
        </w:rPr>
        <w:sectPr>
          <w:pgSz w:w="11910" w:h="16840"/>
          <w:pgMar w:top="1360" w:right="860" w:bottom="1060" w:left="1020" w:header="873" w:footer="863" w:gutter="0"/>
        </w:sectPr>
      </w:pPr>
    </w:p>
    <w:p>
      <w:pPr>
        <w:pStyle w:val="2"/>
        <w:spacing w:before="44"/>
        <w:ind w:left="3247"/>
        <w:rPr>
          <w:color w:val="auto"/>
        </w:rPr>
      </w:pPr>
      <w:bookmarkStart w:id="23" w:name="第二章 投标须知前附表"/>
      <w:bookmarkEnd w:id="23"/>
      <w:bookmarkStart w:id="24" w:name="_bookmark8"/>
      <w:bookmarkEnd w:id="24"/>
      <w:r>
        <w:rPr>
          <w:color w:val="auto"/>
        </w:rPr>
        <w:t>第二章 投标须知前附表</w:t>
      </w:r>
    </w:p>
    <w:p>
      <w:pPr>
        <w:pStyle w:val="6"/>
        <w:spacing w:before="8"/>
        <w:rPr>
          <w:rFonts w:ascii="黑体"/>
          <w:b/>
          <w:color w:val="auto"/>
          <w:sz w:val="26"/>
        </w:rPr>
      </w:pPr>
    </w:p>
    <w:tbl>
      <w:tblPr>
        <w:tblStyle w:val="15"/>
        <w:tblW w:w="9280" w:type="dxa"/>
        <w:tblInd w:w="3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2"/>
        <w:gridCol w:w="861"/>
        <w:gridCol w:w="1958"/>
        <w:gridCol w:w="5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5" w:hRule="atLeast"/>
        </w:trPr>
        <w:tc>
          <w:tcPr>
            <w:tcW w:w="682" w:type="dxa"/>
          </w:tcPr>
          <w:p>
            <w:pPr>
              <w:pStyle w:val="18"/>
              <w:spacing w:before="2"/>
              <w:rPr>
                <w:rFonts w:ascii="黑体"/>
                <w:b/>
                <w:color w:val="auto"/>
                <w:sz w:val="23"/>
              </w:rPr>
            </w:pPr>
          </w:p>
          <w:p>
            <w:pPr>
              <w:pStyle w:val="18"/>
              <w:ind w:left="108" w:right="101"/>
              <w:jc w:val="center"/>
              <w:rPr>
                <w:b/>
                <w:color w:val="auto"/>
                <w:sz w:val="21"/>
              </w:rPr>
            </w:pPr>
            <w:r>
              <w:rPr>
                <w:b/>
                <w:color w:val="auto"/>
                <w:sz w:val="21"/>
              </w:rPr>
              <w:t>序号</w:t>
            </w:r>
          </w:p>
        </w:tc>
        <w:tc>
          <w:tcPr>
            <w:tcW w:w="861" w:type="dxa"/>
          </w:tcPr>
          <w:p>
            <w:pPr>
              <w:pStyle w:val="18"/>
              <w:spacing w:before="2"/>
              <w:rPr>
                <w:rFonts w:ascii="黑体"/>
                <w:b/>
                <w:color w:val="auto"/>
                <w:sz w:val="23"/>
              </w:rPr>
            </w:pPr>
          </w:p>
          <w:p>
            <w:pPr>
              <w:pStyle w:val="18"/>
              <w:ind w:left="93" w:right="84"/>
              <w:jc w:val="center"/>
              <w:rPr>
                <w:b/>
                <w:color w:val="auto"/>
                <w:sz w:val="21"/>
              </w:rPr>
            </w:pPr>
            <w:r>
              <w:rPr>
                <w:b/>
                <w:color w:val="auto"/>
                <w:sz w:val="21"/>
              </w:rPr>
              <w:t>条款号</w:t>
            </w:r>
          </w:p>
        </w:tc>
        <w:tc>
          <w:tcPr>
            <w:tcW w:w="1958" w:type="dxa"/>
          </w:tcPr>
          <w:p>
            <w:pPr>
              <w:pStyle w:val="18"/>
              <w:spacing w:before="2"/>
              <w:rPr>
                <w:rFonts w:ascii="黑体"/>
                <w:b/>
                <w:color w:val="auto"/>
                <w:sz w:val="23"/>
              </w:rPr>
            </w:pPr>
          </w:p>
          <w:p>
            <w:pPr>
              <w:pStyle w:val="18"/>
              <w:tabs>
                <w:tab w:val="left" w:pos="426"/>
              </w:tabs>
              <w:ind w:left="6"/>
              <w:jc w:val="center"/>
              <w:rPr>
                <w:b/>
                <w:color w:val="auto"/>
                <w:sz w:val="21"/>
              </w:rPr>
            </w:pPr>
            <w:r>
              <w:rPr>
                <w:b/>
                <w:color w:val="auto"/>
                <w:sz w:val="21"/>
              </w:rPr>
              <w:t>内</w:t>
            </w:r>
            <w:r>
              <w:rPr>
                <w:b/>
                <w:color w:val="auto"/>
                <w:sz w:val="21"/>
              </w:rPr>
              <w:tab/>
            </w:r>
            <w:r>
              <w:rPr>
                <w:b/>
                <w:color w:val="auto"/>
                <w:sz w:val="21"/>
              </w:rPr>
              <w:t>容</w:t>
            </w:r>
          </w:p>
        </w:tc>
        <w:tc>
          <w:tcPr>
            <w:tcW w:w="5779" w:type="dxa"/>
          </w:tcPr>
          <w:p>
            <w:pPr>
              <w:pStyle w:val="18"/>
              <w:spacing w:before="2"/>
              <w:rPr>
                <w:rFonts w:ascii="黑体"/>
                <w:b/>
                <w:color w:val="auto"/>
                <w:sz w:val="23"/>
              </w:rPr>
            </w:pPr>
          </w:p>
          <w:p>
            <w:pPr>
              <w:pStyle w:val="18"/>
              <w:tabs>
                <w:tab w:val="left" w:pos="2258"/>
                <w:tab w:val="left" w:pos="2784"/>
                <w:tab w:val="left" w:pos="3310"/>
                <w:tab w:val="left" w:pos="3835"/>
              </w:tabs>
              <w:ind w:left="1733"/>
              <w:rPr>
                <w:b/>
                <w:color w:val="auto"/>
                <w:sz w:val="21"/>
              </w:rPr>
            </w:pPr>
            <w:r>
              <w:rPr>
                <w:b/>
                <w:color w:val="auto"/>
                <w:sz w:val="21"/>
              </w:rPr>
              <w:t>说</w:t>
            </w:r>
            <w:r>
              <w:rPr>
                <w:b/>
                <w:color w:val="auto"/>
                <w:sz w:val="21"/>
              </w:rPr>
              <w:tab/>
            </w:r>
            <w:r>
              <w:rPr>
                <w:b/>
                <w:color w:val="auto"/>
                <w:sz w:val="21"/>
              </w:rPr>
              <w:t>明</w:t>
            </w:r>
            <w:r>
              <w:rPr>
                <w:b/>
                <w:color w:val="auto"/>
                <w:sz w:val="21"/>
              </w:rPr>
              <w:tab/>
            </w:r>
            <w:r>
              <w:rPr>
                <w:b/>
                <w:color w:val="auto"/>
                <w:sz w:val="21"/>
              </w:rPr>
              <w:t>与</w:t>
            </w:r>
            <w:r>
              <w:rPr>
                <w:b/>
                <w:color w:val="auto"/>
                <w:sz w:val="21"/>
              </w:rPr>
              <w:tab/>
            </w:r>
            <w:r>
              <w:rPr>
                <w:b/>
                <w:color w:val="auto"/>
                <w:sz w:val="21"/>
              </w:rPr>
              <w:t>要</w:t>
            </w:r>
            <w:r>
              <w:rPr>
                <w:b/>
                <w:color w:val="auto"/>
                <w:sz w:val="21"/>
              </w:rPr>
              <w:tab/>
            </w:r>
            <w:r>
              <w:rPr>
                <w:b/>
                <w:color w:val="auto"/>
                <w:sz w:val="21"/>
              </w:rPr>
              <w:t>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6"/>
              <w:ind w:left="8"/>
              <w:jc w:val="center"/>
              <w:rPr>
                <w:rFonts w:ascii="Times New Roman"/>
                <w:color w:val="auto"/>
                <w:sz w:val="21"/>
              </w:rPr>
            </w:pPr>
            <w:r>
              <w:rPr>
                <w:rFonts w:ascii="Times New Roman"/>
                <w:color w:val="auto"/>
                <w:w w:val="99"/>
                <w:sz w:val="21"/>
              </w:rPr>
              <w:t>1</w:t>
            </w:r>
          </w:p>
        </w:tc>
        <w:tc>
          <w:tcPr>
            <w:tcW w:w="861" w:type="dxa"/>
          </w:tcPr>
          <w:p>
            <w:pPr>
              <w:pStyle w:val="18"/>
              <w:spacing w:before="156"/>
              <w:ind w:left="93" w:right="82"/>
              <w:jc w:val="center"/>
              <w:rPr>
                <w:rFonts w:ascii="Times New Roman"/>
                <w:color w:val="auto"/>
                <w:sz w:val="21"/>
              </w:rPr>
            </w:pPr>
            <w:r>
              <w:rPr>
                <w:rFonts w:ascii="Times New Roman"/>
                <w:color w:val="auto"/>
                <w:sz w:val="21"/>
              </w:rPr>
              <w:t>1.1</w:t>
            </w:r>
          </w:p>
        </w:tc>
        <w:tc>
          <w:tcPr>
            <w:tcW w:w="1958" w:type="dxa"/>
          </w:tcPr>
          <w:p>
            <w:pPr>
              <w:pStyle w:val="18"/>
              <w:spacing w:before="142"/>
              <w:ind w:left="8"/>
              <w:jc w:val="center"/>
              <w:rPr>
                <w:color w:val="auto"/>
                <w:sz w:val="21"/>
              </w:rPr>
            </w:pPr>
            <w:r>
              <w:rPr>
                <w:color w:val="auto"/>
                <w:sz w:val="21"/>
              </w:rPr>
              <w:t>工程名称</w:t>
            </w:r>
          </w:p>
        </w:tc>
        <w:tc>
          <w:tcPr>
            <w:tcW w:w="5779" w:type="dxa"/>
          </w:tcPr>
          <w:p>
            <w:pPr>
              <w:pStyle w:val="18"/>
              <w:spacing w:before="142"/>
              <w:ind w:left="108"/>
              <w:rPr>
                <w:rFonts w:hint="eastAsia" w:eastAsia="宋体"/>
                <w:color w:val="auto"/>
                <w:sz w:val="21"/>
                <w:lang w:eastAsia="zh-CN"/>
              </w:rPr>
            </w:pPr>
            <w:r>
              <w:rPr>
                <w:rFonts w:hint="eastAsia" w:ascii="Times New Roman"/>
                <w:color w:val="auto"/>
                <w:sz w:val="21"/>
                <w:lang w:eastAsia="zh-CN"/>
              </w:rPr>
              <w:t>玉环海洋经济转型示范区道路清扫保洁、河道保洁及沿道路垃圾收集清运项目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8"/>
              <w:ind w:left="8"/>
              <w:jc w:val="center"/>
              <w:rPr>
                <w:rFonts w:ascii="Times New Roman"/>
                <w:color w:val="auto"/>
                <w:sz w:val="21"/>
              </w:rPr>
            </w:pPr>
            <w:r>
              <w:rPr>
                <w:rFonts w:ascii="Times New Roman"/>
                <w:color w:val="auto"/>
                <w:w w:val="99"/>
                <w:sz w:val="21"/>
              </w:rPr>
              <w:t>2</w:t>
            </w:r>
          </w:p>
        </w:tc>
        <w:tc>
          <w:tcPr>
            <w:tcW w:w="861" w:type="dxa"/>
          </w:tcPr>
          <w:p>
            <w:pPr>
              <w:pStyle w:val="18"/>
              <w:spacing w:before="158"/>
              <w:ind w:left="93" w:right="82"/>
              <w:jc w:val="center"/>
              <w:rPr>
                <w:rFonts w:ascii="Times New Roman"/>
                <w:color w:val="auto"/>
                <w:sz w:val="21"/>
              </w:rPr>
            </w:pPr>
            <w:r>
              <w:rPr>
                <w:rFonts w:ascii="Times New Roman"/>
                <w:color w:val="auto"/>
                <w:sz w:val="21"/>
              </w:rPr>
              <w:t>1.1</w:t>
            </w:r>
          </w:p>
        </w:tc>
        <w:tc>
          <w:tcPr>
            <w:tcW w:w="1958" w:type="dxa"/>
          </w:tcPr>
          <w:p>
            <w:pPr>
              <w:pStyle w:val="18"/>
              <w:spacing w:before="144"/>
              <w:ind w:left="8"/>
              <w:jc w:val="center"/>
              <w:rPr>
                <w:color w:val="auto"/>
                <w:sz w:val="21"/>
              </w:rPr>
            </w:pPr>
            <w:r>
              <w:rPr>
                <w:color w:val="auto"/>
                <w:sz w:val="21"/>
              </w:rPr>
              <w:t>建设地点</w:t>
            </w:r>
          </w:p>
        </w:tc>
        <w:tc>
          <w:tcPr>
            <w:tcW w:w="5779" w:type="dxa"/>
          </w:tcPr>
          <w:p>
            <w:pPr>
              <w:pStyle w:val="18"/>
              <w:spacing w:before="144"/>
              <w:ind w:left="108"/>
              <w:rPr>
                <w:color w:val="auto"/>
                <w:sz w:val="21"/>
              </w:rPr>
            </w:pPr>
            <w:r>
              <w:rPr>
                <w:rFonts w:hint="eastAsia"/>
                <w:color w:val="auto"/>
                <w:sz w:val="21"/>
              </w:rPr>
              <w:t>玉环海洋经济转型示范区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33" w:hRule="atLeast"/>
        </w:trPr>
        <w:tc>
          <w:tcPr>
            <w:tcW w:w="682" w:type="dxa"/>
          </w:tcPr>
          <w:p>
            <w:pPr>
              <w:pStyle w:val="18"/>
              <w:rPr>
                <w:rFonts w:ascii="黑体"/>
                <w:b/>
                <w:color w:val="auto"/>
                <w:sz w:val="22"/>
              </w:rPr>
            </w:pPr>
          </w:p>
          <w:p>
            <w:pPr>
              <w:pStyle w:val="18"/>
              <w:spacing w:before="163"/>
              <w:ind w:left="8"/>
              <w:jc w:val="center"/>
              <w:rPr>
                <w:rFonts w:ascii="Times New Roman"/>
                <w:color w:val="auto"/>
                <w:sz w:val="21"/>
              </w:rPr>
            </w:pPr>
            <w:r>
              <w:rPr>
                <w:rFonts w:ascii="Times New Roman"/>
                <w:color w:val="auto"/>
                <w:w w:val="99"/>
                <w:sz w:val="21"/>
              </w:rPr>
              <w:t>3</w:t>
            </w:r>
          </w:p>
        </w:tc>
        <w:tc>
          <w:tcPr>
            <w:tcW w:w="861" w:type="dxa"/>
          </w:tcPr>
          <w:p>
            <w:pPr>
              <w:pStyle w:val="18"/>
              <w:rPr>
                <w:rFonts w:ascii="黑体"/>
                <w:b/>
                <w:color w:val="auto"/>
                <w:sz w:val="22"/>
              </w:rPr>
            </w:pPr>
          </w:p>
          <w:p>
            <w:pPr>
              <w:pStyle w:val="18"/>
              <w:spacing w:before="163"/>
              <w:ind w:left="93" w:right="82"/>
              <w:jc w:val="center"/>
              <w:rPr>
                <w:rFonts w:ascii="Times New Roman"/>
                <w:color w:val="auto"/>
                <w:sz w:val="21"/>
              </w:rPr>
            </w:pPr>
            <w:r>
              <w:rPr>
                <w:rFonts w:ascii="Times New Roman"/>
                <w:color w:val="auto"/>
                <w:sz w:val="21"/>
              </w:rPr>
              <w:t>1.1</w:t>
            </w:r>
          </w:p>
        </w:tc>
        <w:tc>
          <w:tcPr>
            <w:tcW w:w="1958" w:type="dxa"/>
          </w:tcPr>
          <w:p>
            <w:pPr>
              <w:pStyle w:val="18"/>
              <w:rPr>
                <w:rFonts w:ascii="黑体"/>
                <w:b/>
                <w:color w:val="auto"/>
                <w:sz w:val="20"/>
              </w:rPr>
            </w:pPr>
          </w:p>
          <w:p>
            <w:pPr>
              <w:pStyle w:val="18"/>
              <w:spacing w:before="175"/>
              <w:ind w:left="8"/>
              <w:jc w:val="center"/>
              <w:rPr>
                <w:color w:val="auto"/>
                <w:sz w:val="21"/>
              </w:rPr>
            </w:pPr>
            <w:r>
              <w:rPr>
                <w:color w:val="auto"/>
                <w:sz w:val="21"/>
              </w:rPr>
              <w:t>建设规模</w:t>
            </w:r>
          </w:p>
        </w:tc>
        <w:tc>
          <w:tcPr>
            <w:tcW w:w="5779" w:type="dxa"/>
          </w:tcPr>
          <w:p>
            <w:pPr>
              <w:pStyle w:val="18"/>
              <w:spacing w:before="160" w:line="242" w:lineRule="auto"/>
              <w:ind w:left="108" w:right="-15"/>
              <w:rPr>
                <w:color w:val="auto"/>
                <w:sz w:val="21"/>
              </w:rPr>
            </w:pPr>
            <w:r>
              <w:rPr>
                <w:rFonts w:hint="eastAsia"/>
                <w:color w:val="auto"/>
                <w:sz w:val="21"/>
              </w:rPr>
              <w:t>本项目位于玉环海洋经济转型示范区，道路清扫保洁、河道保洁及沿道路垃圾收集清运项目总面积为373416m2（其中道路面积348666m2、河道面积24750m2)，另公厕保洁1座,项目服务期为12个月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8"/>
              <w:ind w:left="8"/>
              <w:jc w:val="center"/>
              <w:rPr>
                <w:rFonts w:ascii="Times New Roman"/>
                <w:color w:val="auto"/>
                <w:sz w:val="21"/>
              </w:rPr>
            </w:pPr>
            <w:r>
              <w:rPr>
                <w:rFonts w:ascii="Times New Roman"/>
                <w:color w:val="auto"/>
                <w:w w:val="99"/>
                <w:sz w:val="21"/>
              </w:rPr>
              <w:t>4</w:t>
            </w:r>
          </w:p>
        </w:tc>
        <w:tc>
          <w:tcPr>
            <w:tcW w:w="861" w:type="dxa"/>
          </w:tcPr>
          <w:p>
            <w:pPr>
              <w:pStyle w:val="18"/>
              <w:spacing w:before="158"/>
              <w:ind w:left="93" w:right="82"/>
              <w:jc w:val="center"/>
              <w:rPr>
                <w:rFonts w:ascii="Times New Roman"/>
                <w:color w:val="auto"/>
                <w:sz w:val="21"/>
              </w:rPr>
            </w:pPr>
            <w:r>
              <w:rPr>
                <w:rFonts w:ascii="Times New Roman"/>
                <w:color w:val="auto"/>
                <w:sz w:val="21"/>
              </w:rPr>
              <w:t>1.1</w:t>
            </w:r>
          </w:p>
        </w:tc>
        <w:tc>
          <w:tcPr>
            <w:tcW w:w="1958" w:type="dxa"/>
          </w:tcPr>
          <w:p>
            <w:pPr>
              <w:pStyle w:val="18"/>
              <w:spacing w:before="144"/>
              <w:ind w:left="8"/>
              <w:jc w:val="center"/>
              <w:rPr>
                <w:color w:val="auto"/>
                <w:sz w:val="21"/>
              </w:rPr>
            </w:pPr>
            <w:r>
              <w:rPr>
                <w:color w:val="auto"/>
                <w:sz w:val="21"/>
              </w:rPr>
              <w:t>招标控制价</w:t>
            </w:r>
          </w:p>
        </w:tc>
        <w:tc>
          <w:tcPr>
            <w:tcW w:w="5779" w:type="dxa"/>
          </w:tcPr>
          <w:p>
            <w:pPr>
              <w:pStyle w:val="18"/>
              <w:spacing w:before="144"/>
              <w:ind w:left="108"/>
              <w:rPr>
                <w:color w:val="auto"/>
                <w:sz w:val="21"/>
              </w:rPr>
            </w:pPr>
            <w:r>
              <w:rPr>
                <w:color w:val="auto"/>
                <w:sz w:val="21"/>
              </w:rPr>
              <w:t>人民币</w:t>
            </w:r>
            <w:r>
              <w:rPr>
                <w:rFonts w:hint="eastAsia"/>
                <w:color w:val="auto"/>
                <w:sz w:val="21"/>
                <w:lang w:val="en-US" w:eastAsia="zh-CN"/>
              </w:rPr>
              <w:t>861348</w:t>
            </w:r>
            <w:r>
              <w:rPr>
                <w:color w:val="auto"/>
                <w:sz w:val="21"/>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682" w:type="dxa"/>
          </w:tcPr>
          <w:p>
            <w:pPr>
              <w:pStyle w:val="18"/>
              <w:spacing w:before="157"/>
              <w:ind w:left="8"/>
              <w:jc w:val="center"/>
              <w:rPr>
                <w:rFonts w:ascii="Times New Roman"/>
                <w:color w:val="auto"/>
                <w:sz w:val="21"/>
              </w:rPr>
            </w:pPr>
            <w:r>
              <w:rPr>
                <w:rFonts w:ascii="Times New Roman"/>
                <w:color w:val="auto"/>
                <w:w w:val="99"/>
                <w:sz w:val="21"/>
              </w:rPr>
              <w:t>5</w:t>
            </w:r>
          </w:p>
        </w:tc>
        <w:tc>
          <w:tcPr>
            <w:tcW w:w="861" w:type="dxa"/>
          </w:tcPr>
          <w:p>
            <w:pPr>
              <w:pStyle w:val="18"/>
              <w:spacing w:before="157"/>
              <w:ind w:left="93" w:right="82"/>
              <w:jc w:val="center"/>
              <w:rPr>
                <w:rFonts w:ascii="Times New Roman"/>
                <w:color w:val="auto"/>
                <w:sz w:val="21"/>
              </w:rPr>
            </w:pPr>
            <w:r>
              <w:rPr>
                <w:rFonts w:ascii="Times New Roman"/>
                <w:color w:val="auto"/>
                <w:sz w:val="21"/>
              </w:rPr>
              <w:t>1.1</w:t>
            </w:r>
          </w:p>
        </w:tc>
        <w:tc>
          <w:tcPr>
            <w:tcW w:w="1958" w:type="dxa"/>
          </w:tcPr>
          <w:p>
            <w:pPr>
              <w:pStyle w:val="18"/>
              <w:spacing w:before="143"/>
              <w:ind w:left="8"/>
              <w:jc w:val="center"/>
              <w:rPr>
                <w:color w:val="auto"/>
                <w:sz w:val="21"/>
              </w:rPr>
            </w:pPr>
            <w:r>
              <w:rPr>
                <w:color w:val="auto"/>
                <w:sz w:val="21"/>
              </w:rPr>
              <w:t>承包方式</w:t>
            </w:r>
          </w:p>
        </w:tc>
        <w:tc>
          <w:tcPr>
            <w:tcW w:w="5779" w:type="dxa"/>
          </w:tcPr>
          <w:p>
            <w:pPr>
              <w:pStyle w:val="18"/>
              <w:spacing w:before="143"/>
              <w:ind w:left="108"/>
              <w:rPr>
                <w:color w:val="auto"/>
                <w:sz w:val="21"/>
              </w:rPr>
            </w:pPr>
            <w:r>
              <w:rPr>
                <w:color w:val="auto"/>
                <w:sz w:val="21"/>
              </w:rPr>
              <w:t>包工包料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7"/>
              <w:ind w:left="8"/>
              <w:jc w:val="center"/>
              <w:rPr>
                <w:rFonts w:ascii="Times New Roman"/>
                <w:color w:val="auto"/>
                <w:sz w:val="21"/>
              </w:rPr>
            </w:pPr>
            <w:r>
              <w:rPr>
                <w:rFonts w:ascii="Times New Roman"/>
                <w:color w:val="auto"/>
                <w:w w:val="99"/>
                <w:sz w:val="21"/>
              </w:rPr>
              <w:t>6</w:t>
            </w:r>
          </w:p>
        </w:tc>
        <w:tc>
          <w:tcPr>
            <w:tcW w:w="861" w:type="dxa"/>
          </w:tcPr>
          <w:p>
            <w:pPr>
              <w:pStyle w:val="18"/>
              <w:spacing w:before="157"/>
              <w:ind w:left="93" w:right="82"/>
              <w:jc w:val="center"/>
              <w:rPr>
                <w:rFonts w:ascii="Times New Roman"/>
                <w:color w:val="auto"/>
                <w:sz w:val="21"/>
              </w:rPr>
            </w:pPr>
            <w:r>
              <w:rPr>
                <w:rFonts w:ascii="Times New Roman"/>
                <w:color w:val="auto"/>
                <w:sz w:val="21"/>
              </w:rPr>
              <w:t>1.1</w:t>
            </w:r>
          </w:p>
        </w:tc>
        <w:tc>
          <w:tcPr>
            <w:tcW w:w="1958" w:type="dxa"/>
          </w:tcPr>
          <w:p>
            <w:pPr>
              <w:pStyle w:val="18"/>
              <w:spacing w:before="143"/>
              <w:ind w:left="8"/>
              <w:jc w:val="center"/>
              <w:rPr>
                <w:color w:val="auto"/>
                <w:sz w:val="21"/>
              </w:rPr>
            </w:pPr>
            <w:r>
              <w:rPr>
                <w:color w:val="auto"/>
                <w:sz w:val="21"/>
              </w:rPr>
              <w:t>质量标准</w:t>
            </w:r>
          </w:p>
        </w:tc>
        <w:tc>
          <w:tcPr>
            <w:tcW w:w="5779" w:type="dxa"/>
          </w:tcPr>
          <w:p>
            <w:pPr>
              <w:pStyle w:val="18"/>
              <w:spacing w:before="143"/>
              <w:ind w:left="108"/>
              <w:rPr>
                <w:color w:val="auto"/>
                <w:sz w:val="21"/>
              </w:rPr>
            </w:pPr>
            <w:r>
              <w:rPr>
                <w:color w:val="auto"/>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6"/>
              <w:ind w:left="8"/>
              <w:jc w:val="center"/>
              <w:rPr>
                <w:rFonts w:ascii="Times New Roman"/>
                <w:color w:val="auto"/>
                <w:sz w:val="21"/>
              </w:rPr>
            </w:pPr>
            <w:r>
              <w:rPr>
                <w:rFonts w:ascii="Times New Roman"/>
                <w:color w:val="auto"/>
                <w:w w:val="99"/>
                <w:sz w:val="21"/>
              </w:rPr>
              <w:t>7</w:t>
            </w:r>
          </w:p>
        </w:tc>
        <w:tc>
          <w:tcPr>
            <w:tcW w:w="861" w:type="dxa"/>
          </w:tcPr>
          <w:p>
            <w:pPr>
              <w:pStyle w:val="18"/>
              <w:spacing w:before="156"/>
              <w:ind w:left="93" w:right="82"/>
              <w:jc w:val="center"/>
              <w:rPr>
                <w:rFonts w:ascii="Times New Roman"/>
                <w:color w:val="auto"/>
                <w:sz w:val="21"/>
              </w:rPr>
            </w:pPr>
            <w:r>
              <w:rPr>
                <w:rFonts w:ascii="Times New Roman"/>
                <w:color w:val="auto"/>
                <w:sz w:val="21"/>
              </w:rPr>
              <w:t>1.1</w:t>
            </w:r>
          </w:p>
        </w:tc>
        <w:tc>
          <w:tcPr>
            <w:tcW w:w="1958" w:type="dxa"/>
          </w:tcPr>
          <w:p>
            <w:pPr>
              <w:pStyle w:val="18"/>
              <w:spacing w:before="142"/>
              <w:ind w:left="8"/>
              <w:jc w:val="center"/>
              <w:rPr>
                <w:color w:val="auto"/>
                <w:sz w:val="21"/>
              </w:rPr>
            </w:pPr>
            <w:r>
              <w:rPr>
                <w:color w:val="auto"/>
                <w:sz w:val="21"/>
              </w:rPr>
              <w:t>服务期限</w:t>
            </w:r>
          </w:p>
        </w:tc>
        <w:tc>
          <w:tcPr>
            <w:tcW w:w="5779" w:type="dxa"/>
          </w:tcPr>
          <w:p>
            <w:pPr>
              <w:pStyle w:val="18"/>
              <w:spacing w:before="142"/>
              <w:ind w:left="108"/>
              <w:rPr>
                <w:rFonts w:hint="eastAsia" w:eastAsia="宋体"/>
                <w:color w:val="auto"/>
                <w:sz w:val="21"/>
                <w:lang w:eastAsia="zh-CN"/>
              </w:rPr>
            </w:pPr>
            <w:r>
              <w:rPr>
                <w:rFonts w:hint="eastAsia" w:ascii="Times New Roman" w:hAnsi="Times New Roman"/>
                <w:color w:val="auto"/>
                <w:sz w:val="21"/>
                <w:lang w:val="en-US" w:eastAsia="zh-CN"/>
              </w:rPr>
              <w:t>1年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682" w:type="dxa"/>
          </w:tcPr>
          <w:p>
            <w:pPr>
              <w:pStyle w:val="18"/>
              <w:spacing w:before="158"/>
              <w:ind w:left="8"/>
              <w:jc w:val="center"/>
              <w:rPr>
                <w:rFonts w:ascii="Times New Roman"/>
                <w:color w:val="auto"/>
                <w:sz w:val="21"/>
              </w:rPr>
            </w:pPr>
            <w:r>
              <w:rPr>
                <w:rFonts w:ascii="Times New Roman"/>
                <w:color w:val="auto"/>
                <w:w w:val="99"/>
                <w:sz w:val="21"/>
              </w:rPr>
              <w:t>8</w:t>
            </w:r>
          </w:p>
        </w:tc>
        <w:tc>
          <w:tcPr>
            <w:tcW w:w="861" w:type="dxa"/>
          </w:tcPr>
          <w:p>
            <w:pPr>
              <w:pStyle w:val="18"/>
              <w:spacing w:before="158"/>
              <w:ind w:left="93" w:right="82"/>
              <w:jc w:val="center"/>
              <w:rPr>
                <w:rFonts w:ascii="Times New Roman"/>
                <w:color w:val="auto"/>
                <w:sz w:val="21"/>
              </w:rPr>
            </w:pPr>
            <w:r>
              <w:rPr>
                <w:rFonts w:ascii="Times New Roman"/>
                <w:color w:val="auto"/>
                <w:sz w:val="21"/>
              </w:rPr>
              <w:t>2.1</w:t>
            </w:r>
          </w:p>
        </w:tc>
        <w:tc>
          <w:tcPr>
            <w:tcW w:w="1958" w:type="dxa"/>
          </w:tcPr>
          <w:p>
            <w:pPr>
              <w:pStyle w:val="18"/>
              <w:spacing w:before="144"/>
              <w:ind w:left="8"/>
              <w:jc w:val="center"/>
              <w:rPr>
                <w:color w:val="auto"/>
                <w:sz w:val="21"/>
              </w:rPr>
            </w:pPr>
            <w:r>
              <w:rPr>
                <w:color w:val="auto"/>
                <w:sz w:val="21"/>
              </w:rPr>
              <w:t>招标方式</w:t>
            </w:r>
          </w:p>
        </w:tc>
        <w:tc>
          <w:tcPr>
            <w:tcW w:w="5779" w:type="dxa"/>
          </w:tcPr>
          <w:p>
            <w:pPr>
              <w:pStyle w:val="18"/>
              <w:spacing w:before="144"/>
              <w:ind w:left="108"/>
              <w:rPr>
                <w:color w:val="auto"/>
                <w:sz w:val="21"/>
              </w:rPr>
            </w:pPr>
            <w:r>
              <w:rPr>
                <w:color w:val="auto"/>
                <w:sz w:val="21"/>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7"/>
              <w:ind w:left="8"/>
              <w:jc w:val="center"/>
              <w:rPr>
                <w:rFonts w:ascii="Times New Roman"/>
                <w:color w:val="auto"/>
                <w:sz w:val="21"/>
              </w:rPr>
            </w:pPr>
            <w:r>
              <w:rPr>
                <w:rFonts w:ascii="Times New Roman"/>
                <w:color w:val="auto"/>
                <w:w w:val="99"/>
                <w:sz w:val="21"/>
              </w:rPr>
              <w:t>9</w:t>
            </w:r>
          </w:p>
        </w:tc>
        <w:tc>
          <w:tcPr>
            <w:tcW w:w="861" w:type="dxa"/>
          </w:tcPr>
          <w:p>
            <w:pPr>
              <w:pStyle w:val="18"/>
              <w:spacing w:before="157"/>
              <w:ind w:left="93" w:right="82"/>
              <w:jc w:val="center"/>
              <w:rPr>
                <w:rFonts w:ascii="Times New Roman"/>
                <w:color w:val="auto"/>
                <w:sz w:val="21"/>
              </w:rPr>
            </w:pPr>
            <w:r>
              <w:rPr>
                <w:rFonts w:ascii="Times New Roman"/>
                <w:color w:val="auto"/>
                <w:sz w:val="21"/>
              </w:rPr>
              <w:t>2.2</w:t>
            </w:r>
          </w:p>
        </w:tc>
        <w:tc>
          <w:tcPr>
            <w:tcW w:w="1958" w:type="dxa"/>
          </w:tcPr>
          <w:p>
            <w:pPr>
              <w:pStyle w:val="18"/>
              <w:spacing w:before="143"/>
              <w:ind w:left="8"/>
              <w:jc w:val="center"/>
              <w:rPr>
                <w:color w:val="auto"/>
                <w:sz w:val="21"/>
              </w:rPr>
            </w:pPr>
            <w:r>
              <w:rPr>
                <w:color w:val="auto"/>
                <w:sz w:val="21"/>
              </w:rPr>
              <w:t>招标范围</w:t>
            </w:r>
          </w:p>
        </w:tc>
        <w:tc>
          <w:tcPr>
            <w:tcW w:w="5779" w:type="dxa"/>
          </w:tcPr>
          <w:p>
            <w:pPr>
              <w:pStyle w:val="18"/>
              <w:spacing w:before="143"/>
              <w:ind w:left="108"/>
              <w:rPr>
                <w:color w:val="auto"/>
                <w:sz w:val="21"/>
              </w:rPr>
            </w:pPr>
            <w:r>
              <w:rPr>
                <w:color w:val="auto"/>
                <w:sz w:val="21"/>
              </w:rPr>
              <w:t>招标人指定范围内的清扫保洁工作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1" w:hRule="atLeast"/>
        </w:trPr>
        <w:tc>
          <w:tcPr>
            <w:tcW w:w="682" w:type="dxa"/>
          </w:tcPr>
          <w:p>
            <w:pPr>
              <w:pStyle w:val="18"/>
              <w:spacing w:before="157"/>
              <w:ind w:left="108" w:right="100"/>
              <w:jc w:val="center"/>
              <w:rPr>
                <w:rFonts w:ascii="Times New Roman"/>
                <w:color w:val="auto"/>
                <w:sz w:val="21"/>
              </w:rPr>
            </w:pPr>
            <w:r>
              <w:rPr>
                <w:rFonts w:ascii="Times New Roman"/>
                <w:color w:val="auto"/>
                <w:sz w:val="21"/>
              </w:rPr>
              <w:t>10</w:t>
            </w:r>
          </w:p>
        </w:tc>
        <w:tc>
          <w:tcPr>
            <w:tcW w:w="861" w:type="dxa"/>
          </w:tcPr>
          <w:p>
            <w:pPr>
              <w:pStyle w:val="18"/>
              <w:spacing w:before="157"/>
              <w:ind w:left="93" w:right="82"/>
              <w:jc w:val="center"/>
              <w:rPr>
                <w:rFonts w:ascii="Times New Roman"/>
                <w:color w:val="auto"/>
                <w:sz w:val="21"/>
              </w:rPr>
            </w:pPr>
            <w:r>
              <w:rPr>
                <w:rFonts w:ascii="Times New Roman"/>
                <w:color w:val="auto"/>
                <w:sz w:val="21"/>
              </w:rPr>
              <w:t>3.1</w:t>
            </w:r>
          </w:p>
        </w:tc>
        <w:tc>
          <w:tcPr>
            <w:tcW w:w="1958" w:type="dxa"/>
          </w:tcPr>
          <w:p>
            <w:pPr>
              <w:pStyle w:val="18"/>
              <w:spacing w:before="143"/>
              <w:ind w:left="8"/>
              <w:jc w:val="center"/>
              <w:rPr>
                <w:color w:val="auto"/>
                <w:sz w:val="21"/>
              </w:rPr>
            </w:pPr>
            <w:r>
              <w:rPr>
                <w:color w:val="auto"/>
                <w:sz w:val="21"/>
              </w:rPr>
              <w:t>资金来源</w:t>
            </w:r>
          </w:p>
        </w:tc>
        <w:tc>
          <w:tcPr>
            <w:tcW w:w="5779" w:type="dxa"/>
          </w:tcPr>
          <w:p>
            <w:pPr>
              <w:pStyle w:val="18"/>
              <w:spacing w:before="143"/>
              <w:ind w:left="108"/>
              <w:rPr>
                <w:rFonts w:hint="eastAsia" w:eastAsia="宋体"/>
                <w:color w:val="auto"/>
                <w:sz w:val="21"/>
                <w:lang w:eastAsia="zh-CN"/>
              </w:rPr>
            </w:pPr>
            <w:r>
              <w:rPr>
                <w:rFonts w:hint="eastAsia"/>
                <w:color w:val="auto"/>
                <w:sz w:val="21"/>
                <w:lang w:eastAsia="zh-CN"/>
              </w:rPr>
              <w:t>自筹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6"/>
              <w:ind w:left="108" w:right="95"/>
              <w:jc w:val="center"/>
              <w:rPr>
                <w:rFonts w:ascii="Times New Roman"/>
                <w:color w:val="auto"/>
                <w:sz w:val="21"/>
              </w:rPr>
            </w:pPr>
            <w:r>
              <w:rPr>
                <w:rFonts w:ascii="Times New Roman"/>
                <w:color w:val="auto"/>
                <w:sz w:val="21"/>
              </w:rPr>
              <w:t>11</w:t>
            </w:r>
          </w:p>
        </w:tc>
        <w:tc>
          <w:tcPr>
            <w:tcW w:w="861" w:type="dxa"/>
          </w:tcPr>
          <w:p>
            <w:pPr>
              <w:pStyle w:val="18"/>
              <w:spacing w:before="156"/>
              <w:ind w:left="93" w:right="82"/>
              <w:jc w:val="center"/>
              <w:rPr>
                <w:rFonts w:ascii="Times New Roman"/>
                <w:color w:val="auto"/>
                <w:sz w:val="21"/>
              </w:rPr>
            </w:pPr>
            <w:r>
              <w:rPr>
                <w:rFonts w:ascii="Times New Roman"/>
                <w:color w:val="auto"/>
                <w:sz w:val="21"/>
              </w:rPr>
              <w:t>4.1</w:t>
            </w:r>
          </w:p>
        </w:tc>
        <w:tc>
          <w:tcPr>
            <w:tcW w:w="1958" w:type="dxa"/>
          </w:tcPr>
          <w:p>
            <w:pPr>
              <w:pStyle w:val="18"/>
              <w:spacing w:before="142"/>
              <w:ind w:left="8"/>
              <w:jc w:val="center"/>
              <w:rPr>
                <w:color w:val="auto"/>
                <w:sz w:val="21"/>
              </w:rPr>
            </w:pPr>
            <w:r>
              <w:rPr>
                <w:color w:val="auto"/>
                <w:sz w:val="21"/>
              </w:rPr>
              <w:t>投标人要求</w:t>
            </w:r>
          </w:p>
        </w:tc>
        <w:tc>
          <w:tcPr>
            <w:tcW w:w="5779" w:type="dxa"/>
          </w:tcPr>
          <w:p>
            <w:pPr>
              <w:pStyle w:val="18"/>
              <w:spacing w:before="142"/>
              <w:ind w:left="108"/>
              <w:rPr>
                <w:color w:val="auto"/>
                <w:sz w:val="21"/>
              </w:rPr>
            </w:pPr>
            <w:r>
              <w:rPr>
                <w:color w:val="auto"/>
                <w:sz w:val="21"/>
              </w:rPr>
              <w:t>详见招标公告及招标文件投标人资格条件要求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682" w:type="dxa"/>
          </w:tcPr>
          <w:p>
            <w:pPr>
              <w:pStyle w:val="18"/>
              <w:spacing w:before="158"/>
              <w:ind w:left="108" w:right="100"/>
              <w:jc w:val="center"/>
              <w:rPr>
                <w:rFonts w:ascii="Times New Roman"/>
                <w:color w:val="auto"/>
                <w:sz w:val="21"/>
              </w:rPr>
            </w:pPr>
            <w:r>
              <w:rPr>
                <w:rFonts w:ascii="Times New Roman"/>
                <w:color w:val="auto"/>
                <w:sz w:val="21"/>
              </w:rPr>
              <w:t>12</w:t>
            </w:r>
          </w:p>
        </w:tc>
        <w:tc>
          <w:tcPr>
            <w:tcW w:w="861" w:type="dxa"/>
          </w:tcPr>
          <w:p>
            <w:pPr>
              <w:pStyle w:val="18"/>
              <w:spacing w:before="158"/>
              <w:ind w:left="93" w:right="82"/>
              <w:jc w:val="center"/>
              <w:rPr>
                <w:rFonts w:ascii="Times New Roman"/>
                <w:color w:val="auto"/>
                <w:sz w:val="21"/>
              </w:rPr>
            </w:pPr>
            <w:r>
              <w:rPr>
                <w:rFonts w:ascii="Times New Roman"/>
                <w:color w:val="auto"/>
                <w:sz w:val="21"/>
              </w:rPr>
              <w:t>4.1</w:t>
            </w:r>
          </w:p>
        </w:tc>
        <w:tc>
          <w:tcPr>
            <w:tcW w:w="1958" w:type="dxa"/>
          </w:tcPr>
          <w:p>
            <w:pPr>
              <w:pStyle w:val="18"/>
              <w:spacing w:before="144"/>
              <w:ind w:left="6"/>
              <w:jc w:val="center"/>
              <w:rPr>
                <w:color w:val="auto"/>
                <w:sz w:val="21"/>
              </w:rPr>
            </w:pPr>
            <w:r>
              <w:rPr>
                <w:color w:val="auto"/>
                <w:sz w:val="21"/>
              </w:rPr>
              <w:t>项目负责人要求</w:t>
            </w:r>
          </w:p>
        </w:tc>
        <w:tc>
          <w:tcPr>
            <w:tcW w:w="5779" w:type="dxa"/>
          </w:tcPr>
          <w:p>
            <w:pPr>
              <w:pStyle w:val="18"/>
              <w:spacing w:before="144"/>
              <w:ind w:left="108"/>
              <w:rPr>
                <w:color w:val="auto"/>
                <w:sz w:val="21"/>
              </w:rPr>
            </w:pPr>
            <w:r>
              <w:rPr>
                <w:color w:val="auto"/>
                <w:sz w:val="21"/>
              </w:rPr>
              <w:t>不作要求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7"/>
              <w:ind w:left="108" w:right="100"/>
              <w:jc w:val="center"/>
              <w:rPr>
                <w:rFonts w:ascii="Times New Roman"/>
                <w:color w:val="auto"/>
                <w:sz w:val="21"/>
              </w:rPr>
            </w:pPr>
            <w:r>
              <w:rPr>
                <w:rFonts w:ascii="Times New Roman"/>
                <w:color w:val="auto"/>
                <w:sz w:val="21"/>
              </w:rPr>
              <w:t>13</w:t>
            </w:r>
          </w:p>
        </w:tc>
        <w:tc>
          <w:tcPr>
            <w:tcW w:w="861" w:type="dxa"/>
          </w:tcPr>
          <w:p>
            <w:pPr>
              <w:pStyle w:val="18"/>
              <w:spacing w:before="157"/>
              <w:ind w:left="93" w:right="82"/>
              <w:jc w:val="center"/>
              <w:rPr>
                <w:rFonts w:ascii="Times New Roman"/>
                <w:color w:val="auto"/>
                <w:sz w:val="21"/>
              </w:rPr>
            </w:pPr>
            <w:r>
              <w:rPr>
                <w:rFonts w:ascii="Times New Roman"/>
                <w:color w:val="auto"/>
                <w:sz w:val="21"/>
              </w:rPr>
              <w:t>4.2</w:t>
            </w:r>
          </w:p>
        </w:tc>
        <w:tc>
          <w:tcPr>
            <w:tcW w:w="1958" w:type="dxa"/>
          </w:tcPr>
          <w:p>
            <w:pPr>
              <w:pStyle w:val="18"/>
              <w:spacing w:before="143"/>
              <w:ind w:left="6"/>
              <w:jc w:val="center"/>
              <w:rPr>
                <w:color w:val="auto"/>
                <w:sz w:val="21"/>
              </w:rPr>
            </w:pPr>
            <w:r>
              <w:rPr>
                <w:color w:val="auto"/>
                <w:sz w:val="21"/>
              </w:rPr>
              <w:t>投标人确定方式</w:t>
            </w:r>
          </w:p>
        </w:tc>
        <w:tc>
          <w:tcPr>
            <w:tcW w:w="5779" w:type="dxa"/>
          </w:tcPr>
          <w:p>
            <w:pPr>
              <w:pStyle w:val="18"/>
              <w:spacing w:before="143"/>
              <w:ind w:left="108"/>
              <w:rPr>
                <w:color w:val="auto"/>
                <w:sz w:val="21"/>
              </w:rPr>
            </w:pPr>
            <w:r>
              <w:rPr>
                <w:color w:val="auto"/>
                <w:sz w:val="21"/>
              </w:rPr>
              <w:t>公开招标，资格后审（现场审查，不合格的按无效标处理）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26" w:hRule="atLeast"/>
        </w:trPr>
        <w:tc>
          <w:tcPr>
            <w:tcW w:w="682" w:type="dxa"/>
          </w:tcPr>
          <w:p>
            <w:pPr>
              <w:pStyle w:val="18"/>
              <w:rPr>
                <w:rFonts w:ascii="黑体"/>
                <w:b/>
                <w:color w:val="auto"/>
                <w:sz w:val="22"/>
              </w:rPr>
            </w:pPr>
          </w:p>
          <w:p>
            <w:pPr>
              <w:pStyle w:val="18"/>
              <w:rPr>
                <w:rFonts w:ascii="黑体"/>
                <w:b/>
                <w:color w:val="auto"/>
                <w:sz w:val="22"/>
              </w:rPr>
            </w:pPr>
          </w:p>
          <w:p>
            <w:pPr>
              <w:pStyle w:val="18"/>
              <w:spacing w:before="7"/>
              <w:rPr>
                <w:rFonts w:ascii="黑体"/>
                <w:b/>
                <w:color w:val="auto"/>
                <w:sz w:val="25"/>
              </w:rPr>
            </w:pPr>
          </w:p>
          <w:p>
            <w:pPr>
              <w:pStyle w:val="18"/>
              <w:ind w:left="108" w:right="100"/>
              <w:jc w:val="center"/>
              <w:rPr>
                <w:rFonts w:ascii="Times New Roman"/>
                <w:color w:val="auto"/>
                <w:sz w:val="21"/>
              </w:rPr>
            </w:pPr>
            <w:r>
              <w:rPr>
                <w:rFonts w:ascii="Times New Roman"/>
                <w:color w:val="auto"/>
                <w:sz w:val="21"/>
              </w:rPr>
              <w:t>14</w:t>
            </w:r>
          </w:p>
        </w:tc>
        <w:tc>
          <w:tcPr>
            <w:tcW w:w="861" w:type="dxa"/>
          </w:tcPr>
          <w:p>
            <w:pPr>
              <w:pStyle w:val="18"/>
              <w:rPr>
                <w:rFonts w:ascii="黑体"/>
                <w:b/>
                <w:color w:val="auto"/>
                <w:sz w:val="22"/>
              </w:rPr>
            </w:pPr>
          </w:p>
          <w:p>
            <w:pPr>
              <w:pStyle w:val="18"/>
              <w:rPr>
                <w:rFonts w:ascii="黑体"/>
                <w:b/>
                <w:color w:val="auto"/>
                <w:sz w:val="22"/>
              </w:rPr>
            </w:pPr>
          </w:p>
          <w:p>
            <w:pPr>
              <w:pStyle w:val="18"/>
              <w:spacing w:before="7"/>
              <w:rPr>
                <w:rFonts w:ascii="黑体"/>
                <w:b/>
                <w:color w:val="auto"/>
                <w:sz w:val="25"/>
              </w:rPr>
            </w:pPr>
          </w:p>
          <w:p>
            <w:pPr>
              <w:pStyle w:val="18"/>
              <w:ind w:left="93" w:right="82"/>
              <w:jc w:val="center"/>
              <w:rPr>
                <w:rFonts w:ascii="Times New Roman"/>
                <w:color w:val="auto"/>
                <w:sz w:val="21"/>
              </w:rPr>
            </w:pPr>
            <w:r>
              <w:rPr>
                <w:rFonts w:ascii="Times New Roman"/>
                <w:color w:val="auto"/>
                <w:sz w:val="21"/>
              </w:rPr>
              <w:t>13.1</w:t>
            </w:r>
          </w:p>
        </w:tc>
        <w:tc>
          <w:tcPr>
            <w:tcW w:w="1958" w:type="dxa"/>
          </w:tcPr>
          <w:p>
            <w:pPr>
              <w:pStyle w:val="18"/>
              <w:rPr>
                <w:rFonts w:ascii="黑体"/>
                <w:b/>
                <w:color w:val="auto"/>
                <w:sz w:val="20"/>
              </w:rPr>
            </w:pPr>
          </w:p>
          <w:p>
            <w:pPr>
              <w:pStyle w:val="18"/>
              <w:rPr>
                <w:rFonts w:ascii="黑体"/>
                <w:b/>
                <w:color w:val="auto"/>
                <w:sz w:val="20"/>
              </w:rPr>
            </w:pPr>
          </w:p>
          <w:p>
            <w:pPr>
              <w:pStyle w:val="18"/>
              <w:spacing w:before="6"/>
              <w:rPr>
                <w:rFonts w:ascii="黑体"/>
                <w:b/>
                <w:color w:val="auto"/>
                <w:sz w:val="28"/>
              </w:rPr>
            </w:pPr>
          </w:p>
          <w:p>
            <w:pPr>
              <w:pStyle w:val="18"/>
              <w:ind w:left="6"/>
              <w:jc w:val="center"/>
              <w:rPr>
                <w:color w:val="auto"/>
                <w:sz w:val="21"/>
              </w:rPr>
            </w:pPr>
            <w:r>
              <w:rPr>
                <w:color w:val="auto"/>
                <w:sz w:val="21"/>
              </w:rPr>
              <w:t>投标文件组成</w:t>
            </w:r>
          </w:p>
        </w:tc>
        <w:tc>
          <w:tcPr>
            <w:tcW w:w="5779" w:type="dxa"/>
          </w:tcPr>
          <w:p>
            <w:pPr>
              <w:pStyle w:val="18"/>
              <w:spacing w:before="3"/>
              <w:rPr>
                <w:rFonts w:ascii="黑体"/>
                <w:b/>
                <w:color w:val="auto"/>
                <w:sz w:val="15"/>
              </w:rPr>
            </w:pPr>
          </w:p>
          <w:p>
            <w:pPr>
              <w:pStyle w:val="18"/>
              <w:ind w:left="108"/>
              <w:rPr>
                <w:color w:val="auto"/>
                <w:sz w:val="21"/>
              </w:rPr>
            </w:pPr>
            <w:r>
              <w:rPr>
                <w:color w:val="auto"/>
                <w:sz w:val="21"/>
              </w:rPr>
              <w:t>投标文件由以下内容组成，包括：</w:t>
            </w:r>
          </w:p>
          <w:p>
            <w:pPr>
              <w:pStyle w:val="18"/>
              <w:numPr>
                <w:ilvl w:val="0"/>
                <w:numId w:val="3"/>
              </w:numPr>
              <w:tabs>
                <w:tab w:val="left" w:pos="633"/>
              </w:tabs>
              <w:spacing w:before="58" w:after="0" w:line="240" w:lineRule="auto"/>
              <w:ind w:left="632" w:right="0" w:hanging="524"/>
              <w:jc w:val="left"/>
              <w:rPr>
                <w:color w:val="auto"/>
                <w:sz w:val="21"/>
              </w:rPr>
            </w:pPr>
            <w:r>
              <w:rPr>
                <w:color w:val="auto"/>
                <w:sz w:val="21"/>
              </w:rPr>
              <w:t>投标函（附件一）；</w:t>
            </w:r>
          </w:p>
          <w:p>
            <w:pPr>
              <w:pStyle w:val="18"/>
              <w:numPr>
                <w:ilvl w:val="0"/>
                <w:numId w:val="3"/>
              </w:numPr>
              <w:tabs>
                <w:tab w:val="left" w:pos="633"/>
              </w:tabs>
              <w:spacing w:before="57" w:after="0" w:line="240" w:lineRule="auto"/>
              <w:ind w:left="632" w:right="0" w:hanging="524"/>
              <w:jc w:val="left"/>
              <w:rPr>
                <w:color w:val="auto"/>
                <w:sz w:val="21"/>
              </w:rPr>
            </w:pPr>
            <w:r>
              <w:rPr>
                <w:color w:val="auto"/>
                <w:sz w:val="21"/>
              </w:rPr>
              <w:t>台州市建设工程诚信投标承诺书（附件二）；</w:t>
            </w:r>
          </w:p>
          <w:p>
            <w:pPr>
              <w:pStyle w:val="18"/>
              <w:numPr>
                <w:ilvl w:val="0"/>
                <w:numId w:val="3"/>
              </w:numPr>
              <w:tabs>
                <w:tab w:val="left" w:pos="633"/>
              </w:tabs>
              <w:spacing w:before="57" w:after="0" w:line="240" w:lineRule="auto"/>
              <w:ind w:left="632" w:right="0" w:hanging="524"/>
              <w:jc w:val="left"/>
              <w:rPr>
                <w:color w:val="auto"/>
                <w:sz w:val="21"/>
              </w:rPr>
            </w:pPr>
            <w:r>
              <w:rPr>
                <w:color w:val="auto"/>
                <w:sz w:val="21"/>
              </w:rPr>
              <w:t>法定代表人授权委托书（附件三）；</w:t>
            </w:r>
          </w:p>
          <w:p>
            <w:pPr>
              <w:pStyle w:val="18"/>
              <w:numPr>
                <w:ilvl w:val="0"/>
                <w:numId w:val="3"/>
              </w:numPr>
              <w:tabs>
                <w:tab w:val="left" w:pos="633"/>
              </w:tabs>
              <w:spacing w:before="60" w:after="0" w:line="240" w:lineRule="auto"/>
              <w:ind w:left="632" w:right="0" w:hanging="524"/>
              <w:jc w:val="left"/>
              <w:rPr>
                <w:color w:val="auto"/>
                <w:sz w:val="21"/>
              </w:rPr>
            </w:pPr>
            <w:r>
              <w:rPr>
                <w:color w:val="auto"/>
                <w:sz w:val="21"/>
              </w:rPr>
              <w:t>相关证书复印件（附件四）。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6" w:hRule="atLeast"/>
        </w:trPr>
        <w:tc>
          <w:tcPr>
            <w:tcW w:w="682" w:type="dxa"/>
          </w:tcPr>
          <w:p>
            <w:pPr>
              <w:pStyle w:val="18"/>
              <w:rPr>
                <w:rFonts w:ascii="黑体"/>
                <w:b/>
                <w:color w:val="auto"/>
                <w:sz w:val="22"/>
              </w:rPr>
            </w:pPr>
          </w:p>
          <w:p>
            <w:pPr>
              <w:pStyle w:val="18"/>
              <w:spacing w:before="7"/>
              <w:rPr>
                <w:rFonts w:ascii="黑体"/>
                <w:b/>
                <w:color w:val="auto"/>
                <w:sz w:val="28"/>
              </w:rPr>
            </w:pPr>
          </w:p>
          <w:p>
            <w:pPr>
              <w:pStyle w:val="18"/>
              <w:ind w:left="108" w:right="100"/>
              <w:jc w:val="center"/>
              <w:rPr>
                <w:rFonts w:ascii="Times New Roman"/>
                <w:color w:val="auto"/>
                <w:sz w:val="21"/>
              </w:rPr>
            </w:pPr>
            <w:r>
              <w:rPr>
                <w:rFonts w:ascii="Times New Roman"/>
                <w:color w:val="auto"/>
                <w:sz w:val="21"/>
              </w:rPr>
              <w:t>15</w:t>
            </w:r>
          </w:p>
        </w:tc>
        <w:tc>
          <w:tcPr>
            <w:tcW w:w="861" w:type="dxa"/>
          </w:tcPr>
          <w:p>
            <w:pPr>
              <w:pStyle w:val="18"/>
              <w:rPr>
                <w:rFonts w:ascii="黑体"/>
                <w:b/>
                <w:color w:val="auto"/>
                <w:sz w:val="22"/>
              </w:rPr>
            </w:pPr>
          </w:p>
          <w:p>
            <w:pPr>
              <w:pStyle w:val="18"/>
              <w:spacing w:before="7"/>
              <w:rPr>
                <w:rFonts w:ascii="黑体"/>
                <w:b/>
                <w:color w:val="auto"/>
                <w:sz w:val="28"/>
              </w:rPr>
            </w:pPr>
          </w:p>
          <w:p>
            <w:pPr>
              <w:pStyle w:val="18"/>
              <w:ind w:left="93" w:right="82"/>
              <w:jc w:val="center"/>
              <w:rPr>
                <w:rFonts w:ascii="Times New Roman"/>
                <w:color w:val="auto"/>
                <w:sz w:val="21"/>
              </w:rPr>
            </w:pPr>
            <w:r>
              <w:rPr>
                <w:rFonts w:ascii="Times New Roman"/>
                <w:color w:val="auto"/>
                <w:sz w:val="21"/>
              </w:rPr>
              <w:t>14.1</w:t>
            </w:r>
          </w:p>
        </w:tc>
        <w:tc>
          <w:tcPr>
            <w:tcW w:w="1958" w:type="dxa"/>
          </w:tcPr>
          <w:p>
            <w:pPr>
              <w:pStyle w:val="18"/>
              <w:rPr>
                <w:rFonts w:ascii="黑体"/>
                <w:b/>
                <w:color w:val="auto"/>
                <w:sz w:val="20"/>
              </w:rPr>
            </w:pPr>
          </w:p>
          <w:p>
            <w:pPr>
              <w:pStyle w:val="18"/>
              <w:spacing w:before="6"/>
              <w:rPr>
                <w:rFonts w:ascii="黑体"/>
                <w:b/>
                <w:color w:val="auto"/>
                <w:sz w:val="29"/>
              </w:rPr>
            </w:pPr>
          </w:p>
          <w:p>
            <w:pPr>
              <w:pStyle w:val="18"/>
              <w:ind w:left="6"/>
              <w:jc w:val="center"/>
              <w:rPr>
                <w:color w:val="auto"/>
                <w:sz w:val="21"/>
              </w:rPr>
            </w:pPr>
            <w:r>
              <w:rPr>
                <w:color w:val="auto"/>
                <w:sz w:val="21"/>
              </w:rPr>
              <w:t>投标文件格式</w:t>
            </w:r>
          </w:p>
        </w:tc>
        <w:tc>
          <w:tcPr>
            <w:tcW w:w="5779" w:type="dxa"/>
          </w:tcPr>
          <w:p>
            <w:pPr>
              <w:pStyle w:val="18"/>
              <w:spacing w:before="115" w:line="290" w:lineRule="auto"/>
              <w:ind w:left="108" w:right="299"/>
              <w:rPr>
                <w:color w:val="auto"/>
                <w:sz w:val="21"/>
              </w:rPr>
            </w:pPr>
            <w:r>
              <w:rPr>
                <w:rFonts w:ascii="Times New Roman" w:eastAsia="Times New Roman"/>
                <w:color w:val="auto"/>
                <w:sz w:val="21"/>
              </w:rPr>
              <w:t>1</w:t>
            </w:r>
            <w:r>
              <w:rPr>
                <w:color w:val="auto"/>
                <w:sz w:val="21"/>
              </w:rPr>
              <w:t>、投标人应使用招标文件中提供的附件格式。表格如不够用时，可以按同样格式扩展。</w:t>
            </w:r>
          </w:p>
          <w:p>
            <w:pPr>
              <w:pStyle w:val="18"/>
              <w:spacing w:before="2" w:line="290" w:lineRule="auto"/>
              <w:ind w:left="108" w:right="296"/>
              <w:rPr>
                <w:color w:val="auto"/>
                <w:sz w:val="21"/>
              </w:rPr>
            </w:pPr>
            <w:r>
              <w:rPr>
                <w:rFonts w:ascii="Times New Roman" w:eastAsia="Times New Roman"/>
                <w:color w:val="auto"/>
                <w:sz w:val="21"/>
              </w:rPr>
              <w:t>2</w:t>
            </w:r>
            <w:r>
              <w:rPr>
                <w:color w:val="auto"/>
                <w:sz w:val="21"/>
              </w:rPr>
              <w:t xml:space="preserve">、投标人投标文件所用的纸张建议采用 </w:t>
            </w:r>
            <w:r>
              <w:rPr>
                <w:rFonts w:ascii="Times New Roman" w:eastAsia="Times New Roman"/>
                <w:color w:val="auto"/>
                <w:sz w:val="21"/>
              </w:rPr>
              <w:t xml:space="preserve">A4 </w:t>
            </w:r>
            <w:r>
              <w:rPr>
                <w:color w:val="auto"/>
                <w:sz w:val="21"/>
              </w:rPr>
              <w:t>型纸，图表可根据需要作适当扩展。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5" w:hRule="atLeast"/>
        </w:trPr>
        <w:tc>
          <w:tcPr>
            <w:tcW w:w="682" w:type="dxa"/>
          </w:tcPr>
          <w:p>
            <w:pPr>
              <w:pStyle w:val="18"/>
              <w:spacing w:before="157"/>
              <w:ind w:left="108" w:right="100"/>
              <w:jc w:val="center"/>
              <w:rPr>
                <w:rFonts w:ascii="Times New Roman"/>
                <w:color w:val="auto"/>
                <w:sz w:val="21"/>
              </w:rPr>
            </w:pPr>
            <w:r>
              <w:rPr>
                <w:rFonts w:ascii="Times New Roman"/>
                <w:color w:val="auto"/>
                <w:sz w:val="21"/>
              </w:rPr>
              <w:t>16</w:t>
            </w:r>
          </w:p>
        </w:tc>
        <w:tc>
          <w:tcPr>
            <w:tcW w:w="861" w:type="dxa"/>
          </w:tcPr>
          <w:p>
            <w:pPr>
              <w:pStyle w:val="18"/>
              <w:spacing w:before="157"/>
              <w:ind w:left="93" w:right="82"/>
              <w:jc w:val="center"/>
              <w:rPr>
                <w:rFonts w:ascii="Times New Roman"/>
                <w:color w:val="auto"/>
                <w:sz w:val="21"/>
              </w:rPr>
            </w:pPr>
            <w:r>
              <w:rPr>
                <w:rFonts w:ascii="Times New Roman"/>
                <w:color w:val="auto"/>
                <w:sz w:val="21"/>
              </w:rPr>
              <w:t>15.1</w:t>
            </w:r>
          </w:p>
        </w:tc>
        <w:tc>
          <w:tcPr>
            <w:tcW w:w="1958" w:type="dxa"/>
          </w:tcPr>
          <w:p>
            <w:pPr>
              <w:pStyle w:val="18"/>
              <w:spacing w:before="143"/>
              <w:ind w:left="8"/>
              <w:jc w:val="center"/>
              <w:rPr>
                <w:color w:val="auto"/>
                <w:sz w:val="21"/>
              </w:rPr>
            </w:pPr>
            <w:r>
              <w:rPr>
                <w:color w:val="auto"/>
                <w:sz w:val="21"/>
              </w:rPr>
              <w:t>报价方式</w:t>
            </w:r>
          </w:p>
        </w:tc>
        <w:tc>
          <w:tcPr>
            <w:tcW w:w="5779" w:type="dxa"/>
          </w:tcPr>
          <w:p>
            <w:pPr>
              <w:pStyle w:val="18"/>
              <w:spacing w:before="143"/>
              <w:ind w:left="108"/>
              <w:rPr>
                <w:color w:val="auto"/>
                <w:sz w:val="21"/>
              </w:rPr>
            </w:pPr>
            <w:r>
              <w:rPr>
                <w:color w:val="auto"/>
                <w:sz w:val="21"/>
              </w:rPr>
              <w:t>总价承包</w:t>
            </w:r>
          </w:p>
        </w:tc>
      </w:tr>
    </w:tbl>
    <w:p>
      <w:pPr>
        <w:spacing w:after="0"/>
        <w:rPr>
          <w:color w:val="auto"/>
          <w:sz w:val="21"/>
        </w:rPr>
        <w:sectPr>
          <w:pgSz w:w="11910" w:h="16840"/>
          <w:pgMar w:top="1360" w:right="860" w:bottom="1060" w:left="1020" w:header="873" w:footer="863" w:gutter="0"/>
        </w:sectPr>
      </w:pPr>
    </w:p>
    <w:p>
      <w:pPr>
        <w:pStyle w:val="6"/>
        <w:spacing w:before="6"/>
        <w:rPr>
          <w:rFonts w:ascii="Times New Roman"/>
          <w:color w:val="auto"/>
          <w:sz w:val="6"/>
        </w:rPr>
      </w:pPr>
    </w:p>
    <w:tbl>
      <w:tblPr>
        <w:tblStyle w:val="15"/>
        <w:tblW w:w="9280" w:type="dxa"/>
        <w:tblInd w:w="3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2"/>
        <w:gridCol w:w="861"/>
        <w:gridCol w:w="1958"/>
        <w:gridCol w:w="5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5" w:hRule="atLeast"/>
        </w:trPr>
        <w:tc>
          <w:tcPr>
            <w:tcW w:w="682" w:type="dxa"/>
          </w:tcPr>
          <w:p>
            <w:pPr>
              <w:pStyle w:val="18"/>
              <w:rPr>
                <w:rFonts w:ascii="Times New Roman"/>
                <w:color w:val="auto"/>
                <w:sz w:val="22"/>
              </w:rPr>
            </w:pPr>
          </w:p>
          <w:p>
            <w:pPr>
              <w:pStyle w:val="18"/>
              <w:spacing w:before="1"/>
              <w:rPr>
                <w:rFonts w:ascii="Times New Roman"/>
                <w:color w:val="auto"/>
                <w:sz w:val="25"/>
              </w:rPr>
            </w:pPr>
          </w:p>
          <w:p>
            <w:pPr>
              <w:pStyle w:val="18"/>
              <w:ind w:left="108" w:right="100"/>
              <w:jc w:val="center"/>
              <w:rPr>
                <w:rFonts w:ascii="Times New Roman"/>
                <w:color w:val="auto"/>
                <w:sz w:val="21"/>
              </w:rPr>
            </w:pPr>
            <w:r>
              <w:rPr>
                <w:rFonts w:ascii="Times New Roman"/>
                <w:color w:val="auto"/>
                <w:sz w:val="21"/>
              </w:rPr>
              <w:t>17</w:t>
            </w:r>
          </w:p>
        </w:tc>
        <w:tc>
          <w:tcPr>
            <w:tcW w:w="861" w:type="dxa"/>
          </w:tcPr>
          <w:p>
            <w:pPr>
              <w:pStyle w:val="18"/>
              <w:rPr>
                <w:rFonts w:ascii="Times New Roman"/>
                <w:color w:val="auto"/>
                <w:sz w:val="22"/>
              </w:rPr>
            </w:pPr>
          </w:p>
          <w:p>
            <w:pPr>
              <w:pStyle w:val="18"/>
              <w:spacing w:before="1"/>
              <w:rPr>
                <w:rFonts w:ascii="Times New Roman"/>
                <w:color w:val="auto"/>
                <w:sz w:val="25"/>
              </w:rPr>
            </w:pPr>
          </w:p>
          <w:p>
            <w:pPr>
              <w:pStyle w:val="18"/>
              <w:ind w:left="93" w:right="82"/>
              <w:jc w:val="center"/>
              <w:rPr>
                <w:rFonts w:ascii="Times New Roman"/>
                <w:color w:val="auto"/>
                <w:sz w:val="21"/>
              </w:rPr>
            </w:pPr>
            <w:r>
              <w:rPr>
                <w:rFonts w:ascii="Times New Roman"/>
                <w:color w:val="auto"/>
                <w:sz w:val="21"/>
              </w:rPr>
              <w:t>16.3</w:t>
            </w:r>
          </w:p>
        </w:tc>
        <w:tc>
          <w:tcPr>
            <w:tcW w:w="1958" w:type="dxa"/>
          </w:tcPr>
          <w:p>
            <w:pPr>
              <w:pStyle w:val="18"/>
              <w:rPr>
                <w:rFonts w:ascii="Times New Roman"/>
                <w:color w:val="auto"/>
                <w:sz w:val="20"/>
              </w:rPr>
            </w:pPr>
          </w:p>
          <w:p>
            <w:pPr>
              <w:pStyle w:val="18"/>
              <w:spacing w:before="10"/>
              <w:rPr>
                <w:rFonts w:ascii="Times New Roman"/>
                <w:color w:val="auto"/>
                <w:sz w:val="25"/>
              </w:rPr>
            </w:pPr>
          </w:p>
          <w:p>
            <w:pPr>
              <w:pStyle w:val="18"/>
              <w:ind w:left="6"/>
              <w:jc w:val="center"/>
              <w:rPr>
                <w:color w:val="auto"/>
                <w:sz w:val="21"/>
              </w:rPr>
            </w:pPr>
            <w:r>
              <w:rPr>
                <w:color w:val="auto"/>
                <w:sz w:val="21"/>
              </w:rPr>
              <w:t>投标报价要求</w:t>
            </w:r>
          </w:p>
        </w:tc>
        <w:tc>
          <w:tcPr>
            <w:tcW w:w="5779" w:type="dxa"/>
          </w:tcPr>
          <w:p>
            <w:pPr>
              <w:pStyle w:val="6"/>
              <w:tabs>
                <w:tab w:val="left" w:pos="574"/>
              </w:tabs>
              <w:rPr>
                <w:rFonts w:hint="eastAsia"/>
                <w:b/>
                <w:color w:val="auto"/>
                <w:highlight w:val="none"/>
              </w:rPr>
            </w:pPr>
            <w:r>
              <w:rPr>
                <w:rFonts w:hint="eastAsia"/>
                <w:b/>
                <w:color w:val="auto"/>
                <w:highlight w:val="none"/>
              </w:rPr>
              <w:t>本工程设置投标总报价上下限：</w:t>
            </w:r>
          </w:p>
          <w:p>
            <w:pPr>
              <w:pStyle w:val="6"/>
              <w:tabs>
                <w:tab w:val="left" w:pos="574"/>
              </w:tabs>
              <w:rPr>
                <w:rFonts w:hint="eastAsia"/>
                <w:color w:val="auto"/>
                <w:highlight w:val="none"/>
              </w:rPr>
            </w:pPr>
            <w:r>
              <w:rPr>
                <w:rFonts w:hint="eastAsia"/>
                <w:b/>
                <w:color w:val="auto"/>
                <w:highlight w:val="none"/>
              </w:rPr>
              <w:t>上限价：</w:t>
            </w:r>
            <w:r>
              <w:rPr>
                <w:rFonts w:hint="eastAsia"/>
                <w:color w:val="auto"/>
                <w:highlight w:val="none"/>
                <w:u w:val="single"/>
                <w:lang w:val="en-US" w:eastAsia="zh-CN"/>
              </w:rPr>
              <w:t>792440</w:t>
            </w:r>
            <w:r>
              <w:rPr>
                <w:rFonts w:hint="eastAsia"/>
                <w:color w:val="auto"/>
                <w:highlight w:val="none"/>
                <w:u w:val="single"/>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val="en-US" w:eastAsia="zh-CN"/>
              </w:rPr>
              <w:t>92</w:t>
            </w:r>
            <w:r>
              <w:rPr>
                <w:rFonts w:hint="eastAsia" w:ascii="宋体" w:hAnsi="宋体"/>
                <w:bCs/>
                <w:color w:val="auto"/>
                <w:szCs w:val="21"/>
              </w:rPr>
              <w:t>%】</w:t>
            </w:r>
            <w:r>
              <w:rPr>
                <w:rFonts w:hint="eastAsia"/>
                <w:color w:val="auto"/>
                <w:highlight w:val="none"/>
              </w:rPr>
              <w:t>；</w:t>
            </w:r>
          </w:p>
          <w:p>
            <w:pPr>
              <w:pStyle w:val="6"/>
              <w:tabs>
                <w:tab w:val="left" w:pos="574"/>
              </w:tabs>
              <w:rPr>
                <w:rFonts w:hint="eastAsia"/>
                <w:color w:val="auto"/>
                <w:highlight w:val="none"/>
              </w:rPr>
            </w:pPr>
            <w:r>
              <w:rPr>
                <w:rFonts w:hint="eastAsia"/>
                <w:b/>
                <w:color w:val="auto"/>
                <w:highlight w:val="none"/>
              </w:rPr>
              <w:t>下限价：</w:t>
            </w:r>
            <w:r>
              <w:rPr>
                <w:rFonts w:hint="eastAsia"/>
                <w:color w:val="auto"/>
                <w:highlight w:val="none"/>
                <w:u w:val="single"/>
                <w:lang w:val="en-US" w:eastAsia="zh-CN"/>
              </w:rPr>
              <w:t>732146</w:t>
            </w:r>
            <w:r>
              <w:rPr>
                <w:rFonts w:hint="eastAsia"/>
                <w:color w:val="auto"/>
                <w:highlight w:val="none"/>
                <w:u w:val="single"/>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val="en-US" w:eastAsia="zh-CN"/>
              </w:rPr>
              <w:t>85</w:t>
            </w:r>
            <w:r>
              <w:rPr>
                <w:rFonts w:hint="eastAsia" w:ascii="宋体" w:hAnsi="宋体"/>
                <w:bCs/>
                <w:color w:val="auto"/>
                <w:szCs w:val="21"/>
              </w:rPr>
              <w:t>%】</w:t>
            </w:r>
            <w:r>
              <w:rPr>
                <w:rFonts w:hint="eastAsia"/>
                <w:color w:val="auto"/>
                <w:highlight w:val="none"/>
              </w:rPr>
              <w:t>；</w:t>
            </w:r>
          </w:p>
          <w:p>
            <w:pPr>
              <w:pStyle w:val="18"/>
              <w:spacing w:line="218" w:lineRule="exact"/>
              <w:ind w:left="108"/>
              <w:rPr>
                <w:b/>
                <w:color w:val="auto"/>
                <w:sz w:val="21"/>
              </w:rPr>
            </w:pPr>
            <w:r>
              <w:rPr>
                <w:rFonts w:hint="eastAsia"/>
                <w:b/>
                <w:color w:val="auto"/>
                <w:highlight w:val="none"/>
              </w:rPr>
              <w:t>超出上述范围作</w:t>
            </w:r>
            <w:r>
              <w:rPr>
                <w:rFonts w:hint="eastAsia"/>
                <w:b/>
                <w:color w:val="auto"/>
                <w:highlight w:val="none"/>
                <w:lang w:val="en-US" w:eastAsia="zh-CN"/>
              </w:rPr>
              <w:t>投标</w:t>
            </w:r>
            <w:r>
              <w:rPr>
                <w:rFonts w:hint="eastAsia"/>
                <w:b/>
                <w:color w:val="auto"/>
                <w:highlight w:val="none"/>
              </w:rPr>
              <w:t>无效处理。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77" w:hRule="atLeast"/>
        </w:trPr>
        <w:tc>
          <w:tcPr>
            <w:tcW w:w="682" w:type="dxa"/>
          </w:tcPr>
          <w:p>
            <w:pPr>
              <w:pStyle w:val="18"/>
              <w:rPr>
                <w:rFonts w:ascii="Times New Roman"/>
                <w:color w:val="auto"/>
                <w:sz w:val="22"/>
              </w:rPr>
            </w:pPr>
          </w:p>
          <w:p>
            <w:pPr>
              <w:pStyle w:val="18"/>
              <w:spacing w:before="147"/>
              <w:ind w:left="108" w:right="100"/>
              <w:jc w:val="center"/>
              <w:rPr>
                <w:rFonts w:ascii="Times New Roman"/>
                <w:color w:val="auto"/>
                <w:sz w:val="21"/>
              </w:rPr>
            </w:pPr>
            <w:r>
              <w:rPr>
                <w:rFonts w:ascii="Times New Roman"/>
                <w:color w:val="auto"/>
                <w:sz w:val="21"/>
              </w:rPr>
              <w:t>18</w:t>
            </w:r>
          </w:p>
        </w:tc>
        <w:tc>
          <w:tcPr>
            <w:tcW w:w="861" w:type="dxa"/>
          </w:tcPr>
          <w:p>
            <w:pPr>
              <w:pStyle w:val="18"/>
              <w:rPr>
                <w:rFonts w:ascii="Times New Roman"/>
                <w:color w:val="auto"/>
                <w:sz w:val="22"/>
              </w:rPr>
            </w:pPr>
          </w:p>
          <w:p>
            <w:pPr>
              <w:pStyle w:val="18"/>
              <w:spacing w:before="147"/>
              <w:ind w:left="93" w:right="82"/>
              <w:jc w:val="center"/>
              <w:rPr>
                <w:rFonts w:ascii="Times New Roman"/>
                <w:color w:val="auto"/>
                <w:sz w:val="21"/>
              </w:rPr>
            </w:pPr>
            <w:r>
              <w:rPr>
                <w:rFonts w:ascii="Times New Roman"/>
                <w:color w:val="auto"/>
                <w:sz w:val="21"/>
              </w:rPr>
              <w:t>17.1</w:t>
            </w:r>
          </w:p>
        </w:tc>
        <w:tc>
          <w:tcPr>
            <w:tcW w:w="1958" w:type="dxa"/>
          </w:tcPr>
          <w:p>
            <w:pPr>
              <w:pStyle w:val="18"/>
              <w:rPr>
                <w:rFonts w:ascii="Times New Roman"/>
                <w:color w:val="auto"/>
                <w:sz w:val="20"/>
              </w:rPr>
            </w:pPr>
          </w:p>
          <w:p>
            <w:pPr>
              <w:pStyle w:val="18"/>
              <w:spacing w:before="6"/>
              <w:rPr>
                <w:rFonts w:ascii="Times New Roman"/>
                <w:color w:val="auto"/>
                <w:sz w:val="19"/>
              </w:rPr>
            </w:pPr>
          </w:p>
          <w:p>
            <w:pPr>
              <w:pStyle w:val="18"/>
              <w:ind w:left="6"/>
              <w:jc w:val="center"/>
              <w:rPr>
                <w:color w:val="auto"/>
                <w:sz w:val="21"/>
              </w:rPr>
            </w:pPr>
            <w:r>
              <w:rPr>
                <w:color w:val="auto"/>
                <w:sz w:val="21"/>
              </w:rPr>
              <w:t>投标担保要求</w:t>
            </w:r>
          </w:p>
        </w:tc>
        <w:tc>
          <w:tcPr>
            <w:tcW w:w="5779" w:type="dxa"/>
          </w:tcPr>
          <w:p>
            <w:pPr>
              <w:pStyle w:val="18"/>
              <w:spacing w:before="11"/>
              <w:rPr>
                <w:rFonts w:ascii="Times New Roman"/>
                <w:color w:val="auto"/>
                <w:sz w:val="17"/>
              </w:rPr>
            </w:pPr>
          </w:p>
          <w:p>
            <w:pPr>
              <w:pStyle w:val="18"/>
              <w:ind w:left="108"/>
              <w:rPr>
                <w:b/>
                <w:color w:val="auto"/>
                <w:sz w:val="21"/>
              </w:rPr>
            </w:pPr>
            <w:r>
              <w:rPr>
                <w:rFonts w:ascii="Times New Roman" w:eastAsia="Times New Roman"/>
                <w:color w:val="auto"/>
                <w:sz w:val="21"/>
              </w:rPr>
              <w:t>1</w:t>
            </w:r>
            <w:r>
              <w:rPr>
                <w:color w:val="auto"/>
                <w:sz w:val="21"/>
              </w:rPr>
              <w:t>、担保金额：</w:t>
            </w:r>
            <w:r>
              <w:rPr>
                <w:rFonts w:ascii="Times New Roman" w:eastAsia="Times New Roman"/>
                <w:b/>
                <w:color w:val="auto"/>
                <w:sz w:val="21"/>
              </w:rPr>
              <w:t xml:space="preserve">10000 </w:t>
            </w:r>
            <w:r>
              <w:rPr>
                <w:b/>
                <w:color w:val="auto"/>
                <w:sz w:val="21"/>
              </w:rPr>
              <w:t>元</w:t>
            </w:r>
          </w:p>
          <w:p>
            <w:pPr>
              <w:pStyle w:val="18"/>
              <w:spacing w:before="52"/>
              <w:ind w:left="108"/>
              <w:rPr>
                <w:color w:val="auto"/>
                <w:sz w:val="21"/>
              </w:rPr>
            </w:pPr>
            <w:r>
              <w:rPr>
                <w:rFonts w:ascii="Times New Roman" w:eastAsia="Times New Roman"/>
                <w:color w:val="auto"/>
                <w:w w:val="95"/>
                <w:sz w:val="21"/>
              </w:rPr>
              <w:t>2</w:t>
            </w:r>
            <w:r>
              <w:rPr>
                <w:color w:val="auto"/>
                <w:w w:val="95"/>
                <w:sz w:val="21"/>
              </w:rPr>
              <w:t>、担保形式：</w:t>
            </w:r>
            <w:r>
              <w:rPr>
                <w:rFonts w:hint="eastAsia"/>
                <w:color w:val="auto"/>
                <w:w w:val="95"/>
                <w:sz w:val="21"/>
                <w:lang w:eastAsia="zh-CN"/>
              </w:rPr>
              <w:t>现金</w:t>
            </w:r>
            <w:r>
              <w:rPr>
                <w:color w:val="auto"/>
                <w:w w:val="95"/>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6"/>
              <w:ind w:left="108" w:right="100"/>
              <w:jc w:val="center"/>
              <w:rPr>
                <w:rFonts w:ascii="Times New Roman"/>
                <w:color w:val="auto"/>
                <w:sz w:val="21"/>
              </w:rPr>
            </w:pPr>
            <w:r>
              <w:rPr>
                <w:rFonts w:ascii="Times New Roman"/>
                <w:color w:val="auto"/>
                <w:sz w:val="21"/>
              </w:rPr>
              <w:t>19</w:t>
            </w:r>
          </w:p>
        </w:tc>
        <w:tc>
          <w:tcPr>
            <w:tcW w:w="861" w:type="dxa"/>
          </w:tcPr>
          <w:p>
            <w:pPr>
              <w:pStyle w:val="18"/>
              <w:spacing w:before="156"/>
              <w:ind w:left="93" w:right="82"/>
              <w:jc w:val="center"/>
              <w:rPr>
                <w:rFonts w:ascii="Times New Roman"/>
                <w:color w:val="auto"/>
                <w:sz w:val="21"/>
              </w:rPr>
            </w:pPr>
            <w:r>
              <w:rPr>
                <w:rFonts w:ascii="Times New Roman"/>
                <w:color w:val="auto"/>
                <w:sz w:val="21"/>
              </w:rPr>
              <w:t>18.1</w:t>
            </w:r>
          </w:p>
        </w:tc>
        <w:tc>
          <w:tcPr>
            <w:tcW w:w="1958" w:type="dxa"/>
          </w:tcPr>
          <w:p>
            <w:pPr>
              <w:pStyle w:val="18"/>
              <w:spacing w:before="142"/>
              <w:ind w:left="8"/>
              <w:jc w:val="center"/>
              <w:rPr>
                <w:color w:val="auto"/>
                <w:sz w:val="21"/>
              </w:rPr>
            </w:pPr>
            <w:r>
              <w:rPr>
                <w:color w:val="auto"/>
                <w:sz w:val="21"/>
              </w:rPr>
              <w:t>投标有效期</w:t>
            </w:r>
          </w:p>
        </w:tc>
        <w:tc>
          <w:tcPr>
            <w:tcW w:w="5779" w:type="dxa"/>
          </w:tcPr>
          <w:p>
            <w:pPr>
              <w:pStyle w:val="18"/>
              <w:spacing w:before="142"/>
              <w:ind w:left="108"/>
              <w:rPr>
                <w:color w:val="auto"/>
                <w:sz w:val="21"/>
              </w:rPr>
            </w:pPr>
            <w:r>
              <w:rPr>
                <w:rFonts w:ascii="Times New Roman" w:eastAsia="Times New Roman"/>
                <w:color w:val="auto"/>
                <w:sz w:val="21"/>
              </w:rPr>
              <w:t xml:space="preserve">60 </w:t>
            </w:r>
            <w:r>
              <w:rPr>
                <w:color w:val="auto"/>
                <w:sz w:val="21"/>
              </w:rPr>
              <w:t>日历天（自投标截止日起计算）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8"/>
              <w:ind w:left="108" w:right="100"/>
              <w:jc w:val="center"/>
              <w:rPr>
                <w:rFonts w:ascii="Times New Roman"/>
                <w:color w:val="auto"/>
                <w:sz w:val="21"/>
              </w:rPr>
            </w:pPr>
            <w:r>
              <w:rPr>
                <w:rFonts w:ascii="Times New Roman"/>
                <w:color w:val="auto"/>
                <w:sz w:val="21"/>
              </w:rPr>
              <w:t>20</w:t>
            </w:r>
          </w:p>
        </w:tc>
        <w:tc>
          <w:tcPr>
            <w:tcW w:w="861" w:type="dxa"/>
          </w:tcPr>
          <w:p>
            <w:pPr>
              <w:pStyle w:val="18"/>
              <w:spacing w:before="158"/>
              <w:ind w:left="93" w:right="82"/>
              <w:jc w:val="center"/>
              <w:rPr>
                <w:rFonts w:ascii="Times New Roman"/>
                <w:color w:val="auto"/>
                <w:sz w:val="21"/>
              </w:rPr>
            </w:pPr>
            <w:r>
              <w:rPr>
                <w:rFonts w:ascii="Times New Roman"/>
                <w:color w:val="auto"/>
                <w:sz w:val="21"/>
              </w:rPr>
              <w:t>19.1</w:t>
            </w:r>
          </w:p>
        </w:tc>
        <w:tc>
          <w:tcPr>
            <w:tcW w:w="1958" w:type="dxa"/>
          </w:tcPr>
          <w:p>
            <w:pPr>
              <w:pStyle w:val="18"/>
              <w:spacing w:before="144"/>
              <w:ind w:left="6"/>
              <w:jc w:val="center"/>
              <w:rPr>
                <w:color w:val="auto"/>
                <w:sz w:val="21"/>
              </w:rPr>
            </w:pPr>
            <w:r>
              <w:rPr>
                <w:color w:val="auto"/>
                <w:sz w:val="21"/>
              </w:rPr>
              <w:t>投标文件份数</w:t>
            </w:r>
          </w:p>
        </w:tc>
        <w:tc>
          <w:tcPr>
            <w:tcW w:w="5779" w:type="dxa"/>
          </w:tcPr>
          <w:p>
            <w:pPr>
              <w:pStyle w:val="18"/>
              <w:spacing w:before="144"/>
              <w:ind w:left="108"/>
              <w:rPr>
                <w:color w:val="auto"/>
                <w:sz w:val="21"/>
              </w:rPr>
            </w:pPr>
            <w:r>
              <w:rPr>
                <w:color w:val="auto"/>
                <w:sz w:val="21"/>
              </w:rPr>
              <w:t>正本一份、副本二份（包括证书复印件）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3" w:hRule="atLeast"/>
        </w:trPr>
        <w:tc>
          <w:tcPr>
            <w:tcW w:w="682" w:type="dxa"/>
          </w:tcPr>
          <w:p>
            <w:pPr>
              <w:pStyle w:val="18"/>
              <w:spacing w:before="5"/>
              <w:rPr>
                <w:rFonts w:ascii="Times New Roman"/>
                <w:color w:val="auto"/>
                <w:sz w:val="23"/>
              </w:rPr>
            </w:pPr>
          </w:p>
          <w:p>
            <w:pPr>
              <w:pStyle w:val="18"/>
              <w:spacing w:before="1"/>
              <w:ind w:left="108" w:right="100"/>
              <w:jc w:val="center"/>
              <w:rPr>
                <w:rFonts w:ascii="Times New Roman"/>
                <w:color w:val="auto"/>
                <w:sz w:val="21"/>
              </w:rPr>
            </w:pPr>
            <w:r>
              <w:rPr>
                <w:rFonts w:ascii="Times New Roman"/>
                <w:color w:val="auto"/>
                <w:sz w:val="21"/>
              </w:rPr>
              <w:t>21</w:t>
            </w:r>
          </w:p>
        </w:tc>
        <w:tc>
          <w:tcPr>
            <w:tcW w:w="861" w:type="dxa"/>
          </w:tcPr>
          <w:p>
            <w:pPr>
              <w:pStyle w:val="18"/>
              <w:spacing w:before="5"/>
              <w:rPr>
                <w:rFonts w:ascii="Times New Roman"/>
                <w:color w:val="auto"/>
                <w:sz w:val="23"/>
              </w:rPr>
            </w:pPr>
          </w:p>
          <w:p>
            <w:pPr>
              <w:pStyle w:val="18"/>
              <w:spacing w:before="1"/>
              <w:ind w:left="93" w:right="82"/>
              <w:jc w:val="center"/>
              <w:rPr>
                <w:rFonts w:ascii="Times New Roman"/>
                <w:color w:val="auto"/>
                <w:sz w:val="21"/>
              </w:rPr>
            </w:pPr>
            <w:r>
              <w:rPr>
                <w:rFonts w:ascii="Times New Roman"/>
                <w:color w:val="auto"/>
                <w:sz w:val="21"/>
              </w:rPr>
              <w:t>20.3</w:t>
            </w:r>
          </w:p>
        </w:tc>
        <w:tc>
          <w:tcPr>
            <w:tcW w:w="1958" w:type="dxa"/>
          </w:tcPr>
          <w:p>
            <w:pPr>
              <w:pStyle w:val="18"/>
              <w:spacing w:before="119" w:line="244" w:lineRule="auto"/>
              <w:ind w:left="662" w:right="340" w:hanging="315"/>
              <w:rPr>
                <w:color w:val="auto"/>
                <w:sz w:val="21"/>
              </w:rPr>
            </w:pPr>
            <w:r>
              <w:rPr>
                <w:color w:val="auto"/>
                <w:sz w:val="21"/>
              </w:rPr>
              <w:t>投标文件密封及装订</w:t>
            </w:r>
          </w:p>
        </w:tc>
        <w:tc>
          <w:tcPr>
            <w:tcW w:w="5779" w:type="dxa"/>
          </w:tcPr>
          <w:p>
            <w:pPr>
              <w:pStyle w:val="18"/>
              <w:spacing w:before="3"/>
              <w:rPr>
                <w:rFonts w:ascii="Times New Roman"/>
                <w:color w:val="auto"/>
                <w:sz w:val="22"/>
              </w:rPr>
            </w:pPr>
          </w:p>
          <w:p>
            <w:pPr>
              <w:pStyle w:val="18"/>
              <w:ind w:left="108"/>
              <w:rPr>
                <w:color w:val="auto"/>
                <w:sz w:val="21"/>
              </w:rPr>
            </w:pPr>
            <w:r>
              <w:rPr>
                <w:color w:val="auto"/>
                <w:sz w:val="21"/>
              </w:rPr>
              <w:t>投标文件装订成册并装袋密封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3" w:hRule="atLeast"/>
        </w:trPr>
        <w:tc>
          <w:tcPr>
            <w:tcW w:w="682" w:type="dxa"/>
          </w:tcPr>
          <w:p>
            <w:pPr>
              <w:pStyle w:val="18"/>
              <w:spacing w:before="6"/>
              <w:rPr>
                <w:rFonts w:ascii="Times New Roman"/>
                <w:color w:val="auto"/>
                <w:sz w:val="23"/>
              </w:rPr>
            </w:pPr>
          </w:p>
          <w:p>
            <w:pPr>
              <w:pStyle w:val="18"/>
              <w:ind w:left="108" w:right="100"/>
              <w:jc w:val="center"/>
              <w:rPr>
                <w:rFonts w:ascii="Times New Roman"/>
                <w:color w:val="auto"/>
                <w:sz w:val="21"/>
              </w:rPr>
            </w:pPr>
            <w:r>
              <w:rPr>
                <w:rFonts w:ascii="Times New Roman"/>
                <w:color w:val="auto"/>
                <w:sz w:val="21"/>
              </w:rPr>
              <w:t>22</w:t>
            </w:r>
          </w:p>
        </w:tc>
        <w:tc>
          <w:tcPr>
            <w:tcW w:w="861" w:type="dxa"/>
          </w:tcPr>
          <w:p>
            <w:pPr>
              <w:pStyle w:val="18"/>
              <w:spacing w:before="6"/>
              <w:rPr>
                <w:rFonts w:ascii="Times New Roman"/>
                <w:color w:val="auto"/>
                <w:sz w:val="23"/>
              </w:rPr>
            </w:pPr>
          </w:p>
          <w:p>
            <w:pPr>
              <w:pStyle w:val="18"/>
              <w:ind w:left="93" w:right="82"/>
              <w:jc w:val="center"/>
              <w:rPr>
                <w:rFonts w:ascii="Times New Roman"/>
                <w:color w:val="auto"/>
                <w:sz w:val="21"/>
              </w:rPr>
            </w:pPr>
            <w:r>
              <w:rPr>
                <w:rFonts w:ascii="Times New Roman"/>
                <w:color w:val="auto"/>
                <w:sz w:val="21"/>
              </w:rPr>
              <w:t>21.1</w:t>
            </w:r>
          </w:p>
        </w:tc>
        <w:tc>
          <w:tcPr>
            <w:tcW w:w="1958" w:type="dxa"/>
          </w:tcPr>
          <w:p>
            <w:pPr>
              <w:pStyle w:val="18"/>
              <w:spacing w:before="120" w:line="242" w:lineRule="auto"/>
              <w:ind w:left="453" w:right="128" w:hanging="315"/>
              <w:rPr>
                <w:color w:val="auto"/>
                <w:sz w:val="21"/>
              </w:rPr>
            </w:pPr>
            <w:r>
              <w:rPr>
                <w:color w:val="auto"/>
                <w:sz w:val="21"/>
              </w:rPr>
              <w:t>投标文件提交地点与开标地点</w:t>
            </w:r>
          </w:p>
        </w:tc>
        <w:tc>
          <w:tcPr>
            <w:tcW w:w="5779" w:type="dxa"/>
          </w:tcPr>
          <w:p>
            <w:pPr>
              <w:pStyle w:val="18"/>
              <w:spacing w:before="7"/>
              <w:rPr>
                <w:rFonts w:ascii="Times New Roman"/>
                <w:color w:val="auto"/>
                <w:sz w:val="24"/>
              </w:rPr>
            </w:pPr>
          </w:p>
          <w:p>
            <w:pPr>
              <w:pStyle w:val="18"/>
              <w:ind w:left="108" w:right="-15"/>
              <w:rPr>
                <w:b/>
                <w:color w:val="auto"/>
                <w:sz w:val="21"/>
              </w:rPr>
            </w:pPr>
            <w:r>
              <w:rPr>
                <w:rFonts w:hint="eastAsia"/>
                <w:b/>
                <w:color w:val="auto"/>
                <w:spacing w:val="-2"/>
                <w:sz w:val="21"/>
                <w:lang w:eastAsia="zh-CN"/>
              </w:rPr>
              <w:t>玉环经济开发区办公大楼B108室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3" w:hRule="atLeast"/>
        </w:trPr>
        <w:tc>
          <w:tcPr>
            <w:tcW w:w="682" w:type="dxa"/>
          </w:tcPr>
          <w:p>
            <w:pPr>
              <w:pStyle w:val="18"/>
              <w:spacing w:before="6"/>
              <w:rPr>
                <w:rFonts w:ascii="Times New Roman"/>
                <w:color w:val="auto"/>
                <w:sz w:val="23"/>
              </w:rPr>
            </w:pPr>
          </w:p>
          <w:p>
            <w:pPr>
              <w:pStyle w:val="18"/>
              <w:ind w:left="108" w:right="100"/>
              <w:jc w:val="center"/>
              <w:rPr>
                <w:rFonts w:ascii="Times New Roman"/>
                <w:color w:val="auto"/>
                <w:sz w:val="21"/>
              </w:rPr>
            </w:pPr>
            <w:r>
              <w:rPr>
                <w:rFonts w:ascii="Times New Roman"/>
                <w:color w:val="auto"/>
                <w:sz w:val="21"/>
              </w:rPr>
              <w:t>23</w:t>
            </w:r>
          </w:p>
        </w:tc>
        <w:tc>
          <w:tcPr>
            <w:tcW w:w="861" w:type="dxa"/>
          </w:tcPr>
          <w:p>
            <w:pPr>
              <w:pStyle w:val="18"/>
              <w:spacing w:before="6"/>
              <w:rPr>
                <w:rFonts w:ascii="Times New Roman"/>
                <w:color w:val="auto"/>
                <w:sz w:val="23"/>
              </w:rPr>
            </w:pPr>
          </w:p>
          <w:p>
            <w:pPr>
              <w:pStyle w:val="18"/>
              <w:ind w:left="93" w:right="82"/>
              <w:jc w:val="center"/>
              <w:rPr>
                <w:rFonts w:ascii="Times New Roman"/>
                <w:color w:val="auto"/>
                <w:sz w:val="21"/>
              </w:rPr>
            </w:pPr>
            <w:r>
              <w:rPr>
                <w:rFonts w:ascii="Times New Roman"/>
                <w:color w:val="auto"/>
                <w:sz w:val="21"/>
              </w:rPr>
              <w:t>21.1</w:t>
            </w:r>
          </w:p>
        </w:tc>
        <w:tc>
          <w:tcPr>
            <w:tcW w:w="1958" w:type="dxa"/>
          </w:tcPr>
          <w:p>
            <w:pPr>
              <w:pStyle w:val="18"/>
              <w:spacing w:before="120" w:line="242" w:lineRule="auto"/>
              <w:ind w:left="242" w:right="128" w:hanging="104"/>
              <w:rPr>
                <w:color w:val="auto"/>
                <w:sz w:val="21"/>
              </w:rPr>
            </w:pPr>
            <w:r>
              <w:rPr>
                <w:color w:val="auto"/>
                <w:sz w:val="21"/>
              </w:rPr>
              <w:t>投标文件提交截止时间与开标时间</w:t>
            </w:r>
          </w:p>
        </w:tc>
        <w:tc>
          <w:tcPr>
            <w:tcW w:w="5779" w:type="dxa"/>
          </w:tcPr>
          <w:p>
            <w:pPr>
              <w:pStyle w:val="18"/>
              <w:spacing w:before="7"/>
              <w:rPr>
                <w:rFonts w:ascii="Times New Roman"/>
                <w:color w:val="auto"/>
                <w:sz w:val="24"/>
              </w:rPr>
            </w:pPr>
          </w:p>
          <w:p>
            <w:pPr>
              <w:pStyle w:val="18"/>
              <w:ind w:left="108"/>
              <w:rPr>
                <w:b/>
                <w:color w:val="auto"/>
                <w:sz w:val="21"/>
              </w:rPr>
            </w:pPr>
            <w:r>
              <w:rPr>
                <w:rFonts w:ascii="Times New Roman" w:eastAsia="Times New Roman"/>
                <w:b/>
                <w:color w:val="auto"/>
                <w:sz w:val="21"/>
              </w:rPr>
              <w:t xml:space="preserve">2018 </w:t>
            </w:r>
            <w:r>
              <w:rPr>
                <w:b/>
                <w:color w:val="auto"/>
                <w:sz w:val="21"/>
              </w:rPr>
              <w:t xml:space="preserve">年 </w:t>
            </w:r>
            <w:r>
              <w:rPr>
                <w:rFonts w:hint="eastAsia" w:ascii="Times New Roman"/>
                <w:b/>
                <w:color w:val="auto"/>
                <w:sz w:val="21"/>
                <w:lang w:val="en-US" w:eastAsia="zh-CN"/>
              </w:rPr>
              <w:t>8</w:t>
            </w:r>
            <w:r>
              <w:rPr>
                <w:b/>
                <w:color w:val="auto"/>
                <w:sz w:val="21"/>
              </w:rPr>
              <w:t xml:space="preserve">月 </w:t>
            </w:r>
            <w:r>
              <w:rPr>
                <w:rFonts w:hint="eastAsia" w:ascii="Times New Roman"/>
                <w:b/>
                <w:color w:val="auto"/>
                <w:sz w:val="21"/>
                <w:lang w:val="en-US" w:eastAsia="zh-CN"/>
              </w:rPr>
              <w:t>21</w:t>
            </w:r>
            <w:r>
              <w:rPr>
                <w:b/>
                <w:color w:val="auto"/>
                <w:sz w:val="21"/>
              </w:rPr>
              <w:t xml:space="preserve">日 </w:t>
            </w:r>
            <w:r>
              <w:rPr>
                <w:rFonts w:hint="eastAsia" w:ascii="Times New Roman"/>
                <w:b/>
                <w:color w:val="auto"/>
                <w:sz w:val="21"/>
                <w:lang w:val="en-US" w:eastAsia="zh-CN"/>
              </w:rPr>
              <w:t>15</w:t>
            </w:r>
            <w:r>
              <w:rPr>
                <w:b/>
                <w:color w:val="auto"/>
                <w:sz w:val="21"/>
              </w:rPr>
              <w:t xml:space="preserve">时 </w:t>
            </w:r>
            <w:r>
              <w:rPr>
                <w:rFonts w:hint="eastAsia" w:ascii="Times New Roman"/>
                <w:b/>
                <w:color w:val="auto"/>
                <w:sz w:val="21"/>
                <w:lang w:val="en-US" w:eastAsia="zh-CN"/>
              </w:rPr>
              <w:t>00</w:t>
            </w:r>
            <w:r>
              <w:rPr>
                <w:rFonts w:ascii="Times New Roman" w:eastAsia="Times New Roman"/>
                <w:b/>
                <w:color w:val="auto"/>
                <w:sz w:val="21"/>
              </w:rPr>
              <w:t xml:space="preserve"> </w:t>
            </w:r>
            <w:r>
              <w:rPr>
                <w:b/>
                <w:color w:val="auto"/>
                <w:sz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33" w:hRule="atLeast"/>
        </w:trPr>
        <w:tc>
          <w:tcPr>
            <w:tcW w:w="682" w:type="dxa"/>
          </w:tcPr>
          <w:p>
            <w:pPr>
              <w:pStyle w:val="18"/>
              <w:rPr>
                <w:rFonts w:ascii="Times New Roman"/>
                <w:color w:val="auto"/>
                <w:sz w:val="22"/>
              </w:rPr>
            </w:pPr>
          </w:p>
          <w:p>
            <w:pPr>
              <w:pStyle w:val="18"/>
              <w:rPr>
                <w:rFonts w:ascii="Times New Roman"/>
                <w:color w:val="auto"/>
                <w:sz w:val="22"/>
              </w:rPr>
            </w:pPr>
          </w:p>
          <w:p>
            <w:pPr>
              <w:pStyle w:val="18"/>
              <w:spacing w:before="5"/>
              <w:rPr>
                <w:rFonts w:ascii="Times New Roman"/>
                <w:color w:val="auto"/>
                <w:sz w:val="29"/>
              </w:rPr>
            </w:pPr>
          </w:p>
          <w:p>
            <w:pPr>
              <w:pStyle w:val="18"/>
              <w:ind w:left="108" w:right="100"/>
              <w:jc w:val="center"/>
              <w:rPr>
                <w:rFonts w:ascii="Times New Roman"/>
                <w:color w:val="auto"/>
                <w:sz w:val="21"/>
              </w:rPr>
            </w:pPr>
            <w:r>
              <w:rPr>
                <w:rFonts w:ascii="Times New Roman"/>
                <w:color w:val="auto"/>
                <w:sz w:val="21"/>
              </w:rPr>
              <w:t>24</w:t>
            </w:r>
          </w:p>
        </w:tc>
        <w:tc>
          <w:tcPr>
            <w:tcW w:w="861" w:type="dxa"/>
          </w:tcPr>
          <w:p>
            <w:pPr>
              <w:pStyle w:val="18"/>
              <w:rPr>
                <w:rFonts w:ascii="Times New Roman"/>
                <w:color w:val="auto"/>
                <w:sz w:val="22"/>
              </w:rPr>
            </w:pPr>
          </w:p>
          <w:p>
            <w:pPr>
              <w:pStyle w:val="18"/>
              <w:rPr>
                <w:rFonts w:ascii="Times New Roman"/>
                <w:color w:val="auto"/>
                <w:sz w:val="22"/>
              </w:rPr>
            </w:pPr>
          </w:p>
          <w:p>
            <w:pPr>
              <w:pStyle w:val="18"/>
              <w:spacing w:before="5"/>
              <w:rPr>
                <w:rFonts w:ascii="Times New Roman"/>
                <w:color w:val="auto"/>
                <w:sz w:val="29"/>
              </w:rPr>
            </w:pPr>
          </w:p>
          <w:p>
            <w:pPr>
              <w:pStyle w:val="18"/>
              <w:ind w:left="93" w:right="82"/>
              <w:jc w:val="center"/>
              <w:rPr>
                <w:rFonts w:ascii="Times New Roman"/>
                <w:color w:val="auto"/>
                <w:sz w:val="21"/>
              </w:rPr>
            </w:pPr>
            <w:r>
              <w:rPr>
                <w:rFonts w:ascii="Times New Roman"/>
                <w:color w:val="auto"/>
                <w:sz w:val="21"/>
              </w:rPr>
              <w:t>21.2</w:t>
            </w:r>
          </w:p>
        </w:tc>
        <w:tc>
          <w:tcPr>
            <w:tcW w:w="1958" w:type="dxa"/>
          </w:tcPr>
          <w:p>
            <w:pPr>
              <w:pStyle w:val="18"/>
              <w:rPr>
                <w:rFonts w:ascii="Times New Roman"/>
                <w:color w:val="auto"/>
                <w:sz w:val="20"/>
              </w:rPr>
            </w:pPr>
          </w:p>
          <w:p>
            <w:pPr>
              <w:pStyle w:val="18"/>
              <w:rPr>
                <w:rFonts w:ascii="Times New Roman"/>
                <w:color w:val="auto"/>
                <w:sz w:val="20"/>
              </w:rPr>
            </w:pPr>
          </w:p>
          <w:p>
            <w:pPr>
              <w:pStyle w:val="18"/>
              <w:spacing w:before="4"/>
              <w:rPr>
                <w:rFonts w:ascii="Times New Roman"/>
                <w:color w:val="auto"/>
                <w:sz w:val="20"/>
              </w:rPr>
            </w:pPr>
          </w:p>
          <w:p>
            <w:pPr>
              <w:pStyle w:val="18"/>
              <w:spacing w:line="244" w:lineRule="auto"/>
              <w:ind w:left="768" w:right="340" w:hanging="420"/>
              <w:rPr>
                <w:color w:val="auto"/>
                <w:sz w:val="21"/>
              </w:rPr>
            </w:pPr>
            <w:r>
              <w:rPr>
                <w:color w:val="auto"/>
                <w:sz w:val="21"/>
              </w:rPr>
              <w:t>投标文件递交要求</w:t>
            </w:r>
          </w:p>
        </w:tc>
        <w:tc>
          <w:tcPr>
            <w:tcW w:w="5779" w:type="dxa"/>
          </w:tcPr>
          <w:p>
            <w:pPr>
              <w:pStyle w:val="18"/>
              <w:spacing w:before="5"/>
              <w:rPr>
                <w:rFonts w:ascii="Times New Roman"/>
                <w:color w:val="auto"/>
                <w:sz w:val="18"/>
              </w:rPr>
            </w:pPr>
          </w:p>
          <w:p>
            <w:pPr>
              <w:pStyle w:val="18"/>
              <w:ind w:left="108"/>
              <w:rPr>
                <w:color w:val="auto"/>
                <w:sz w:val="21"/>
              </w:rPr>
            </w:pPr>
            <w:r>
              <w:rPr>
                <w:rFonts w:ascii="Times New Roman" w:eastAsia="Times New Roman"/>
                <w:color w:val="auto"/>
                <w:sz w:val="21"/>
              </w:rPr>
              <w:t>1</w:t>
            </w:r>
            <w:r>
              <w:rPr>
                <w:color w:val="auto"/>
                <w:sz w:val="21"/>
              </w:rPr>
              <w:t>、投标人提交投标担保金；</w:t>
            </w:r>
          </w:p>
          <w:p>
            <w:pPr>
              <w:pStyle w:val="18"/>
              <w:spacing w:before="52" w:line="285" w:lineRule="auto"/>
              <w:ind w:left="108" w:right="95"/>
              <w:rPr>
                <w:color w:val="auto"/>
                <w:sz w:val="21"/>
              </w:rPr>
            </w:pPr>
            <w:r>
              <w:rPr>
                <w:rFonts w:ascii="Times New Roman" w:eastAsia="Times New Roman"/>
                <w:color w:val="auto"/>
                <w:w w:val="95"/>
                <w:sz w:val="21"/>
              </w:rPr>
              <w:t>2</w:t>
            </w:r>
            <w:r>
              <w:rPr>
                <w:color w:val="auto"/>
                <w:w w:val="95"/>
                <w:sz w:val="21"/>
              </w:rPr>
              <w:t xml:space="preserve">、投标人下列人员经招标人（招标代理机构）确认身份后再 </w:t>
            </w:r>
            <w:r>
              <w:rPr>
                <w:color w:val="auto"/>
                <w:sz w:val="21"/>
              </w:rPr>
              <w:t>签名报到，以证明其出席开标会议：</w:t>
            </w:r>
          </w:p>
          <w:p>
            <w:pPr>
              <w:pStyle w:val="18"/>
              <w:spacing w:line="288" w:lineRule="auto"/>
              <w:ind w:left="108" w:right="97" w:firstLine="208"/>
              <w:rPr>
                <w:color w:val="auto"/>
                <w:sz w:val="21"/>
              </w:rPr>
            </w:pPr>
            <w:r>
              <w:rPr>
                <w:color w:val="auto"/>
                <w:spacing w:val="4"/>
                <w:w w:val="95"/>
                <w:sz w:val="21"/>
              </w:rPr>
              <w:t>投标人法定代表人或委托代理人（</w:t>
            </w:r>
            <w:r>
              <w:rPr>
                <w:color w:val="auto"/>
                <w:spacing w:val="3"/>
                <w:w w:val="95"/>
                <w:sz w:val="21"/>
              </w:rPr>
              <w:t xml:space="preserve">必须出具本工程授权委 </w:t>
            </w:r>
            <w:r>
              <w:rPr>
                <w:color w:val="auto"/>
                <w:spacing w:val="3"/>
                <w:sz w:val="21"/>
              </w:rPr>
              <w:t>托书原件）持本人有效身份证原件参加开标会议。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6"/>
              <w:ind w:left="108" w:right="100"/>
              <w:jc w:val="center"/>
              <w:rPr>
                <w:rFonts w:ascii="Times New Roman"/>
                <w:color w:val="auto"/>
                <w:sz w:val="21"/>
              </w:rPr>
            </w:pPr>
            <w:r>
              <w:rPr>
                <w:rFonts w:ascii="Times New Roman"/>
                <w:color w:val="auto"/>
                <w:sz w:val="21"/>
              </w:rPr>
              <w:t>25</w:t>
            </w:r>
          </w:p>
        </w:tc>
        <w:tc>
          <w:tcPr>
            <w:tcW w:w="861" w:type="dxa"/>
          </w:tcPr>
          <w:p>
            <w:pPr>
              <w:pStyle w:val="18"/>
              <w:spacing w:before="156"/>
              <w:ind w:left="93" w:right="82"/>
              <w:jc w:val="center"/>
              <w:rPr>
                <w:rFonts w:ascii="Times New Roman"/>
                <w:color w:val="auto"/>
                <w:sz w:val="21"/>
              </w:rPr>
            </w:pPr>
            <w:r>
              <w:rPr>
                <w:rFonts w:ascii="Times New Roman"/>
                <w:color w:val="auto"/>
                <w:sz w:val="21"/>
              </w:rPr>
              <w:t>24.3</w:t>
            </w:r>
          </w:p>
        </w:tc>
        <w:tc>
          <w:tcPr>
            <w:tcW w:w="1958" w:type="dxa"/>
          </w:tcPr>
          <w:p>
            <w:pPr>
              <w:pStyle w:val="18"/>
              <w:spacing w:before="142"/>
              <w:ind w:left="8"/>
              <w:jc w:val="center"/>
              <w:rPr>
                <w:color w:val="auto"/>
                <w:sz w:val="21"/>
              </w:rPr>
            </w:pPr>
            <w:r>
              <w:rPr>
                <w:color w:val="auto"/>
                <w:sz w:val="21"/>
              </w:rPr>
              <w:t>开标顺序</w:t>
            </w:r>
          </w:p>
        </w:tc>
        <w:tc>
          <w:tcPr>
            <w:tcW w:w="5779" w:type="dxa"/>
          </w:tcPr>
          <w:p>
            <w:pPr>
              <w:pStyle w:val="18"/>
              <w:spacing w:before="142"/>
              <w:ind w:left="108"/>
              <w:rPr>
                <w:color w:val="auto"/>
                <w:sz w:val="21"/>
              </w:rPr>
            </w:pPr>
            <w:r>
              <w:rPr>
                <w:color w:val="auto"/>
                <w:sz w:val="21"/>
              </w:rPr>
              <w:t>先资格审查，再商务报价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682" w:type="dxa"/>
          </w:tcPr>
          <w:p>
            <w:pPr>
              <w:pStyle w:val="18"/>
              <w:spacing w:before="158"/>
              <w:ind w:left="108" w:right="100"/>
              <w:jc w:val="center"/>
              <w:rPr>
                <w:rFonts w:ascii="Times New Roman"/>
                <w:color w:val="auto"/>
                <w:sz w:val="21"/>
              </w:rPr>
            </w:pPr>
            <w:r>
              <w:rPr>
                <w:rFonts w:ascii="Times New Roman"/>
                <w:color w:val="auto"/>
                <w:sz w:val="21"/>
              </w:rPr>
              <w:t>26</w:t>
            </w:r>
          </w:p>
        </w:tc>
        <w:tc>
          <w:tcPr>
            <w:tcW w:w="861" w:type="dxa"/>
          </w:tcPr>
          <w:p>
            <w:pPr>
              <w:pStyle w:val="18"/>
              <w:spacing w:before="158"/>
              <w:ind w:left="93" w:right="82"/>
              <w:jc w:val="center"/>
              <w:rPr>
                <w:rFonts w:ascii="Times New Roman"/>
                <w:color w:val="auto"/>
                <w:sz w:val="21"/>
              </w:rPr>
            </w:pPr>
            <w:r>
              <w:rPr>
                <w:rFonts w:ascii="Times New Roman"/>
                <w:color w:val="auto"/>
                <w:sz w:val="21"/>
              </w:rPr>
              <w:t>32.1</w:t>
            </w:r>
          </w:p>
        </w:tc>
        <w:tc>
          <w:tcPr>
            <w:tcW w:w="1958" w:type="dxa"/>
          </w:tcPr>
          <w:p>
            <w:pPr>
              <w:pStyle w:val="18"/>
              <w:spacing w:before="144"/>
              <w:ind w:left="8"/>
              <w:jc w:val="center"/>
              <w:rPr>
                <w:color w:val="auto"/>
                <w:sz w:val="21"/>
              </w:rPr>
            </w:pPr>
            <w:r>
              <w:rPr>
                <w:color w:val="auto"/>
                <w:sz w:val="21"/>
              </w:rPr>
              <w:t>评标办法</w:t>
            </w:r>
          </w:p>
        </w:tc>
        <w:tc>
          <w:tcPr>
            <w:tcW w:w="5779" w:type="dxa"/>
          </w:tcPr>
          <w:p>
            <w:pPr>
              <w:pStyle w:val="18"/>
              <w:spacing w:before="144"/>
              <w:ind w:left="108"/>
              <w:rPr>
                <w:color w:val="auto"/>
                <w:sz w:val="21"/>
              </w:rPr>
            </w:pPr>
            <w:r>
              <w:rPr>
                <w:color w:val="auto"/>
                <w:sz w:val="21"/>
              </w:rPr>
              <w:t>平均价最接近法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4" w:hRule="atLeast"/>
        </w:trPr>
        <w:tc>
          <w:tcPr>
            <w:tcW w:w="682" w:type="dxa"/>
          </w:tcPr>
          <w:p>
            <w:pPr>
              <w:pStyle w:val="18"/>
              <w:spacing w:before="5"/>
              <w:rPr>
                <w:rFonts w:ascii="Times New Roman"/>
                <w:color w:val="auto"/>
                <w:sz w:val="23"/>
              </w:rPr>
            </w:pPr>
          </w:p>
          <w:p>
            <w:pPr>
              <w:pStyle w:val="18"/>
              <w:spacing w:before="1"/>
              <w:ind w:left="108" w:right="100"/>
              <w:jc w:val="center"/>
              <w:rPr>
                <w:rFonts w:ascii="Times New Roman"/>
                <w:color w:val="auto"/>
                <w:sz w:val="21"/>
              </w:rPr>
            </w:pPr>
            <w:r>
              <w:rPr>
                <w:rFonts w:ascii="Times New Roman"/>
                <w:color w:val="auto"/>
                <w:sz w:val="21"/>
              </w:rPr>
              <w:t>27</w:t>
            </w:r>
          </w:p>
        </w:tc>
        <w:tc>
          <w:tcPr>
            <w:tcW w:w="861" w:type="dxa"/>
          </w:tcPr>
          <w:p>
            <w:pPr>
              <w:pStyle w:val="18"/>
              <w:spacing w:before="5"/>
              <w:rPr>
                <w:rFonts w:ascii="Times New Roman"/>
                <w:color w:val="auto"/>
                <w:sz w:val="23"/>
              </w:rPr>
            </w:pPr>
          </w:p>
          <w:p>
            <w:pPr>
              <w:pStyle w:val="18"/>
              <w:spacing w:before="1"/>
              <w:ind w:left="93" w:right="82"/>
              <w:jc w:val="center"/>
              <w:rPr>
                <w:rFonts w:ascii="Times New Roman"/>
                <w:color w:val="auto"/>
                <w:sz w:val="21"/>
              </w:rPr>
            </w:pPr>
            <w:r>
              <w:rPr>
                <w:rFonts w:ascii="Times New Roman"/>
                <w:color w:val="auto"/>
                <w:sz w:val="21"/>
              </w:rPr>
              <w:t>35.1</w:t>
            </w:r>
          </w:p>
        </w:tc>
        <w:tc>
          <w:tcPr>
            <w:tcW w:w="1958" w:type="dxa"/>
          </w:tcPr>
          <w:p>
            <w:pPr>
              <w:pStyle w:val="18"/>
              <w:spacing w:before="3"/>
              <w:rPr>
                <w:rFonts w:ascii="Times New Roman"/>
                <w:color w:val="auto"/>
                <w:sz w:val="22"/>
              </w:rPr>
            </w:pPr>
          </w:p>
          <w:p>
            <w:pPr>
              <w:pStyle w:val="18"/>
              <w:ind w:left="8"/>
              <w:jc w:val="center"/>
              <w:rPr>
                <w:color w:val="auto"/>
                <w:sz w:val="21"/>
              </w:rPr>
            </w:pPr>
            <w:r>
              <w:rPr>
                <w:color w:val="auto"/>
                <w:sz w:val="21"/>
              </w:rPr>
              <w:t>工程担保</w:t>
            </w:r>
          </w:p>
        </w:tc>
        <w:tc>
          <w:tcPr>
            <w:tcW w:w="5779" w:type="dxa"/>
          </w:tcPr>
          <w:p>
            <w:pPr>
              <w:pStyle w:val="18"/>
              <w:spacing w:before="119" w:line="244" w:lineRule="auto"/>
              <w:ind w:left="108" w:right="97"/>
              <w:rPr>
                <w:color w:val="auto"/>
                <w:sz w:val="21"/>
              </w:rPr>
            </w:pPr>
            <w:r>
              <w:rPr>
                <w:color w:val="auto"/>
                <w:spacing w:val="3"/>
                <w:w w:val="95"/>
                <w:sz w:val="21"/>
              </w:rPr>
              <w:t>履约担保金额为人民币</w:t>
            </w:r>
            <w:r>
              <w:rPr>
                <w:rFonts w:hint="eastAsia"/>
                <w:color w:val="auto"/>
                <w:spacing w:val="3"/>
                <w:w w:val="95"/>
                <w:sz w:val="21"/>
                <w:lang w:eastAsia="zh-CN"/>
              </w:rPr>
              <w:t>伍</w:t>
            </w:r>
            <w:r>
              <w:rPr>
                <w:color w:val="auto"/>
                <w:spacing w:val="3"/>
                <w:w w:val="95"/>
                <w:sz w:val="21"/>
              </w:rPr>
              <w:t xml:space="preserve">万元整，由中标人在中标后三天内 </w:t>
            </w:r>
            <w:r>
              <w:rPr>
                <w:color w:val="auto"/>
                <w:spacing w:val="3"/>
                <w:sz w:val="21"/>
              </w:rPr>
              <w:t>采用转帐、电汇或银行汇票方式。</w:t>
            </w:r>
          </w:p>
        </w:tc>
      </w:tr>
    </w:tbl>
    <w:p>
      <w:pPr>
        <w:spacing w:after="0" w:line="244" w:lineRule="auto"/>
        <w:rPr>
          <w:color w:val="auto"/>
          <w:sz w:val="21"/>
        </w:rPr>
        <w:sectPr>
          <w:pgSz w:w="11910" w:h="16840"/>
          <w:pgMar w:top="1360" w:right="860" w:bottom="1060" w:left="1020" w:header="873" w:footer="863" w:gutter="0"/>
        </w:sectPr>
      </w:pPr>
    </w:p>
    <w:p>
      <w:pPr>
        <w:pStyle w:val="6"/>
        <w:spacing w:before="1"/>
        <w:rPr>
          <w:rFonts w:ascii="Times New Roman"/>
          <w:color w:val="auto"/>
          <w:sz w:val="22"/>
        </w:rPr>
      </w:pPr>
    </w:p>
    <w:p>
      <w:pPr>
        <w:spacing w:after="0"/>
        <w:rPr>
          <w:rFonts w:ascii="Times New Roman"/>
          <w:color w:val="auto"/>
          <w:sz w:val="22"/>
        </w:rPr>
        <w:sectPr>
          <w:pgSz w:w="11910" w:h="16840"/>
          <w:pgMar w:top="1360" w:right="860" w:bottom="1060" w:left="1020" w:header="873" w:footer="863" w:gutter="0"/>
        </w:sectPr>
      </w:pPr>
    </w:p>
    <w:p>
      <w:pPr>
        <w:pStyle w:val="6"/>
        <w:rPr>
          <w:rFonts w:ascii="Times New Roman"/>
          <w:color w:val="auto"/>
          <w:sz w:val="22"/>
        </w:rPr>
      </w:pPr>
    </w:p>
    <w:p>
      <w:pPr>
        <w:pStyle w:val="6"/>
        <w:rPr>
          <w:rFonts w:ascii="Times New Roman"/>
          <w:color w:val="auto"/>
          <w:sz w:val="29"/>
        </w:rPr>
      </w:pPr>
    </w:p>
    <w:p>
      <w:pPr>
        <w:pStyle w:val="4"/>
        <w:numPr>
          <w:ilvl w:val="0"/>
          <w:numId w:val="4"/>
        </w:numPr>
        <w:tabs>
          <w:tab w:val="left" w:pos="1412"/>
        </w:tabs>
        <w:spacing w:before="0" w:after="0" w:line="240" w:lineRule="auto"/>
        <w:ind w:left="1411" w:right="0" w:hanging="159"/>
        <w:jc w:val="left"/>
        <w:rPr>
          <w:color w:val="auto"/>
        </w:rPr>
      </w:pPr>
      <w:bookmarkStart w:id="25" w:name="1.工程说明"/>
      <w:bookmarkEnd w:id="25"/>
      <w:bookmarkStart w:id="26" w:name="1.工程说明"/>
      <w:bookmarkEnd w:id="26"/>
      <w:r>
        <w:rPr>
          <w:color w:val="auto"/>
        </w:rPr>
        <w:t>工程说明</w:t>
      </w:r>
    </w:p>
    <w:p>
      <w:pPr>
        <w:pStyle w:val="2"/>
        <w:tabs>
          <w:tab w:val="left" w:pos="2527"/>
          <w:tab w:val="left" w:pos="3167"/>
        </w:tabs>
        <w:rPr>
          <w:color w:val="auto"/>
        </w:rPr>
      </w:pPr>
      <w:r>
        <w:rPr>
          <w:b w:val="0"/>
          <w:color w:val="auto"/>
        </w:rPr>
        <w:br w:type="column"/>
      </w:r>
      <w:r>
        <w:rPr>
          <w:color w:val="auto"/>
        </w:rPr>
        <w:t>第一节</w:t>
      </w:r>
      <w:r>
        <w:rPr>
          <w:color w:val="auto"/>
        </w:rPr>
        <w:tab/>
      </w:r>
      <w:bookmarkStart w:id="27" w:name="_bookmark9"/>
      <w:bookmarkEnd w:id="27"/>
      <w:bookmarkStart w:id="28" w:name="第一节总  则"/>
      <w:bookmarkEnd w:id="28"/>
      <w:r>
        <w:rPr>
          <w:color w:val="auto"/>
        </w:rPr>
        <w:t>总</w:t>
      </w:r>
      <w:r>
        <w:rPr>
          <w:color w:val="auto"/>
        </w:rPr>
        <w:tab/>
      </w:r>
      <w:r>
        <w:rPr>
          <w:color w:val="auto"/>
        </w:rPr>
        <w:t>则</w:t>
      </w:r>
    </w:p>
    <w:p>
      <w:pPr>
        <w:spacing w:after="0"/>
        <w:rPr>
          <w:color w:val="auto"/>
        </w:rPr>
        <w:sectPr>
          <w:type w:val="continuous"/>
          <w:pgSz w:w="11910" w:h="16840"/>
          <w:pgMar w:top="1600" w:right="860" w:bottom="280" w:left="1020" w:header="720" w:footer="720" w:gutter="0"/>
          <w:cols w:equalWidth="0" w:num="2">
            <w:col w:w="2294" w:space="269"/>
            <w:col w:w="7467"/>
          </w:cols>
        </w:sectPr>
      </w:pPr>
    </w:p>
    <w:p>
      <w:pPr>
        <w:pStyle w:val="17"/>
        <w:numPr>
          <w:ilvl w:val="1"/>
          <w:numId w:val="4"/>
        </w:numPr>
        <w:tabs>
          <w:tab w:val="left" w:pos="1469"/>
        </w:tabs>
        <w:spacing w:before="7" w:after="0" w:line="240" w:lineRule="auto"/>
        <w:ind w:left="1468" w:right="0" w:hanging="367"/>
        <w:jc w:val="left"/>
        <w:rPr>
          <w:color w:val="auto"/>
          <w:sz w:val="21"/>
        </w:rPr>
      </w:pPr>
      <w:r>
        <w:rPr>
          <w:color w:val="auto"/>
          <w:spacing w:val="-3"/>
          <w:sz w:val="21"/>
        </w:rPr>
        <w:t xml:space="preserve">本招标工程项目说明详见本须知前附表第 </w:t>
      </w:r>
      <w:r>
        <w:rPr>
          <w:rFonts w:ascii="Times New Roman" w:eastAsia="Times New Roman"/>
          <w:color w:val="auto"/>
          <w:sz w:val="21"/>
        </w:rPr>
        <w:t>1</w:t>
      </w:r>
      <w:r>
        <w:rPr>
          <w:rFonts w:ascii="Times New Roman" w:eastAsia="Times New Roman"/>
          <w:color w:val="auto"/>
          <w:spacing w:val="1"/>
          <w:sz w:val="21"/>
        </w:rPr>
        <w:t xml:space="preserve"> </w:t>
      </w:r>
      <w:r>
        <w:rPr>
          <w:color w:val="auto"/>
          <w:sz w:val="21"/>
        </w:rPr>
        <w:t>项～</w:t>
      </w:r>
      <w:r>
        <w:rPr>
          <w:color w:val="auto"/>
          <w:spacing w:val="-27"/>
          <w:sz w:val="21"/>
        </w:rPr>
        <w:t xml:space="preserve">第 </w:t>
      </w:r>
      <w:r>
        <w:rPr>
          <w:rFonts w:ascii="Times New Roman" w:eastAsia="Times New Roman"/>
          <w:color w:val="auto"/>
          <w:sz w:val="21"/>
        </w:rPr>
        <w:t xml:space="preserve">7 </w:t>
      </w:r>
      <w:r>
        <w:rPr>
          <w:color w:val="auto"/>
          <w:sz w:val="21"/>
        </w:rPr>
        <w:t>项。</w:t>
      </w:r>
    </w:p>
    <w:p>
      <w:pPr>
        <w:pStyle w:val="6"/>
        <w:spacing w:before="2"/>
        <w:rPr>
          <w:color w:val="auto"/>
          <w:sz w:val="17"/>
        </w:rPr>
      </w:pPr>
    </w:p>
    <w:p>
      <w:pPr>
        <w:pStyle w:val="4"/>
        <w:numPr>
          <w:ilvl w:val="0"/>
          <w:numId w:val="4"/>
        </w:numPr>
        <w:tabs>
          <w:tab w:val="left" w:pos="1412"/>
        </w:tabs>
        <w:spacing w:before="0" w:after="0" w:line="240" w:lineRule="auto"/>
        <w:ind w:left="1411" w:right="0" w:hanging="159"/>
        <w:jc w:val="left"/>
        <w:rPr>
          <w:color w:val="auto"/>
        </w:rPr>
      </w:pPr>
      <w:bookmarkStart w:id="29" w:name="2.招标范围"/>
      <w:bookmarkEnd w:id="29"/>
      <w:bookmarkStart w:id="30" w:name="2.招标范围"/>
      <w:bookmarkEnd w:id="30"/>
      <w:r>
        <w:rPr>
          <w:color w:val="auto"/>
        </w:rPr>
        <w:t>招标范围</w:t>
      </w:r>
    </w:p>
    <w:p>
      <w:pPr>
        <w:pStyle w:val="17"/>
        <w:numPr>
          <w:ilvl w:val="1"/>
          <w:numId w:val="4"/>
        </w:numPr>
        <w:tabs>
          <w:tab w:val="left" w:pos="1469"/>
        </w:tabs>
        <w:spacing w:before="7" w:after="0" w:line="240" w:lineRule="auto"/>
        <w:ind w:left="1468" w:right="0" w:hanging="367"/>
        <w:jc w:val="left"/>
        <w:rPr>
          <w:color w:val="auto"/>
          <w:sz w:val="21"/>
        </w:rPr>
      </w:pPr>
      <w:r>
        <w:rPr>
          <w:color w:val="auto"/>
          <w:spacing w:val="-3"/>
          <w:sz w:val="21"/>
        </w:rPr>
        <w:t xml:space="preserve">本招标工程项目的招标方式详见本须知前附表第 </w:t>
      </w:r>
      <w:r>
        <w:rPr>
          <w:rFonts w:ascii="Times New Roman" w:eastAsia="Times New Roman"/>
          <w:color w:val="auto"/>
          <w:sz w:val="21"/>
        </w:rPr>
        <w:t>8</w:t>
      </w:r>
      <w:r>
        <w:rPr>
          <w:rFonts w:ascii="Times New Roman" w:eastAsia="Times New Roman"/>
          <w:color w:val="auto"/>
          <w:spacing w:val="-6"/>
          <w:sz w:val="21"/>
        </w:rPr>
        <w:t xml:space="preserve"> </w:t>
      </w:r>
      <w:r>
        <w:rPr>
          <w:color w:val="auto"/>
          <w:sz w:val="21"/>
        </w:rPr>
        <w:t>项。</w:t>
      </w:r>
    </w:p>
    <w:p>
      <w:pPr>
        <w:pStyle w:val="17"/>
        <w:numPr>
          <w:ilvl w:val="1"/>
          <w:numId w:val="4"/>
        </w:numPr>
        <w:tabs>
          <w:tab w:val="left" w:pos="1469"/>
        </w:tabs>
        <w:spacing w:before="58" w:after="0" w:line="240" w:lineRule="auto"/>
        <w:ind w:left="1468" w:right="0" w:hanging="367"/>
        <w:jc w:val="left"/>
        <w:rPr>
          <w:color w:val="auto"/>
          <w:sz w:val="21"/>
        </w:rPr>
      </w:pPr>
      <w:r>
        <w:rPr>
          <w:color w:val="auto"/>
          <w:spacing w:val="-3"/>
          <w:sz w:val="21"/>
        </w:rPr>
        <w:t xml:space="preserve">本招标工程项目的招标范围详见本须知前附表第 </w:t>
      </w:r>
      <w:r>
        <w:rPr>
          <w:rFonts w:ascii="Times New Roman" w:eastAsia="Times New Roman"/>
          <w:color w:val="auto"/>
          <w:sz w:val="21"/>
        </w:rPr>
        <w:t>9</w:t>
      </w:r>
      <w:r>
        <w:rPr>
          <w:rFonts w:ascii="Times New Roman" w:eastAsia="Times New Roman"/>
          <w:color w:val="auto"/>
          <w:spacing w:val="-6"/>
          <w:sz w:val="21"/>
        </w:rPr>
        <w:t xml:space="preserve"> </w:t>
      </w:r>
      <w:r>
        <w:rPr>
          <w:color w:val="auto"/>
          <w:sz w:val="21"/>
        </w:rPr>
        <w:t>项。</w:t>
      </w:r>
    </w:p>
    <w:p>
      <w:pPr>
        <w:pStyle w:val="6"/>
        <w:spacing w:before="5"/>
        <w:rPr>
          <w:color w:val="auto"/>
          <w:sz w:val="17"/>
        </w:rPr>
      </w:pPr>
    </w:p>
    <w:p>
      <w:pPr>
        <w:pStyle w:val="4"/>
        <w:numPr>
          <w:ilvl w:val="0"/>
          <w:numId w:val="4"/>
        </w:numPr>
        <w:tabs>
          <w:tab w:val="left" w:pos="1412"/>
        </w:tabs>
        <w:spacing w:before="0" w:after="0" w:line="240" w:lineRule="auto"/>
        <w:ind w:left="1411" w:right="0" w:hanging="159"/>
        <w:jc w:val="left"/>
        <w:rPr>
          <w:color w:val="auto"/>
        </w:rPr>
      </w:pPr>
      <w:bookmarkStart w:id="31" w:name="3.资金来源"/>
      <w:bookmarkEnd w:id="31"/>
      <w:bookmarkStart w:id="32" w:name="3.资金来源"/>
      <w:bookmarkEnd w:id="32"/>
      <w:r>
        <w:rPr>
          <w:color w:val="auto"/>
        </w:rPr>
        <w:t>资金来源</w:t>
      </w:r>
    </w:p>
    <w:p>
      <w:pPr>
        <w:pStyle w:val="6"/>
        <w:spacing w:before="7" w:line="290" w:lineRule="auto"/>
        <w:ind w:left="681" w:right="840" w:firstLine="420"/>
        <w:rPr>
          <w:color w:val="auto"/>
        </w:rPr>
      </w:pPr>
      <w:r>
        <w:rPr>
          <w:rFonts w:ascii="Times New Roman" w:eastAsia="Times New Roman"/>
          <w:color w:val="auto"/>
        </w:rPr>
        <w:t xml:space="preserve">3.1 </w:t>
      </w:r>
      <w:r>
        <w:rPr>
          <w:color w:val="auto"/>
        </w:rPr>
        <w:t xml:space="preserve">本招标工程项目资金来源详见本须知前附表第 </w:t>
      </w:r>
      <w:r>
        <w:rPr>
          <w:rFonts w:ascii="Times New Roman" w:eastAsia="Times New Roman"/>
          <w:color w:val="auto"/>
        </w:rPr>
        <w:t xml:space="preserve">10 </w:t>
      </w:r>
      <w:r>
        <w:rPr>
          <w:color w:val="auto"/>
        </w:rPr>
        <w:t>项，其中部分资金用于本工程项目合同项下的合格支付。</w:t>
      </w:r>
    </w:p>
    <w:p>
      <w:pPr>
        <w:pStyle w:val="4"/>
        <w:numPr>
          <w:ilvl w:val="0"/>
          <w:numId w:val="4"/>
        </w:numPr>
        <w:tabs>
          <w:tab w:val="left" w:pos="1412"/>
        </w:tabs>
        <w:spacing w:before="167" w:after="0" w:line="240" w:lineRule="auto"/>
        <w:ind w:left="1411" w:right="0" w:hanging="159"/>
        <w:jc w:val="left"/>
        <w:rPr>
          <w:color w:val="auto"/>
        </w:rPr>
      </w:pPr>
      <w:bookmarkStart w:id="33" w:name="4.投标资格"/>
      <w:bookmarkEnd w:id="33"/>
      <w:bookmarkStart w:id="34" w:name="4.投标资格"/>
      <w:bookmarkEnd w:id="34"/>
      <w:r>
        <w:rPr>
          <w:color w:val="auto"/>
        </w:rPr>
        <w:t>投标资格</w:t>
      </w:r>
    </w:p>
    <w:p>
      <w:pPr>
        <w:pStyle w:val="17"/>
        <w:numPr>
          <w:ilvl w:val="1"/>
          <w:numId w:val="4"/>
        </w:numPr>
        <w:tabs>
          <w:tab w:val="left" w:pos="1469"/>
        </w:tabs>
        <w:spacing w:before="7" w:after="0" w:line="240" w:lineRule="auto"/>
        <w:ind w:left="1468" w:right="0" w:hanging="367"/>
        <w:jc w:val="left"/>
        <w:rPr>
          <w:color w:val="auto"/>
          <w:sz w:val="21"/>
        </w:rPr>
      </w:pPr>
      <w:r>
        <w:rPr>
          <w:color w:val="auto"/>
          <w:spacing w:val="-3"/>
          <w:sz w:val="21"/>
        </w:rPr>
        <w:t xml:space="preserve">投标人与项目负责人资格要求详见本须知前附表第 </w:t>
      </w:r>
      <w:r>
        <w:rPr>
          <w:rFonts w:ascii="Times New Roman" w:eastAsia="Times New Roman"/>
          <w:color w:val="auto"/>
          <w:sz w:val="21"/>
        </w:rPr>
        <w:t>11</w:t>
      </w:r>
      <w:r>
        <w:rPr>
          <w:rFonts w:ascii="Times New Roman" w:eastAsia="Times New Roman"/>
          <w:color w:val="auto"/>
          <w:spacing w:val="-1"/>
          <w:sz w:val="21"/>
        </w:rPr>
        <w:t xml:space="preserve"> </w:t>
      </w:r>
      <w:r>
        <w:rPr>
          <w:color w:val="auto"/>
          <w:spacing w:val="-14"/>
          <w:sz w:val="21"/>
        </w:rPr>
        <w:t xml:space="preserve">项和第 </w:t>
      </w:r>
      <w:r>
        <w:rPr>
          <w:rFonts w:ascii="Times New Roman" w:eastAsia="Times New Roman"/>
          <w:color w:val="auto"/>
          <w:sz w:val="21"/>
        </w:rPr>
        <w:t>12</w:t>
      </w:r>
      <w:r>
        <w:rPr>
          <w:rFonts w:ascii="Times New Roman" w:eastAsia="Times New Roman"/>
          <w:color w:val="auto"/>
          <w:spacing w:val="-2"/>
          <w:sz w:val="21"/>
        </w:rPr>
        <w:t xml:space="preserve"> </w:t>
      </w:r>
      <w:r>
        <w:rPr>
          <w:color w:val="auto"/>
          <w:sz w:val="21"/>
        </w:rPr>
        <w:t>项。</w:t>
      </w:r>
    </w:p>
    <w:p>
      <w:pPr>
        <w:pStyle w:val="17"/>
        <w:numPr>
          <w:ilvl w:val="1"/>
          <w:numId w:val="4"/>
        </w:numPr>
        <w:tabs>
          <w:tab w:val="left" w:pos="1469"/>
        </w:tabs>
        <w:spacing w:before="55" w:after="0" w:line="240" w:lineRule="auto"/>
        <w:ind w:left="1468" w:right="0" w:hanging="367"/>
        <w:jc w:val="left"/>
        <w:rPr>
          <w:color w:val="auto"/>
          <w:sz w:val="21"/>
        </w:rPr>
      </w:pPr>
      <w:r>
        <w:rPr>
          <w:color w:val="auto"/>
          <w:spacing w:val="-4"/>
          <w:sz w:val="21"/>
        </w:rPr>
        <w:t xml:space="preserve">投标人确定方式详见本须知前附表第 </w:t>
      </w:r>
      <w:r>
        <w:rPr>
          <w:rFonts w:ascii="Times New Roman" w:eastAsia="Times New Roman"/>
          <w:color w:val="auto"/>
          <w:sz w:val="21"/>
        </w:rPr>
        <w:t xml:space="preserve">13 </w:t>
      </w:r>
      <w:r>
        <w:rPr>
          <w:color w:val="auto"/>
          <w:sz w:val="21"/>
        </w:rPr>
        <w:t>项。投标人应按规定取得交易席位资格。</w:t>
      </w:r>
    </w:p>
    <w:p>
      <w:pPr>
        <w:pStyle w:val="6"/>
        <w:spacing w:before="5"/>
        <w:rPr>
          <w:color w:val="auto"/>
          <w:sz w:val="17"/>
        </w:rPr>
      </w:pPr>
    </w:p>
    <w:p>
      <w:pPr>
        <w:pStyle w:val="4"/>
        <w:numPr>
          <w:ilvl w:val="0"/>
          <w:numId w:val="4"/>
        </w:numPr>
        <w:tabs>
          <w:tab w:val="left" w:pos="1412"/>
        </w:tabs>
        <w:spacing w:before="0" w:after="0" w:line="240" w:lineRule="auto"/>
        <w:ind w:left="1411" w:right="0" w:hanging="159"/>
        <w:jc w:val="left"/>
        <w:rPr>
          <w:color w:val="auto"/>
        </w:rPr>
      </w:pPr>
      <w:bookmarkStart w:id="35" w:name="5.投标费用"/>
      <w:bookmarkEnd w:id="35"/>
      <w:bookmarkStart w:id="36" w:name="5.投标费用"/>
      <w:bookmarkEnd w:id="36"/>
      <w:r>
        <w:rPr>
          <w:color w:val="auto"/>
        </w:rPr>
        <w:t>投标费用</w:t>
      </w:r>
    </w:p>
    <w:p>
      <w:pPr>
        <w:pStyle w:val="17"/>
        <w:numPr>
          <w:ilvl w:val="1"/>
          <w:numId w:val="4"/>
        </w:numPr>
        <w:tabs>
          <w:tab w:val="left" w:pos="1469"/>
        </w:tabs>
        <w:spacing w:before="7" w:after="0" w:line="240" w:lineRule="auto"/>
        <w:ind w:left="1468" w:right="0" w:hanging="367"/>
        <w:jc w:val="left"/>
        <w:rPr>
          <w:color w:val="auto"/>
          <w:sz w:val="21"/>
        </w:rPr>
      </w:pPr>
      <w:r>
        <w:rPr>
          <w:color w:val="auto"/>
          <w:w w:val="95"/>
          <w:sz w:val="21"/>
        </w:rPr>
        <w:t>投标人应自行承担其参加投标活动自身发生的费用。</w:t>
      </w:r>
    </w:p>
    <w:p>
      <w:pPr>
        <w:pStyle w:val="17"/>
        <w:numPr>
          <w:ilvl w:val="1"/>
          <w:numId w:val="4"/>
        </w:numPr>
        <w:tabs>
          <w:tab w:val="left" w:pos="1469"/>
        </w:tabs>
        <w:spacing w:before="57" w:after="0" w:line="240" w:lineRule="auto"/>
        <w:ind w:left="1468" w:right="0" w:hanging="367"/>
        <w:jc w:val="left"/>
        <w:rPr>
          <w:color w:val="auto"/>
          <w:sz w:val="21"/>
        </w:rPr>
      </w:pPr>
      <w:r>
        <w:rPr>
          <w:color w:val="auto"/>
          <w:spacing w:val="-7"/>
          <w:sz w:val="21"/>
        </w:rPr>
        <w:t xml:space="preserve">招标文件工本费为 </w:t>
      </w:r>
      <w:r>
        <w:rPr>
          <w:rFonts w:ascii="Times New Roman" w:eastAsia="Times New Roman"/>
          <w:color w:val="auto"/>
          <w:sz w:val="21"/>
        </w:rPr>
        <w:t>300</w:t>
      </w:r>
      <w:r>
        <w:rPr>
          <w:rFonts w:ascii="Times New Roman" w:eastAsia="Times New Roman"/>
          <w:color w:val="auto"/>
          <w:spacing w:val="-5"/>
          <w:sz w:val="21"/>
        </w:rPr>
        <w:t xml:space="preserve"> </w:t>
      </w:r>
      <w:r>
        <w:rPr>
          <w:color w:val="auto"/>
          <w:sz w:val="21"/>
        </w:rPr>
        <w:t>元，在提交投标文件后收取。</w:t>
      </w:r>
    </w:p>
    <w:p>
      <w:pPr>
        <w:pStyle w:val="6"/>
        <w:spacing w:before="5"/>
        <w:rPr>
          <w:color w:val="auto"/>
          <w:sz w:val="17"/>
        </w:rPr>
      </w:pPr>
    </w:p>
    <w:p>
      <w:pPr>
        <w:pStyle w:val="4"/>
        <w:numPr>
          <w:ilvl w:val="0"/>
          <w:numId w:val="4"/>
        </w:numPr>
        <w:tabs>
          <w:tab w:val="left" w:pos="1412"/>
        </w:tabs>
        <w:spacing w:before="0" w:after="0" w:line="240" w:lineRule="auto"/>
        <w:ind w:left="1411" w:right="0" w:hanging="159"/>
        <w:jc w:val="left"/>
        <w:rPr>
          <w:color w:val="auto"/>
        </w:rPr>
      </w:pPr>
      <w:bookmarkStart w:id="37" w:name="6.现场条件"/>
      <w:bookmarkEnd w:id="37"/>
      <w:bookmarkStart w:id="38" w:name="6.现场条件"/>
      <w:bookmarkEnd w:id="38"/>
      <w:r>
        <w:rPr>
          <w:color w:val="auto"/>
        </w:rPr>
        <w:t>现场条件</w:t>
      </w:r>
    </w:p>
    <w:p>
      <w:pPr>
        <w:pStyle w:val="17"/>
        <w:numPr>
          <w:ilvl w:val="1"/>
          <w:numId w:val="4"/>
        </w:numPr>
        <w:tabs>
          <w:tab w:val="left" w:pos="1469"/>
        </w:tabs>
        <w:spacing w:before="7" w:after="0" w:line="240" w:lineRule="auto"/>
        <w:ind w:left="1468" w:right="0" w:hanging="367"/>
        <w:jc w:val="left"/>
        <w:rPr>
          <w:color w:val="auto"/>
          <w:sz w:val="21"/>
        </w:rPr>
      </w:pPr>
      <w:r>
        <w:rPr>
          <w:color w:val="auto"/>
          <w:sz w:val="21"/>
        </w:rPr>
        <w:t>施工现场已具备施工条件。</w:t>
      </w:r>
    </w:p>
    <w:p>
      <w:pPr>
        <w:pStyle w:val="6"/>
        <w:spacing w:before="5"/>
        <w:rPr>
          <w:color w:val="auto"/>
          <w:sz w:val="17"/>
        </w:rPr>
      </w:pPr>
    </w:p>
    <w:p>
      <w:pPr>
        <w:pStyle w:val="4"/>
        <w:numPr>
          <w:ilvl w:val="0"/>
          <w:numId w:val="4"/>
        </w:numPr>
        <w:tabs>
          <w:tab w:val="left" w:pos="1412"/>
        </w:tabs>
        <w:spacing w:before="1" w:after="0" w:line="240" w:lineRule="auto"/>
        <w:ind w:left="1411" w:right="0" w:hanging="159"/>
        <w:jc w:val="left"/>
        <w:rPr>
          <w:color w:val="auto"/>
        </w:rPr>
      </w:pPr>
      <w:bookmarkStart w:id="39" w:name="7.踏勘现场"/>
      <w:bookmarkEnd w:id="39"/>
      <w:bookmarkStart w:id="40" w:name="7.踏勘现场"/>
      <w:bookmarkEnd w:id="40"/>
      <w:r>
        <w:rPr>
          <w:color w:val="auto"/>
        </w:rPr>
        <w:t>踏勘现场</w:t>
      </w:r>
    </w:p>
    <w:p>
      <w:pPr>
        <w:pStyle w:val="17"/>
        <w:numPr>
          <w:ilvl w:val="1"/>
          <w:numId w:val="5"/>
        </w:numPr>
        <w:tabs>
          <w:tab w:val="left" w:pos="1469"/>
        </w:tabs>
        <w:spacing w:before="4" w:after="0" w:line="290" w:lineRule="auto"/>
        <w:ind w:left="681" w:right="842" w:firstLine="420"/>
        <w:jc w:val="left"/>
        <w:rPr>
          <w:color w:val="auto"/>
          <w:sz w:val="21"/>
        </w:rPr>
      </w:pPr>
      <w:r>
        <w:rPr>
          <w:color w:val="auto"/>
          <w:spacing w:val="-3"/>
          <w:w w:val="95"/>
          <w:sz w:val="21"/>
        </w:rPr>
        <w:t>投标人可对工程施工现场和周围环境进行踏勘，以获取编制投标文件和签署合同所需</w:t>
      </w:r>
      <w:r>
        <w:rPr>
          <w:color w:val="auto"/>
          <w:spacing w:val="-3"/>
          <w:sz w:val="21"/>
        </w:rPr>
        <w:t>的资料。踏勘现场所发生的费用由投标人自己承担。</w:t>
      </w:r>
    </w:p>
    <w:p>
      <w:pPr>
        <w:pStyle w:val="17"/>
        <w:numPr>
          <w:ilvl w:val="1"/>
          <w:numId w:val="5"/>
        </w:numPr>
        <w:tabs>
          <w:tab w:val="left" w:pos="1469"/>
        </w:tabs>
        <w:spacing w:before="4" w:after="0" w:line="290" w:lineRule="auto"/>
        <w:ind w:left="681" w:right="842" w:firstLine="420"/>
        <w:jc w:val="left"/>
        <w:rPr>
          <w:color w:val="auto"/>
          <w:sz w:val="21"/>
        </w:rPr>
      </w:pPr>
      <w:r>
        <w:rPr>
          <w:color w:val="auto"/>
          <w:spacing w:val="-3"/>
          <w:w w:val="95"/>
          <w:sz w:val="21"/>
        </w:rPr>
        <w:t>招标人向投标人提供的有关施工现场的资料和数据，是招标人现有的能使投标人利用</w:t>
      </w:r>
      <w:r>
        <w:rPr>
          <w:color w:val="auto"/>
          <w:spacing w:val="-3"/>
          <w:sz w:val="21"/>
        </w:rPr>
        <w:t>的资料。招标人对投标人由此而作出的推论、理解、结论概不负责。</w:t>
      </w:r>
    </w:p>
    <w:p>
      <w:pPr>
        <w:pStyle w:val="17"/>
        <w:numPr>
          <w:ilvl w:val="1"/>
          <w:numId w:val="5"/>
        </w:numPr>
        <w:tabs>
          <w:tab w:val="left" w:pos="1469"/>
        </w:tabs>
        <w:spacing w:before="2" w:after="0" w:line="290" w:lineRule="auto"/>
        <w:ind w:left="681" w:right="841" w:firstLine="420"/>
        <w:jc w:val="left"/>
        <w:rPr>
          <w:color w:val="auto"/>
          <w:sz w:val="21"/>
        </w:rPr>
      </w:pPr>
      <w:r>
        <w:rPr>
          <w:color w:val="auto"/>
          <w:spacing w:val="-3"/>
          <w:w w:val="95"/>
          <w:sz w:val="21"/>
        </w:rPr>
        <w:t>除招标人向投标人提供本工程有关的情况外，投标人应通过自行调查取得与本项目可</w:t>
      </w:r>
      <w:r>
        <w:rPr>
          <w:color w:val="auto"/>
          <w:spacing w:val="-3"/>
          <w:sz w:val="21"/>
        </w:rPr>
        <w:t>能发生的费用等有关的全部情况，包括交通、环保、治安等规定和要求。</w:t>
      </w:r>
    </w:p>
    <w:p>
      <w:pPr>
        <w:pStyle w:val="6"/>
        <w:spacing w:before="1"/>
        <w:rPr>
          <w:color w:val="auto"/>
          <w:sz w:val="14"/>
        </w:rPr>
      </w:pPr>
    </w:p>
    <w:p>
      <w:pPr>
        <w:pStyle w:val="2"/>
        <w:tabs>
          <w:tab w:val="left" w:pos="1965"/>
        </w:tabs>
        <w:ind w:left="679"/>
        <w:jc w:val="center"/>
        <w:rPr>
          <w:color w:val="auto"/>
        </w:rPr>
      </w:pPr>
      <w:r>
        <w:rPr>
          <w:color w:val="auto"/>
        </w:rPr>
        <w:t>第二节</w:t>
      </w:r>
      <w:r>
        <w:rPr>
          <w:color w:val="auto"/>
        </w:rPr>
        <w:tab/>
      </w:r>
      <w:bookmarkStart w:id="41" w:name="第二节招标文件"/>
      <w:bookmarkEnd w:id="41"/>
      <w:bookmarkStart w:id="42" w:name="_bookmark10"/>
      <w:bookmarkEnd w:id="42"/>
      <w:r>
        <w:rPr>
          <w:color w:val="auto"/>
        </w:rPr>
        <w:t>招标文件</w:t>
      </w:r>
    </w:p>
    <w:p>
      <w:pPr>
        <w:pStyle w:val="4"/>
        <w:numPr>
          <w:ilvl w:val="0"/>
          <w:numId w:val="4"/>
        </w:numPr>
        <w:tabs>
          <w:tab w:val="left" w:pos="1412"/>
        </w:tabs>
        <w:spacing w:before="123" w:after="0" w:line="240" w:lineRule="auto"/>
        <w:ind w:left="1411" w:right="0" w:hanging="159"/>
        <w:jc w:val="left"/>
        <w:rPr>
          <w:color w:val="auto"/>
        </w:rPr>
      </w:pPr>
      <w:bookmarkStart w:id="43" w:name="8.招标文件的组成"/>
      <w:bookmarkEnd w:id="43"/>
      <w:bookmarkStart w:id="44" w:name="8.招标文件的组成"/>
      <w:bookmarkEnd w:id="44"/>
      <w:r>
        <w:rPr>
          <w:color w:val="auto"/>
        </w:rPr>
        <w:t>招标文件的组成</w:t>
      </w:r>
    </w:p>
    <w:p>
      <w:pPr>
        <w:pStyle w:val="17"/>
        <w:numPr>
          <w:ilvl w:val="1"/>
          <w:numId w:val="6"/>
        </w:numPr>
        <w:tabs>
          <w:tab w:val="left" w:pos="1469"/>
        </w:tabs>
        <w:spacing w:before="35" w:after="0" w:line="266" w:lineRule="auto"/>
        <w:ind w:left="1101" w:right="6247" w:firstLine="0"/>
        <w:jc w:val="left"/>
        <w:rPr>
          <w:color w:val="auto"/>
          <w:sz w:val="21"/>
        </w:rPr>
      </w:pPr>
      <w:r>
        <w:rPr>
          <w:color w:val="auto"/>
          <w:spacing w:val="-2"/>
          <w:sz w:val="21"/>
        </w:rPr>
        <w:t xml:space="preserve">招标文件包括下列内容： </w:t>
      </w:r>
      <w:r>
        <w:rPr>
          <w:color w:val="auto"/>
          <w:spacing w:val="-1"/>
          <w:sz w:val="21"/>
        </w:rPr>
        <w:t>第一章 招标公告</w:t>
      </w:r>
    </w:p>
    <w:p>
      <w:pPr>
        <w:pStyle w:val="6"/>
        <w:spacing w:before="3" w:line="266" w:lineRule="auto"/>
        <w:ind w:left="1101" w:right="5460"/>
        <w:rPr>
          <w:color w:val="auto"/>
        </w:rPr>
      </w:pPr>
      <w:r>
        <w:rPr>
          <w:color w:val="auto"/>
        </w:rPr>
        <w:t>第二章 投标须知及投标须知前附表； 第三章 合同主要条款；</w:t>
      </w:r>
    </w:p>
    <w:p>
      <w:pPr>
        <w:pStyle w:val="6"/>
        <w:spacing w:before="3" w:line="266" w:lineRule="auto"/>
        <w:ind w:left="1101" w:right="5671"/>
        <w:rPr>
          <w:color w:val="auto"/>
        </w:rPr>
      </w:pPr>
      <w:r>
        <w:rPr>
          <w:color w:val="auto"/>
        </w:rPr>
        <w:t>第四章 考核办法和考核评分标准； 第五章 评标办法；</w:t>
      </w:r>
    </w:p>
    <w:p>
      <w:pPr>
        <w:pStyle w:val="6"/>
        <w:spacing w:before="2"/>
        <w:ind w:left="1101"/>
        <w:rPr>
          <w:color w:val="auto"/>
        </w:rPr>
      </w:pPr>
      <w:r>
        <w:rPr>
          <w:color w:val="auto"/>
        </w:rPr>
        <w:t>附件：</w:t>
      </w:r>
    </w:p>
    <w:p>
      <w:pPr>
        <w:pStyle w:val="17"/>
        <w:numPr>
          <w:ilvl w:val="0"/>
          <w:numId w:val="7"/>
        </w:numPr>
        <w:tabs>
          <w:tab w:val="left" w:pos="1416"/>
        </w:tabs>
        <w:spacing w:before="31" w:after="0" w:line="240" w:lineRule="auto"/>
        <w:ind w:left="1416" w:right="0" w:hanging="315"/>
        <w:jc w:val="left"/>
        <w:rPr>
          <w:color w:val="auto"/>
          <w:sz w:val="21"/>
        </w:rPr>
      </w:pPr>
      <w:r>
        <w:rPr>
          <w:color w:val="auto"/>
          <w:sz w:val="21"/>
        </w:rPr>
        <w:t>投标函；</w:t>
      </w:r>
    </w:p>
    <w:p>
      <w:pPr>
        <w:pStyle w:val="17"/>
        <w:numPr>
          <w:ilvl w:val="0"/>
          <w:numId w:val="7"/>
        </w:numPr>
        <w:tabs>
          <w:tab w:val="left" w:pos="1415"/>
        </w:tabs>
        <w:spacing w:before="31" w:after="0" w:line="240" w:lineRule="auto"/>
        <w:ind w:left="1414" w:right="0" w:hanging="313"/>
        <w:jc w:val="left"/>
        <w:rPr>
          <w:color w:val="auto"/>
          <w:sz w:val="21"/>
        </w:rPr>
      </w:pPr>
      <w:r>
        <w:rPr>
          <w:color w:val="auto"/>
          <w:sz w:val="21"/>
        </w:rPr>
        <w:t>台州市建设工程诚信投标承诺书；</w:t>
      </w:r>
    </w:p>
    <w:p>
      <w:pPr>
        <w:pStyle w:val="17"/>
        <w:numPr>
          <w:ilvl w:val="0"/>
          <w:numId w:val="7"/>
        </w:numPr>
        <w:tabs>
          <w:tab w:val="left" w:pos="1415"/>
        </w:tabs>
        <w:spacing w:before="31" w:after="0" w:line="240" w:lineRule="auto"/>
        <w:ind w:left="1414" w:right="0" w:hanging="313"/>
        <w:jc w:val="left"/>
        <w:rPr>
          <w:color w:val="auto"/>
          <w:sz w:val="21"/>
        </w:rPr>
      </w:pPr>
      <w:r>
        <w:rPr>
          <w:color w:val="auto"/>
          <w:sz w:val="21"/>
        </w:rPr>
        <w:t>法定代表人授权委托书；</w:t>
      </w:r>
    </w:p>
    <w:p>
      <w:pPr>
        <w:pStyle w:val="17"/>
        <w:numPr>
          <w:ilvl w:val="0"/>
          <w:numId w:val="7"/>
        </w:numPr>
        <w:tabs>
          <w:tab w:val="left" w:pos="1415"/>
        </w:tabs>
        <w:spacing w:before="31" w:after="0" w:line="240" w:lineRule="auto"/>
        <w:ind w:left="1414" w:right="0" w:hanging="313"/>
        <w:jc w:val="left"/>
        <w:rPr>
          <w:color w:val="auto"/>
          <w:sz w:val="21"/>
        </w:rPr>
      </w:pPr>
      <w:r>
        <w:rPr>
          <w:color w:val="auto"/>
          <w:sz w:val="21"/>
        </w:rPr>
        <w:t>相关证书复印件。</w:t>
      </w:r>
    </w:p>
    <w:p>
      <w:pPr>
        <w:pStyle w:val="4"/>
        <w:numPr>
          <w:ilvl w:val="1"/>
          <w:numId w:val="6"/>
        </w:numPr>
        <w:tabs>
          <w:tab w:val="left" w:pos="1469"/>
        </w:tabs>
        <w:spacing w:before="2" w:after="0" w:line="290" w:lineRule="auto"/>
        <w:ind w:left="681" w:right="806" w:firstLine="420"/>
        <w:jc w:val="left"/>
        <w:rPr>
          <w:rFonts w:hint="eastAsia" w:ascii="宋体" w:eastAsia="宋体"/>
          <w:color w:val="auto"/>
        </w:rPr>
      </w:pPr>
      <w:r>
        <w:rPr>
          <w:rFonts w:hint="eastAsia" w:ascii="宋体" w:eastAsia="宋体"/>
          <w:color w:val="auto"/>
          <w:spacing w:val="-6"/>
          <w:w w:val="95"/>
        </w:rPr>
        <w:t>除上款内容外，招标人在提交投标文件截止时间前，发布在交易场所</w:t>
      </w:r>
      <w:r>
        <w:rPr>
          <w:rFonts w:hint="eastAsia" w:ascii="宋体" w:eastAsia="宋体"/>
          <w:color w:val="auto"/>
          <w:spacing w:val="4"/>
          <w:w w:val="95"/>
        </w:rPr>
        <w:t>（</w:t>
      </w:r>
      <w:r>
        <w:rPr>
          <w:rFonts w:hint="eastAsia" w:ascii="宋体" w:eastAsia="宋体"/>
          <w:color w:val="auto"/>
          <w:w w:val="95"/>
        </w:rPr>
        <w:t>发布招标公告</w:t>
      </w:r>
      <w:r>
        <w:rPr>
          <w:rFonts w:hint="eastAsia" w:ascii="宋体" w:eastAsia="宋体"/>
          <w:color w:val="auto"/>
          <w:spacing w:val="4"/>
          <w:w w:val="95"/>
        </w:rPr>
        <w:t>的媒体上）</w:t>
      </w:r>
      <w:r>
        <w:rPr>
          <w:rFonts w:hint="eastAsia" w:ascii="宋体" w:eastAsia="宋体"/>
          <w:color w:val="auto"/>
          <w:spacing w:val="2"/>
          <w:w w:val="95"/>
        </w:rPr>
        <w:t>对招标文件的澄清或修改内容，均为招标文件的组成部分，对招标人和投标人起</w:t>
      </w:r>
    </w:p>
    <w:p>
      <w:pPr>
        <w:spacing w:after="0" w:line="290" w:lineRule="auto"/>
        <w:jc w:val="left"/>
        <w:rPr>
          <w:rFonts w:hint="eastAsia" w:ascii="宋体" w:eastAsia="宋体"/>
          <w:color w:val="auto"/>
        </w:rPr>
        <w:sectPr>
          <w:type w:val="continuous"/>
          <w:pgSz w:w="11910" w:h="16840"/>
          <w:pgMar w:top="1600" w:right="860" w:bottom="280" w:left="1020" w:header="720" w:footer="720" w:gutter="0"/>
        </w:sectPr>
      </w:pPr>
    </w:p>
    <w:p>
      <w:pPr>
        <w:spacing w:before="75"/>
        <w:ind w:left="681" w:right="0" w:firstLine="0"/>
        <w:jc w:val="left"/>
        <w:rPr>
          <w:b/>
          <w:color w:val="auto"/>
          <w:sz w:val="21"/>
        </w:rPr>
      </w:pPr>
      <w:r>
        <w:rPr>
          <w:b/>
          <w:color w:val="auto"/>
          <w:sz w:val="21"/>
        </w:rPr>
        <w:t>约束作用，投标人应经常浏览发布招标公告的媒体。</w:t>
      </w:r>
    </w:p>
    <w:p>
      <w:pPr>
        <w:pStyle w:val="17"/>
        <w:numPr>
          <w:ilvl w:val="1"/>
          <w:numId w:val="6"/>
        </w:numPr>
        <w:tabs>
          <w:tab w:val="left" w:pos="1469"/>
        </w:tabs>
        <w:spacing w:before="57" w:after="0" w:line="292" w:lineRule="auto"/>
        <w:ind w:left="681" w:right="734" w:firstLine="420"/>
        <w:jc w:val="left"/>
        <w:rPr>
          <w:color w:val="auto"/>
          <w:sz w:val="21"/>
        </w:rPr>
      </w:pPr>
      <w:r>
        <w:rPr>
          <w:color w:val="auto"/>
          <w:spacing w:val="-3"/>
          <w:sz w:val="21"/>
        </w:rPr>
        <w:t>投标人获取招标文件及相关附件。投标人在获取招标文件后，应仔细检查招标文件的</w:t>
      </w:r>
      <w:r>
        <w:rPr>
          <w:color w:val="auto"/>
          <w:spacing w:val="-10"/>
          <w:sz w:val="21"/>
        </w:rPr>
        <w:t xml:space="preserve">所有内容，如有残缺等问题应在获得招标文件 </w:t>
      </w:r>
      <w:r>
        <w:rPr>
          <w:rFonts w:ascii="Times New Roman" w:eastAsia="Times New Roman"/>
          <w:color w:val="auto"/>
          <w:sz w:val="21"/>
        </w:rPr>
        <w:t>3</w:t>
      </w:r>
      <w:r>
        <w:rPr>
          <w:rFonts w:ascii="Times New Roman" w:eastAsia="Times New Roman"/>
          <w:color w:val="auto"/>
          <w:spacing w:val="-4"/>
          <w:sz w:val="21"/>
        </w:rPr>
        <w:t xml:space="preserve"> </w:t>
      </w:r>
      <w:r>
        <w:rPr>
          <w:color w:val="auto"/>
          <w:spacing w:val="-7"/>
          <w:sz w:val="21"/>
        </w:rPr>
        <w:t>日内向招标人提出，否则，由此引起的损失由</w:t>
      </w:r>
      <w:r>
        <w:rPr>
          <w:color w:val="auto"/>
          <w:spacing w:val="-7"/>
          <w:w w:val="95"/>
          <w:sz w:val="21"/>
        </w:rPr>
        <w:t xml:space="preserve">投标人自己承担。投标人应同时认真审阅招标文件中所有的事项、格式、条款和规范要求等，   </w:t>
      </w:r>
      <w:r>
        <w:rPr>
          <w:color w:val="auto"/>
          <w:spacing w:val="-11"/>
          <w:sz w:val="21"/>
        </w:rPr>
        <w:t>若投标人的投标文件没有按招标文件要求提交全部资料，或投标文件没有对招标文件做出实质性响应，其风险由投标人自行承担，并根据有关条款规定，该投标有可能被拒绝。</w:t>
      </w:r>
    </w:p>
    <w:p>
      <w:pPr>
        <w:pStyle w:val="4"/>
        <w:numPr>
          <w:ilvl w:val="0"/>
          <w:numId w:val="4"/>
        </w:numPr>
        <w:tabs>
          <w:tab w:val="left" w:pos="1412"/>
        </w:tabs>
        <w:spacing w:before="159" w:after="0" w:line="240" w:lineRule="auto"/>
        <w:ind w:left="1411" w:right="0" w:hanging="159"/>
        <w:jc w:val="left"/>
        <w:rPr>
          <w:color w:val="auto"/>
        </w:rPr>
      </w:pPr>
      <w:bookmarkStart w:id="45" w:name="9.招标文件的澄清"/>
      <w:bookmarkEnd w:id="45"/>
      <w:bookmarkStart w:id="46" w:name="9.招标文件的澄清"/>
      <w:bookmarkEnd w:id="46"/>
      <w:r>
        <w:rPr>
          <w:color w:val="auto"/>
        </w:rPr>
        <w:t>招标文件的澄清</w:t>
      </w:r>
    </w:p>
    <w:p>
      <w:pPr>
        <w:pStyle w:val="6"/>
        <w:spacing w:before="4" w:line="292" w:lineRule="auto"/>
        <w:ind w:left="681" w:right="837" w:firstLine="420"/>
        <w:jc w:val="both"/>
        <w:rPr>
          <w:color w:val="auto"/>
        </w:rPr>
      </w:pPr>
      <w:r>
        <w:rPr>
          <w:rFonts w:ascii="Times New Roman" w:eastAsia="Times New Roman"/>
          <w:color w:val="auto"/>
        </w:rPr>
        <w:t xml:space="preserve">9.1 </w:t>
      </w:r>
      <w:r>
        <w:rPr>
          <w:color w:val="auto"/>
          <w:spacing w:val="-5"/>
        </w:rPr>
        <w:t xml:space="preserve">投标人获取招标文件后，若有问题需要澄清，应在获得招标文件 </w:t>
      </w:r>
      <w:r>
        <w:rPr>
          <w:rFonts w:ascii="Times New Roman" w:eastAsia="Times New Roman"/>
          <w:color w:val="auto"/>
        </w:rPr>
        <w:t xml:space="preserve">3 </w:t>
      </w:r>
      <w:r>
        <w:rPr>
          <w:color w:val="auto"/>
          <w:spacing w:val="-4"/>
        </w:rPr>
        <w:t>日内，以无记名书</w:t>
      </w:r>
      <w:r>
        <w:rPr>
          <w:color w:val="auto"/>
          <w:spacing w:val="-11"/>
          <w:w w:val="95"/>
        </w:rPr>
        <w:t xml:space="preserve">面形式向招标人提出，招标人的书面答复将送给所有获得招标文件的投标人。招标人及招标代   </w:t>
      </w:r>
      <w:r>
        <w:rPr>
          <w:color w:val="auto"/>
          <w:spacing w:val="-15"/>
          <w:w w:val="95"/>
        </w:rPr>
        <w:t xml:space="preserve">理机构的任何工作人员对投标人所作的任何口头解释、介绍、答复，只能供投标人参考，对招   </w:t>
      </w:r>
      <w:r>
        <w:rPr>
          <w:color w:val="auto"/>
          <w:spacing w:val="-15"/>
        </w:rPr>
        <w:t>标人无任何约束力。</w:t>
      </w:r>
    </w:p>
    <w:p>
      <w:pPr>
        <w:pStyle w:val="4"/>
        <w:numPr>
          <w:ilvl w:val="0"/>
          <w:numId w:val="4"/>
        </w:numPr>
        <w:tabs>
          <w:tab w:val="left" w:pos="1518"/>
        </w:tabs>
        <w:spacing w:before="161" w:after="0" w:line="240" w:lineRule="auto"/>
        <w:ind w:left="1517" w:right="0" w:hanging="265"/>
        <w:jc w:val="left"/>
        <w:rPr>
          <w:color w:val="auto"/>
        </w:rPr>
      </w:pPr>
      <w:bookmarkStart w:id="47" w:name="10.招标文件的修改"/>
      <w:bookmarkEnd w:id="47"/>
      <w:bookmarkStart w:id="48" w:name="10.招标文件的修改"/>
      <w:bookmarkEnd w:id="48"/>
      <w:r>
        <w:rPr>
          <w:color w:val="auto"/>
        </w:rPr>
        <w:t>招标文件的修改</w:t>
      </w:r>
    </w:p>
    <w:p>
      <w:pPr>
        <w:pStyle w:val="17"/>
        <w:numPr>
          <w:ilvl w:val="1"/>
          <w:numId w:val="4"/>
        </w:numPr>
        <w:tabs>
          <w:tab w:val="left" w:pos="1572"/>
        </w:tabs>
        <w:spacing w:before="7" w:after="0" w:line="240" w:lineRule="auto"/>
        <w:ind w:left="1572" w:right="0" w:hanging="471"/>
        <w:jc w:val="left"/>
        <w:rPr>
          <w:color w:val="auto"/>
          <w:sz w:val="21"/>
        </w:rPr>
      </w:pPr>
      <w:r>
        <w:rPr>
          <w:color w:val="auto"/>
          <w:sz w:val="21"/>
        </w:rPr>
        <w:t>在投标截止日期前，招标人可能以补充通知的方式修改招标文件。</w:t>
      </w:r>
    </w:p>
    <w:p>
      <w:pPr>
        <w:pStyle w:val="17"/>
        <w:numPr>
          <w:ilvl w:val="1"/>
          <w:numId w:val="4"/>
        </w:numPr>
        <w:tabs>
          <w:tab w:val="left" w:pos="1572"/>
        </w:tabs>
        <w:spacing w:before="57" w:after="0" w:line="290" w:lineRule="auto"/>
        <w:ind w:left="681" w:right="733" w:firstLine="420"/>
        <w:jc w:val="left"/>
        <w:rPr>
          <w:color w:val="auto"/>
          <w:sz w:val="21"/>
        </w:rPr>
      </w:pPr>
      <w:r>
        <w:rPr>
          <w:color w:val="auto"/>
          <w:spacing w:val="-6"/>
          <w:w w:val="95"/>
          <w:sz w:val="21"/>
        </w:rPr>
        <w:t>招标文件的澄清、修改、补充等内容均以发布在交易场所</w:t>
      </w:r>
      <w:r>
        <w:rPr>
          <w:color w:val="auto"/>
          <w:w w:val="95"/>
          <w:sz w:val="21"/>
        </w:rPr>
        <w:t xml:space="preserve">（发布招标公告的媒体上）  </w:t>
      </w:r>
      <w:r>
        <w:rPr>
          <w:color w:val="auto"/>
          <w:spacing w:val="-9"/>
          <w:sz w:val="21"/>
        </w:rPr>
        <w:t>的内容为准。当招标文件、招标文件的澄清、修改、补充等在同一内容的表述上不一致时，以最后发出的文件为准。</w:t>
      </w:r>
    </w:p>
    <w:p>
      <w:pPr>
        <w:pStyle w:val="17"/>
        <w:numPr>
          <w:ilvl w:val="1"/>
          <w:numId w:val="4"/>
        </w:numPr>
        <w:tabs>
          <w:tab w:val="left" w:pos="1572"/>
        </w:tabs>
        <w:spacing w:before="3" w:after="0" w:line="292" w:lineRule="auto"/>
        <w:ind w:left="681" w:right="734" w:firstLine="420"/>
        <w:jc w:val="left"/>
        <w:rPr>
          <w:color w:val="auto"/>
          <w:sz w:val="21"/>
        </w:rPr>
      </w:pPr>
      <w:r>
        <w:rPr>
          <w:color w:val="auto"/>
          <w:spacing w:val="-4"/>
          <w:w w:val="95"/>
          <w:sz w:val="21"/>
        </w:rPr>
        <w:t>招标文件的澄清、修改、补充等内容将发布在交易场所</w:t>
      </w:r>
      <w:r>
        <w:rPr>
          <w:color w:val="auto"/>
          <w:w w:val="95"/>
          <w:sz w:val="21"/>
        </w:rPr>
        <w:t>（发布招标公告的媒体上</w:t>
      </w:r>
      <w:r>
        <w:rPr>
          <w:color w:val="auto"/>
          <w:spacing w:val="-7"/>
          <w:w w:val="95"/>
          <w:sz w:val="21"/>
        </w:rPr>
        <w:t xml:space="preserve">），   </w:t>
      </w:r>
      <w:r>
        <w:rPr>
          <w:color w:val="auto"/>
          <w:sz w:val="21"/>
        </w:rPr>
        <w:t>这些内容作为招标文件的组成部分，对投标人起约束作用。</w:t>
      </w:r>
    </w:p>
    <w:p>
      <w:pPr>
        <w:pStyle w:val="4"/>
        <w:numPr>
          <w:ilvl w:val="0"/>
          <w:numId w:val="4"/>
        </w:numPr>
        <w:tabs>
          <w:tab w:val="left" w:pos="1506"/>
        </w:tabs>
        <w:spacing w:before="164" w:after="0" w:line="240" w:lineRule="auto"/>
        <w:ind w:left="1505" w:right="0" w:hanging="253"/>
        <w:jc w:val="left"/>
        <w:rPr>
          <w:color w:val="auto"/>
        </w:rPr>
      </w:pPr>
      <w:bookmarkStart w:id="49" w:name="11.招标文件的备案"/>
      <w:bookmarkEnd w:id="49"/>
      <w:bookmarkStart w:id="50" w:name="11.招标文件的备案"/>
      <w:bookmarkEnd w:id="50"/>
      <w:r>
        <w:rPr>
          <w:color w:val="auto"/>
        </w:rPr>
        <w:t>招标文件的备案</w:t>
      </w:r>
    </w:p>
    <w:p>
      <w:pPr>
        <w:pStyle w:val="17"/>
        <w:numPr>
          <w:ilvl w:val="1"/>
          <w:numId w:val="4"/>
        </w:numPr>
        <w:tabs>
          <w:tab w:val="left" w:pos="1565"/>
        </w:tabs>
        <w:spacing w:before="4" w:after="0" w:line="240" w:lineRule="auto"/>
        <w:ind w:left="1564" w:right="0" w:hanging="463"/>
        <w:jc w:val="left"/>
        <w:rPr>
          <w:color w:val="auto"/>
          <w:sz w:val="21"/>
        </w:rPr>
      </w:pPr>
      <w:r>
        <w:rPr>
          <w:color w:val="auto"/>
          <w:sz w:val="21"/>
        </w:rPr>
        <w:t>本招标文件（包括澄清、修改、补充文件、答复等）报招标监管机构备案。</w:t>
      </w:r>
    </w:p>
    <w:p>
      <w:pPr>
        <w:pStyle w:val="6"/>
        <w:spacing w:before="5"/>
        <w:rPr>
          <w:color w:val="auto"/>
          <w:sz w:val="17"/>
        </w:rPr>
      </w:pPr>
    </w:p>
    <w:p>
      <w:pPr>
        <w:pStyle w:val="4"/>
        <w:numPr>
          <w:ilvl w:val="0"/>
          <w:numId w:val="4"/>
        </w:numPr>
        <w:tabs>
          <w:tab w:val="left" w:pos="1518"/>
        </w:tabs>
        <w:spacing w:before="1" w:after="0" w:line="240" w:lineRule="auto"/>
        <w:ind w:left="1517" w:right="0" w:hanging="265"/>
        <w:jc w:val="left"/>
        <w:rPr>
          <w:color w:val="auto"/>
        </w:rPr>
      </w:pPr>
      <w:bookmarkStart w:id="51" w:name="12.招标文件的解释权"/>
      <w:bookmarkEnd w:id="51"/>
      <w:bookmarkStart w:id="52" w:name="12.招标文件的解释权"/>
      <w:bookmarkEnd w:id="52"/>
      <w:r>
        <w:rPr>
          <w:color w:val="auto"/>
        </w:rPr>
        <w:t>招标文件的解释权</w:t>
      </w:r>
    </w:p>
    <w:p>
      <w:pPr>
        <w:pStyle w:val="17"/>
        <w:numPr>
          <w:ilvl w:val="1"/>
          <w:numId w:val="4"/>
        </w:numPr>
        <w:tabs>
          <w:tab w:val="left" w:pos="1572"/>
        </w:tabs>
        <w:spacing w:before="4" w:after="0" w:line="240" w:lineRule="auto"/>
        <w:ind w:left="1572" w:right="0" w:hanging="471"/>
        <w:jc w:val="left"/>
        <w:rPr>
          <w:color w:val="auto"/>
          <w:sz w:val="21"/>
        </w:rPr>
      </w:pPr>
      <w:r>
        <w:rPr>
          <w:color w:val="auto"/>
          <w:sz w:val="21"/>
        </w:rPr>
        <w:t>本招标文件（包括澄清、修改、补充文件、答复等）的解释权属招标人。</w:t>
      </w:r>
    </w:p>
    <w:p>
      <w:pPr>
        <w:pStyle w:val="6"/>
        <w:spacing w:before="6"/>
        <w:rPr>
          <w:color w:val="auto"/>
          <w:sz w:val="18"/>
        </w:rPr>
      </w:pPr>
    </w:p>
    <w:p>
      <w:pPr>
        <w:spacing w:after="0"/>
        <w:rPr>
          <w:color w:val="auto"/>
          <w:sz w:val="18"/>
        </w:rPr>
        <w:sectPr>
          <w:pgSz w:w="11910" w:h="16840"/>
          <w:pgMar w:top="1360" w:right="860" w:bottom="1060" w:left="1020" w:header="873" w:footer="863" w:gutter="0"/>
        </w:sectPr>
      </w:pPr>
    </w:p>
    <w:p>
      <w:pPr>
        <w:pStyle w:val="6"/>
        <w:rPr>
          <w:color w:val="auto"/>
          <w:sz w:val="22"/>
        </w:rPr>
      </w:pPr>
    </w:p>
    <w:p>
      <w:pPr>
        <w:pStyle w:val="6"/>
        <w:spacing w:before="10"/>
        <w:rPr>
          <w:color w:val="auto"/>
          <w:sz w:val="23"/>
        </w:rPr>
      </w:pPr>
    </w:p>
    <w:p>
      <w:pPr>
        <w:pStyle w:val="4"/>
        <w:numPr>
          <w:ilvl w:val="0"/>
          <w:numId w:val="4"/>
        </w:numPr>
        <w:tabs>
          <w:tab w:val="left" w:pos="1518"/>
        </w:tabs>
        <w:spacing w:before="0" w:after="0" w:line="240" w:lineRule="auto"/>
        <w:ind w:left="1517" w:right="0" w:hanging="265"/>
        <w:jc w:val="left"/>
        <w:rPr>
          <w:color w:val="auto"/>
        </w:rPr>
      </w:pPr>
      <w:bookmarkStart w:id="53" w:name="13.投标文件的组成"/>
      <w:bookmarkEnd w:id="53"/>
      <w:bookmarkStart w:id="54" w:name="13.投标文件的组成"/>
      <w:bookmarkEnd w:id="54"/>
      <w:r>
        <w:rPr>
          <w:color w:val="auto"/>
          <w:spacing w:val="-3"/>
        </w:rPr>
        <w:t>投标文件的组成</w:t>
      </w:r>
    </w:p>
    <w:p>
      <w:pPr>
        <w:pStyle w:val="2"/>
        <w:tabs>
          <w:tab w:val="left" w:pos="1841"/>
        </w:tabs>
        <w:ind w:left="555"/>
        <w:rPr>
          <w:color w:val="auto"/>
        </w:rPr>
      </w:pPr>
      <w:r>
        <w:rPr>
          <w:b w:val="0"/>
          <w:color w:val="auto"/>
        </w:rPr>
        <w:br w:type="column"/>
      </w:r>
      <w:r>
        <w:rPr>
          <w:color w:val="auto"/>
        </w:rPr>
        <w:t>第三节</w:t>
      </w:r>
      <w:r>
        <w:rPr>
          <w:color w:val="auto"/>
        </w:rPr>
        <w:tab/>
      </w:r>
      <w:bookmarkStart w:id="55" w:name="_bookmark11"/>
      <w:bookmarkEnd w:id="55"/>
      <w:bookmarkStart w:id="56" w:name="第三节投标文件的编制"/>
      <w:bookmarkEnd w:id="56"/>
      <w:r>
        <w:rPr>
          <w:color w:val="auto"/>
        </w:rPr>
        <w:t>投标文件的编制</w:t>
      </w:r>
    </w:p>
    <w:p>
      <w:pPr>
        <w:spacing w:after="0"/>
        <w:rPr>
          <w:color w:val="auto"/>
        </w:rPr>
        <w:sectPr>
          <w:type w:val="continuous"/>
          <w:pgSz w:w="11910" w:h="16840"/>
          <w:pgMar w:top="1600" w:right="860" w:bottom="280" w:left="1020" w:header="720" w:footer="720" w:gutter="0"/>
          <w:cols w:equalWidth="0" w:num="2">
            <w:col w:w="2991" w:space="40"/>
            <w:col w:w="6999"/>
          </w:cols>
        </w:sectPr>
      </w:pPr>
    </w:p>
    <w:p>
      <w:pPr>
        <w:pStyle w:val="17"/>
        <w:numPr>
          <w:ilvl w:val="1"/>
          <w:numId w:val="4"/>
        </w:numPr>
        <w:tabs>
          <w:tab w:val="left" w:pos="1572"/>
        </w:tabs>
        <w:spacing w:before="7" w:after="0" w:line="240" w:lineRule="auto"/>
        <w:ind w:left="1572" w:right="0" w:hanging="471"/>
        <w:jc w:val="left"/>
        <w:rPr>
          <w:color w:val="auto"/>
          <w:sz w:val="21"/>
        </w:rPr>
      </w:pPr>
      <w:r>
        <w:rPr>
          <w:color w:val="auto"/>
          <w:spacing w:val="-3"/>
          <w:sz w:val="21"/>
        </w:rPr>
        <w:t xml:space="preserve">本招标工程项目的投标文件组成详见本须知前附表第 </w:t>
      </w:r>
      <w:r>
        <w:rPr>
          <w:rFonts w:ascii="Times New Roman" w:eastAsia="Times New Roman"/>
          <w:color w:val="auto"/>
          <w:sz w:val="21"/>
        </w:rPr>
        <w:t>14</w:t>
      </w:r>
      <w:r>
        <w:rPr>
          <w:rFonts w:ascii="Times New Roman" w:eastAsia="Times New Roman"/>
          <w:color w:val="auto"/>
          <w:spacing w:val="-1"/>
          <w:sz w:val="21"/>
        </w:rPr>
        <w:t xml:space="preserve"> </w:t>
      </w:r>
      <w:r>
        <w:rPr>
          <w:color w:val="auto"/>
          <w:sz w:val="21"/>
        </w:rPr>
        <w:t>项。</w:t>
      </w:r>
    </w:p>
    <w:p>
      <w:pPr>
        <w:pStyle w:val="6"/>
        <w:spacing w:before="5"/>
        <w:rPr>
          <w:color w:val="auto"/>
          <w:sz w:val="17"/>
        </w:rPr>
      </w:pPr>
    </w:p>
    <w:p>
      <w:pPr>
        <w:pStyle w:val="4"/>
        <w:numPr>
          <w:ilvl w:val="0"/>
          <w:numId w:val="4"/>
        </w:numPr>
        <w:tabs>
          <w:tab w:val="left" w:pos="1518"/>
        </w:tabs>
        <w:spacing w:before="0" w:after="0" w:line="240" w:lineRule="auto"/>
        <w:ind w:left="1517" w:right="0" w:hanging="265"/>
        <w:jc w:val="left"/>
        <w:rPr>
          <w:color w:val="auto"/>
        </w:rPr>
      </w:pPr>
      <w:bookmarkStart w:id="57" w:name="14.投标文件的格式"/>
      <w:bookmarkEnd w:id="57"/>
      <w:bookmarkStart w:id="58" w:name="14.投标文件的格式"/>
      <w:bookmarkEnd w:id="58"/>
      <w:r>
        <w:rPr>
          <w:color w:val="auto"/>
        </w:rPr>
        <w:t>投标文件的格式</w:t>
      </w:r>
    </w:p>
    <w:p>
      <w:pPr>
        <w:pStyle w:val="17"/>
        <w:numPr>
          <w:ilvl w:val="1"/>
          <w:numId w:val="4"/>
        </w:numPr>
        <w:tabs>
          <w:tab w:val="left" w:pos="1572"/>
        </w:tabs>
        <w:spacing w:before="7" w:after="0" w:line="240" w:lineRule="auto"/>
        <w:ind w:left="1572" w:right="0" w:hanging="471"/>
        <w:jc w:val="left"/>
        <w:rPr>
          <w:color w:val="auto"/>
          <w:sz w:val="21"/>
        </w:rPr>
      </w:pPr>
      <w:r>
        <w:rPr>
          <w:color w:val="auto"/>
          <w:spacing w:val="-2"/>
          <w:sz w:val="21"/>
        </w:rPr>
        <w:t xml:space="preserve">本招标工程项目的投标文件格式要求详见本须知前附表第 </w:t>
      </w:r>
      <w:r>
        <w:rPr>
          <w:rFonts w:ascii="Times New Roman" w:eastAsia="Times New Roman"/>
          <w:color w:val="auto"/>
          <w:sz w:val="21"/>
        </w:rPr>
        <w:t>15</w:t>
      </w:r>
      <w:r>
        <w:rPr>
          <w:rFonts w:ascii="Times New Roman" w:eastAsia="Times New Roman"/>
          <w:color w:val="auto"/>
          <w:spacing w:val="-1"/>
          <w:sz w:val="21"/>
        </w:rPr>
        <w:t xml:space="preserve"> </w:t>
      </w:r>
      <w:r>
        <w:rPr>
          <w:color w:val="auto"/>
          <w:sz w:val="21"/>
        </w:rPr>
        <w:t>项。</w:t>
      </w:r>
    </w:p>
    <w:p>
      <w:pPr>
        <w:pStyle w:val="6"/>
        <w:spacing w:before="5"/>
        <w:rPr>
          <w:color w:val="auto"/>
          <w:sz w:val="17"/>
        </w:rPr>
      </w:pPr>
    </w:p>
    <w:p>
      <w:pPr>
        <w:pStyle w:val="4"/>
        <w:numPr>
          <w:ilvl w:val="0"/>
          <w:numId w:val="4"/>
        </w:numPr>
        <w:tabs>
          <w:tab w:val="left" w:pos="1518"/>
        </w:tabs>
        <w:spacing w:before="0" w:after="0" w:line="240" w:lineRule="auto"/>
        <w:ind w:left="1517" w:right="0" w:hanging="265"/>
        <w:jc w:val="left"/>
        <w:rPr>
          <w:color w:val="auto"/>
        </w:rPr>
      </w:pPr>
      <w:bookmarkStart w:id="59" w:name="15.投标报价组成"/>
      <w:bookmarkEnd w:id="59"/>
      <w:bookmarkStart w:id="60" w:name="15.投标报价组成"/>
      <w:bookmarkEnd w:id="60"/>
      <w:r>
        <w:rPr>
          <w:color w:val="auto"/>
        </w:rPr>
        <w:t>投标报价组成</w:t>
      </w:r>
    </w:p>
    <w:p>
      <w:pPr>
        <w:pStyle w:val="17"/>
        <w:numPr>
          <w:ilvl w:val="1"/>
          <w:numId w:val="4"/>
        </w:numPr>
        <w:tabs>
          <w:tab w:val="left" w:pos="1572"/>
        </w:tabs>
        <w:spacing w:before="4" w:after="0" w:line="240" w:lineRule="auto"/>
        <w:ind w:left="1572" w:right="0" w:hanging="471"/>
        <w:jc w:val="left"/>
        <w:rPr>
          <w:color w:val="auto"/>
          <w:sz w:val="21"/>
        </w:rPr>
      </w:pPr>
      <w:r>
        <w:rPr>
          <w:color w:val="auto"/>
          <w:spacing w:val="-3"/>
          <w:sz w:val="21"/>
        </w:rPr>
        <w:t xml:space="preserve">报价方式：本工程项目报价方式详见本须知前附表第 </w:t>
      </w:r>
      <w:r>
        <w:rPr>
          <w:rFonts w:ascii="Times New Roman" w:eastAsia="Times New Roman"/>
          <w:color w:val="auto"/>
          <w:sz w:val="21"/>
        </w:rPr>
        <w:t>16</w:t>
      </w:r>
      <w:r>
        <w:rPr>
          <w:rFonts w:ascii="Times New Roman" w:eastAsia="Times New Roman"/>
          <w:color w:val="auto"/>
          <w:spacing w:val="-1"/>
          <w:sz w:val="21"/>
        </w:rPr>
        <w:t xml:space="preserve"> </w:t>
      </w:r>
      <w:r>
        <w:rPr>
          <w:color w:val="auto"/>
          <w:sz w:val="21"/>
        </w:rPr>
        <w:t>项。</w:t>
      </w:r>
    </w:p>
    <w:p>
      <w:pPr>
        <w:pStyle w:val="17"/>
        <w:numPr>
          <w:ilvl w:val="1"/>
          <w:numId w:val="4"/>
        </w:numPr>
        <w:tabs>
          <w:tab w:val="left" w:pos="1572"/>
        </w:tabs>
        <w:spacing w:before="58" w:after="0" w:line="292" w:lineRule="auto"/>
        <w:ind w:left="681" w:right="734" w:firstLine="420"/>
        <w:jc w:val="left"/>
        <w:rPr>
          <w:color w:val="auto"/>
          <w:sz w:val="21"/>
        </w:rPr>
      </w:pPr>
      <w:r>
        <w:rPr>
          <w:color w:val="auto"/>
          <w:sz w:val="21"/>
        </w:rPr>
        <w:t>投标总报价应是招标文件所确定的招标范围内全部工作内容的价格表现。其应包括</w:t>
      </w:r>
      <w:r>
        <w:rPr>
          <w:color w:val="auto"/>
          <w:w w:val="95"/>
          <w:sz w:val="21"/>
        </w:rPr>
        <w:t xml:space="preserve">在承包区域内提供道路清扫保洁服务所需的人工费（包括工人工资、奖金、房补、劳保福利、   社保、意外保险、工伤费、教育培训费、暂住费及处理一切伤亡事故等费用）、机械台班费、   </w:t>
      </w:r>
      <w:r>
        <w:rPr>
          <w:color w:val="auto"/>
          <w:spacing w:val="-8"/>
          <w:sz w:val="21"/>
        </w:rPr>
        <w:t>水电费、工具材料费、垃圾清运费、安全文明生产装备费</w:t>
      </w:r>
      <w:r>
        <w:rPr>
          <w:color w:val="auto"/>
          <w:sz w:val="21"/>
        </w:rPr>
        <w:t>（</w:t>
      </w:r>
      <w:r>
        <w:rPr>
          <w:color w:val="auto"/>
          <w:spacing w:val="-5"/>
          <w:sz w:val="21"/>
        </w:rPr>
        <w:t>包括工人冬、夏装工作服、反光衣帽等</w:t>
      </w:r>
      <w:r>
        <w:rPr>
          <w:color w:val="auto"/>
          <w:spacing w:val="-27"/>
          <w:sz w:val="21"/>
        </w:rPr>
        <w:t>）</w:t>
      </w:r>
      <w:r>
        <w:rPr>
          <w:color w:val="auto"/>
          <w:spacing w:val="-8"/>
          <w:sz w:val="21"/>
        </w:rPr>
        <w:t>、重大活动及应急任务费用、企业应缴税金和应得利润、应急等完成合同所需的一切本</w:t>
      </w:r>
      <w:r>
        <w:rPr>
          <w:color w:val="auto"/>
          <w:spacing w:val="-14"/>
          <w:sz w:val="21"/>
        </w:rPr>
        <w:t>身和不可或缺的所有工作开支、政策性文件规定计合同包含的所有风险、责任等各项全部费用</w:t>
      </w:r>
      <w:r>
        <w:rPr>
          <w:color w:val="auto"/>
          <w:sz w:val="21"/>
        </w:rPr>
        <w:t>并承担一切风险责任。投标供应商认为完成本招标文件规定的项目承包内容所发生的直接成</w:t>
      </w:r>
      <w:r>
        <w:rPr>
          <w:color w:val="auto"/>
          <w:spacing w:val="-11"/>
          <w:sz w:val="21"/>
        </w:rPr>
        <w:t>本、间接成本、利润、税金、政策性文件规定的费用、设备进出场费等一切费用均应计入投标报价，凡未列入的将被认为均已包含在投标总价中，今后不得以任何理由追加或调整。</w:t>
      </w:r>
    </w:p>
    <w:p>
      <w:pPr>
        <w:spacing w:after="0" w:line="292" w:lineRule="auto"/>
        <w:jc w:val="left"/>
        <w:rPr>
          <w:color w:val="auto"/>
          <w:sz w:val="21"/>
        </w:rPr>
        <w:sectPr>
          <w:type w:val="continuous"/>
          <w:pgSz w:w="11910" w:h="16840"/>
          <w:pgMar w:top="1600" w:right="860" w:bottom="280" w:left="1020" w:header="720" w:footer="720" w:gutter="0"/>
        </w:sectPr>
      </w:pPr>
    </w:p>
    <w:p>
      <w:pPr>
        <w:pStyle w:val="4"/>
        <w:numPr>
          <w:ilvl w:val="0"/>
          <w:numId w:val="4"/>
        </w:numPr>
        <w:tabs>
          <w:tab w:val="left" w:pos="1518"/>
        </w:tabs>
        <w:spacing w:before="120" w:after="0" w:line="240" w:lineRule="auto"/>
        <w:ind w:left="1517" w:right="0" w:hanging="265"/>
        <w:jc w:val="left"/>
        <w:rPr>
          <w:color w:val="auto"/>
        </w:rPr>
      </w:pPr>
      <w:bookmarkStart w:id="61" w:name="16.投标报价要求"/>
      <w:bookmarkEnd w:id="61"/>
      <w:bookmarkStart w:id="62" w:name="16.投标报价要求"/>
      <w:bookmarkEnd w:id="62"/>
      <w:r>
        <w:rPr>
          <w:color w:val="auto"/>
        </w:rPr>
        <w:t>投标报价要求</w:t>
      </w:r>
    </w:p>
    <w:p>
      <w:pPr>
        <w:pStyle w:val="17"/>
        <w:numPr>
          <w:ilvl w:val="1"/>
          <w:numId w:val="8"/>
        </w:numPr>
        <w:tabs>
          <w:tab w:val="left" w:pos="1572"/>
        </w:tabs>
        <w:spacing w:before="7" w:after="0" w:line="290" w:lineRule="auto"/>
        <w:ind w:left="681" w:right="840" w:firstLine="420"/>
        <w:jc w:val="left"/>
        <w:rPr>
          <w:color w:val="auto"/>
          <w:sz w:val="21"/>
        </w:rPr>
      </w:pPr>
      <w:r>
        <w:rPr>
          <w:color w:val="auto"/>
          <w:sz w:val="21"/>
        </w:rPr>
        <w:t>投标人应根据本招标文件报价要求，结合工程施工的实际情况、市场行情、技术方案和企业的管理水平，综合分析后自主确定总报价。</w:t>
      </w:r>
    </w:p>
    <w:p>
      <w:pPr>
        <w:pStyle w:val="17"/>
        <w:numPr>
          <w:ilvl w:val="1"/>
          <w:numId w:val="8"/>
        </w:numPr>
        <w:tabs>
          <w:tab w:val="left" w:pos="1572"/>
        </w:tabs>
        <w:spacing w:before="2" w:after="0" w:line="240" w:lineRule="auto"/>
        <w:ind w:left="1572" w:right="0" w:hanging="471"/>
        <w:jc w:val="left"/>
        <w:rPr>
          <w:rFonts w:hint="eastAsia" w:ascii="黑体" w:eastAsia="黑体"/>
          <w:color w:val="auto"/>
          <w:sz w:val="21"/>
        </w:rPr>
      </w:pPr>
      <w:r>
        <w:rPr>
          <w:color w:val="auto"/>
          <w:sz w:val="21"/>
        </w:rPr>
        <w:t>附件中除空白部分由投标人自报外，其余内容作为投标报价的共同基础</w:t>
      </w:r>
      <w:r>
        <w:rPr>
          <w:rFonts w:hint="eastAsia" w:ascii="黑体" w:eastAsia="黑体"/>
          <w:color w:val="auto"/>
          <w:sz w:val="21"/>
        </w:rPr>
        <w:t>。</w:t>
      </w:r>
    </w:p>
    <w:p>
      <w:pPr>
        <w:pStyle w:val="4"/>
        <w:numPr>
          <w:ilvl w:val="1"/>
          <w:numId w:val="8"/>
        </w:numPr>
        <w:tabs>
          <w:tab w:val="left" w:pos="1572"/>
        </w:tabs>
        <w:spacing w:before="57" w:after="0" w:line="240" w:lineRule="auto"/>
        <w:ind w:left="1572" w:right="0" w:hanging="471"/>
        <w:jc w:val="left"/>
        <w:rPr>
          <w:color w:val="auto"/>
        </w:rPr>
      </w:pPr>
      <w:r>
        <w:rPr>
          <w:color w:val="auto"/>
          <w:spacing w:val="-4"/>
        </w:rPr>
        <w:t xml:space="preserve">投标人的报价要求详见本须知前附表第 </w:t>
      </w:r>
      <w:r>
        <w:rPr>
          <w:rFonts w:ascii="Times New Roman" w:eastAsia="Times New Roman"/>
          <w:color w:val="auto"/>
        </w:rPr>
        <w:t xml:space="preserve">17 </w:t>
      </w:r>
      <w:r>
        <w:rPr>
          <w:color w:val="auto"/>
        </w:rPr>
        <w:t>项，未按要求报价的，作无效标处理。</w:t>
      </w:r>
    </w:p>
    <w:p>
      <w:pPr>
        <w:pStyle w:val="6"/>
        <w:spacing w:before="5"/>
        <w:rPr>
          <w:rFonts w:ascii="黑体"/>
          <w:b/>
          <w:color w:val="auto"/>
          <w:sz w:val="17"/>
        </w:rPr>
      </w:pPr>
    </w:p>
    <w:p>
      <w:pPr>
        <w:pStyle w:val="17"/>
        <w:numPr>
          <w:ilvl w:val="0"/>
          <w:numId w:val="4"/>
        </w:numPr>
        <w:tabs>
          <w:tab w:val="left" w:pos="1518"/>
        </w:tabs>
        <w:spacing w:before="0" w:after="0" w:line="240" w:lineRule="auto"/>
        <w:ind w:left="1517" w:right="0" w:hanging="265"/>
        <w:jc w:val="left"/>
        <w:rPr>
          <w:rFonts w:hint="eastAsia" w:ascii="黑体" w:eastAsia="黑体"/>
          <w:b/>
          <w:color w:val="auto"/>
          <w:sz w:val="21"/>
        </w:rPr>
      </w:pPr>
      <w:bookmarkStart w:id="63" w:name="17.投标担保"/>
      <w:bookmarkEnd w:id="63"/>
      <w:bookmarkStart w:id="64" w:name="17.投标担保"/>
      <w:bookmarkEnd w:id="64"/>
      <w:r>
        <w:rPr>
          <w:rFonts w:hint="eastAsia" w:ascii="黑体" w:eastAsia="黑体"/>
          <w:b/>
          <w:color w:val="auto"/>
          <w:sz w:val="21"/>
        </w:rPr>
        <w:t>投标担保</w:t>
      </w:r>
    </w:p>
    <w:p>
      <w:pPr>
        <w:pStyle w:val="17"/>
        <w:numPr>
          <w:ilvl w:val="1"/>
          <w:numId w:val="4"/>
        </w:numPr>
        <w:tabs>
          <w:tab w:val="left" w:pos="1572"/>
        </w:tabs>
        <w:spacing w:before="7" w:after="0" w:line="240" w:lineRule="auto"/>
        <w:ind w:left="1572" w:right="0" w:hanging="471"/>
        <w:jc w:val="left"/>
        <w:rPr>
          <w:color w:val="auto"/>
          <w:sz w:val="21"/>
        </w:rPr>
      </w:pPr>
      <w:r>
        <w:rPr>
          <w:color w:val="auto"/>
          <w:spacing w:val="-5"/>
          <w:sz w:val="21"/>
        </w:rPr>
        <w:t xml:space="preserve">投标人按本须知前附表第 </w:t>
      </w:r>
      <w:r>
        <w:rPr>
          <w:rFonts w:ascii="Times New Roman" w:eastAsia="Times New Roman"/>
          <w:color w:val="auto"/>
          <w:sz w:val="21"/>
        </w:rPr>
        <w:t>18</w:t>
      </w:r>
      <w:r>
        <w:rPr>
          <w:rFonts w:ascii="Times New Roman" w:eastAsia="Times New Roman"/>
          <w:color w:val="auto"/>
          <w:spacing w:val="-1"/>
          <w:sz w:val="21"/>
        </w:rPr>
        <w:t xml:space="preserve"> </w:t>
      </w:r>
      <w:r>
        <w:rPr>
          <w:color w:val="auto"/>
          <w:sz w:val="21"/>
        </w:rPr>
        <w:t>项规定提交投标担保。</w:t>
      </w:r>
    </w:p>
    <w:p>
      <w:pPr>
        <w:pStyle w:val="17"/>
        <w:numPr>
          <w:ilvl w:val="1"/>
          <w:numId w:val="4"/>
        </w:numPr>
        <w:tabs>
          <w:tab w:val="left" w:pos="1572"/>
        </w:tabs>
        <w:spacing w:before="58" w:after="0" w:line="240" w:lineRule="auto"/>
        <w:ind w:left="1572" w:right="0" w:hanging="471"/>
        <w:jc w:val="left"/>
        <w:rPr>
          <w:color w:val="auto"/>
          <w:sz w:val="21"/>
        </w:rPr>
      </w:pPr>
      <w:r>
        <w:rPr>
          <w:color w:val="auto"/>
          <w:sz w:val="21"/>
        </w:rPr>
        <w:t>对于未能按要求提交投标担保的，招标人将视为不响应投标而予以拒绝。</w:t>
      </w:r>
    </w:p>
    <w:p>
      <w:pPr>
        <w:pStyle w:val="17"/>
        <w:numPr>
          <w:ilvl w:val="1"/>
          <w:numId w:val="4"/>
        </w:numPr>
        <w:tabs>
          <w:tab w:val="left" w:pos="1572"/>
        </w:tabs>
        <w:spacing w:before="57" w:after="0" w:line="240" w:lineRule="auto"/>
        <w:ind w:left="1572" w:right="0" w:hanging="471"/>
        <w:jc w:val="left"/>
        <w:rPr>
          <w:color w:val="auto"/>
          <w:sz w:val="21"/>
        </w:rPr>
      </w:pPr>
      <w:r>
        <w:rPr>
          <w:color w:val="auto"/>
          <w:sz w:val="21"/>
        </w:rPr>
        <w:t>投标担保按以下方式退还：</w:t>
      </w:r>
    </w:p>
    <w:p>
      <w:pPr>
        <w:pStyle w:val="17"/>
        <w:numPr>
          <w:ilvl w:val="0"/>
          <w:numId w:val="9"/>
        </w:numPr>
        <w:tabs>
          <w:tab w:val="left" w:pos="1626"/>
        </w:tabs>
        <w:spacing w:before="57" w:after="0" w:line="240" w:lineRule="auto"/>
        <w:ind w:left="1626" w:right="0" w:hanging="525"/>
        <w:jc w:val="left"/>
        <w:rPr>
          <w:color w:val="auto"/>
          <w:sz w:val="21"/>
        </w:rPr>
      </w:pPr>
      <w:r>
        <w:rPr>
          <w:color w:val="auto"/>
          <w:sz w:val="21"/>
        </w:rPr>
        <w:t>中标人凭《建设工程中标通知书》、施工合同原件及本单位出具的收款收据退还；</w:t>
      </w:r>
    </w:p>
    <w:p>
      <w:pPr>
        <w:pStyle w:val="17"/>
        <w:numPr>
          <w:ilvl w:val="0"/>
          <w:numId w:val="9"/>
        </w:numPr>
        <w:tabs>
          <w:tab w:val="left" w:pos="1619"/>
        </w:tabs>
        <w:spacing w:before="58" w:after="0" w:line="240" w:lineRule="auto"/>
        <w:ind w:left="1618" w:right="0" w:hanging="524"/>
        <w:jc w:val="left"/>
        <w:rPr>
          <w:color w:val="auto"/>
          <w:sz w:val="21"/>
        </w:rPr>
      </w:pPr>
      <w:r>
        <w:rPr>
          <w:color w:val="auto"/>
          <w:sz w:val="21"/>
        </w:rPr>
        <w:t>其余投标人（含无效标的）在公示结束后退还。</w:t>
      </w:r>
    </w:p>
    <w:p>
      <w:pPr>
        <w:pStyle w:val="17"/>
        <w:numPr>
          <w:ilvl w:val="1"/>
          <w:numId w:val="4"/>
        </w:numPr>
        <w:tabs>
          <w:tab w:val="left" w:pos="1572"/>
        </w:tabs>
        <w:spacing w:before="59" w:after="0" w:line="240" w:lineRule="auto"/>
        <w:ind w:left="1572" w:right="0" w:hanging="471"/>
        <w:jc w:val="left"/>
        <w:rPr>
          <w:color w:val="auto"/>
          <w:sz w:val="21"/>
        </w:rPr>
      </w:pPr>
      <w:r>
        <w:rPr>
          <w:color w:val="auto"/>
          <w:sz w:val="21"/>
        </w:rPr>
        <w:t>投标人有下列情形的，招标人对投标人的投标担保按下列相应规定进行处理：</w:t>
      </w:r>
    </w:p>
    <w:p>
      <w:pPr>
        <w:pStyle w:val="17"/>
        <w:numPr>
          <w:ilvl w:val="0"/>
          <w:numId w:val="10"/>
        </w:numPr>
        <w:tabs>
          <w:tab w:val="left" w:pos="1620"/>
        </w:tabs>
        <w:spacing w:before="58" w:after="0" w:line="290" w:lineRule="auto"/>
        <w:ind w:left="674" w:right="837" w:firstLine="420"/>
        <w:jc w:val="both"/>
        <w:rPr>
          <w:color w:val="auto"/>
          <w:sz w:val="21"/>
        </w:rPr>
      </w:pPr>
      <w:r>
        <w:rPr>
          <w:color w:val="auto"/>
          <w:sz w:val="21"/>
        </w:rPr>
        <w:t>投标人违反《台州市建设工程诚信投标承诺书》承诺内容进行虚假瞒报，在评标过</w:t>
      </w:r>
      <w:r>
        <w:rPr>
          <w:color w:val="auto"/>
          <w:spacing w:val="-6"/>
          <w:sz w:val="21"/>
        </w:rPr>
        <w:t xml:space="preserve">程中发现并以无效标处理的，对其投标担保总金额的 </w:t>
      </w:r>
      <w:r>
        <w:rPr>
          <w:rFonts w:ascii="Times New Roman" w:eastAsia="Times New Roman"/>
          <w:color w:val="auto"/>
          <w:sz w:val="21"/>
        </w:rPr>
        <w:t>10%</w:t>
      </w:r>
      <w:r>
        <w:rPr>
          <w:color w:val="auto"/>
          <w:sz w:val="21"/>
        </w:rPr>
        <w:t>～</w:t>
      </w:r>
      <w:r>
        <w:rPr>
          <w:rFonts w:ascii="Times New Roman" w:eastAsia="Times New Roman"/>
          <w:color w:val="auto"/>
          <w:sz w:val="21"/>
        </w:rPr>
        <w:t>20%</w:t>
      </w:r>
      <w:r>
        <w:rPr>
          <w:color w:val="auto"/>
          <w:spacing w:val="-7"/>
          <w:sz w:val="21"/>
        </w:rPr>
        <w:t>不予退还；在评标结束后被查</w:t>
      </w:r>
      <w:r>
        <w:rPr>
          <w:color w:val="auto"/>
          <w:spacing w:val="-12"/>
          <w:sz w:val="21"/>
        </w:rPr>
        <w:t xml:space="preserve">实的，对其投标担保总金额的 </w:t>
      </w:r>
      <w:r>
        <w:rPr>
          <w:rFonts w:ascii="Times New Roman" w:eastAsia="Times New Roman"/>
          <w:color w:val="auto"/>
          <w:sz w:val="21"/>
        </w:rPr>
        <w:t>30%</w:t>
      </w:r>
      <w:r>
        <w:rPr>
          <w:color w:val="auto"/>
          <w:sz w:val="21"/>
        </w:rPr>
        <w:t>～</w:t>
      </w:r>
      <w:r>
        <w:rPr>
          <w:rFonts w:ascii="Times New Roman" w:eastAsia="Times New Roman"/>
          <w:color w:val="auto"/>
          <w:sz w:val="21"/>
        </w:rPr>
        <w:t>40%</w:t>
      </w:r>
      <w:r>
        <w:rPr>
          <w:color w:val="auto"/>
          <w:spacing w:val="-7"/>
          <w:sz w:val="21"/>
        </w:rPr>
        <w:t>不予退还；涉及中标候选人的，对其投标担保总金额</w:t>
      </w:r>
      <w:r>
        <w:rPr>
          <w:color w:val="auto"/>
          <w:spacing w:val="-31"/>
          <w:sz w:val="21"/>
        </w:rPr>
        <w:t xml:space="preserve">的 </w:t>
      </w:r>
      <w:r>
        <w:rPr>
          <w:rFonts w:ascii="Times New Roman" w:eastAsia="Times New Roman"/>
          <w:color w:val="auto"/>
          <w:sz w:val="21"/>
        </w:rPr>
        <w:t>50%</w:t>
      </w:r>
      <w:r>
        <w:rPr>
          <w:color w:val="auto"/>
          <w:sz w:val="21"/>
        </w:rPr>
        <w:t>～</w:t>
      </w:r>
      <w:r>
        <w:rPr>
          <w:rFonts w:ascii="Times New Roman" w:eastAsia="Times New Roman"/>
          <w:color w:val="auto"/>
          <w:sz w:val="21"/>
        </w:rPr>
        <w:t>60%</w:t>
      </w:r>
      <w:r>
        <w:rPr>
          <w:color w:val="auto"/>
          <w:sz w:val="21"/>
        </w:rPr>
        <w:t>不予退还；</w:t>
      </w:r>
    </w:p>
    <w:p>
      <w:pPr>
        <w:pStyle w:val="17"/>
        <w:numPr>
          <w:ilvl w:val="0"/>
          <w:numId w:val="10"/>
        </w:numPr>
        <w:tabs>
          <w:tab w:val="left" w:pos="1620"/>
        </w:tabs>
        <w:spacing w:before="3" w:after="0" w:line="292" w:lineRule="auto"/>
        <w:ind w:left="674" w:right="837" w:firstLine="420"/>
        <w:jc w:val="both"/>
        <w:rPr>
          <w:color w:val="auto"/>
          <w:sz w:val="21"/>
        </w:rPr>
      </w:pPr>
      <w:r>
        <w:rPr>
          <w:color w:val="auto"/>
          <w:sz w:val="21"/>
        </w:rPr>
        <w:t xml:space="preserve">投标人存在串通投标或弄虚作假违法行为，在评标过程中发现并以无效标处理的， </w:t>
      </w:r>
      <w:r>
        <w:rPr>
          <w:color w:val="auto"/>
          <w:spacing w:val="-6"/>
          <w:sz w:val="21"/>
        </w:rPr>
        <w:t xml:space="preserve">对其投标担保总金额的 </w:t>
      </w:r>
      <w:r>
        <w:rPr>
          <w:rFonts w:ascii="Times New Roman" w:eastAsia="Times New Roman"/>
          <w:color w:val="auto"/>
          <w:sz w:val="21"/>
        </w:rPr>
        <w:t>70%</w:t>
      </w:r>
      <w:r>
        <w:rPr>
          <w:color w:val="auto"/>
          <w:sz w:val="21"/>
        </w:rPr>
        <w:t>～</w:t>
      </w:r>
      <w:r>
        <w:rPr>
          <w:rFonts w:ascii="Times New Roman" w:eastAsia="Times New Roman"/>
          <w:color w:val="auto"/>
          <w:sz w:val="21"/>
        </w:rPr>
        <w:t>80%</w:t>
      </w:r>
      <w:r>
        <w:rPr>
          <w:color w:val="auto"/>
          <w:spacing w:val="-9"/>
          <w:sz w:val="21"/>
        </w:rPr>
        <w:t>不予退还；在评标结束后发现并被查实的，对其投标担保全部不予退还；</w:t>
      </w:r>
    </w:p>
    <w:p>
      <w:pPr>
        <w:pStyle w:val="17"/>
        <w:numPr>
          <w:ilvl w:val="0"/>
          <w:numId w:val="10"/>
        </w:numPr>
        <w:tabs>
          <w:tab w:val="left" w:pos="1619"/>
        </w:tabs>
        <w:spacing w:before="0" w:after="0" w:line="290" w:lineRule="auto"/>
        <w:ind w:left="674" w:right="734" w:firstLine="420"/>
        <w:jc w:val="left"/>
        <w:rPr>
          <w:color w:val="auto"/>
          <w:sz w:val="21"/>
        </w:rPr>
      </w:pPr>
      <w:r>
        <w:rPr>
          <w:color w:val="auto"/>
          <w:spacing w:val="-4"/>
          <w:sz w:val="21"/>
        </w:rPr>
        <w:t>投标人放弃中标候选人或中标资格的</w:t>
      </w:r>
      <w:r>
        <w:rPr>
          <w:color w:val="auto"/>
          <w:sz w:val="21"/>
        </w:rPr>
        <w:t>（包括中标人无正当理由不与招标人订立合同</w:t>
      </w:r>
      <w:r>
        <w:rPr>
          <w:color w:val="auto"/>
          <w:spacing w:val="-2"/>
          <w:sz w:val="21"/>
        </w:rPr>
        <w:t>；在签订合同时向招标人提出附加条件；不按照招标文件要求提交履约担保</w:t>
      </w:r>
      <w:r>
        <w:rPr>
          <w:color w:val="auto"/>
          <w:spacing w:val="-32"/>
          <w:sz w:val="21"/>
        </w:rPr>
        <w:t>），</w:t>
      </w:r>
      <w:r>
        <w:rPr>
          <w:color w:val="auto"/>
          <w:sz w:val="21"/>
        </w:rPr>
        <w:t>对其投标担保</w:t>
      </w:r>
      <w:r>
        <w:rPr>
          <w:color w:val="auto"/>
          <w:spacing w:val="-6"/>
          <w:sz w:val="21"/>
        </w:rPr>
        <w:t>全部不予退还；对招标人造成的经济损失</w:t>
      </w:r>
      <w:r>
        <w:rPr>
          <w:color w:val="auto"/>
          <w:sz w:val="21"/>
        </w:rPr>
        <w:t>（包括报价的差额损失</w:t>
      </w:r>
      <w:r>
        <w:rPr>
          <w:color w:val="auto"/>
          <w:spacing w:val="-25"/>
          <w:sz w:val="21"/>
        </w:rPr>
        <w:t>）</w:t>
      </w:r>
      <w:r>
        <w:rPr>
          <w:color w:val="auto"/>
          <w:spacing w:val="-3"/>
          <w:sz w:val="21"/>
        </w:rPr>
        <w:t>超过投标担保总金额的，应对超过部分予以赔偿。</w:t>
      </w:r>
    </w:p>
    <w:p>
      <w:pPr>
        <w:pStyle w:val="4"/>
        <w:numPr>
          <w:ilvl w:val="0"/>
          <w:numId w:val="4"/>
        </w:numPr>
        <w:tabs>
          <w:tab w:val="left" w:pos="1518"/>
        </w:tabs>
        <w:spacing w:before="166" w:after="0" w:line="240" w:lineRule="auto"/>
        <w:ind w:left="1517" w:right="0" w:hanging="265"/>
        <w:jc w:val="left"/>
        <w:rPr>
          <w:color w:val="auto"/>
        </w:rPr>
      </w:pPr>
      <w:bookmarkStart w:id="65" w:name="18.投标有效期"/>
      <w:bookmarkEnd w:id="65"/>
      <w:bookmarkStart w:id="66" w:name="18.投标有效期"/>
      <w:bookmarkEnd w:id="66"/>
      <w:r>
        <w:rPr>
          <w:color w:val="auto"/>
        </w:rPr>
        <w:t>投标有效期</w:t>
      </w:r>
    </w:p>
    <w:p>
      <w:pPr>
        <w:pStyle w:val="17"/>
        <w:numPr>
          <w:ilvl w:val="1"/>
          <w:numId w:val="11"/>
        </w:numPr>
        <w:tabs>
          <w:tab w:val="left" w:pos="1572"/>
        </w:tabs>
        <w:spacing w:before="7" w:after="0" w:line="290" w:lineRule="auto"/>
        <w:ind w:left="681" w:right="840" w:firstLine="420"/>
        <w:jc w:val="left"/>
        <w:rPr>
          <w:color w:val="auto"/>
          <w:sz w:val="21"/>
        </w:rPr>
      </w:pPr>
      <w:r>
        <w:rPr>
          <w:color w:val="auto"/>
          <w:spacing w:val="-5"/>
          <w:sz w:val="21"/>
        </w:rPr>
        <w:t xml:space="preserve">投标有效期详见本须知前附表第 </w:t>
      </w:r>
      <w:r>
        <w:rPr>
          <w:rFonts w:ascii="Times New Roman" w:eastAsia="Times New Roman"/>
          <w:color w:val="auto"/>
          <w:sz w:val="21"/>
        </w:rPr>
        <w:t>19</w:t>
      </w:r>
      <w:r>
        <w:rPr>
          <w:rFonts w:ascii="Times New Roman" w:eastAsia="Times New Roman"/>
          <w:color w:val="auto"/>
          <w:spacing w:val="-8"/>
          <w:sz w:val="21"/>
        </w:rPr>
        <w:t xml:space="preserve"> </w:t>
      </w:r>
      <w:r>
        <w:rPr>
          <w:color w:val="auto"/>
          <w:spacing w:val="-8"/>
          <w:sz w:val="21"/>
        </w:rPr>
        <w:t>项，在此期限内，凡符合本招标文件要求的投标文件均保持有效。</w:t>
      </w:r>
    </w:p>
    <w:p>
      <w:pPr>
        <w:pStyle w:val="17"/>
        <w:numPr>
          <w:ilvl w:val="1"/>
          <w:numId w:val="11"/>
        </w:numPr>
        <w:tabs>
          <w:tab w:val="left" w:pos="1572"/>
        </w:tabs>
        <w:spacing w:before="1" w:after="0" w:line="292" w:lineRule="auto"/>
        <w:ind w:left="681" w:right="840" w:firstLine="420"/>
        <w:jc w:val="both"/>
        <w:rPr>
          <w:color w:val="auto"/>
          <w:sz w:val="21"/>
        </w:rPr>
      </w:pPr>
      <w:r>
        <w:rPr>
          <w:color w:val="auto"/>
          <w:sz w:val="21"/>
        </w:rPr>
        <w:t>在特殊的情况下，招标人在原定投标有效期内，可以根据需要以书面形式向投标人</w:t>
      </w:r>
      <w:r>
        <w:rPr>
          <w:color w:val="auto"/>
          <w:spacing w:val="-7"/>
          <w:w w:val="95"/>
          <w:sz w:val="21"/>
        </w:rPr>
        <w:t xml:space="preserve">提出延长投标有效期的要求，对此要求投标人须以书面形式予以答复。投标人可以拒绝招标人   </w:t>
      </w:r>
      <w:r>
        <w:rPr>
          <w:color w:val="auto"/>
          <w:spacing w:val="-13"/>
          <w:w w:val="95"/>
          <w:sz w:val="21"/>
        </w:rPr>
        <w:t xml:space="preserve">这种要求，而不被没收投标担保。同意延长投标有效期的投标人既不能要求也不允许修改其投   </w:t>
      </w:r>
      <w:r>
        <w:rPr>
          <w:color w:val="auto"/>
          <w:spacing w:val="-15"/>
          <w:sz w:val="21"/>
        </w:rPr>
        <w:t xml:space="preserve">标文件，但需要相应的延长投标担保的有效期，在延长的投标有效期内，本须知第 </w:t>
      </w:r>
      <w:r>
        <w:rPr>
          <w:rFonts w:ascii="Times New Roman" w:eastAsia="Times New Roman"/>
          <w:color w:val="auto"/>
          <w:sz w:val="21"/>
        </w:rPr>
        <w:t>17</w:t>
      </w:r>
      <w:r>
        <w:rPr>
          <w:rFonts w:ascii="Times New Roman" w:eastAsia="Times New Roman"/>
          <w:color w:val="auto"/>
          <w:spacing w:val="-9"/>
          <w:sz w:val="21"/>
        </w:rPr>
        <w:t xml:space="preserve"> </w:t>
      </w:r>
      <w:r>
        <w:rPr>
          <w:color w:val="auto"/>
          <w:sz w:val="21"/>
        </w:rPr>
        <w:t>条关于投标担保的退还与没收的规定仍然适用。</w:t>
      </w:r>
    </w:p>
    <w:p>
      <w:pPr>
        <w:pStyle w:val="4"/>
        <w:numPr>
          <w:ilvl w:val="0"/>
          <w:numId w:val="4"/>
        </w:numPr>
        <w:tabs>
          <w:tab w:val="left" w:pos="1518"/>
        </w:tabs>
        <w:spacing w:before="159" w:after="0" w:line="240" w:lineRule="auto"/>
        <w:ind w:left="1517" w:right="0" w:hanging="265"/>
        <w:jc w:val="left"/>
        <w:rPr>
          <w:color w:val="auto"/>
        </w:rPr>
      </w:pPr>
      <w:bookmarkStart w:id="67" w:name="19.投标文件的份数和签署"/>
      <w:bookmarkEnd w:id="67"/>
      <w:bookmarkStart w:id="68" w:name="19.投标文件的份数和签署"/>
      <w:bookmarkEnd w:id="68"/>
      <w:r>
        <w:rPr>
          <w:color w:val="auto"/>
        </w:rPr>
        <w:t>投标文件的份数和签署</w:t>
      </w:r>
    </w:p>
    <w:p>
      <w:pPr>
        <w:pStyle w:val="17"/>
        <w:numPr>
          <w:ilvl w:val="1"/>
          <w:numId w:val="4"/>
        </w:numPr>
        <w:tabs>
          <w:tab w:val="left" w:pos="1572"/>
        </w:tabs>
        <w:spacing w:before="5" w:after="0" w:line="240" w:lineRule="auto"/>
        <w:ind w:left="1572" w:right="0" w:hanging="471"/>
        <w:jc w:val="left"/>
        <w:rPr>
          <w:color w:val="auto"/>
          <w:sz w:val="21"/>
        </w:rPr>
      </w:pPr>
      <w:r>
        <w:rPr>
          <w:color w:val="auto"/>
          <w:spacing w:val="-5"/>
          <w:sz w:val="21"/>
        </w:rPr>
        <w:t xml:space="preserve">投标人按本须知前附表第 </w:t>
      </w:r>
      <w:r>
        <w:rPr>
          <w:rFonts w:ascii="Times New Roman" w:eastAsia="Times New Roman"/>
          <w:color w:val="auto"/>
          <w:sz w:val="21"/>
        </w:rPr>
        <w:t>20</w:t>
      </w:r>
      <w:r>
        <w:rPr>
          <w:rFonts w:ascii="Times New Roman" w:eastAsia="Times New Roman"/>
          <w:color w:val="auto"/>
          <w:spacing w:val="-1"/>
          <w:sz w:val="21"/>
        </w:rPr>
        <w:t xml:space="preserve"> </w:t>
      </w:r>
      <w:r>
        <w:rPr>
          <w:color w:val="auto"/>
          <w:sz w:val="21"/>
        </w:rPr>
        <w:t>项规定的份数递交投标文件。</w:t>
      </w:r>
    </w:p>
    <w:p>
      <w:pPr>
        <w:pStyle w:val="17"/>
        <w:numPr>
          <w:ilvl w:val="1"/>
          <w:numId w:val="4"/>
        </w:numPr>
        <w:tabs>
          <w:tab w:val="left" w:pos="1572"/>
        </w:tabs>
        <w:spacing w:before="59" w:after="0" w:line="290" w:lineRule="auto"/>
        <w:ind w:left="681" w:right="734" w:firstLine="420"/>
        <w:jc w:val="left"/>
        <w:rPr>
          <w:color w:val="auto"/>
          <w:sz w:val="21"/>
        </w:rPr>
      </w:pPr>
      <w:r>
        <w:rPr>
          <w:color w:val="auto"/>
          <w:spacing w:val="-2"/>
          <w:w w:val="95"/>
          <w:sz w:val="21"/>
        </w:rPr>
        <w:t xml:space="preserve">招标文件附件中注明由投标人法定代表人亲自签署或印鉴、并加盖法人单位公章的，  </w:t>
      </w:r>
      <w:r>
        <w:rPr>
          <w:color w:val="auto"/>
          <w:spacing w:val="-2"/>
          <w:sz w:val="21"/>
        </w:rPr>
        <w:t>投标人均应按要求签章。</w:t>
      </w:r>
    </w:p>
    <w:p>
      <w:pPr>
        <w:pStyle w:val="17"/>
        <w:numPr>
          <w:ilvl w:val="1"/>
          <w:numId w:val="4"/>
        </w:numPr>
        <w:tabs>
          <w:tab w:val="left" w:pos="1572"/>
        </w:tabs>
        <w:spacing w:before="2" w:after="0" w:line="290" w:lineRule="auto"/>
        <w:ind w:left="681" w:right="840" w:firstLine="420"/>
        <w:jc w:val="left"/>
        <w:rPr>
          <w:color w:val="auto"/>
          <w:sz w:val="21"/>
        </w:rPr>
      </w:pPr>
      <w:r>
        <w:rPr>
          <w:color w:val="auto"/>
          <w:sz w:val="21"/>
        </w:rPr>
        <w:t>当正本与副本不一致时，以正本为准。如未注明正副本的，由评标小组或工作人员随机抽签确定一本作为正本。</w:t>
      </w:r>
    </w:p>
    <w:p>
      <w:pPr>
        <w:pStyle w:val="6"/>
        <w:spacing w:before="4"/>
        <w:rPr>
          <w:color w:val="auto"/>
          <w:sz w:val="18"/>
        </w:rPr>
      </w:pPr>
    </w:p>
    <w:p>
      <w:pPr>
        <w:pStyle w:val="2"/>
        <w:tabs>
          <w:tab w:val="left" w:pos="4871"/>
        </w:tabs>
        <w:spacing w:before="0"/>
        <w:ind w:left="3585"/>
        <w:rPr>
          <w:color w:val="auto"/>
        </w:rPr>
      </w:pPr>
      <w:r>
        <w:rPr>
          <w:color w:val="auto"/>
        </w:rPr>
        <w:t>第四节</w:t>
      </w:r>
      <w:r>
        <w:rPr>
          <w:color w:val="auto"/>
        </w:rPr>
        <w:tab/>
      </w:r>
      <w:bookmarkStart w:id="69" w:name="第四节投标文件的递交"/>
      <w:bookmarkEnd w:id="69"/>
      <w:bookmarkStart w:id="70" w:name="_bookmark12"/>
      <w:bookmarkEnd w:id="70"/>
      <w:r>
        <w:rPr>
          <w:color w:val="auto"/>
        </w:rPr>
        <w:t>投标文件的递交</w:t>
      </w:r>
    </w:p>
    <w:p>
      <w:pPr>
        <w:pStyle w:val="4"/>
        <w:numPr>
          <w:ilvl w:val="0"/>
          <w:numId w:val="4"/>
        </w:numPr>
        <w:tabs>
          <w:tab w:val="left" w:pos="1518"/>
        </w:tabs>
        <w:spacing w:before="123" w:after="0" w:line="240" w:lineRule="auto"/>
        <w:ind w:left="1517" w:right="0" w:hanging="265"/>
        <w:jc w:val="left"/>
        <w:rPr>
          <w:color w:val="auto"/>
        </w:rPr>
      </w:pPr>
      <w:bookmarkStart w:id="71" w:name="20.投标文件的装订、密封与标志"/>
      <w:bookmarkEnd w:id="71"/>
      <w:bookmarkStart w:id="72" w:name="20.投标文件的装订、密封与标志"/>
      <w:bookmarkEnd w:id="72"/>
      <w:r>
        <w:rPr>
          <w:color w:val="auto"/>
        </w:rPr>
        <w:t>投标文件的装订、密封与标志</w:t>
      </w:r>
    </w:p>
    <w:p>
      <w:pPr>
        <w:pStyle w:val="17"/>
        <w:numPr>
          <w:ilvl w:val="1"/>
          <w:numId w:val="4"/>
        </w:numPr>
        <w:tabs>
          <w:tab w:val="left" w:pos="1572"/>
        </w:tabs>
        <w:spacing w:before="4" w:after="0" w:line="240" w:lineRule="auto"/>
        <w:ind w:left="1572" w:right="0" w:hanging="471"/>
        <w:jc w:val="left"/>
        <w:rPr>
          <w:color w:val="auto"/>
          <w:sz w:val="21"/>
        </w:rPr>
      </w:pPr>
      <w:r>
        <w:rPr>
          <w:color w:val="auto"/>
          <w:sz w:val="21"/>
        </w:rPr>
        <w:t>投标人应将投标文件按规定密封，并注明项目（标段）名称、投标人名称及标函名</w:t>
      </w:r>
    </w:p>
    <w:p>
      <w:pPr>
        <w:spacing w:after="0" w:line="240" w:lineRule="auto"/>
        <w:jc w:val="left"/>
        <w:rPr>
          <w:color w:val="auto"/>
          <w:sz w:val="21"/>
        </w:rPr>
        <w:sectPr>
          <w:pgSz w:w="11910" w:h="16840"/>
          <w:pgMar w:top="1360" w:right="860" w:bottom="1060" w:left="1020" w:header="873" w:footer="863" w:gutter="0"/>
        </w:sectPr>
      </w:pPr>
    </w:p>
    <w:p>
      <w:pPr>
        <w:pStyle w:val="6"/>
        <w:spacing w:before="75"/>
        <w:ind w:left="681"/>
        <w:rPr>
          <w:color w:val="auto"/>
        </w:rPr>
      </w:pPr>
      <w:r>
        <w:rPr>
          <w:color w:val="auto"/>
        </w:rPr>
        <w:t>称。</w:t>
      </w:r>
    </w:p>
    <w:p>
      <w:pPr>
        <w:pStyle w:val="17"/>
        <w:numPr>
          <w:ilvl w:val="1"/>
          <w:numId w:val="4"/>
        </w:numPr>
        <w:tabs>
          <w:tab w:val="left" w:pos="1572"/>
        </w:tabs>
        <w:spacing w:before="57" w:after="0" w:line="240" w:lineRule="auto"/>
        <w:ind w:left="1572" w:right="0" w:hanging="471"/>
        <w:jc w:val="left"/>
        <w:rPr>
          <w:color w:val="auto"/>
          <w:sz w:val="21"/>
        </w:rPr>
      </w:pPr>
      <w:r>
        <w:rPr>
          <w:color w:val="auto"/>
          <w:sz w:val="21"/>
        </w:rPr>
        <w:t>密封袋封口处加盖单位公章或法人代表或委托代理人印章或签字。</w:t>
      </w:r>
    </w:p>
    <w:p>
      <w:pPr>
        <w:pStyle w:val="17"/>
        <w:numPr>
          <w:ilvl w:val="1"/>
          <w:numId w:val="4"/>
        </w:numPr>
        <w:tabs>
          <w:tab w:val="left" w:pos="1572"/>
        </w:tabs>
        <w:spacing w:before="60" w:after="0" w:line="240" w:lineRule="auto"/>
        <w:ind w:left="1572" w:right="0" w:hanging="471"/>
        <w:jc w:val="left"/>
        <w:rPr>
          <w:color w:val="auto"/>
          <w:sz w:val="21"/>
        </w:rPr>
      </w:pPr>
      <w:r>
        <w:rPr>
          <w:color w:val="auto"/>
          <w:spacing w:val="-3"/>
          <w:sz w:val="21"/>
        </w:rPr>
        <w:t xml:space="preserve">投标文件的密封及装订要求详见本须知前附表第 </w:t>
      </w:r>
      <w:r>
        <w:rPr>
          <w:rFonts w:ascii="Times New Roman" w:eastAsia="Times New Roman"/>
          <w:color w:val="auto"/>
          <w:sz w:val="21"/>
        </w:rPr>
        <w:t>21</w:t>
      </w:r>
      <w:r>
        <w:rPr>
          <w:rFonts w:ascii="Times New Roman" w:eastAsia="Times New Roman"/>
          <w:color w:val="auto"/>
          <w:spacing w:val="-1"/>
          <w:sz w:val="21"/>
        </w:rPr>
        <w:t xml:space="preserve"> </w:t>
      </w:r>
      <w:r>
        <w:rPr>
          <w:color w:val="auto"/>
          <w:sz w:val="21"/>
        </w:rPr>
        <w:t>项。</w:t>
      </w:r>
    </w:p>
    <w:p>
      <w:pPr>
        <w:pStyle w:val="6"/>
        <w:spacing w:before="5"/>
        <w:rPr>
          <w:color w:val="auto"/>
          <w:sz w:val="11"/>
        </w:rPr>
      </w:pPr>
    </w:p>
    <w:p>
      <w:pPr>
        <w:pStyle w:val="4"/>
        <w:numPr>
          <w:ilvl w:val="0"/>
          <w:numId w:val="4"/>
        </w:numPr>
        <w:tabs>
          <w:tab w:val="left" w:pos="1518"/>
        </w:tabs>
        <w:spacing w:before="77" w:after="0" w:line="240" w:lineRule="auto"/>
        <w:ind w:left="1517" w:right="0" w:hanging="265"/>
        <w:jc w:val="left"/>
        <w:rPr>
          <w:color w:val="auto"/>
        </w:rPr>
      </w:pPr>
      <w:bookmarkStart w:id="73" w:name="21.投标文件的递交"/>
      <w:bookmarkEnd w:id="73"/>
      <w:bookmarkStart w:id="74" w:name="21.投标文件的递交"/>
      <w:bookmarkEnd w:id="74"/>
      <w:r>
        <w:rPr>
          <w:color w:val="auto"/>
        </w:rPr>
        <w:t>投标文件的递交</w:t>
      </w:r>
    </w:p>
    <w:p>
      <w:pPr>
        <w:pStyle w:val="17"/>
        <w:numPr>
          <w:ilvl w:val="1"/>
          <w:numId w:val="12"/>
        </w:numPr>
        <w:tabs>
          <w:tab w:val="left" w:pos="1572"/>
        </w:tabs>
        <w:spacing w:before="4" w:after="0" w:line="290" w:lineRule="auto"/>
        <w:ind w:left="681" w:right="837" w:firstLine="420"/>
        <w:jc w:val="left"/>
        <w:rPr>
          <w:color w:val="auto"/>
          <w:sz w:val="21"/>
        </w:rPr>
      </w:pPr>
      <w:r>
        <w:rPr>
          <w:color w:val="auto"/>
          <w:spacing w:val="-4"/>
          <w:sz w:val="21"/>
        </w:rPr>
        <w:t xml:space="preserve">投标人应按本须知前附表第 </w:t>
      </w:r>
      <w:r>
        <w:rPr>
          <w:rFonts w:ascii="Times New Roman" w:eastAsia="Times New Roman"/>
          <w:color w:val="auto"/>
          <w:sz w:val="21"/>
        </w:rPr>
        <w:t>22</w:t>
      </w:r>
      <w:r>
        <w:rPr>
          <w:rFonts w:ascii="Times New Roman" w:eastAsia="Times New Roman"/>
          <w:color w:val="auto"/>
          <w:spacing w:val="4"/>
          <w:sz w:val="21"/>
        </w:rPr>
        <w:t xml:space="preserve"> </w:t>
      </w:r>
      <w:r>
        <w:rPr>
          <w:color w:val="auto"/>
          <w:spacing w:val="-3"/>
          <w:sz w:val="21"/>
        </w:rPr>
        <w:t xml:space="preserve">项规定的地点，在本须知前附表第 </w:t>
      </w:r>
      <w:r>
        <w:rPr>
          <w:rFonts w:ascii="Times New Roman" w:eastAsia="Times New Roman"/>
          <w:color w:val="auto"/>
          <w:sz w:val="21"/>
        </w:rPr>
        <w:t>23</w:t>
      </w:r>
      <w:r>
        <w:rPr>
          <w:rFonts w:ascii="Times New Roman" w:eastAsia="Times New Roman"/>
          <w:color w:val="auto"/>
          <w:spacing w:val="4"/>
          <w:sz w:val="21"/>
        </w:rPr>
        <w:t xml:space="preserve"> </w:t>
      </w:r>
      <w:r>
        <w:rPr>
          <w:color w:val="auto"/>
          <w:sz w:val="21"/>
        </w:rPr>
        <w:t>项规定的截止时间前提交投标文件。</w:t>
      </w:r>
    </w:p>
    <w:p>
      <w:pPr>
        <w:pStyle w:val="4"/>
        <w:numPr>
          <w:ilvl w:val="1"/>
          <w:numId w:val="12"/>
        </w:numPr>
        <w:tabs>
          <w:tab w:val="left" w:pos="1572"/>
        </w:tabs>
        <w:spacing w:before="4" w:after="0" w:line="288" w:lineRule="auto"/>
        <w:ind w:left="681" w:right="813" w:firstLine="420"/>
        <w:jc w:val="left"/>
        <w:rPr>
          <w:color w:val="auto"/>
        </w:rPr>
      </w:pPr>
      <w:r>
        <w:rPr>
          <w:color w:val="auto"/>
          <w:spacing w:val="-3"/>
        </w:rPr>
        <w:t xml:space="preserve">投标人提交投标文件时需同时满足本须知前附表第 </w:t>
      </w:r>
      <w:r>
        <w:rPr>
          <w:rFonts w:ascii="Times New Roman" w:eastAsia="Times New Roman"/>
          <w:color w:val="auto"/>
        </w:rPr>
        <w:t>24</w:t>
      </w:r>
      <w:r>
        <w:rPr>
          <w:rFonts w:ascii="Times New Roman" w:eastAsia="Times New Roman"/>
          <w:color w:val="auto"/>
          <w:spacing w:val="-3"/>
        </w:rPr>
        <w:t xml:space="preserve"> </w:t>
      </w:r>
      <w:r>
        <w:rPr>
          <w:color w:val="auto"/>
          <w:spacing w:val="-9"/>
        </w:rPr>
        <w:t>项要求，否则该投标文件予以拒收。</w:t>
      </w:r>
    </w:p>
    <w:p>
      <w:pPr>
        <w:pStyle w:val="17"/>
        <w:numPr>
          <w:ilvl w:val="0"/>
          <w:numId w:val="4"/>
        </w:numPr>
        <w:tabs>
          <w:tab w:val="left" w:pos="1518"/>
        </w:tabs>
        <w:spacing w:before="171" w:after="0" w:line="240" w:lineRule="auto"/>
        <w:ind w:left="1517" w:right="0" w:hanging="265"/>
        <w:jc w:val="left"/>
        <w:rPr>
          <w:rFonts w:hint="eastAsia" w:ascii="黑体" w:eastAsia="黑体"/>
          <w:b/>
          <w:color w:val="auto"/>
          <w:sz w:val="21"/>
        </w:rPr>
      </w:pPr>
      <w:bookmarkStart w:id="75" w:name="22.投标截止期"/>
      <w:bookmarkEnd w:id="75"/>
      <w:bookmarkStart w:id="76" w:name="22.投标截止期"/>
      <w:bookmarkEnd w:id="76"/>
      <w:r>
        <w:rPr>
          <w:rFonts w:hint="eastAsia" w:ascii="黑体" w:eastAsia="黑体"/>
          <w:b/>
          <w:color w:val="auto"/>
          <w:sz w:val="21"/>
        </w:rPr>
        <w:t>投标截止期</w:t>
      </w:r>
    </w:p>
    <w:p>
      <w:pPr>
        <w:pStyle w:val="17"/>
        <w:numPr>
          <w:ilvl w:val="1"/>
          <w:numId w:val="4"/>
        </w:numPr>
        <w:tabs>
          <w:tab w:val="left" w:pos="1572"/>
        </w:tabs>
        <w:spacing w:before="7" w:after="0" w:line="240" w:lineRule="auto"/>
        <w:ind w:left="1572" w:right="0" w:hanging="471"/>
        <w:jc w:val="left"/>
        <w:rPr>
          <w:color w:val="auto"/>
          <w:sz w:val="21"/>
        </w:rPr>
      </w:pPr>
      <w:r>
        <w:rPr>
          <w:color w:val="auto"/>
          <w:spacing w:val="-3"/>
          <w:sz w:val="21"/>
        </w:rPr>
        <w:t xml:space="preserve">投标文件的截止时间详见本须知前附表第 </w:t>
      </w:r>
      <w:r>
        <w:rPr>
          <w:rFonts w:ascii="Times New Roman" w:eastAsia="Times New Roman"/>
          <w:color w:val="auto"/>
          <w:sz w:val="21"/>
        </w:rPr>
        <w:t>23</w:t>
      </w:r>
      <w:r>
        <w:rPr>
          <w:rFonts w:ascii="Times New Roman" w:eastAsia="Times New Roman"/>
          <w:color w:val="auto"/>
          <w:spacing w:val="1"/>
          <w:sz w:val="21"/>
        </w:rPr>
        <w:t xml:space="preserve"> </w:t>
      </w:r>
      <w:r>
        <w:rPr>
          <w:color w:val="auto"/>
          <w:sz w:val="21"/>
        </w:rPr>
        <w:t>项。</w:t>
      </w:r>
    </w:p>
    <w:p>
      <w:pPr>
        <w:pStyle w:val="17"/>
        <w:numPr>
          <w:ilvl w:val="1"/>
          <w:numId w:val="4"/>
        </w:numPr>
        <w:tabs>
          <w:tab w:val="left" w:pos="1572"/>
        </w:tabs>
        <w:spacing w:before="57" w:after="0" w:line="292" w:lineRule="auto"/>
        <w:ind w:left="681" w:right="840" w:firstLine="420"/>
        <w:jc w:val="left"/>
        <w:rPr>
          <w:color w:val="auto"/>
          <w:sz w:val="21"/>
        </w:rPr>
      </w:pPr>
      <w:r>
        <w:rPr>
          <w:color w:val="auto"/>
          <w:sz w:val="21"/>
        </w:rPr>
        <w:t>招标人可以补充通知的方式，酌情延长提交投标文件的截止时间。在此情况下，投标人的所有权利和义务以及投标人受制约的截止时间，均以延长后新的投标截止时间为准。</w:t>
      </w:r>
    </w:p>
    <w:p>
      <w:pPr>
        <w:pStyle w:val="17"/>
        <w:numPr>
          <w:ilvl w:val="1"/>
          <w:numId w:val="4"/>
        </w:numPr>
        <w:tabs>
          <w:tab w:val="left" w:pos="1572"/>
        </w:tabs>
        <w:spacing w:before="0" w:after="0" w:line="268" w:lineRule="exact"/>
        <w:ind w:left="1572" w:right="0" w:hanging="471"/>
        <w:jc w:val="left"/>
        <w:rPr>
          <w:color w:val="auto"/>
          <w:sz w:val="21"/>
        </w:rPr>
      </w:pPr>
      <w:r>
        <w:rPr>
          <w:color w:val="auto"/>
          <w:spacing w:val="-3"/>
          <w:sz w:val="21"/>
        </w:rPr>
        <w:t xml:space="preserve">到投标截止时间止，招标人收到的投标文件少于 </w:t>
      </w:r>
      <w:r>
        <w:rPr>
          <w:rFonts w:ascii="Times New Roman" w:eastAsia="Times New Roman"/>
          <w:color w:val="auto"/>
          <w:sz w:val="21"/>
        </w:rPr>
        <w:t>3</w:t>
      </w:r>
      <w:r>
        <w:rPr>
          <w:rFonts w:ascii="Times New Roman" w:eastAsia="Times New Roman"/>
          <w:color w:val="auto"/>
          <w:spacing w:val="2"/>
          <w:sz w:val="21"/>
        </w:rPr>
        <w:t xml:space="preserve"> </w:t>
      </w:r>
      <w:r>
        <w:rPr>
          <w:color w:val="auto"/>
          <w:sz w:val="21"/>
        </w:rPr>
        <w:t>个的，招标人将依法重新组织招</w:t>
      </w:r>
    </w:p>
    <w:p>
      <w:pPr>
        <w:pStyle w:val="6"/>
        <w:spacing w:before="57"/>
        <w:ind w:left="681"/>
        <w:rPr>
          <w:color w:val="auto"/>
        </w:rPr>
      </w:pPr>
      <w:r>
        <w:rPr>
          <w:color w:val="auto"/>
        </w:rPr>
        <w:t>标。</w:t>
      </w:r>
    </w:p>
    <w:p>
      <w:pPr>
        <w:pStyle w:val="6"/>
        <w:spacing w:before="5"/>
        <w:rPr>
          <w:color w:val="auto"/>
          <w:sz w:val="17"/>
        </w:rPr>
      </w:pPr>
    </w:p>
    <w:p>
      <w:pPr>
        <w:pStyle w:val="4"/>
        <w:numPr>
          <w:ilvl w:val="0"/>
          <w:numId w:val="4"/>
        </w:numPr>
        <w:tabs>
          <w:tab w:val="left" w:pos="1518"/>
        </w:tabs>
        <w:spacing w:before="0" w:after="0" w:line="240" w:lineRule="auto"/>
        <w:ind w:left="1517" w:right="0" w:hanging="265"/>
        <w:jc w:val="left"/>
        <w:rPr>
          <w:color w:val="auto"/>
        </w:rPr>
      </w:pPr>
      <w:bookmarkStart w:id="77" w:name="23.投标文件的补充、修改与撤回"/>
      <w:bookmarkEnd w:id="77"/>
      <w:bookmarkStart w:id="78" w:name="23.投标文件的补充、修改与撤回"/>
      <w:bookmarkEnd w:id="78"/>
      <w:r>
        <w:rPr>
          <w:color w:val="auto"/>
        </w:rPr>
        <w:t>投标文件的补充、修改与撤回</w:t>
      </w:r>
    </w:p>
    <w:p>
      <w:pPr>
        <w:pStyle w:val="17"/>
        <w:numPr>
          <w:ilvl w:val="1"/>
          <w:numId w:val="13"/>
        </w:numPr>
        <w:tabs>
          <w:tab w:val="left" w:pos="1572"/>
        </w:tabs>
        <w:spacing w:before="5" w:after="0" w:line="292" w:lineRule="auto"/>
        <w:ind w:left="681" w:right="840" w:firstLine="420"/>
        <w:jc w:val="both"/>
        <w:rPr>
          <w:color w:val="auto"/>
          <w:sz w:val="21"/>
        </w:rPr>
      </w:pPr>
      <w:r>
        <w:rPr>
          <w:color w:val="auto"/>
          <w:sz w:val="21"/>
        </w:rPr>
        <w:t>投标人在提交投标文件以后，在规定的投标截止时间之前，可以书面形式补充修改</w:t>
      </w:r>
      <w:r>
        <w:rPr>
          <w:color w:val="auto"/>
          <w:spacing w:val="-7"/>
          <w:w w:val="95"/>
          <w:sz w:val="21"/>
        </w:rPr>
        <w:t xml:space="preserve">或撤回已提交的投标文件，并以书面形式通知招标人。补充、修改的内容为投标文件的组成部   </w:t>
      </w:r>
      <w:r>
        <w:rPr>
          <w:color w:val="auto"/>
          <w:spacing w:val="-7"/>
          <w:sz w:val="21"/>
        </w:rPr>
        <w:t>分。</w:t>
      </w:r>
    </w:p>
    <w:p>
      <w:pPr>
        <w:pStyle w:val="17"/>
        <w:numPr>
          <w:ilvl w:val="1"/>
          <w:numId w:val="13"/>
        </w:numPr>
        <w:tabs>
          <w:tab w:val="left" w:pos="1572"/>
        </w:tabs>
        <w:spacing w:before="0" w:after="0" w:line="290" w:lineRule="auto"/>
        <w:ind w:left="681" w:right="840" w:firstLine="420"/>
        <w:jc w:val="left"/>
        <w:rPr>
          <w:color w:val="auto"/>
          <w:sz w:val="21"/>
        </w:rPr>
      </w:pPr>
      <w:r>
        <w:rPr>
          <w:color w:val="auto"/>
          <w:sz w:val="21"/>
        </w:rPr>
        <w:t>投标人对投标文件的补充、修改，应按本节有关投标文件规定密封、标记和提交， 并在投标文件密封袋上清楚标明</w:t>
      </w:r>
      <w:r>
        <w:rPr>
          <w:rFonts w:ascii="Times New Roman" w:hAnsi="Times New Roman" w:eastAsia="Times New Roman"/>
          <w:color w:val="auto"/>
          <w:sz w:val="21"/>
        </w:rPr>
        <w:t>“</w:t>
      </w:r>
      <w:r>
        <w:rPr>
          <w:color w:val="auto"/>
          <w:sz w:val="21"/>
        </w:rPr>
        <w:t>补充、修改</w:t>
      </w:r>
      <w:r>
        <w:rPr>
          <w:rFonts w:ascii="Times New Roman" w:hAnsi="Times New Roman" w:eastAsia="Times New Roman"/>
          <w:color w:val="auto"/>
          <w:sz w:val="21"/>
        </w:rPr>
        <w:t>”</w:t>
      </w:r>
      <w:r>
        <w:rPr>
          <w:color w:val="auto"/>
          <w:sz w:val="21"/>
        </w:rPr>
        <w:t>或</w:t>
      </w:r>
      <w:r>
        <w:rPr>
          <w:rFonts w:ascii="Times New Roman" w:hAnsi="Times New Roman" w:eastAsia="Times New Roman"/>
          <w:color w:val="auto"/>
          <w:sz w:val="21"/>
        </w:rPr>
        <w:t>“</w:t>
      </w:r>
      <w:r>
        <w:rPr>
          <w:color w:val="auto"/>
          <w:sz w:val="21"/>
        </w:rPr>
        <w:t>撤回</w:t>
      </w:r>
      <w:r>
        <w:rPr>
          <w:rFonts w:ascii="Times New Roman" w:hAnsi="Times New Roman" w:eastAsia="Times New Roman"/>
          <w:color w:val="auto"/>
          <w:sz w:val="21"/>
        </w:rPr>
        <w:t>”</w:t>
      </w:r>
      <w:r>
        <w:rPr>
          <w:color w:val="auto"/>
          <w:sz w:val="21"/>
        </w:rPr>
        <w:t>字样。</w:t>
      </w:r>
    </w:p>
    <w:p>
      <w:pPr>
        <w:pStyle w:val="17"/>
        <w:numPr>
          <w:ilvl w:val="1"/>
          <w:numId w:val="13"/>
        </w:numPr>
        <w:tabs>
          <w:tab w:val="left" w:pos="1572"/>
        </w:tabs>
        <w:spacing w:before="0" w:after="0" w:line="240" w:lineRule="auto"/>
        <w:ind w:left="1572" w:right="0" w:hanging="471"/>
        <w:jc w:val="left"/>
        <w:rPr>
          <w:color w:val="auto"/>
          <w:sz w:val="21"/>
        </w:rPr>
      </w:pPr>
      <w:r>
        <w:rPr>
          <w:color w:val="auto"/>
          <w:sz w:val="21"/>
        </w:rPr>
        <w:t>在投标截止时间之后，投标人不得补充、修改投标文件。</w:t>
      </w:r>
    </w:p>
    <w:p>
      <w:pPr>
        <w:pStyle w:val="17"/>
        <w:numPr>
          <w:ilvl w:val="1"/>
          <w:numId w:val="13"/>
        </w:numPr>
        <w:tabs>
          <w:tab w:val="left" w:pos="1572"/>
        </w:tabs>
        <w:spacing w:before="56" w:after="0" w:line="292" w:lineRule="auto"/>
        <w:ind w:left="681" w:right="840" w:firstLine="420"/>
        <w:jc w:val="left"/>
        <w:rPr>
          <w:color w:val="auto"/>
          <w:sz w:val="21"/>
        </w:rPr>
      </w:pPr>
      <w:r>
        <w:rPr>
          <w:color w:val="auto"/>
          <w:sz w:val="21"/>
        </w:rPr>
        <w:t>在投标截止时间至投标有效期满之前，投标人不得撤回其投标文件，否则其投标担保将被没收。</w:t>
      </w:r>
    </w:p>
    <w:p>
      <w:pPr>
        <w:pStyle w:val="6"/>
        <w:spacing w:before="8"/>
        <w:rPr>
          <w:color w:val="auto"/>
          <w:sz w:val="13"/>
        </w:rPr>
      </w:pPr>
    </w:p>
    <w:p>
      <w:pPr>
        <w:spacing w:after="0"/>
        <w:rPr>
          <w:color w:val="auto"/>
          <w:sz w:val="13"/>
        </w:rPr>
        <w:sectPr>
          <w:pgSz w:w="11910" w:h="16840"/>
          <w:pgMar w:top="1360" w:right="860" w:bottom="1060" w:left="1020" w:header="873" w:footer="863" w:gutter="0"/>
        </w:sectPr>
      </w:pPr>
    </w:p>
    <w:p>
      <w:pPr>
        <w:pStyle w:val="6"/>
        <w:rPr>
          <w:color w:val="auto"/>
          <w:sz w:val="22"/>
        </w:rPr>
      </w:pPr>
    </w:p>
    <w:p>
      <w:pPr>
        <w:pStyle w:val="6"/>
        <w:rPr>
          <w:color w:val="auto"/>
          <w:sz w:val="24"/>
        </w:rPr>
      </w:pPr>
    </w:p>
    <w:p>
      <w:pPr>
        <w:pStyle w:val="4"/>
        <w:numPr>
          <w:ilvl w:val="0"/>
          <w:numId w:val="4"/>
        </w:numPr>
        <w:tabs>
          <w:tab w:val="left" w:pos="1518"/>
        </w:tabs>
        <w:spacing w:before="0" w:after="0" w:line="240" w:lineRule="auto"/>
        <w:ind w:left="1517" w:right="0" w:hanging="265"/>
        <w:jc w:val="left"/>
        <w:rPr>
          <w:color w:val="auto"/>
        </w:rPr>
      </w:pPr>
      <w:bookmarkStart w:id="79" w:name="24.开标"/>
      <w:bookmarkEnd w:id="79"/>
      <w:bookmarkStart w:id="80" w:name="24.开标"/>
      <w:bookmarkEnd w:id="80"/>
      <w:r>
        <w:rPr>
          <w:color w:val="auto"/>
        </w:rPr>
        <w:t>开标</w:t>
      </w:r>
    </w:p>
    <w:p>
      <w:pPr>
        <w:pStyle w:val="2"/>
        <w:tabs>
          <w:tab w:val="left" w:pos="2539"/>
          <w:tab w:val="left" w:pos="3338"/>
        </w:tabs>
        <w:spacing w:before="55"/>
        <w:rPr>
          <w:color w:val="auto"/>
        </w:rPr>
      </w:pPr>
      <w:r>
        <w:rPr>
          <w:b w:val="0"/>
          <w:color w:val="auto"/>
        </w:rPr>
        <w:br w:type="column"/>
      </w:r>
      <w:r>
        <w:rPr>
          <w:color w:val="auto"/>
        </w:rPr>
        <w:t>第五节</w:t>
      </w:r>
      <w:r>
        <w:rPr>
          <w:color w:val="auto"/>
        </w:rPr>
        <w:tab/>
      </w:r>
      <w:bookmarkStart w:id="81" w:name="第五节开   标"/>
      <w:bookmarkEnd w:id="81"/>
      <w:bookmarkStart w:id="82" w:name="_bookmark13"/>
      <w:bookmarkEnd w:id="82"/>
      <w:r>
        <w:rPr>
          <w:color w:val="auto"/>
        </w:rPr>
        <w:t>开</w:t>
      </w:r>
      <w:r>
        <w:rPr>
          <w:color w:val="auto"/>
        </w:rPr>
        <w:tab/>
      </w:r>
      <w:r>
        <w:rPr>
          <w:color w:val="auto"/>
        </w:rPr>
        <w:t>标</w:t>
      </w:r>
    </w:p>
    <w:p>
      <w:pPr>
        <w:spacing w:after="0"/>
        <w:rPr>
          <w:color w:val="auto"/>
        </w:rPr>
        <w:sectPr>
          <w:type w:val="continuous"/>
          <w:pgSz w:w="11910" w:h="16840"/>
          <w:pgMar w:top="1600" w:right="860" w:bottom="280" w:left="1020" w:header="720" w:footer="720" w:gutter="0"/>
          <w:cols w:equalWidth="0" w:num="2">
            <w:col w:w="1977" w:space="919"/>
            <w:col w:w="7134"/>
          </w:cols>
        </w:sectPr>
      </w:pPr>
    </w:p>
    <w:p>
      <w:pPr>
        <w:pStyle w:val="17"/>
        <w:numPr>
          <w:ilvl w:val="1"/>
          <w:numId w:val="14"/>
        </w:numPr>
        <w:tabs>
          <w:tab w:val="left" w:pos="1572"/>
        </w:tabs>
        <w:spacing w:before="5" w:after="0" w:line="290" w:lineRule="auto"/>
        <w:ind w:left="681" w:right="840" w:firstLine="420"/>
        <w:jc w:val="left"/>
        <w:rPr>
          <w:color w:val="auto"/>
          <w:sz w:val="21"/>
        </w:rPr>
      </w:pPr>
      <w:r>
        <w:rPr>
          <w:color w:val="auto"/>
          <w:spacing w:val="1"/>
          <w:sz w:val="21"/>
        </w:rPr>
        <w:t>招标人将于投标截止期的同一时间按本须知前附表第</w:t>
      </w:r>
      <w:r>
        <w:rPr>
          <w:rFonts w:ascii="Times New Roman" w:eastAsia="Times New Roman"/>
          <w:color w:val="auto"/>
          <w:sz w:val="21"/>
        </w:rPr>
        <w:t>22</w:t>
      </w:r>
      <w:r>
        <w:rPr>
          <w:rFonts w:ascii="Times New Roman" w:eastAsia="Times New Roman"/>
          <w:color w:val="auto"/>
          <w:spacing w:val="-37"/>
          <w:sz w:val="21"/>
        </w:rPr>
        <w:t xml:space="preserve"> </w:t>
      </w:r>
      <w:r>
        <w:rPr>
          <w:color w:val="auto"/>
          <w:sz w:val="21"/>
        </w:rPr>
        <w:t>项所规定的地点公开举行开标会议。</w:t>
      </w:r>
    </w:p>
    <w:p>
      <w:pPr>
        <w:pStyle w:val="17"/>
        <w:numPr>
          <w:ilvl w:val="1"/>
          <w:numId w:val="14"/>
        </w:numPr>
        <w:tabs>
          <w:tab w:val="left" w:pos="1572"/>
        </w:tabs>
        <w:spacing w:before="1" w:after="0" w:line="240" w:lineRule="auto"/>
        <w:ind w:left="1572" w:right="0" w:hanging="471"/>
        <w:jc w:val="left"/>
        <w:rPr>
          <w:color w:val="auto"/>
          <w:sz w:val="21"/>
        </w:rPr>
      </w:pPr>
      <w:r>
        <w:rPr>
          <w:color w:val="auto"/>
          <w:sz w:val="21"/>
        </w:rPr>
        <w:t>开标会议由招标人（或招标代理机构）组织并主持。</w:t>
      </w:r>
    </w:p>
    <w:p>
      <w:pPr>
        <w:pStyle w:val="17"/>
        <w:numPr>
          <w:ilvl w:val="1"/>
          <w:numId w:val="14"/>
        </w:numPr>
        <w:tabs>
          <w:tab w:val="left" w:pos="1572"/>
        </w:tabs>
        <w:spacing w:before="58" w:after="0" w:line="240" w:lineRule="auto"/>
        <w:ind w:left="1572" w:right="0" w:hanging="471"/>
        <w:jc w:val="left"/>
        <w:rPr>
          <w:color w:val="auto"/>
          <w:sz w:val="21"/>
        </w:rPr>
      </w:pPr>
      <w:r>
        <w:rPr>
          <w:color w:val="auto"/>
          <w:spacing w:val="-4"/>
          <w:sz w:val="21"/>
        </w:rPr>
        <w:t xml:space="preserve">开标顺序详见本须知前附表第 </w:t>
      </w:r>
      <w:r>
        <w:rPr>
          <w:rFonts w:ascii="Times New Roman" w:eastAsia="Times New Roman"/>
          <w:color w:val="auto"/>
          <w:sz w:val="21"/>
        </w:rPr>
        <w:t>25</w:t>
      </w:r>
      <w:r>
        <w:rPr>
          <w:rFonts w:ascii="Times New Roman" w:eastAsia="Times New Roman"/>
          <w:color w:val="auto"/>
          <w:spacing w:val="-1"/>
          <w:sz w:val="21"/>
        </w:rPr>
        <w:t xml:space="preserve"> </w:t>
      </w:r>
      <w:r>
        <w:rPr>
          <w:color w:val="auto"/>
          <w:sz w:val="21"/>
        </w:rPr>
        <w:t>项。</w:t>
      </w:r>
    </w:p>
    <w:p>
      <w:pPr>
        <w:pStyle w:val="6"/>
        <w:spacing w:before="4"/>
        <w:rPr>
          <w:color w:val="auto"/>
          <w:sz w:val="17"/>
        </w:rPr>
      </w:pPr>
    </w:p>
    <w:p>
      <w:pPr>
        <w:pStyle w:val="4"/>
        <w:numPr>
          <w:ilvl w:val="0"/>
          <w:numId w:val="4"/>
        </w:numPr>
        <w:tabs>
          <w:tab w:val="left" w:pos="1518"/>
        </w:tabs>
        <w:spacing w:before="1" w:after="0" w:line="240" w:lineRule="auto"/>
        <w:ind w:left="1517" w:right="0" w:hanging="265"/>
        <w:jc w:val="left"/>
        <w:rPr>
          <w:color w:val="auto"/>
        </w:rPr>
      </w:pPr>
      <w:bookmarkStart w:id="83" w:name="25.投标文件公布"/>
      <w:bookmarkEnd w:id="83"/>
      <w:bookmarkStart w:id="84" w:name="25.投标文件公布"/>
      <w:bookmarkEnd w:id="84"/>
      <w:r>
        <w:rPr>
          <w:color w:val="auto"/>
        </w:rPr>
        <w:t>投标文件公布</w:t>
      </w:r>
    </w:p>
    <w:p>
      <w:pPr>
        <w:pStyle w:val="17"/>
        <w:numPr>
          <w:ilvl w:val="1"/>
          <w:numId w:val="15"/>
        </w:numPr>
        <w:tabs>
          <w:tab w:val="left" w:pos="1572"/>
        </w:tabs>
        <w:spacing w:before="7" w:after="0" w:line="290" w:lineRule="auto"/>
        <w:ind w:left="681" w:right="734" w:firstLine="420"/>
        <w:jc w:val="left"/>
        <w:rPr>
          <w:color w:val="auto"/>
          <w:sz w:val="21"/>
        </w:rPr>
      </w:pPr>
      <w:r>
        <w:rPr>
          <w:color w:val="auto"/>
          <w:sz w:val="21"/>
        </w:rPr>
        <w:t>由投标人或其推选的代表检查投标文件的密封情况，未按本招标文件要求密封的投</w:t>
      </w:r>
      <w:r>
        <w:rPr>
          <w:color w:val="auto"/>
          <w:w w:val="95"/>
          <w:sz w:val="21"/>
        </w:rPr>
        <w:t>标文件则退还投标人，经确认无误后，由有关工作人员当众拆封，宣读投标承诺的主要内容。</w:t>
      </w:r>
    </w:p>
    <w:p>
      <w:pPr>
        <w:pStyle w:val="17"/>
        <w:numPr>
          <w:ilvl w:val="1"/>
          <w:numId w:val="15"/>
        </w:numPr>
        <w:tabs>
          <w:tab w:val="left" w:pos="1572"/>
        </w:tabs>
        <w:spacing w:before="4" w:after="0" w:line="240" w:lineRule="auto"/>
        <w:ind w:left="1572" w:right="0" w:hanging="471"/>
        <w:jc w:val="left"/>
        <w:rPr>
          <w:color w:val="auto"/>
          <w:sz w:val="21"/>
        </w:rPr>
      </w:pPr>
      <w:r>
        <w:rPr>
          <w:color w:val="auto"/>
          <w:sz w:val="21"/>
        </w:rPr>
        <w:t>招标人（或招标代理机构）将对开标过程进行记录，以存档备查。</w:t>
      </w:r>
    </w:p>
    <w:p>
      <w:pPr>
        <w:pStyle w:val="6"/>
        <w:spacing w:before="3"/>
        <w:rPr>
          <w:color w:val="auto"/>
          <w:sz w:val="18"/>
        </w:rPr>
      </w:pPr>
    </w:p>
    <w:p>
      <w:pPr>
        <w:spacing w:after="0"/>
        <w:rPr>
          <w:color w:val="auto"/>
          <w:sz w:val="18"/>
        </w:rPr>
        <w:sectPr>
          <w:type w:val="continuous"/>
          <w:pgSz w:w="11910" w:h="16840"/>
          <w:pgMar w:top="1600" w:right="860" w:bottom="280" w:left="1020" w:header="720" w:footer="720" w:gutter="0"/>
        </w:sectPr>
      </w:pPr>
    </w:p>
    <w:p>
      <w:pPr>
        <w:pStyle w:val="6"/>
        <w:rPr>
          <w:color w:val="auto"/>
          <w:sz w:val="22"/>
        </w:rPr>
      </w:pPr>
    </w:p>
    <w:p>
      <w:pPr>
        <w:pStyle w:val="6"/>
        <w:spacing w:before="10"/>
        <w:rPr>
          <w:color w:val="auto"/>
          <w:sz w:val="23"/>
        </w:rPr>
      </w:pPr>
    </w:p>
    <w:p>
      <w:pPr>
        <w:pStyle w:val="4"/>
        <w:numPr>
          <w:ilvl w:val="0"/>
          <w:numId w:val="4"/>
        </w:numPr>
        <w:tabs>
          <w:tab w:val="left" w:pos="1518"/>
        </w:tabs>
        <w:spacing w:before="0" w:after="0" w:line="240" w:lineRule="auto"/>
        <w:ind w:left="1517" w:right="0" w:hanging="265"/>
        <w:jc w:val="left"/>
        <w:rPr>
          <w:color w:val="auto"/>
        </w:rPr>
      </w:pPr>
      <w:bookmarkStart w:id="85" w:name="26.评标会议"/>
      <w:bookmarkEnd w:id="85"/>
      <w:bookmarkStart w:id="86" w:name="26.评标会议"/>
      <w:bookmarkEnd w:id="86"/>
      <w:r>
        <w:rPr>
          <w:color w:val="auto"/>
        </w:rPr>
        <w:t>评标会议</w:t>
      </w:r>
    </w:p>
    <w:p>
      <w:pPr>
        <w:pStyle w:val="2"/>
        <w:tabs>
          <w:tab w:val="left" w:pos="2539"/>
          <w:tab w:val="left" w:pos="3338"/>
        </w:tabs>
        <w:rPr>
          <w:color w:val="auto"/>
        </w:rPr>
      </w:pPr>
      <w:r>
        <w:rPr>
          <w:b w:val="0"/>
          <w:color w:val="auto"/>
        </w:rPr>
        <w:br w:type="column"/>
      </w:r>
      <w:r>
        <w:rPr>
          <w:color w:val="auto"/>
        </w:rPr>
        <w:t>第六节</w:t>
      </w:r>
      <w:r>
        <w:rPr>
          <w:color w:val="auto"/>
        </w:rPr>
        <w:tab/>
      </w:r>
      <w:bookmarkStart w:id="87" w:name="_bookmark14"/>
      <w:bookmarkEnd w:id="87"/>
      <w:bookmarkStart w:id="88" w:name="第六节评   标"/>
      <w:bookmarkEnd w:id="88"/>
      <w:r>
        <w:rPr>
          <w:color w:val="auto"/>
        </w:rPr>
        <w:t>评</w:t>
      </w:r>
      <w:r>
        <w:rPr>
          <w:color w:val="auto"/>
        </w:rPr>
        <w:tab/>
      </w:r>
      <w:r>
        <w:rPr>
          <w:color w:val="auto"/>
        </w:rPr>
        <w:t>标</w:t>
      </w:r>
    </w:p>
    <w:p>
      <w:pPr>
        <w:spacing w:after="0"/>
        <w:rPr>
          <w:color w:val="auto"/>
        </w:rPr>
        <w:sectPr>
          <w:type w:val="continuous"/>
          <w:pgSz w:w="11910" w:h="16840"/>
          <w:pgMar w:top="1600" w:right="860" w:bottom="280" w:left="1020" w:header="720" w:footer="720" w:gutter="0"/>
          <w:cols w:equalWidth="0" w:num="2">
            <w:col w:w="2400" w:space="497"/>
            <w:col w:w="7133"/>
          </w:cols>
        </w:sectPr>
      </w:pPr>
    </w:p>
    <w:p>
      <w:pPr>
        <w:pStyle w:val="17"/>
        <w:numPr>
          <w:ilvl w:val="1"/>
          <w:numId w:val="4"/>
        </w:numPr>
        <w:tabs>
          <w:tab w:val="left" w:pos="1572"/>
        </w:tabs>
        <w:spacing w:before="7" w:after="0" w:line="240" w:lineRule="auto"/>
        <w:ind w:left="1572" w:right="0" w:hanging="471"/>
        <w:jc w:val="left"/>
        <w:rPr>
          <w:color w:val="auto"/>
          <w:sz w:val="21"/>
        </w:rPr>
      </w:pPr>
      <w:r>
        <w:rPr>
          <w:color w:val="auto"/>
          <w:sz w:val="21"/>
        </w:rPr>
        <w:t>评标小组由招标人（或招标代理机构）依法组建，负责评标活动。</w:t>
      </w:r>
    </w:p>
    <w:p>
      <w:pPr>
        <w:pStyle w:val="6"/>
        <w:spacing w:before="5"/>
        <w:rPr>
          <w:color w:val="auto"/>
          <w:sz w:val="17"/>
        </w:rPr>
      </w:pPr>
    </w:p>
    <w:p>
      <w:pPr>
        <w:pStyle w:val="4"/>
        <w:numPr>
          <w:ilvl w:val="0"/>
          <w:numId w:val="4"/>
        </w:numPr>
        <w:tabs>
          <w:tab w:val="left" w:pos="1518"/>
        </w:tabs>
        <w:spacing w:before="0" w:after="0" w:line="240" w:lineRule="auto"/>
        <w:ind w:left="1517" w:right="0" w:hanging="265"/>
        <w:jc w:val="left"/>
        <w:rPr>
          <w:color w:val="auto"/>
        </w:rPr>
      </w:pPr>
      <w:bookmarkStart w:id="89" w:name="27.评标过程的保密"/>
      <w:bookmarkEnd w:id="89"/>
      <w:bookmarkStart w:id="90" w:name="27.评标过程的保密"/>
      <w:bookmarkEnd w:id="90"/>
      <w:r>
        <w:rPr>
          <w:color w:val="auto"/>
        </w:rPr>
        <w:t>评标过程的保密</w:t>
      </w:r>
    </w:p>
    <w:p>
      <w:pPr>
        <w:pStyle w:val="17"/>
        <w:numPr>
          <w:ilvl w:val="1"/>
          <w:numId w:val="4"/>
        </w:numPr>
        <w:tabs>
          <w:tab w:val="left" w:pos="1572"/>
        </w:tabs>
        <w:spacing w:before="5" w:after="0" w:line="240" w:lineRule="auto"/>
        <w:ind w:left="1572" w:right="0" w:hanging="471"/>
        <w:jc w:val="left"/>
        <w:rPr>
          <w:color w:val="auto"/>
          <w:sz w:val="21"/>
        </w:rPr>
      </w:pPr>
      <w:r>
        <w:rPr>
          <w:color w:val="auto"/>
          <w:sz w:val="21"/>
        </w:rPr>
        <w:t>中标人确定后，招标人不对未中标人就评标过程以及未能中标原因作出任何解释。</w:t>
      </w:r>
    </w:p>
    <w:p>
      <w:pPr>
        <w:spacing w:after="0" w:line="240" w:lineRule="auto"/>
        <w:jc w:val="left"/>
        <w:rPr>
          <w:color w:val="auto"/>
          <w:sz w:val="21"/>
        </w:rPr>
        <w:sectPr>
          <w:type w:val="continuous"/>
          <w:pgSz w:w="11910" w:h="16840"/>
          <w:pgMar w:top="1600" w:right="860" w:bottom="280" w:left="1020" w:header="720" w:footer="720" w:gutter="0"/>
        </w:sectPr>
      </w:pPr>
    </w:p>
    <w:p>
      <w:pPr>
        <w:pStyle w:val="6"/>
        <w:spacing w:before="75"/>
        <w:ind w:left="681"/>
        <w:rPr>
          <w:color w:val="auto"/>
        </w:rPr>
      </w:pPr>
      <w:r>
        <w:rPr>
          <w:color w:val="auto"/>
        </w:rPr>
        <w:t>未中标人不得向评标小组组成人员或其他有关人员索问评标过程的情况和材料。</w:t>
      </w:r>
    </w:p>
    <w:p>
      <w:pPr>
        <w:pStyle w:val="6"/>
        <w:spacing w:before="5"/>
        <w:rPr>
          <w:color w:val="auto"/>
          <w:sz w:val="17"/>
        </w:rPr>
      </w:pPr>
    </w:p>
    <w:p>
      <w:pPr>
        <w:pStyle w:val="4"/>
        <w:numPr>
          <w:ilvl w:val="0"/>
          <w:numId w:val="4"/>
        </w:numPr>
        <w:tabs>
          <w:tab w:val="left" w:pos="1518"/>
        </w:tabs>
        <w:spacing w:before="0" w:after="0" w:line="240" w:lineRule="auto"/>
        <w:ind w:left="1517" w:right="0" w:hanging="265"/>
        <w:jc w:val="left"/>
        <w:rPr>
          <w:color w:val="auto"/>
        </w:rPr>
      </w:pPr>
      <w:bookmarkStart w:id="91" w:name="28.投标文件符合性鉴定"/>
      <w:bookmarkEnd w:id="91"/>
      <w:bookmarkStart w:id="92" w:name="28.投标文件符合性鉴定"/>
      <w:bookmarkEnd w:id="92"/>
      <w:r>
        <w:rPr>
          <w:color w:val="auto"/>
        </w:rPr>
        <w:t>投标文件符合性鉴定</w:t>
      </w:r>
    </w:p>
    <w:p>
      <w:pPr>
        <w:pStyle w:val="17"/>
        <w:numPr>
          <w:ilvl w:val="1"/>
          <w:numId w:val="4"/>
        </w:numPr>
        <w:tabs>
          <w:tab w:val="left" w:pos="1721"/>
        </w:tabs>
        <w:spacing w:before="7" w:after="0" w:line="292" w:lineRule="auto"/>
        <w:ind w:left="830" w:right="840" w:firstLine="420"/>
        <w:jc w:val="both"/>
        <w:rPr>
          <w:color w:val="auto"/>
          <w:sz w:val="21"/>
        </w:rPr>
      </w:pPr>
      <w:r>
        <w:rPr>
          <w:color w:val="auto"/>
          <w:spacing w:val="-4"/>
          <w:w w:val="95"/>
          <w:sz w:val="21"/>
        </w:rPr>
        <w:t xml:space="preserve">评标小组将首先评定每份投标文件是否在实质上响应了招标文件的要求。所谓实质  </w:t>
      </w:r>
      <w:r>
        <w:rPr>
          <w:color w:val="auto"/>
          <w:spacing w:val="-7"/>
          <w:w w:val="95"/>
          <w:sz w:val="21"/>
        </w:rPr>
        <w:t xml:space="preserve">上响应，是指投标文件应与招标文件的所有实质性条款、条件和要求相符，无显著差异或保   </w:t>
      </w:r>
      <w:r>
        <w:rPr>
          <w:color w:val="auto"/>
          <w:spacing w:val="-8"/>
          <w:w w:val="95"/>
          <w:sz w:val="21"/>
        </w:rPr>
        <w:t xml:space="preserve">留。实质性内容包括投标函是否按招标文件要求编制，总报价、质量、工期、投标资格等实   </w:t>
      </w:r>
      <w:r>
        <w:rPr>
          <w:color w:val="auto"/>
          <w:spacing w:val="-10"/>
          <w:w w:val="95"/>
          <w:sz w:val="21"/>
        </w:rPr>
        <w:t xml:space="preserve">质内容的承诺是否响应招标文件要求等。投标文件是否响应招标文件实质性内容由评标小组   </w:t>
      </w:r>
      <w:r>
        <w:rPr>
          <w:color w:val="auto"/>
          <w:spacing w:val="-10"/>
          <w:sz w:val="21"/>
        </w:rPr>
        <w:t>界定。</w:t>
      </w:r>
    </w:p>
    <w:p>
      <w:pPr>
        <w:pStyle w:val="4"/>
        <w:numPr>
          <w:ilvl w:val="0"/>
          <w:numId w:val="4"/>
        </w:numPr>
        <w:tabs>
          <w:tab w:val="left" w:pos="1518"/>
        </w:tabs>
        <w:spacing w:before="156" w:after="0" w:line="240" w:lineRule="auto"/>
        <w:ind w:left="1517" w:right="0" w:hanging="265"/>
        <w:jc w:val="left"/>
        <w:rPr>
          <w:color w:val="auto"/>
        </w:rPr>
      </w:pPr>
      <w:bookmarkStart w:id="93" w:name="29.投标文件的澄清"/>
      <w:bookmarkEnd w:id="93"/>
      <w:bookmarkStart w:id="94" w:name="29.投标文件的澄清"/>
      <w:bookmarkEnd w:id="94"/>
      <w:r>
        <w:rPr>
          <w:color w:val="auto"/>
        </w:rPr>
        <w:t>投标文件的澄清</w:t>
      </w:r>
    </w:p>
    <w:p>
      <w:pPr>
        <w:pStyle w:val="17"/>
        <w:numPr>
          <w:ilvl w:val="1"/>
          <w:numId w:val="16"/>
        </w:numPr>
        <w:tabs>
          <w:tab w:val="left" w:pos="1572"/>
        </w:tabs>
        <w:spacing w:before="7" w:after="0" w:line="290" w:lineRule="auto"/>
        <w:ind w:left="681" w:right="840" w:firstLine="420"/>
        <w:jc w:val="both"/>
        <w:rPr>
          <w:color w:val="auto"/>
          <w:sz w:val="21"/>
        </w:rPr>
      </w:pPr>
      <w:r>
        <w:rPr>
          <w:color w:val="auto"/>
          <w:sz w:val="21"/>
        </w:rPr>
        <w:t>评标小组可以书面方式要求投标人对其投标文件中细微偏差作必要的澄清、说明或</w:t>
      </w:r>
      <w:r>
        <w:rPr>
          <w:color w:val="auto"/>
          <w:spacing w:val="-10"/>
          <w:w w:val="95"/>
          <w:sz w:val="21"/>
        </w:rPr>
        <w:t xml:space="preserve">者补正。细微偏差是指投标文件在实质上响应招标文件要求，但在个别地方存在漏项或者提供   </w:t>
      </w:r>
      <w:r>
        <w:rPr>
          <w:color w:val="auto"/>
          <w:spacing w:val="-16"/>
          <w:w w:val="95"/>
          <w:sz w:val="21"/>
        </w:rPr>
        <w:t xml:space="preserve">了不完整的技术信息和数据等情况，并且补正这些遗漏或者不完整不会对其他投标人造成不公   </w:t>
      </w:r>
      <w:r>
        <w:rPr>
          <w:color w:val="auto"/>
          <w:spacing w:val="-14"/>
          <w:w w:val="95"/>
          <w:sz w:val="21"/>
        </w:rPr>
        <w:t xml:space="preserve">平的结果。细微偏差不影响投标文件的有效性。澄清、说明或者补正应以书面方式进行并不得   </w:t>
      </w:r>
      <w:r>
        <w:rPr>
          <w:color w:val="auto"/>
          <w:spacing w:val="-17"/>
          <w:w w:val="95"/>
          <w:sz w:val="21"/>
        </w:rPr>
        <w:t xml:space="preserve">超出投标文件的范围或者改变投标文件的实质性内容。但根据本节错误的修正的规定，凡属于   </w:t>
      </w:r>
      <w:r>
        <w:rPr>
          <w:color w:val="auto"/>
          <w:spacing w:val="-17"/>
          <w:sz w:val="21"/>
        </w:rPr>
        <w:t>评标小组在评标中发现的算术错误进行核实的修改不在此列。</w:t>
      </w:r>
    </w:p>
    <w:p>
      <w:pPr>
        <w:pStyle w:val="17"/>
        <w:numPr>
          <w:ilvl w:val="1"/>
          <w:numId w:val="16"/>
        </w:numPr>
        <w:tabs>
          <w:tab w:val="left" w:pos="1572"/>
        </w:tabs>
        <w:spacing w:before="7" w:after="0" w:line="290" w:lineRule="auto"/>
        <w:ind w:left="681" w:right="840" w:firstLine="420"/>
        <w:jc w:val="both"/>
        <w:rPr>
          <w:color w:val="auto"/>
          <w:sz w:val="21"/>
        </w:rPr>
      </w:pPr>
      <w:r>
        <w:rPr>
          <w:color w:val="auto"/>
          <w:sz w:val="21"/>
        </w:rPr>
        <w:t>评审过程中，评标小组可能以书面形式通知投标人要求投标人就投标文件中的内容</w:t>
      </w:r>
      <w:r>
        <w:rPr>
          <w:color w:val="auto"/>
          <w:spacing w:val="-3"/>
          <w:sz w:val="21"/>
        </w:rPr>
        <w:t xml:space="preserve">进行澄清或说明。投标人应在接到询标通知后 </w:t>
      </w:r>
      <w:r>
        <w:rPr>
          <w:rFonts w:ascii="Times New Roman" w:eastAsia="Times New Roman"/>
          <w:color w:val="auto"/>
          <w:sz w:val="21"/>
        </w:rPr>
        <w:t>30</w:t>
      </w:r>
      <w:r>
        <w:rPr>
          <w:rFonts w:ascii="Times New Roman" w:eastAsia="Times New Roman"/>
          <w:color w:val="auto"/>
          <w:spacing w:val="-9"/>
          <w:sz w:val="21"/>
        </w:rPr>
        <w:t xml:space="preserve"> </w:t>
      </w:r>
      <w:r>
        <w:rPr>
          <w:color w:val="auto"/>
          <w:sz w:val="21"/>
        </w:rPr>
        <w:t>分钟内作出答复，若在规定时间内未作出答复的，可视作拒绝或放弃澄清或说明。</w:t>
      </w:r>
    </w:p>
    <w:p>
      <w:pPr>
        <w:pStyle w:val="4"/>
        <w:numPr>
          <w:ilvl w:val="0"/>
          <w:numId w:val="4"/>
        </w:numPr>
        <w:tabs>
          <w:tab w:val="left" w:pos="1518"/>
        </w:tabs>
        <w:spacing w:before="168" w:after="0" w:line="240" w:lineRule="auto"/>
        <w:ind w:left="1517" w:right="0" w:hanging="265"/>
        <w:jc w:val="left"/>
        <w:rPr>
          <w:color w:val="auto"/>
        </w:rPr>
      </w:pPr>
      <w:bookmarkStart w:id="95" w:name="30.投标文件的评审"/>
      <w:bookmarkEnd w:id="95"/>
      <w:bookmarkStart w:id="96" w:name="30.投标文件的评审"/>
      <w:bookmarkEnd w:id="96"/>
      <w:r>
        <w:rPr>
          <w:color w:val="auto"/>
        </w:rPr>
        <w:t>投标文件的评审</w:t>
      </w:r>
    </w:p>
    <w:p>
      <w:pPr>
        <w:pStyle w:val="17"/>
        <w:numPr>
          <w:ilvl w:val="1"/>
          <w:numId w:val="17"/>
        </w:numPr>
        <w:tabs>
          <w:tab w:val="left" w:pos="1524"/>
        </w:tabs>
        <w:spacing w:before="7" w:after="0" w:line="290" w:lineRule="auto"/>
        <w:ind w:left="681" w:right="811" w:firstLine="420"/>
        <w:jc w:val="both"/>
        <w:rPr>
          <w:rFonts w:ascii="Times New Roman" w:eastAsia="Times New Roman"/>
          <w:b/>
          <w:color w:val="auto"/>
          <w:sz w:val="21"/>
        </w:rPr>
      </w:pPr>
      <w:r>
        <w:rPr>
          <w:rFonts w:hint="eastAsia" w:ascii="黑体" w:eastAsia="黑体"/>
          <w:b/>
          <w:color w:val="auto"/>
          <w:spacing w:val="3"/>
          <w:w w:val="95"/>
          <w:sz w:val="21"/>
        </w:rPr>
        <w:t xml:space="preserve">投标人的投标文件存在以下情形之一的，应认定为串通投标行为，其投标作无效标  </w:t>
      </w:r>
      <w:r>
        <w:rPr>
          <w:rFonts w:hint="eastAsia" w:ascii="黑体" w:eastAsia="黑体"/>
          <w:b/>
          <w:color w:val="auto"/>
          <w:spacing w:val="3"/>
          <w:sz w:val="21"/>
        </w:rPr>
        <w:t>处理：</w:t>
      </w:r>
    </w:p>
    <w:p>
      <w:pPr>
        <w:pStyle w:val="17"/>
        <w:numPr>
          <w:ilvl w:val="0"/>
          <w:numId w:val="18"/>
        </w:numPr>
        <w:tabs>
          <w:tab w:val="left" w:pos="1521"/>
        </w:tabs>
        <w:spacing w:before="2" w:after="0" w:line="290" w:lineRule="auto"/>
        <w:ind w:left="681" w:right="840" w:firstLine="315"/>
        <w:jc w:val="left"/>
        <w:rPr>
          <w:color w:val="auto"/>
          <w:sz w:val="21"/>
        </w:rPr>
      </w:pPr>
      <w:r>
        <w:rPr>
          <w:color w:val="auto"/>
          <w:spacing w:val="-2"/>
          <w:sz w:val="21"/>
        </w:rPr>
        <w:t>不同投标人的投标文件由同一单位或者个人编制</w:t>
      </w:r>
      <w:r>
        <w:rPr>
          <w:color w:val="auto"/>
          <w:sz w:val="21"/>
        </w:rPr>
        <w:t>（</w:t>
      </w:r>
      <w:r>
        <w:rPr>
          <w:color w:val="auto"/>
          <w:spacing w:val="-4"/>
          <w:sz w:val="21"/>
        </w:rPr>
        <w:t>包括使用同一台电脑、同一套软件工具）；</w:t>
      </w:r>
    </w:p>
    <w:p>
      <w:pPr>
        <w:pStyle w:val="17"/>
        <w:numPr>
          <w:ilvl w:val="0"/>
          <w:numId w:val="18"/>
        </w:numPr>
        <w:tabs>
          <w:tab w:val="left" w:pos="1521"/>
        </w:tabs>
        <w:spacing w:before="4" w:after="0" w:line="240" w:lineRule="auto"/>
        <w:ind w:left="1520" w:right="0" w:hanging="524"/>
        <w:jc w:val="left"/>
        <w:rPr>
          <w:color w:val="auto"/>
          <w:sz w:val="21"/>
        </w:rPr>
      </w:pPr>
      <w:r>
        <w:rPr>
          <w:color w:val="auto"/>
          <w:sz w:val="21"/>
        </w:rPr>
        <w:t>不同投标人委托同一单位或者个人办理投标事宜；</w:t>
      </w:r>
    </w:p>
    <w:p>
      <w:pPr>
        <w:pStyle w:val="17"/>
        <w:numPr>
          <w:ilvl w:val="0"/>
          <w:numId w:val="18"/>
        </w:numPr>
        <w:tabs>
          <w:tab w:val="left" w:pos="1521"/>
        </w:tabs>
        <w:spacing w:before="57" w:after="0" w:line="240" w:lineRule="auto"/>
        <w:ind w:left="1520" w:right="0" w:hanging="524"/>
        <w:jc w:val="left"/>
        <w:rPr>
          <w:color w:val="auto"/>
          <w:sz w:val="21"/>
        </w:rPr>
      </w:pPr>
      <w:r>
        <w:rPr>
          <w:color w:val="auto"/>
          <w:sz w:val="21"/>
        </w:rPr>
        <w:t>不同投标人的投标文件载明的项目管理成员为同一人；</w:t>
      </w:r>
    </w:p>
    <w:p>
      <w:pPr>
        <w:pStyle w:val="17"/>
        <w:numPr>
          <w:ilvl w:val="0"/>
          <w:numId w:val="18"/>
        </w:numPr>
        <w:tabs>
          <w:tab w:val="left" w:pos="1521"/>
        </w:tabs>
        <w:spacing w:before="58" w:after="0" w:line="240" w:lineRule="auto"/>
        <w:ind w:left="1520" w:right="0" w:hanging="524"/>
        <w:jc w:val="left"/>
        <w:rPr>
          <w:color w:val="auto"/>
          <w:sz w:val="21"/>
        </w:rPr>
      </w:pPr>
      <w:r>
        <w:rPr>
          <w:color w:val="auto"/>
          <w:sz w:val="21"/>
        </w:rPr>
        <w:t>不同投标人的投标文件异常一致或者投标报价呈规律性差异；</w:t>
      </w:r>
    </w:p>
    <w:p>
      <w:pPr>
        <w:pStyle w:val="17"/>
        <w:numPr>
          <w:ilvl w:val="0"/>
          <w:numId w:val="18"/>
        </w:numPr>
        <w:tabs>
          <w:tab w:val="left" w:pos="1521"/>
        </w:tabs>
        <w:spacing w:before="57" w:after="0" w:line="240" w:lineRule="auto"/>
        <w:ind w:left="1520" w:right="0" w:hanging="524"/>
        <w:jc w:val="left"/>
        <w:rPr>
          <w:color w:val="auto"/>
          <w:sz w:val="21"/>
        </w:rPr>
      </w:pPr>
      <w:r>
        <w:rPr>
          <w:color w:val="auto"/>
          <w:sz w:val="21"/>
        </w:rPr>
        <w:t>不同投标人的投标文件相互混装；</w:t>
      </w:r>
    </w:p>
    <w:p>
      <w:pPr>
        <w:pStyle w:val="4"/>
        <w:numPr>
          <w:ilvl w:val="1"/>
          <w:numId w:val="17"/>
        </w:numPr>
        <w:tabs>
          <w:tab w:val="left" w:pos="1522"/>
        </w:tabs>
        <w:spacing w:before="57" w:after="0" w:line="290" w:lineRule="auto"/>
        <w:ind w:left="681" w:right="705" w:firstLine="420"/>
        <w:jc w:val="left"/>
        <w:rPr>
          <w:rFonts w:ascii="Times New Roman" w:eastAsia="Times New Roman"/>
          <w:color w:val="auto"/>
        </w:rPr>
      </w:pPr>
      <w:r>
        <w:rPr>
          <w:color w:val="auto"/>
          <w:spacing w:val="-2"/>
        </w:rPr>
        <w:t>投标人的投标文件存在以下情形之一的，如投标人拒绝说明或不能合理说明理由的， 应认定其存在串通投标嫌疑，作无效标处理：</w:t>
      </w:r>
    </w:p>
    <w:p>
      <w:pPr>
        <w:pStyle w:val="17"/>
        <w:numPr>
          <w:ilvl w:val="0"/>
          <w:numId w:val="19"/>
        </w:numPr>
        <w:tabs>
          <w:tab w:val="left" w:pos="1521"/>
        </w:tabs>
        <w:spacing w:before="5" w:after="0" w:line="240" w:lineRule="auto"/>
        <w:ind w:left="1520" w:right="0" w:hanging="524"/>
        <w:jc w:val="left"/>
        <w:rPr>
          <w:color w:val="auto"/>
          <w:sz w:val="21"/>
        </w:rPr>
      </w:pPr>
      <w:r>
        <w:rPr>
          <w:color w:val="auto"/>
          <w:sz w:val="21"/>
        </w:rPr>
        <w:t>投标人之间协商投标报价等投标文件的实质性内容；</w:t>
      </w:r>
    </w:p>
    <w:p>
      <w:pPr>
        <w:pStyle w:val="17"/>
        <w:numPr>
          <w:ilvl w:val="0"/>
          <w:numId w:val="19"/>
        </w:numPr>
        <w:tabs>
          <w:tab w:val="left" w:pos="1521"/>
        </w:tabs>
        <w:spacing w:before="57" w:after="0" w:line="240" w:lineRule="auto"/>
        <w:ind w:left="1520" w:right="0" w:hanging="524"/>
        <w:jc w:val="left"/>
        <w:rPr>
          <w:color w:val="auto"/>
          <w:sz w:val="21"/>
        </w:rPr>
      </w:pPr>
      <w:r>
        <w:rPr>
          <w:color w:val="auto"/>
          <w:sz w:val="21"/>
        </w:rPr>
        <w:t>投标人之间约定中标人；</w:t>
      </w:r>
    </w:p>
    <w:p>
      <w:pPr>
        <w:pStyle w:val="17"/>
        <w:numPr>
          <w:ilvl w:val="0"/>
          <w:numId w:val="19"/>
        </w:numPr>
        <w:tabs>
          <w:tab w:val="left" w:pos="1521"/>
        </w:tabs>
        <w:spacing w:before="57" w:after="0" w:line="240" w:lineRule="auto"/>
        <w:ind w:left="1520" w:right="0" w:hanging="524"/>
        <w:jc w:val="left"/>
        <w:rPr>
          <w:color w:val="auto"/>
          <w:sz w:val="21"/>
        </w:rPr>
      </w:pPr>
      <w:r>
        <w:rPr>
          <w:color w:val="auto"/>
          <w:sz w:val="21"/>
        </w:rPr>
        <w:t>投标人之间约定部分投标人放弃投标或者中标；</w:t>
      </w:r>
    </w:p>
    <w:p>
      <w:pPr>
        <w:pStyle w:val="17"/>
        <w:numPr>
          <w:ilvl w:val="0"/>
          <w:numId w:val="19"/>
        </w:numPr>
        <w:tabs>
          <w:tab w:val="left" w:pos="1521"/>
        </w:tabs>
        <w:spacing w:before="58" w:after="0" w:line="240" w:lineRule="auto"/>
        <w:ind w:left="1520" w:right="0" w:hanging="524"/>
        <w:jc w:val="left"/>
        <w:rPr>
          <w:color w:val="auto"/>
          <w:sz w:val="21"/>
        </w:rPr>
      </w:pPr>
      <w:r>
        <w:rPr>
          <w:color w:val="auto"/>
          <w:sz w:val="21"/>
        </w:rPr>
        <w:t>属于同一集团、协会、商会等组织成员的投标人按照该组织要求协同投标；</w:t>
      </w:r>
    </w:p>
    <w:p>
      <w:pPr>
        <w:pStyle w:val="17"/>
        <w:numPr>
          <w:ilvl w:val="0"/>
          <w:numId w:val="19"/>
        </w:numPr>
        <w:tabs>
          <w:tab w:val="left" w:pos="1521"/>
        </w:tabs>
        <w:spacing w:before="57" w:after="0" w:line="240" w:lineRule="auto"/>
        <w:ind w:left="1520" w:right="0" w:hanging="524"/>
        <w:jc w:val="left"/>
        <w:rPr>
          <w:color w:val="auto"/>
          <w:sz w:val="21"/>
        </w:rPr>
      </w:pPr>
      <w:r>
        <w:rPr>
          <w:color w:val="auto"/>
          <w:sz w:val="21"/>
        </w:rPr>
        <w:t>投标人之间为谋取中标或者排斥特定投标人而采取的其他联合行动；</w:t>
      </w:r>
    </w:p>
    <w:p>
      <w:pPr>
        <w:pStyle w:val="17"/>
        <w:numPr>
          <w:ilvl w:val="0"/>
          <w:numId w:val="19"/>
        </w:numPr>
        <w:tabs>
          <w:tab w:val="left" w:pos="1521"/>
        </w:tabs>
        <w:spacing w:before="57" w:after="0" w:line="240" w:lineRule="auto"/>
        <w:ind w:left="1520" w:right="0" w:hanging="524"/>
        <w:jc w:val="left"/>
        <w:rPr>
          <w:color w:val="auto"/>
          <w:sz w:val="21"/>
        </w:rPr>
      </w:pPr>
      <w:r>
        <w:rPr>
          <w:color w:val="auto"/>
          <w:sz w:val="21"/>
        </w:rPr>
        <w:t>涉嫌故意拉高或压低投标报价。</w:t>
      </w:r>
    </w:p>
    <w:p>
      <w:pPr>
        <w:pStyle w:val="4"/>
        <w:numPr>
          <w:ilvl w:val="1"/>
          <w:numId w:val="17"/>
        </w:numPr>
        <w:tabs>
          <w:tab w:val="left" w:pos="1522"/>
        </w:tabs>
        <w:spacing w:before="60" w:after="0" w:line="240" w:lineRule="auto"/>
        <w:ind w:left="1521" w:right="0" w:hanging="420"/>
        <w:jc w:val="left"/>
        <w:rPr>
          <w:rFonts w:ascii="Times New Roman" w:eastAsia="Times New Roman"/>
          <w:color w:val="auto"/>
        </w:rPr>
      </w:pPr>
      <w:r>
        <w:rPr>
          <w:color w:val="auto"/>
        </w:rPr>
        <w:t>投标文件有下列情形之一的，按无效标处理：</w:t>
      </w:r>
    </w:p>
    <w:p>
      <w:pPr>
        <w:pStyle w:val="17"/>
        <w:numPr>
          <w:ilvl w:val="0"/>
          <w:numId w:val="20"/>
        </w:numPr>
        <w:tabs>
          <w:tab w:val="left" w:pos="1521"/>
        </w:tabs>
        <w:spacing w:before="57" w:after="0" w:line="290" w:lineRule="auto"/>
        <w:ind w:left="681" w:right="840" w:firstLine="315"/>
        <w:jc w:val="left"/>
        <w:rPr>
          <w:color w:val="auto"/>
          <w:sz w:val="21"/>
        </w:rPr>
      </w:pPr>
      <w:r>
        <w:rPr>
          <w:color w:val="auto"/>
          <w:spacing w:val="-3"/>
          <w:sz w:val="21"/>
        </w:rPr>
        <w:t>投标人递交两份或多份内容不同的投标文件，或在一份投标文件中对同一招标项目报有两个或多个报价，且未声明哪一个有效，按招标文件规定提交备选投标方案的除外；</w:t>
      </w:r>
    </w:p>
    <w:p>
      <w:pPr>
        <w:pStyle w:val="17"/>
        <w:numPr>
          <w:ilvl w:val="0"/>
          <w:numId w:val="20"/>
        </w:numPr>
        <w:tabs>
          <w:tab w:val="left" w:pos="1521"/>
        </w:tabs>
        <w:spacing w:before="2" w:after="0" w:line="240" w:lineRule="auto"/>
        <w:ind w:left="1520" w:right="0" w:hanging="524"/>
        <w:jc w:val="left"/>
        <w:rPr>
          <w:color w:val="auto"/>
          <w:sz w:val="21"/>
        </w:rPr>
      </w:pPr>
      <w:r>
        <w:rPr>
          <w:color w:val="auto"/>
          <w:w w:val="95"/>
          <w:sz w:val="21"/>
        </w:rPr>
        <w:t>投标文件未按招标文件签署条款要求签章的；</w:t>
      </w:r>
    </w:p>
    <w:p>
      <w:pPr>
        <w:pStyle w:val="17"/>
        <w:numPr>
          <w:ilvl w:val="0"/>
          <w:numId w:val="20"/>
        </w:numPr>
        <w:tabs>
          <w:tab w:val="left" w:pos="1521"/>
        </w:tabs>
        <w:spacing w:before="57" w:after="0" w:line="240" w:lineRule="auto"/>
        <w:ind w:left="1520" w:right="0" w:hanging="524"/>
        <w:jc w:val="left"/>
        <w:rPr>
          <w:color w:val="auto"/>
          <w:sz w:val="21"/>
        </w:rPr>
      </w:pPr>
      <w:r>
        <w:rPr>
          <w:color w:val="auto"/>
          <w:w w:val="95"/>
          <w:sz w:val="21"/>
        </w:rPr>
        <w:t>投标文件份数不符合招标文件前附表要求的；</w:t>
      </w:r>
    </w:p>
    <w:p>
      <w:pPr>
        <w:pStyle w:val="17"/>
        <w:numPr>
          <w:ilvl w:val="0"/>
          <w:numId w:val="20"/>
        </w:numPr>
        <w:tabs>
          <w:tab w:val="left" w:pos="1521"/>
        </w:tabs>
        <w:spacing w:before="60" w:after="0" w:line="240" w:lineRule="auto"/>
        <w:ind w:left="1520" w:right="0" w:hanging="524"/>
        <w:jc w:val="left"/>
        <w:rPr>
          <w:color w:val="auto"/>
          <w:sz w:val="21"/>
        </w:rPr>
      </w:pPr>
      <w:r>
        <w:rPr>
          <w:color w:val="auto"/>
          <w:sz w:val="21"/>
        </w:rPr>
        <w:t>投标文件组成不符合招标文件要求的；</w:t>
      </w:r>
    </w:p>
    <w:p>
      <w:pPr>
        <w:pStyle w:val="17"/>
        <w:numPr>
          <w:ilvl w:val="0"/>
          <w:numId w:val="20"/>
        </w:numPr>
        <w:tabs>
          <w:tab w:val="left" w:pos="1521"/>
        </w:tabs>
        <w:spacing w:before="57" w:after="0" w:line="240" w:lineRule="auto"/>
        <w:ind w:left="1520" w:right="0" w:hanging="524"/>
        <w:jc w:val="left"/>
        <w:rPr>
          <w:color w:val="auto"/>
          <w:sz w:val="21"/>
        </w:rPr>
      </w:pPr>
      <w:r>
        <w:rPr>
          <w:color w:val="auto"/>
          <w:sz w:val="21"/>
        </w:rPr>
        <w:t>联合体投标未附联合体各方共同投标协议的；</w:t>
      </w:r>
    </w:p>
    <w:p>
      <w:pPr>
        <w:spacing w:after="0" w:line="240" w:lineRule="auto"/>
        <w:jc w:val="left"/>
        <w:rPr>
          <w:color w:val="auto"/>
          <w:sz w:val="21"/>
        </w:rPr>
        <w:sectPr>
          <w:footerReference r:id="rId5" w:type="default"/>
          <w:pgSz w:w="11910" w:h="16840"/>
          <w:pgMar w:top="1360" w:right="860" w:bottom="1060" w:left="1020" w:header="873" w:footer="863" w:gutter="0"/>
          <w:pgNumType w:start="10"/>
        </w:sectPr>
      </w:pPr>
    </w:p>
    <w:p>
      <w:pPr>
        <w:pStyle w:val="17"/>
        <w:numPr>
          <w:ilvl w:val="0"/>
          <w:numId w:val="20"/>
        </w:numPr>
        <w:tabs>
          <w:tab w:val="left" w:pos="1521"/>
        </w:tabs>
        <w:spacing w:before="75" w:after="0" w:line="240" w:lineRule="auto"/>
        <w:ind w:left="1520" w:right="0" w:hanging="524"/>
        <w:jc w:val="left"/>
        <w:rPr>
          <w:color w:val="auto"/>
          <w:sz w:val="21"/>
        </w:rPr>
      </w:pPr>
      <w:r>
        <w:rPr>
          <w:color w:val="auto"/>
          <w:sz w:val="21"/>
        </w:rPr>
        <w:t>投标资格不符合招标文件要求的；</w:t>
      </w:r>
    </w:p>
    <w:p>
      <w:pPr>
        <w:pStyle w:val="17"/>
        <w:numPr>
          <w:ilvl w:val="0"/>
          <w:numId w:val="20"/>
        </w:numPr>
        <w:tabs>
          <w:tab w:val="left" w:pos="1521"/>
        </w:tabs>
        <w:spacing w:before="57" w:after="0" w:line="240" w:lineRule="auto"/>
        <w:ind w:left="1520" w:right="0" w:hanging="524"/>
        <w:jc w:val="left"/>
        <w:rPr>
          <w:color w:val="auto"/>
          <w:sz w:val="21"/>
        </w:rPr>
      </w:pPr>
      <w:r>
        <w:rPr>
          <w:color w:val="auto"/>
          <w:sz w:val="21"/>
        </w:rPr>
        <w:t>法律法规规定无效标的。</w:t>
      </w:r>
    </w:p>
    <w:p>
      <w:pPr>
        <w:pStyle w:val="4"/>
        <w:numPr>
          <w:ilvl w:val="1"/>
          <w:numId w:val="17"/>
        </w:numPr>
        <w:tabs>
          <w:tab w:val="left" w:pos="1515"/>
        </w:tabs>
        <w:spacing w:before="60" w:after="0" w:line="240" w:lineRule="auto"/>
        <w:ind w:left="1514" w:right="0" w:hanging="420"/>
        <w:jc w:val="left"/>
        <w:rPr>
          <w:rFonts w:ascii="Times New Roman" w:eastAsia="Times New Roman"/>
          <w:color w:val="auto"/>
        </w:rPr>
      </w:pPr>
      <w:r>
        <w:rPr>
          <w:color w:val="auto"/>
        </w:rPr>
        <w:t>投标文件有下列情形之一的，按无效标处理：</w:t>
      </w:r>
    </w:p>
    <w:p>
      <w:pPr>
        <w:pStyle w:val="17"/>
        <w:numPr>
          <w:ilvl w:val="0"/>
          <w:numId w:val="21"/>
        </w:numPr>
        <w:tabs>
          <w:tab w:val="left" w:pos="1521"/>
        </w:tabs>
        <w:spacing w:before="57" w:after="0" w:line="240" w:lineRule="auto"/>
        <w:ind w:left="1520" w:right="0" w:hanging="524"/>
        <w:jc w:val="left"/>
        <w:rPr>
          <w:color w:val="auto"/>
          <w:sz w:val="21"/>
        </w:rPr>
      </w:pPr>
      <w:r>
        <w:rPr>
          <w:color w:val="auto"/>
          <w:sz w:val="21"/>
        </w:rPr>
        <w:t>投标承诺的总报价、工期、质量不符合招标文件前附表要求的；</w:t>
      </w:r>
    </w:p>
    <w:p>
      <w:pPr>
        <w:pStyle w:val="17"/>
        <w:numPr>
          <w:ilvl w:val="0"/>
          <w:numId w:val="21"/>
        </w:numPr>
        <w:tabs>
          <w:tab w:val="left" w:pos="1521"/>
        </w:tabs>
        <w:spacing w:before="57" w:after="0" w:line="240" w:lineRule="auto"/>
        <w:ind w:left="1520" w:right="0" w:hanging="524"/>
        <w:jc w:val="left"/>
        <w:rPr>
          <w:color w:val="auto"/>
          <w:sz w:val="21"/>
        </w:rPr>
      </w:pPr>
      <w:r>
        <w:rPr>
          <w:color w:val="auto"/>
          <w:w w:val="95"/>
          <w:sz w:val="21"/>
        </w:rPr>
        <w:t>招标文件报价要求中规定作无效标的；</w:t>
      </w:r>
    </w:p>
    <w:p>
      <w:pPr>
        <w:pStyle w:val="17"/>
        <w:numPr>
          <w:ilvl w:val="0"/>
          <w:numId w:val="21"/>
        </w:numPr>
        <w:tabs>
          <w:tab w:val="left" w:pos="1521"/>
        </w:tabs>
        <w:spacing w:before="58" w:after="0" w:line="240" w:lineRule="auto"/>
        <w:ind w:left="1520" w:right="0" w:hanging="524"/>
        <w:jc w:val="left"/>
        <w:rPr>
          <w:color w:val="auto"/>
          <w:sz w:val="21"/>
        </w:rPr>
      </w:pPr>
      <w:r>
        <w:rPr>
          <w:color w:val="auto"/>
          <w:w w:val="95"/>
          <w:sz w:val="21"/>
        </w:rPr>
        <w:t>违反招标文件其他实质性条款规定的。</w:t>
      </w:r>
    </w:p>
    <w:p>
      <w:pPr>
        <w:pStyle w:val="4"/>
        <w:numPr>
          <w:ilvl w:val="1"/>
          <w:numId w:val="17"/>
        </w:numPr>
        <w:tabs>
          <w:tab w:val="left" w:pos="1515"/>
        </w:tabs>
        <w:spacing w:before="57" w:after="0" w:line="240" w:lineRule="auto"/>
        <w:ind w:left="1514" w:right="0" w:hanging="420"/>
        <w:jc w:val="left"/>
        <w:rPr>
          <w:rFonts w:ascii="Times New Roman" w:eastAsia="Times New Roman"/>
          <w:color w:val="auto"/>
        </w:rPr>
      </w:pPr>
      <w:r>
        <w:rPr>
          <w:color w:val="auto"/>
        </w:rPr>
        <w:t>投标文件有下列情形之一的，按无效标处理：</w:t>
      </w:r>
    </w:p>
    <w:p>
      <w:pPr>
        <w:pStyle w:val="17"/>
        <w:numPr>
          <w:ilvl w:val="0"/>
          <w:numId w:val="22"/>
        </w:numPr>
        <w:tabs>
          <w:tab w:val="left" w:pos="1521"/>
        </w:tabs>
        <w:spacing w:before="57" w:after="0" w:line="240" w:lineRule="auto"/>
        <w:ind w:left="1520" w:right="0" w:hanging="524"/>
        <w:jc w:val="left"/>
        <w:rPr>
          <w:color w:val="auto"/>
          <w:sz w:val="21"/>
        </w:rPr>
      </w:pPr>
      <w:r>
        <w:rPr>
          <w:color w:val="auto"/>
          <w:sz w:val="21"/>
        </w:rPr>
        <w:t>商务标评审中规定作无效标的；</w:t>
      </w:r>
    </w:p>
    <w:p>
      <w:pPr>
        <w:pStyle w:val="17"/>
        <w:numPr>
          <w:ilvl w:val="0"/>
          <w:numId w:val="22"/>
        </w:numPr>
        <w:tabs>
          <w:tab w:val="left" w:pos="1521"/>
        </w:tabs>
        <w:spacing w:before="60" w:after="0" w:line="240" w:lineRule="auto"/>
        <w:ind w:left="1520" w:right="0" w:hanging="524"/>
        <w:jc w:val="left"/>
        <w:rPr>
          <w:color w:val="auto"/>
          <w:sz w:val="21"/>
        </w:rPr>
      </w:pPr>
      <w:r>
        <w:rPr>
          <w:color w:val="auto"/>
          <w:sz w:val="21"/>
        </w:rPr>
        <w:t>招标文件中其他内容明确规定作无效标的。</w:t>
      </w:r>
    </w:p>
    <w:p>
      <w:pPr>
        <w:pStyle w:val="17"/>
        <w:numPr>
          <w:ilvl w:val="1"/>
          <w:numId w:val="17"/>
        </w:numPr>
        <w:tabs>
          <w:tab w:val="left" w:pos="1522"/>
        </w:tabs>
        <w:spacing w:before="57" w:after="0" w:line="290" w:lineRule="auto"/>
        <w:ind w:left="681" w:right="837" w:firstLine="420"/>
        <w:jc w:val="left"/>
        <w:rPr>
          <w:rFonts w:ascii="Times New Roman" w:eastAsia="Times New Roman"/>
          <w:color w:val="auto"/>
          <w:sz w:val="21"/>
        </w:rPr>
      </w:pPr>
      <w:r>
        <w:rPr>
          <w:color w:val="auto"/>
          <w:spacing w:val="-5"/>
          <w:w w:val="95"/>
          <w:sz w:val="21"/>
        </w:rPr>
        <w:t xml:space="preserve">如有效标不足三家使得投标明显缺乏竞争的，评标小组可以否决全部投标。所有投标  </w:t>
      </w:r>
      <w:r>
        <w:rPr>
          <w:color w:val="auto"/>
          <w:spacing w:val="-5"/>
          <w:sz w:val="21"/>
        </w:rPr>
        <w:t>被否决的，则本次招标失败，重新组织招标。</w:t>
      </w:r>
    </w:p>
    <w:p>
      <w:pPr>
        <w:pStyle w:val="4"/>
        <w:numPr>
          <w:ilvl w:val="0"/>
          <w:numId w:val="4"/>
        </w:numPr>
        <w:tabs>
          <w:tab w:val="left" w:pos="1518"/>
        </w:tabs>
        <w:spacing w:before="168" w:after="0" w:line="240" w:lineRule="auto"/>
        <w:ind w:left="1517" w:right="0" w:hanging="265"/>
        <w:jc w:val="left"/>
        <w:rPr>
          <w:color w:val="auto"/>
        </w:rPr>
      </w:pPr>
      <w:bookmarkStart w:id="97" w:name="31.商务标的修正"/>
      <w:bookmarkEnd w:id="97"/>
      <w:bookmarkStart w:id="98" w:name="31.商务标的修正"/>
      <w:bookmarkEnd w:id="98"/>
      <w:r>
        <w:rPr>
          <w:color w:val="auto"/>
        </w:rPr>
        <w:t>商务标的修正</w:t>
      </w:r>
    </w:p>
    <w:p>
      <w:pPr>
        <w:pStyle w:val="6"/>
        <w:spacing w:before="4" w:line="292" w:lineRule="auto"/>
        <w:ind w:left="681" w:right="840" w:firstLine="420"/>
        <w:rPr>
          <w:color w:val="auto"/>
        </w:rPr>
      </w:pPr>
      <w:r>
        <w:rPr>
          <w:rFonts w:ascii="Times New Roman" w:eastAsia="Times New Roman"/>
          <w:color w:val="auto"/>
        </w:rPr>
        <w:t xml:space="preserve">31.1 </w:t>
      </w:r>
      <w:r>
        <w:rPr>
          <w:color w:val="auto"/>
        </w:rPr>
        <w:t>评标小组对确定为实质上响应招标文件要求的投标文件进行复核：投标函中投标总报价大写与小写不一致的，以大写为准。</w:t>
      </w:r>
    </w:p>
    <w:p>
      <w:pPr>
        <w:pStyle w:val="4"/>
        <w:numPr>
          <w:ilvl w:val="0"/>
          <w:numId w:val="4"/>
        </w:numPr>
        <w:tabs>
          <w:tab w:val="left" w:pos="1518"/>
        </w:tabs>
        <w:spacing w:before="165" w:after="0" w:line="240" w:lineRule="auto"/>
        <w:ind w:left="1517" w:right="0" w:hanging="265"/>
        <w:jc w:val="left"/>
        <w:rPr>
          <w:color w:val="auto"/>
        </w:rPr>
      </w:pPr>
      <w:bookmarkStart w:id="99" w:name="32.评标办法"/>
      <w:bookmarkEnd w:id="99"/>
      <w:bookmarkStart w:id="100" w:name="32.评标办法"/>
      <w:bookmarkEnd w:id="100"/>
      <w:r>
        <w:rPr>
          <w:color w:val="auto"/>
        </w:rPr>
        <w:t>评标办法</w:t>
      </w:r>
    </w:p>
    <w:p>
      <w:pPr>
        <w:pStyle w:val="17"/>
        <w:numPr>
          <w:ilvl w:val="1"/>
          <w:numId w:val="4"/>
        </w:numPr>
        <w:tabs>
          <w:tab w:val="left" w:pos="1572"/>
        </w:tabs>
        <w:spacing w:before="4" w:after="0" w:line="240" w:lineRule="auto"/>
        <w:ind w:left="1572" w:right="0" w:hanging="471"/>
        <w:jc w:val="left"/>
        <w:rPr>
          <w:color w:val="auto"/>
          <w:sz w:val="21"/>
        </w:rPr>
      </w:pPr>
      <w:r>
        <w:rPr>
          <w:color w:val="auto"/>
          <w:spacing w:val="-3"/>
          <w:sz w:val="21"/>
        </w:rPr>
        <w:t xml:space="preserve">本工程项目采用的评标办法见本须知前附表第 </w:t>
      </w:r>
      <w:r>
        <w:rPr>
          <w:rFonts w:ascii="Times New Roman" w:eastAsia="Times New Roman"/>
          <w:color w:val="auto"/>
          <w:sz w:val="21"/>
        </w:rPr>
        <w:t xml:space="preserve">26 </w:t>
      </w:r>
      <w:r>
        <w:rPr>
          <w:color w:val="auto"/>
          <w:spacing w:val="-8"/>
          <w:sz w:val="21"/>
        </w:rPr>
        <w:t>项，具体内容详见本招标文件第三</w:t>
      </w:r>
    </w:p>
    <w:p>
      <w:pPr>
        <w:pStyle w:val="6"/>
        <w:spacing w:before="57"/>
        <w:ind w:left="681"/>
        <w:rPr>
          <w:color w:val="auto"/>
        </w:rPr>
      </w:pPr>
      <w:r>
        <w:rPr>
          <w:color w:val="auto"/>
        </w:rPr>
        <w:t>章。</w:t>
      </w:r>
    </w:p>
    <w:p>
      <w:pPr>
        <w:pStyle w:val="6"/>
        <w:spacing w:before="6"/>
        <w:rPr>
          <w:color w:val="auto"/>
          <w:sz w:val="18"/>
        </w:rPr>
      </w:pPr>
    </w:p>
    <w:p>
      <w:pPr>
        <w:spacing w:after="0"/>
        <w:rPr>
          <w:color w:val="auto"/>
          <w:sz w:val="18"/>
        </w:rPr>
        <w:sectPr>
          <w:pgSz w:w="11910" w:h="16840"/>
          <w:pgMar w:top="1360" w:right="860" w:bottom="1060" w:left="1020" w:header="873" w:footer="863" w:gutter="0"/>
        </w:sectPr>
      </w:pPr>
    </w:p>
    <w:p>
      <w:pPr>
        <w:pStyle w:val="6"/>
        <w:rPr>
          <w:color w:val="auto"/>
          <w:sz w:val="22"/>
        </w:rPr>
      </w:pPr>
    </w:p>
    <w:p>
      <w:pPr>
        <w:pStyle w:val="6"/>
        <w:spacing w:before="10"/>
        <w:rPr>
          <w:color w:val="auto"/>
          <w:sz w:val="23"/>
        </w:rPr>
      </w:pPr>
    </w:p>
    <w:p>
      <w:pPr>
        <w:pStyle w:val="4"/>
        <w:numPr>
          <w:ilvl w:val="0"/>
          <w:numId w:val="4"/>
        </w:numPr>
        <w:tabs>
          <w:tab w:val="left" w:pos="1518"/>
        </w:tabs>
        <w:spacing w:before="0" w:after="0" w:line="240" w:lineRule="auto"/>
        <w:ind w:left="1517" w:right="0" w:hanging="265"/>
        <w:jc w:val="left"/>
        <w:rPr>
          <w:color w:val="auto"/>
        </w:rPr>
      </w:pPr>
      <w:bookmarkStart w:id="101" w:name="33.中标候选人公示"/>
      <w:bookmarkEnd w:id="101"/>
      <w:bookmarkStart w:id="102" w:name="33.中标候选人公示"/>
      <w:bookmarkEnd w:id="102"/>
      <w:r>
        <w:rPr>
          <w:color w:val="auto"/>
          <w:spacing w:val="-3"/>
        </w:rPr>
        <w:t>中标候选人公示</w:t>
      </w:r>
    </w:p>
    <w:p>
      <w:pPr>
        <w:pStyle w:val="2"/>
        <w:tabs>
          <w:tab w:val="left" w:pos="2323"/>
        </w:tabs>
        <w:ind w:left="1037"/>
        <w:rPr>
          <w:color w:val="auto"/>
        </w:rPr>
      </w:pPr>
      <w:r>
        <w:rPr>
          <w:b w:val="0"/>
          <w:color w:val="auto"/>
        </w:rPr>
        <w:br w:type="column"/>
      </w:r>
      <w:r>
        <w:rPr>
          <w:color w:val="auto"/>
        </w:rPr>
        <w:t>第七节</w:t>
      </w:r>
      <w:r>
        <w:rPr>
          <w:color w:val="auto"/>
        </w:rPr>
        <w:tab/>
      </w:r>
      <w:bookmarkStart w:id="103" w:name="_bookmark15"/>
      <w:bookmarkEnd w:id="103"/>
      <w:bookmarkStart w:id="104" w:name="第七节授予合同"/>
      <w:bookmarkEnd w:id="104"/>
      <w:r>
        <w:rPr>
          <w:color w:val="auto"/>
        </w:rPr>
        <w:t>授予合同</w:t>
      </w:r>
    </w:p>
    <w:p>
      <w:pPr>
        <w:spacing w:after="0"/>
        <w:rPr>
          <w:color w:val="auto"/>
        </w:rPr>
        <w:sectPr>
          <w:type w:val="continuous"/>
          <w:pgSz w:w="11910" w:h="16840"/>
          <w:pgMar w:top="1600" w:right="860" w:bottom="280" w:left="1020" w:header="720" w:footer="720" w:gutter="0"/>
          <w:cols w:equalWidth="0" w:num="2">
            <w:col w:w="2991" w:space="40"/>
            <w:col w:w="6999"/>
          </w:cols>
        </w:sectPr>
      </w:pPr>
    </w:p>
    <w:p>
      <w:pPr>
        <w:pStyle w:val="17"/>
        <w:numPr>
          <w:ilvl w:val="1"/>
          <w:numId w:val="23"/>
        </w:numPr>
        <w:tabs>
          <w:tab w:val="left" w:pos="1572"/>
        </w:tabs>
        <w:spacing w:before="7" w:after="0" w:line="290" w:lineRule="auto"/>
        <w:ind w:left="681" w:right="840" w:firstLine="420"/>
        <w:jc w:val="both"/>
        <w:rPr>
          <w:color w:val="auto"/>
          <w:sz w:val="21"/>
        </w:rPr>
      </w:pPr>
      <w:r>
        <w:rPr>
          <w:color w:val="auto"/>
          <w:spacing w:val="-2"/>
          <w:sz w:val="21"/>
        </w:rPr>
        <w:t xml:space="preserve">招标人应当将中标候选人在交易场所进行公示，公示期不得少于 </w:t>
      </w:r>
      <w:r>
        <w:rPr>
          <w:rFonts w:ascii="Times New Roman" w:eastAsia="Times New Roman"/>
          <w:color w:val="auto"/>
          <w:sz w:val="21"/>
        </w:rPr>
        <w:t>3</w:t>
      </w:r>
      <w:r>
        <w:rPr>
          <w:rFonts w:ascii="Times New Roman" w:eastAsia="Times New Roman"/>
          <w:color w:val="auto"/>
          <w:spacing w:val="10"/>
          <w:sz w:val="21"/>
        </w:rPr>
        <w:t xml:space="preserve"> </w:t>
      </w:r>
      <w:r>
        <w:rPr>
          <w:color w:val="auto"/>
          <w:sz w:val="21"/>
        </w:rPr>
        <w:t>日（最后一日为</w:t>
      </w:r>
      <w:r>
        <w:rPr>
          <w:color w:val="auto"/>
          <w:w w:val="95"/>
          <w:sz w:val="21"/>
        </w:rPr>
        <w:t>工作日</w:t>
      </w:r>
      <w:r>
        <w:rPr>
          <w:color w:val="auto"/>
          <w:spacing w:val="-20"/>
          <w:w w:val="95"/>
          <w:sz w:val="21"/>
        </w:rPr>
        <w:t>）</w:t>
      </w:r>
      <w:r>
        <w:rPr>
          <w:color w:val="auto"/>
          <w:spacing w:val="-8"/>
          <w:w w:val="95"/>
          <w:sz w:val="21"/>
        </w:rPr>
        <w:t>。招标人同时应当将被废除的投标人及废标原因进行公示。公示期间，招标人</w:t>
      </w:r>
      <w:r>
        <w:rPr>
          <w:color w:val="auto"/>
          <w:w w:val="95"/>
          <w:sz w:val="21"/>
        </w:rPr>
        <w:t>（招标   代理机构</w:t>
      </w:r>
      <w:r>
        <w:rPr>
          <w:color w:val="auto"/>
          <w:spacing w:val="-53"/>
          <w:w w:val="95"/>
          <w:sz w:val="21"/>
        </w:rPr>
        <w:t>）</w:t>
      </w:r>
      <w:r>
        <w:rPr>
          <w:color w:val="auto"/>
          <w:spacing w:val="-8"/>
          <w:w w:val="95"/>
          <w:sz w:val="21"/>
        </w:rPr>
        <w:t xml:space="preserve">应按照《关于在国有投资建设工程项目招投标活动中实行行贿犯罪档案查询制度的   </w:t>
      </w:r>
      <w:r>
        <w:rPr>
          <w:color w:val="auto"/>
          <w:spacing w:val="-8"/>
          <w:sz w:val="21"/>
        </w:rPr>
        <w:t>通知》（台建规</w:t>
      </w:r>
      <w:r>
        <w:rPr>
          <w:rFonts w:ascii="Times New Roman" w:eastAsia="Times New Roman"/>
          <w:color w:val="auto"/>
          <w:spacing w:val="-8"/>
          <w:sz w:val="21"/>
        </w:rPr>
        <w:t>[2010]219</w:t>
      </w:r>
      <w:r>
        <w:rPr>
          <w:rFonts w:ascii="Times New Roman" w:eastAsia="Times New Roman"/>
          <w:color w:val="auto"/>
          <w:spacing w:val="-2"/>
          <w:sz w:val="21"/>
        </w:rPr>
        <w:t xml:space="preserve"> </w:t>
      </w:r>
      <w:r>
        <w:rPr>
          <w:color w:val="auto"/>
          <w:sz w:val="21"/>
        </w:rPr>
        <w:t>号）规定，对中标候选人有无行贿犯罪记录进行查询。</w:t>
      </w:r>
    </w:p>
    <w:p>
      <w:pPr>
        <w:pStyle w:val="17"/>
        <w:numPr>
          <w:ilvl w:val="1"/>
          <w:numId w:val="23"/>
        </w:numPr>
        <w:tabs>
          <w:tab w:val="left" w:pos="1572"/>
        </w:tabs>
        <w:spacing w:before="6" w:after="0" w:line="240" w:lineRule="auto"/>
        <w:ind w:left="1572" w:right="0" w:hanging="471"/>
        <w:jc w:val="left"/>
        <w:rPr>
          <w:color w:val="auto"/>
          <w:sz w:val="21"/>
        </w:rPr>
      </w:pPr>
      <w:r>
        <w:rPr>
          <w:color w:val="auto"/>
          <w:sz w:val="21"/>
        </w:rPr>
        <w:t>公示期间，投标人对中标候选人资格有异议的，可向招标人</w:t>
      </w:r>
      <w:r>
        <w:rPr>
          <w:color w:val="auto"/>
          <w:spacing w:val="4"/>
          <w:sz w:val="21"/>
        </w:rPr>
        <w:t>（</w:t>
      </w:r>
      <w:r>
        <w:rPr>
          <w:color w:val="auto"/>
          <w:sz w:val="21"/>
        </w:rPr>
        <w:t>招标代理机构）</w:t>
      </w:r>
      <w:r>
        <w:rPr>
          <w:color w:val="auto"/>
          <w:spacing w:val="2"/>
          <w:sz w:val="21"/>
        </w:rPr>
        <w:t>提出</w:t>
      </w:r>
    </w:p>
    <w:p>
      <w:pPr>
        <w:pStyle w:val="6"/>
        <w:spacing w:before="57" w:line="290" w:lineRule="auto"/>
        <w:ind w:left="681" w:right="840"/>
        <w:jc w:val="both"/>
        <w:rPr>
          <w:color w:val="auto"/>
        </w:rPr>
      </w:pPr>
      <w:r>
        <w:rPr>
          <w:color w:val="auto"/>
          <w:w w:val="95"/>
        </w:rPr>
        <w:t>（附相关有效证明材料</w:t>
      </w:r>
      <w:r>
        <w:rPr>
          <w:color w:val="auto"/>
          <w:spacing w:val="-21"/>
          <w:w w:val="95"/>
        </w:rPr>
        <w:t>）</w:t>
      </w:r>
      <w:r>
        <w:rPr>
          <w:color w:val="auto"/>
          <w:spacing w:val="-11"/>
          <w:w w:val="95"/>
        </w:rPr>
        <w:t>，招标人</w:t>
      </w:r>
      <w:r>
        <w:rPr>
          <w:color w:val="auto"/>
          <w:w w:val="95"/>
        </w:rPr>
        <w:t>（招标代理机构</w:t>
      </w:r>
      <w:r>
        <w:rPr>
          <w:color w:val="auto"/>
          <w:spacing w:val="-20"/>
          <w:w w:val="95"/>
        </w:rPr>
        <w:t>）</w:t>
      </w:r>
      <w:r>
        <w:rPr>
          <w:color w:val="auto"/>
          <w:spacing w:val="-4"/>
          <w:w w:val="95"/>
        </w:rPr>
        <w:t xml:space="preserve">应给予答复。投标人对答复不服或认为招   </w:t>
      </w:r>
      <w:r>
        <w:rPr>
          <w:color w:val="auto"/>
          <w:spacing w:val="-21"/>
        </w:rPr>
        <w:t>标人</w:t>
      </w:r>
      <w:r>
        <w:rPr>
          <w:color w:val="auto"/>
        </w:rPr>
        <w:t>（招标代理机构</w:t>
      </w:r>
      <w:r>
        <w:rPr>
          <w:color w:val="auto"/>
          <w:spacing w:val="-34"/>
        </w:rPr>
        <w:t>）</w:t>
      </w:r>
      <w:r>
        <w:rPr>
          <w:color w:val="auto"/>
          <w:spacing w:val="-5"/>
        </w:rPr>
        <w:t xml:space="preserve">有违反有关规定及其他弄虚作假情形的，可在接到答复之日起 </w:t>
      </w:r>
      <w:r>
        <w:rPr>
          <w:rFonts w:ascii="Times New Roman" w:eastAsia="Times New Roman"/>
          <w:color w:val="auto"/>
        </w:rPr>
        <w:t xml:space="preserve">3 </w:t>
      </w:r>
      <w:r>
        <w:rPr>
          <w:color w:val="auto"/>
        </w:rPr>
        <w:t>日内向招标监管机构书面申请核查，并提交相关材料。</w:t>
      </w:r>
    </w:p>
    <w:p>
      <w:pPr>
        <w:pStyle w:val="17"/>
        <w:numPr>
          <w:ilvl w:val="1"/>
          <w:numId w:val="23"/>
        </w:numPr>
        <w:tabs>
          <w:tab w:val="left" w:pos="1572"/>
        </w:tabs>
        <w:spacing w:before="3" w:after="0" w:line="290" w:lineRule="auto"/>
        <w:ind w:left="681" w:right="840" w:firstLine="420"/>
        <w:jc w:val="left"/>
        <w:rPr>
          <w:color w:val="auto"/>
          <w:sz w:val="21"/>
        </w:rPr>
      </w:pPr>
      <w:r>
        <w:rPr>
          <w:color w:val="auto"/>
          <w:sz w:val="21"/>
        </w:rPr>
        <w:t>涉及中标候选人投标资格等情形的，招标人</w:t>
      </w:r>
      <w:r>
        <w:rPr>
          <w:color w:val="auto"/>
          <w:spacing w:val="4"/>
          <w:sz w:val="21"/>
        </w:rPr>
        <w:t>（</w:t>
      </w:r>
      <w:r>
        <w:rPr>
          <w:color w:val="auto"/>
          <w:sz w:val="21"/>
        </w:rPr>
        <w:t>招标代理机构</w:t>
      </w:r>
      <w:r>
        <w:rPr>
          <w:color w:val="auto"/>
          <w:spacing w:val="4"/>
          <w:sz w:val="21"/>
        </w:rPr>
        <w:t>）</w:t>
      </w:r>
      <w:r>
        <w:rPr>
          <w:color w:val="auto"/>
          <w:sz w:val="21"/>
        </w:rPr>
        <w:t>可以书面形式要求其</w:t>
      </w:r>
      <w:r>
        <w:rPr>
          <w:color w:val="auto"/>
          <w:spacing w:val="-3"/>
          <w:sz w:val="21"/>
        </w:rPr>
        <w:t xml:space="preserve">进行澄清或说明。中标候选人应自收到书面通知之日起 </w:t>
      </w:r>
      <w:r>
        <w:rPr>
          <w:rFonts w:ascii="Times New Roman" w:eastAsia="Times New Roman"/>
          <w:color w:val="auto"/>
          <w:sz w:val="21"/>
        </w:rPr>
        <w:t xml:space="preserve">3 </w:t>
      </w:r>
      <w:r>
        <w:rPr>
          <w:color w:val="auto"/>
          <w:sz w:val="21"/>
        </w:rPr>
        <w:t>日内进行澄清或说明。</w:t>
      </w:r>
    </w:p>
    <w:p>
      <w:pPr>
        <w:pStyle w:val="17"/>
        <w:numPr>
          <w:ilvl w:val="1"/>
          <w:numId w:val="23"/>
        </w:numPr>
        <w:tabs>
          <w:tab w:val="left" w:pos="1572"/>
        </w:tabs>
        <w:spacing w:before="4" w:after="0" w:line="240" w:lineRule="auto"/>
        <w:ind w:left="1572" w:right="0" w:hanging="471"/>
        <w:jc w:val="left"/>
        <w:rPr>
          <w:color w:val="auto"/>
          <w:sz w:val="21"/>
        </w:rPr>
      </w:pPr>
      <w:r>
        <w:rPr>
          <w:color w:val="auto"/>
          <w:sz w:val="21"/>
        </w:rPr>
        <w:t>中标候选人有以下情形之一的，其资格无效：</w:t>
      </w:r>
    </w:p>
    <w:p>
      <w:pPr>
        <w:pStyle w:val="17"/>
        <w:numPr>
          <w:ilvl w:val="0"/>
          <w:numId w:val="24"/>
        </w:numPr>
        <w:tabs>
          <w:tab w:val="left" w:pos="1626"/>
        </w:tabs>
        <w:spacing w:before="57" w:after="0" w:line="240" w:lineRule="auto"/>
        <w:ind w:left="1626" w:right="0" w:hanging="525"/>
        <w:jc w:val="left"/>
        <w:rPr>
          <w:color w:val="auto"/>
          <w:sz w:val="21"/>
        </w:rPr>
      </w:pPr>
      <w:r>
        <w:rPr>
          <w:color w:val="auto"/>
          <w:spacing w:val="-5"/>
          <w:sz w:val="21"/>
        </w:rPr>
        <w:t xml:space="preserve">投标资格不符合本章第 </w:t>
      </w:r>
      <w:r>
        <w:rPr>
          <w:rFonts w:ascii="Times New Roman" w:eastAsia="Times New Roman"/>
          <w:color w:val="auto"/>
          <w:sz w:val="21"/>
        </w:rPr>
        <w:t>4</w:t>
      </w:r>
      <w:r>
        <w:rPr>
          <w:rFonts w:ascii="Times New Roman" w:eastAsia="Times New Roman"/>
          <w:color w:val="auto"/>
          <w:spacing w:val="1"/>
          <w:sz w:val="21"/>
        </w:rPr>
        <w:t xml:space="preserve"> </w:t>
      </w:r>
      <w:r>
        <w:rPr>
          <w:color w:val="auto"/>
          <w:sz w:val="21"/>
        </w:rPr>
        <w:t>条规定的；</w:t>
      </w:r>
    </w:p>
    <w:p>
      <w:pPr>
        <w:pStyle w:val="17"/>
        <w:numPr>
          <w:ilvl w:val="0"/>
          <w:numId w:val="24"/>
        </w:numPr>
        <w:tabs>
          <w:tab w:val="left" w:pos="1626"/>
        </w:tabs>
        <w:spacing w:before="57" w:after="0" w:line="240" w:lineRule="auto"/>
        <w:ind w:left="1626" w:right="0" w:hanging="525"/>
        <w:jc w:val="left"/>
        <w:rPr>
          <w:color w:val="auto"/>
          <w:sz w:val="21"/>
        </w:rPr>
      </w:pPr>
      <w:r>
        <w:rPr>
          <w:color w:val="auto"/>
          <w:sz w:val="21"/>
        </w:rPr>
        <w:t>投标人提供虚假材料骗取投标资格的；</w:t>
      </w:r>
    </w:p>
    <w:p>
      <w:pPr>
        <w:pStyle w:val="17"/>
        <w:numPr>
          <w:ilvl w:val="0"/>
          <w:numId w:val="24"/>
        </w:numPr>
        <w:tabs>
          <w:tab w:val="left" w:pos="1626"/>
        </w:tabs>
        <w:spacing w:before="58" w:after="0" w:line="240" w:lineRule="auto"/>
        <w:ind w:left="1626" w:right="0" w:hanging="525"/>
        <w:jc w:val="left"/>
        <w:rPr>
          <w:color w:val="auto"/>
          <w:sz w:val="21"/>
        </w:rPr>
      </w:pPr>
      <w:r>
        <w:rPr>
          <w:color w:val="auto"/>
          <w:spacing w:val="-11"/>
          <w:sz w:val="21"/>
        </w:rPr>
        <w:t xml:space="preserve">按本章第 </w:t>
      </w:r>
      <w:r>
        <w:rPr>
          <w:rFonts w:ascii="Times New Roman" w:eastAsia="Times New Roman"/>
          <w:color w:val="auto"/>
          <w:sz w:val="21"/>
        </w:rPr>
        <w:t>30</w:t>
      </w:r>
      <w:r>
        <w:rPr>
          <w:rFonts w:ascii="Times New Roman" w:eastAsia="Times New Roman"/>
          <w:color w:val="auto"/>
          <w:spacing w:val="1"/>
          <w:sz w:val="21"/>
        </w:rPr>
        <w:t xml:space="preserve"> </w:t>
      </w:r>
      <w:r>
        <w:rPr>
          <w:color w:val="auto"/>
          <w:sz w:val="21"/>
        </w:rPr>
        <w:t>项规定应作无效标处理的；</w:t>
      </w:r>
    </w:p>
    <w:p>
      <w:pPr>
        <w:pStyle w:val="17"/>
        <w:numPr>
          <w:ilvl w:val="0"/>
          <w:numId w:val="24"/>
        </w:numPr>
        <w:tabs>
          <w:tab w:val="left" w:pos="1626"/>
        </w:tabs>
        <w:spacing w:before="57" w:after="0" w:line="240" w:lineRule="auto"/>
        <w:ind w:left="1626" w:right="0" w:hanging="525"/>
        <w:jc w:val="left"/>
        <w:rPr>
          <w:color w:val="auto"/>
          <w:sz w:val="21"/>
        </w:rPr>
      </w:pPr>
      <w:r>
        <w:rPr>
          <w:color w:val="auto"/>
          <w:spacing w:val="-8"/>
          <w:sz w:val="21"/>
        </w:rPr>
        <w:t xml:space="preserve">拒绝按本章第 </w:t>
      </w:r>
      <w:r>
        <w:rPr>
          <w:rFonts w:ascii="Times New Roman" w:eastAsia="Times New Roman"/>
          <w:color w:val="auto"/>
          <w:sz w:val="21"/>
        </w:rPr>
        <w:t>33.3</w:t>
      </w:r>
      <w:r>
        <w:rPr>
          <w:rFonts w:ascii="Times New Roman" w:eastAsia="Times New Roman"/>
          <w:color w:val="auto"/>
          <w:spacing w:val="-1"/>
          <w:sz w:val="21"/>
        </w:rPr>
        <w:t xml:space="preserve"> </w:t>
      </w:r>
      <w:r>
        <w:rPr>
          <w:color w:val="auto"/>
          <w:sz w:val="21"/>
        </w:rPr>
        <w:t>款规定进行说明或不能合理说明理由的；</w:t>
      </w:r>
    </w:p>
    <w:p>
      <w:pPr>
        <w:pStyle w:val="17"/>
        <w:numPr>
          <w:ilvl w:val="0"/>
          <w:numId w:val="24"/>
        </w:numPr>
        <w:tabs>
          <w:tab w:val="left" w:pos="1626"/>
        </w:tabs>
        <w:spacing w:before="57" w:after="0" w:line="240" w:lineRule="auto"/>
        <w:ind w:left="1626" w:right="0" w:hanging="525"/>
        <w:jc w:val="left"/>
        <w:rPr>
          <w:color w:val="auto"/>
          <w:sz w:val="21"/>
        </w:rPr>
      </w:pPr>
      <w:r>
        <w:rPr>
          <w:color w:val="auto"/>
          <w:sz w:val="21"/>
        </w:rPr>
        <w:t>法律法规规定作无效标处理的其它情形。</w:t>
      </w:r>
    </w:p>
    <w:p>
      <w:pPr>
        <w:pStyle w:val="6"/>
        <w:spacing w:before="5"/>
        <w:rPr>
          <w:color w:val="auto"/>
          <w:sz w:val="17"/>
        </w:rPr>
      </w:pPr>
    </w:p>
    <w:p>
      <w:pPr>
        <w:pStyle w:val="4"/>
        <w:numPr>
          <w:ilvl w:val="0"/>
          <w:numId w:val="4"/>
        </w:numPr>
        <w:tabs>
          <w:tab w:val="left" w:pos="1518"/>
        </w:tabs>
        <w:spacing w:before="1" w:after="0" w:line="240" w:lineRule="auto"/>
        <w:ind w:left="1517" w:right="0" w:hanging="265"/>
        <w:jc w:val="left"/>
        <w:rPr>
          <w:color w:val="auto"/>
        </w:rPr>
      </w:pPr>
      <w:bookmarkStart w:id="105" w:name="34.中标通知书"/>
      <w:bookmarkEnd w:id="105"/>
      <w:bookmarkStart w:id="106" w:name="34.中标通知书"/>
      <w:bookmarkEnd w:id="106"/>
      <w:r>
        <w:rPr>
          <w:color w:val="auto"/>
        </w:rPr>
        <w:t>中标通知书</w:t>
      </w:r>
    </w:p>
    <w:p>
      <w:pPr>
        <w:pStyle w:val="17"/>
        <w:numPr>
          <w:ilvl w:val="1"/>
          <w:numId w:val="25"/>
        </w:numPr>
        <w:tabs>
          <w:tab w:val="left" w:pos="1572"/>
        </w:tabs>
        <w:spacing w:before="7" w:after="0" w:line="290" w:lineRule="auto"/>
        <w:ind w:left="681" w:right="733" w:firstLine="420"/>
        <w:jc w:val="left"/>
        <w:rPr>
          <w:color w:val="auto"/>
          <w:sz w:val="21"/>
        </w:rPr>
      </w:pPr>
      <w:r>
        <w:rPr>
          <w:color w:val="auto"/>
          <w:sz w:val="21"/>
        </w:rPr>
        <w:t>招标人应当确定中标候选人为中标人。中标候选人放弃中标，或者因不可抗力提出</w:t>
      </w:r>
      <w:r>
        <w:rPr>
          <w:color w:val="auto"/>
          <w:spacing w:val="-11"/>
          <w:sz w:val="21"/>
        </w:rPr>
        <w:t xml:space="preserve">不能履行合同，或者因违反本章第 </w:t>
      </w:r>
      <w:r>
        <w:rPr>
          <w:rFonts w:ascii="Times New Roman" w:eastAsia="Times New Roman"/>
          <w:color w:val="auto"/>
          <w:sz w:val="21"/>
        </w:rPr>
        <w:t>33.4</w:t>
      </w:r>
      <w:r>
        <w:rPr>
          <w:rFonts w:ascii="Times New Roman" w:eastAsia="Times New Roman"/>
          <w:color w:val="auto"/>
          <w:spacing w:val="-5"/>
          <w:sz w:val="21"/>
        </w:rPr>
        <w:t xml:space="preserve"> </w:t>
      </w:r>
      <w:r>
        <w:rPr>
          <w:color w:val="auto"/>
          <w:spacing w:val="-15"/>
          <w:sz w:val="21"/>
        </w:rPr>
        <w:t xml:space="preserve">项和第 </w:t>
      </w:r>
      <w:r>
        <w:rPr>
          <w:rFonts w:ascii="Times New Roman" w:eastAsia="Times New Roman"/>
          <w:color w:val="auto"/>
          <w:sz w:val="21"/>
        </w:rPr>
        <w:t>34.2</w:t>
      </w:r>
      <w:r>
        <w:rPr>
          <w:rFonts w:ascii="Times New Roman" w:eastAsia="Times New Roman"/>
          <w:color w:val="auto"/>
          <w:spacing w:val="-5"/>
          <w:sz w:val="21"/>
        </w:rPr>
        <w:t xml:space="preserve"> </w:t>
      </w:r>
      <w:r>
        <w:rPr>
          <w:color w:val="auto"/>
          <w:spacing w:val="-5"/>
          <w:sz w:val="21"/>
        </w:rPr>
        <w:t>项规定造成其资格无效的，本次招标失败， 重新组织招标。除中标候选人外的其他投标人资格无效的，评标结果不作调整。</w:t>
      </w:r>
    </w:p>
    <w:p>
      <w:pPr>
        <w:pStyle w:val="17"/>
        <w:numPr>
          <w:ilvl w:val="1"/>
          <w:numId w:val="25"/>
        </w:numPr>
        <w:tabs>
          <w:tab w:val="left" w:pos="1572"/>
        </w:tabs>
        <w:spacing w:before="2" w:after="0" w:line="240" w:lineRule="auto"/>
        <w:ind w:left="1572" w:right="0" w:hanging="471"/>
        <w:jc w:val="left"/>
        <w:rPr>
          <w:color w:val="auto"/>
          <w:sz w:val="21"/>
        </w:rPr>
      </w:pPr>
      <w:r>
        <w:rPr>
          <w:color w:val="auto"/>
          <w:sz w:val="21"/>
        </w:rPr>
        <w:t>中标人确定后，招标人应当向中标人发出《建设工程中标通知书》。</w:t>
      </w:r>
    </w:p>
    <w:p>
      <w:pPr>
        <w:spacing w:after="0" w:line="240" w:lineRule="auto"/>
        <w:jc w:val="left"/>
        <w:rPr>
          <w:color w:val="auto"/>
          <w:sz w:val="21"/>
        </w:rPr>
        <w:sectPr>
          <w:type w:val="continuous"/>
          <w:pgSz w:w="11910" w:h="16840"/>
          <w:pgMar w:top="1600" w:right="860" w:bottom="280" w:left="1020" w:header="720" w:footer="720" w:gutter="0"/>
        </w:sectPr>
      </w:pPr>
    </w:p>
    <w:p>
      <w:pPr>
        <w:pStyle w:val="17"/>
        <w:numPr>
          <w:ilvl w:val="1"/>
          <w:numId w:val="25"/>
        </w:numPr>
        <w:tabs>
          <w:tab w:val="left" w:pos="1572"/>
        </w:tabs>
        <w:spacing w:before="75" w:after="0" w:line="290" w:lineRule="auto"/>
        <w:ind w:left="681" w:right="840" w:firstLine="420"/>
        <w:jc w:val="left"/>
        <w:rPr>
          <w:color w:val="auto"/>
          <w:sz w:val="21"/>
        </w:rPr>
      </w:pPr>
      <w:r>
        <w:rPr>
          <w:color w:val="auto"/>
          <w:sz w:val="21"/>
        </w:rPr>
        <w:t>招标人在发出《建设工程中标通知书》的同时，应当将中标结果以书面形式通知所有未中标的投标人。</w:t>
      </w:r>
    </w:p>
    <w:p>
      <w:pPr>
        <w:pStyle w:val="17"/>
        <w:numPr>
          <w:ilvl w:val="1"/>
          <w:numId w:val="25"/>
        </w:numPr>
        <w:tabs>
          <w:tab w:val="left" w:pos="1572"/>
        </w:tabs>
        <w:spacing w:before="4" w:after="0" w:line="290" w:lineRule="auto"/>
        <w:ind w:left="681" w:right="837" w:firstLine="420"/>
        <w:jc w:val="both"/>
        <w:rPr>
          <w:color w:val="auto"/>
          <w:sz w:val="21"/>
        </w:rPr>
      </w:pPr>
      <w:r>
        <w:rPr>
          <w:color w:val="auto"/>
          <w:sz w:val="21"/>
        </w:rPr>
        <w:t>《建设工程中标通知书》对招标人和中标人具有法律约束力。《建设工程中标通知</w:t>
      </w:r>
      <w:r>
        <w:rPr>
          <w:color w:val="auto"/>
          <w:spacing w:val="-10"/>
          <w:w w:val="95"/>
          <w:sz w:val="21"/>
        </w:rPr>
        <w:t xml:space="preserve">书》发出后，如中标人违反法律法规规定而中标无效的，应承担相应的法律责任，本次招标失   </w:t>
      </w:r>
      <w:r>
        <w:rPr>
          <w:color w:val="auto"/>
          <w:spacing w:val="-10"/>
          <w:sz w:val="21"/>
        </w:rPr>
        <w:t>败，应重新组织招标。</w:t>
      </w:r>
    </w:p>
    <w:p>
      <w:pPr>
        <w:pStyle w:val="4"/>
        <w:numPr>
          <w:ilvl w:val="0"/>
          <w:numId w:val="4"/>
        </w:numPr>
        <w:tabs>
          <w:tab w:val="left" w:pos="1518"/>
        </w:tabs>
        <w:spacing w:before="168" w:after="0" w:line="240" w:lineRule="auto"/>
        <w:ind w:left="1517" w:right="0" w:hanging="265"/>
        <w:jc w:val="left"/>
        <w:rPr>
          <w:color w:val="auto"/>
        </w:rPr>
      </w:pPr>
      <w:bookmarkStart w:id="107" w:name="35.合同签订"/>
      <w:bookmarkEnd w:id="107"/>
      <w:bookmarkStart w:id="108" w:name="35.合同签订"/>
      <w:bookmarkEnd w:id="108"/>
      <w:r>
        <w:rPr>
          <w:color w:val="auto"/>
        </w:rPr>
        <w:t>合同签订</w:t>
      </w:r>
    </w:p>
    <w:p>
      <w:pPr>
        <w:pStyle w:val="17"/>
        <w:numPr>
          <w:ilvl w:val="1"/>
          <w:numId w:val="26"/>
        </w:numPr>
        <w:tabs>
          <w:tab w:val="left" w:pos="1572"/>
        </w:tabs>
        <w:spacing w:before="7" w:after="0" w:line="290" w:lineRule="auto"/>
        <w:ind w:left="681" w:right="837" w:firstLine="420"/>
        <w:jc w:val="both"/>
        <w:rPr>
          <w:color w:val="auto"/>
          <w:sz w:val="21"/>
        </w:rPr>
      </w:pPr>
      <w:r>
        <w:rPr>
          <w:color w:val="auto"/>
          <w:spacing w:val="-3"/>
          <w:sz w:val="21"/>
        </w:rPr>
        <w:t xml:space="preserve">自《建设工程中标通知书》发出之日起 </w:t>
      </w:r>
      <w:r>
        <w:rPr>
          <w:rFonts w:ascii="Times New Roman" w:eastAsia="Times New Roman"/>
          <w:color w:val="auto"/>
          <w:sz w:val="21"/>
        </w:rPr>
        <w:t>7</w:t>
      </w:r>
      <w:r>
        <w:rPr>
          <w:rFonts w:ascii="Times New Roman" w:eastAsia="Times New Roman"/>
          <w:color w:val="auto"/>
          <w:spacing w:val="13"/>
          <w:sz w:val="21"/>
        </w:rPr>
        <w:t xml:space="preserve"> </w:t>
      </w:r>
      <w:r>
        <w:rPr>
          <w:color w:val="auto"/>
          <w:sz w:val="21"/>
        </w:rPr>
        <w:t>日内，按要求向招标人提交履约担保并根</w:t>
      </w:r>
      <w:r>
        <w:rPr>
          <w:color w:val="auto"/>
          <w:spacing w:val="-9"/>
          <w:w w:val="95"/>
          <w:sz w:val="21"/>
        </w:rPr>
        <w:t xml:space="preserve">据国家、省、市建设工程施工合同管理的规定及招标文件、投标文件，签订施工合同。未按要   </w:t>
      </w:r>
      <w:r>
        <w:rPr>
          <w:color w:val="auto"/>
          <w:spacing w:val="-13"/>
          <w:w w:val="95"/>
          <w:sz w:val="21"/>
        </w:rPr>
        <w:t xml:space="preserve">求提交履约担保的，其资格无效。履约担保额度、担保方式详见投标人须知前附表，履约担保   </w:t>
      </w:r>
      <w:r>
        <w:rPr>
          <w:color w:val="auto"/>
          <w:spacing w:val="-13"/>
          <w:sz w:val="21"/>
        </w:rPr>
        <w:t>必须解入招标人指定的专用帐户。</w:t>
      </w:r>
    </w:p>
    <w:p>
      <w:pPr>
        <w:pStyle w:val="17"/>
        <w:numPr>
          <w:ilvl w:val="1"/>
          <w:numId w:val="26"/>
        </w:numPr>
        <w:tabs>
          <w:tab w:val="left" w:pos="1572"/>
        </w:tabs>
        <w:spacing w:before="3" w:after="0" w:line="240" w:lineRule="auto"/>
        <w:ind w:left="1572" w:right="0" w:hanging="471"/>
        <w:jc w:val="left"/>
        <w:rPr>
          <w:color w:val="auto"/>
          <w:sz w:val="21"/>
        </w:rPr>
      </w:pPr>
      <w:r>
        <w:rPr>
          <w:color w:val="auto"/>
          <w:sz w:val="21"/>
        </w:rPr>
        <w:t>招标人与中标人应当按照《关于在我市工程建设领域推行廉政合同的通知》（台纪</w:t>
      </w:r>
    </w:p>
    <w:p>
      <w:pPr>
        <w:pStyle w:val="6"/>
        <w:spacing w:before="57"/>
        <w:ind w:left="681"/>
        <w:rPr>
          <w:color w:val="auto"/>
        </w:rPr>
      </w:pPr>
      <w:r>
        <w:rPr>
          <w:rFonts w:ascii="Times New Roman" w:eastAsia="Times New Roman"/>
          <w:color w:val="auto"/>
        </w:rPr>
        <w:t xml:space="preserve">[2001]19 </w:t>
      </w:r>
      <w:r>
        <w:rPr>
          <w:color w:val="auto"/>
        </w:rPr>
        <w:t>号）的要求签订《廉政合同》。</w:t>
      </w:r>
    </w:p>
    <w:p>
      <w:pPr>
        <w:pStyle w:val="6"/>
        <w:spacing w:before="5"/>
        <w:rPr>
          <w:color w:val="auto"/>
          <w:sz w:val="17"/>
        </w:rPr>
      </w:pPr>
    </w:p>
    <w:p>
      <w:pPr>
        <w:pStyle w:val="4"/>
        <w:numPr>
          <w:ilvl w:val="0"/>
          <w:numId w:val="4"/>
        </w:numPr>
        <w:tabs>
          <w:tab w:val="left" w:pos="1518"/>
        </w:tabs>
        <w:spacing w:before="1" w:after="0" w:line="240" w:lineRule="auto"/>
        <w:ind w:left="1517" w:right="0" w:hanging="265"/>
        <w:jc w:val="left"/>
        <w:rPr>
          <w:color w:val="auto"/>
        </w:rPr>
      </w:pPr>
      <w:bookmarkStart w:id="109" w:name="36.重新招标和不再招标"/>
      <w:bookmarkEnd w:id="109"/>
      <w:bookmarkStart w:id="110" w:name="36.重新招标和不再招标"/>
      <w:bookmarkEnd w:id="110"/>
      <w:r>
        <w:rPr>
          <w:color w:val="auto"/>
        </w:rPr>
        <w:t>重新招标和不再招标</w:t>
      </w:r>
    </w:p>
    <w:p>
      <w:pPr>
        <w:pStyle w:val="17"/>
        <w:numPr>
          <w:ilvl w:val="1"/>
          <w:numId w:val="4"/>
        </w:numPr>
        <w:tabs>
          <w:tab w:val="left" w:pos="1572"/>
        </w:tabs>
        <w:spacing w:before="6" w:after="0" w:line="240" w:lineRule="auto"/>
        <w:ind w:left="1572" w:right="0" w:hanging="471"/>
        <w:jc w:val="left"/>
        <w:rPr>
          <w:color w:val="auto"/>
          <w:sz w:val="21"/>
        </w:rPr>
      </w:pPr>
      <w:r>
        <w:rPr>
          <w:color w:val="auto"/>
          <w:sz w:val="21"/>
        </w:rPr>
        <w:t>重新招标</w:t>
      </w:r>
    </w:p>
    <w:p>
      <w:pPr>
        <w:pStyle w:val="6"/>
        <w:spacing w:before="58"/>
        <w:ind w:left="1101"/>
        <w:rPr>
          <w:color w:val="auto"/>
        </w:rPr>
      </w:pPr>
      <w:r>
        <w:rPr>
          <w:color w:val="auto"/>
        </w:rPr>
        <w:t>有下列情形之一的，招标人将重新招标：</w:t>
      </w:r>
    </w:p>
    <w:p>
      <w:pPr>
        <w:pStyle w:val="17"/>
        <w:numPr>
          <w:ilvl w:val="0"/>
          <w:numId w:val="27"/>
        </w:numPr>
        <w:tabs>
          <w:tab w:val="left" w:pos="1626"/>
        </w:tabs>
        <w:spacing w:before="57" w:after="0" w:line="240" w:lineRule="auto"/>
        <w:ind w:left="1626" w:right="0" w:hanging="525"/>
        <w:jc w:val="left"/>
        <w:rPr>
          <w:color w:val="auto"/>
          <w:sz w:val="21"/>
        </w:rPr>
      </w:pPr>
      <w:r>
        <w:rPr>
          <w:color w:val="auto"/>
          <w:spacing w:val="-4"/>
          <w:sz w:val="21"/>
        </w:rPr>
        <w:t xml:space="preserve">投标截止时间止，投标人少于 </w:t>
      </w:r>
      <w:r>
        <w:rPr>
          <w:rFonts w:ascii="Times New Roman" w:eastAsia="Times New Roman"/>
          <w:color w:val="auto"/>
          <w:sz w:val="21"/>
        </w:rPr>
        <w:t>3</w:t>
      </w:r>
      <w:r>
        <w:rPr>
          <w:rFonts w:ascii="Times New Roman" w:eastAsia="Times New Roman"/>
          <w:color w:val="auto"/>
          <w:spacing w:val="-1"/>
          <w:sz w:val="21"/>
        </w:rPr>
        <w:t xml:space="preserve"> </w:t>
      </w:r>
      <w:r>
        <w:rPr>
          <w:color w:val="auto"/>
          <w:sz w:val="21"/>
        </w:rPr>
        <w:t>个的；</w:t>
      </w:r>
    </w:p>
    <w:p>
      <w:pPr>
        <w:pStyle w:val="17"/>
        <w:numPr>
          <w:ilvl w:val="0"/>
          <w:numId w:val="27"/>
        </w:numPr>
        <w:tabs>
          <w:tab w:val="left" w:pos="1626"/>
        </w:tabs>
        <w:spacing w:before="58" w:after="0" w:line="240" w:lineRule="auto"/>
        <w:ind w:left="1626" w:right="0" w:hanging="525"/>
        <w:jc w:val="left"/>
        <w:rPr>
          <w:color w:val="auto"/>
          <w:sz w:val="21"/>
        </w:rPr>
      </w:pPr>
      <w:r>
        <w:rPr>
          <w:color w:val="auto"/>
          <w:sz w:val="21"/>
        </w:rPr>
        <w:t>经评标小组评审后否决所有投标的。</w:t>
      </w:r>
    </w:p>
    <w:p>
      <w:pPr>
        <w:pStyle w:val="17"/>
        <w:numPr>
          <w:ilvl w:val="1"/>
          <w:numId w:val="4"/>
        </w:numPr>
        <w:tabs>
          <w:tab w:val="left" w:pos="1572"/>
        </w:tabs>
        <w:spacing w:before="59" w:after="0" w:line="240" w:lineRule="auto"/>
        <w:ind w:left="1572" w:right="0" w:hanging="471"/>
        <w:jc w:val="left"/>
        <w:rPr>
          <w:color w:val="auto"/>
          <w:sz w:val="21"/>
        </w:rPr>
      </w:pPr>
      <w:r>
        <w:rPr>
          <w:color w:val="auto"/>
          <w:sz w:val="21"/>
        </w:rPr>
        <w:t>不再招标</w:t>
      </w:r>
    </w:p>
    <w:p>
      <w:pPr>
        <w:pStyle w:val="6"/>
        <w:spacing w:before="58"/>
        <w:ind w:left="1101"/>
        <w:rPr>
          <w:color w:val="auto"/>
        </w:rPr>
      </w:pPr>
      <w:r>
        <w:rPr>
          <w:color w:val="auto"/>
        </w:rPr>
        <w:t xml:space="preserve">重新招标后投标人仍少于 </w:t>
      </w:r>
      <w:r>
        <w:rPr>
          <w:rFonts w:ascii="Times New Roman" w:eastAsia="Times New Roman"/>
          <w:color w:val="auto"/>
        </w:rPr>
        <w:t xml:space="preserve">3 </w:t>
      </w:r>
      <w:r>
        <w:rPr>
          <w:color w:val="auto"/>
        </w:rPr>
        <w:t>个的，报经有关行政监督部门批准后可以不再进行招标。</w:t>
      </w:r>
    </w:p>
    <w:p>
      <w:pPr>
        <w:spacing w:after="0"/>
        <w:rPr>
          <w:color w:val="auto"/>
        </w:rPr>
        <w:sectPr>
          <w:pgSz w:w="11910" w:h="16840"/>
          <w:pgMar w:top="1360" w:right="860" w:bottom="1060" w:left="1020" w:header="873" w:footer="863" w:gutter="0"/>
        </w:sectPr>
      </w:pPr>
    </w:p>
    <w:p>
      <w:pPr>
        <w:pStyle w:val="2"/>
        <w:tabs>
          <w:tab w:val="left" w:pos="4612"/>
        </w:tabs>
        <w:spacing w:before="77"/>
        <w:ind w:left="3328"/>
        <w:rPr>
          <w:color w:val="auto"/>
        </w:rPr>
      </w:pPr>
      <w:bookmarkStart w:id="111" w:name="第三章  合同主要条款"/>
      <w:bookmarkEnd w:id="111"/>
      <w:bookmarkStart w:id="112" w:name="_bookmark16"/>
      <w:bookmarkEnd w:id="112"/>
      <w:r>
        <w:rPr>
          <w:color w:val="auto"/>
        </w:rPr>
        <w:t>第三章</w:t>
      </w:r>
      <w:r>
        <w:rPr>
          <w:color w:val="auto"/>
        </w:rPr>
        <w:tab/>
      </w:r>
      <w:r>
        <w:rPr>
          <w:color w:val="auto"/>
        </w:rPr>
        <w:t>合同主要条款</w:t>
      </w:r>
    </w:p>
    <w:p>
      <w:pPr>
        <w:pStyle w:val="6"/>
        <w:jc w:val="center"/>
        <w:rPr>
          <w:rFonts w:hint="eastAsia" w:ascii="黑体" w:eastAsia="宋体"/>
          <w:b/>
          <w:color w:val="auto"/>
          <w:sz w:val="32"/>
          <w:lang w:val="en-US" w:eastAsia="zh-CN"/>
        </w:rPr>
      </w:pPr>
      <w:r>
        <w:rPr>
          <w:rFonts w:hint="eastAsia" w:ascii="黑体"/>
          <w:b/>
          <w:color w:val="auto"/>
          <w:sz w:val="32"/>
          <w:lang w:eastAsia="zh-CN"/>
        </w:rPr>
        <w:t>第一部分</w:t>
      </w:r>
      <w:r>
        <w:rPr>
          <w:rFonts w:hint="eastAsia" w:ascii="黑体"/>
          <w:b/>
          <w:color w:val="auto"/>
          <w:sz w:val="32"/>
          <w:lang w:val="en-US" w:eastAsia="zh-CN"/>
        </w:rPr>
        <w:t xml:space="preserve">  合同协议书</w:t>
      </w:r>
    </w:p>
    <w:p>
      <w:pPr>
        <w:pStyle w:val="6"/>
        <w:tabs>
          <w:tab w:val="left" w:pos="5667"/>
        </w:tabs>
        <w:spacing w:before="246"/>
        <w:ind w:left="1101"/>
        <w:rPr>
          <w:rFonts w:ascii="Times New Roman" w:eastAsia="Times New Roman"/>
          <w:color w:val="auto"/>
        </w:rPr>
      </w:pPr>
      <w:r>
        <w:rPr>
          <w:color w:val="auto"/>
          <w:w w:val="95"/>
        </w:rPr>
        <w:t>发包人（甲方）：</w:t>
      </w:r>
      <w:r>
        <w:rPr>
          <w:rFonts w:ascii="Times New Roman" w:eastAsia="Times New Roman"/>
          <w:color w:val="auto"/>
          <w:w w:val="95"/>
          <w:u w:val="single"/>
        </w:rPr>
        <w:t xml:space="preserve"> </w:t>
      </w:r>
      <w:r>
        <w:rPr>
          <w:rFonts w:ascii="Times New Roman" w:eastAsia="Times New Roman"/>
          <w:color w:val="auto"/>
          <w:u w:val="single"/>
        </w:rPr>
        <w:tab/>
      </w:r>
    </w:p>
    <w:p>
      <w:pPr>
        <w:pStyle w:val="6"/>
        <w:spacing w:before="8"/>
        <w:rPr>
          <w:rFonts w:ascii="Times New Roman"/>
          <w:color w:val="auto"/>
          <w:sz w:val="11"/>
        </w:rPr>
      </w:pPr>
    </w:p>
    <w:p>
      <w:pPr>
        <w:pStyle w:val="6"/>
        <w:tabs>
          <w:tab w:val="left" w:pos="5667"/>
        </w:tabs>
        <w:spacing w:before="76"/>
        <w:ind w:left="1101"/>
        <w:rPr>
          <w:rFonts w:ascii="Times New Roman" w:eastAsia="Times New Roman"/>
          <w:color w:val="auto"/>
        </w:rPr>
      </w:pPr>
      <w:r>
        <w:rPr>
          <w:color w:val="auto"/>
          <w:w w:val="95"/>
        </w:rPr>
        <w:t>承包人（乙方）：</w:t>
      </w:r>
      <w:r>
        <w:rPr>
          <w:rFonts w:ascii="Times New Roman" w:eastAsia="Times New Roman"/>
          <w:color w:val="auto"/>
          <w:w w:val="95"/>
          <w:u w:val="single"/>
        </w:rPr>
        <w:t xml:space="preserve"> </w:t>
      </w:r>
      <w:r>
        <w:rPr>
          <w:rFonts w:ascii="Times New Roman" w:eastAsia="Times New Roman"/>
          <w:color w:val="auto"/>
          <w:u w:val="single"/>
        </w:rPr>
        <w:tab/>
      </w:r>
    </w:p>
    <w:p>
      <w:pPr>
        <w:pStyle w:val="6"/>
        <w:spacing w:before="2"/>
        <w:rPr>
          <w:rFonts w:ascii="Times New Roman"/>
          <w:color w:val="auto"/>
          <w:sz w:val="27"/>
        </w:rPr>
      </w:pPr>
    </w:p>
    <w:p>
      <w:pPr>
        <w:pStyle w:val="6"/>
        <w:spacing w:before="76" w:line="357" w:lineRule="auto"/>
        <w:ind w:left="681" w:right="734" w:firstLine="420"/>
        <w:rPr>
          <w:rFonts w:hint="eastAsia" w:eastAsia="宋体"/>
          <w:color w:val="auto"/>
          <w:u w:val="none"/>
          <w:lang w:eastAsia="zh-CN"/>
        </w:rPr>
      </w:pPr>
      <w:r>
        <w:rPr>
          <w:rFonts w:hint="eastAsia"/>
          <w:color w:val="auto"/>
          <w:spacing w:val="-8"/>
          <w:lang w:eastAsia="zh-CN"/>
        </w:rPr>
        <w:t>根据</w:t>
      </w:r>
      <w:r>
        <w:rPr>
          <w:rFonts w:hint="eastAsia"/>
          <w:color w:val="auto"/>
          <w:spacing w:val="-8"/>
          <w:u w:val="single"/>
          <w:lang w:eastAsia="zh-CN"/>
        </w:rPr>
        <w:t>玉环海洋经济转型示范区道路清扫保洁、河道保洁及沿道路垃圾收集清运项目的</w:t>
      </w:r>
      <w:r>
        <w:rPr>
          <w:rFonts w:hint="eastAsia"/>
          <w:color w:val="auto"/>
          <w:spacing w:val="-8"/>
          <w:u w:val="none"/>
          <w:lang w:eastAsia="zh-CN"/>
        </w:rPr>
        <w:t>招标文件及乙方的投标文件和中标通知书，甲乙双方就甲方聘用乙方从事</w:t>
      </w:r>
      <w:r>
        <w:rPr>
          <w:rFonts w:hint="eastAsia"/>
          <w:color w:val="auto"/>
          <w:spacing w:val="-8"/>
          <w:u w:val="single"/>
          <w:lang w:eastAsia="zh-CN"/>
        </w:rPr>
        <w:t>玉环海洋经济转型示范区道路清扫保洁、河道保洁及沿道路垃圾收集清运项目</w:t>
      </w:r>
      <w:r>
        <w:rPr>
          <w:rFonts w:hint="eastAsia"/>
          <w:color w:val="auto"/>
          <w:spacing w:val="-8"/>
          <w:u w:val="none"/>
          <w:lang w:eastAsia="zh-CN"/>
        </w:rPr>
        <w:t>的保洁工作，签订合同书。</w:t>
      </w:r>
    </w:p>
    <w:p>
      <w:pPr>
        <w:pStyle w:val="6"/>
        <w:spacing w:before="4"/>
        <w:rPr>
          <w:color w:val="auto"/>
          <w:sz w:val="15"/>
        </w:rPr>
      </w:pPr>
    </w:p>
    <w:p>
      <w:pPr>
        <w:pStyle w:val="4"/>
        <w:ind w:left="1101" w:firstLine="0"/>
        <w:rPr>
          <w:rFonts w:hint="eastAsia" w:ascii="宋体" w:eastAsia="宋体"/>
          <w:color w:val="auto"/>
          <w:lang w:eastAsia="zh-CN"/>
        </w:rPr>
      </w:pPr>
      <w:r>
        <w:rPr>
          <w:rFonts w:hint="eastAsia" w:ascii="宋体" w:eastAsia="宋体"/>
          <w:color w:val="auto"/>
        </w:rPr>
        <w:t>一、</w:t>
      </w:r>
      <w:r>
        <w:rPr>
          <w:rFonts w:hint="eastAsia" w:ascii="宋体" w:eastAsia="宋体"/>
          <w:color w:val="auto"/>
          <w:lang w:eastAsia="zh-CN"/>
        </w:rPr>
        <w:t>合同内容</w:t>
      </w:r>
    </w:p>
    <w:p>
      <w:pPr>
        <w:pStyle w:val="6"/>
        <w:spacing w:before="2"/>
        <w:rPr>
          <w:b/>
          <w:color w:val="auto"/>
        </w:rPr>
      </w:pPr>
    </w:p>
    <w:p>
      <w:pPr>
        <w:pStyle w:val="6"/>
        <w:spacing w:before="76" w:line="357" w:lineRule="auto"/>
        <w:ind w:left="681" w:right="734" w:firstLine="420"/>
        <w:rPr>
          <w:rFonts w:hint="eastAsia"/>
          <w:color w:val="auto"/>
          <w:spacing w:val="-8"/>
          <w:lang w:eastAsia="zh-CN"/>
        </w:rPr>
      </w:pPr>
      <w:r>
        <w:rPr>
          <w:rFonts w:hint="eastAsia"/>
          <w:color w:val="auto"/>
          <w:spacing w:val="-8"/>
          <w:lang w:val="en-US" w:eastAsia="zh-CN"/>
        </w:rPr>
        <w:t>（1）乙方负责玉环海洋经济转型示范区道路清扫保洁、河道保洁及沿道路垃圾收集清运项目保洁管理服务，包括</w:t>
      </w:r>
      <w:r>
        <w:rPr>
          <w:rFonts w:hint="eastAsia"/>
          <w:color w:val="auto"/>
          <w:spacing w:val="-8"/>
          <w:lang w:eastAsia="zh-CN"/>
        </w:rPr>
        <w:t>道路清扫保洁、河道保洁及沿道路垃圾收集清运项目总面积373416m2（其中道理面积348666m2、河道面积24750m2），另公厕保洁一座。</w:t>
      </w:r>
    </w:p>
    <w:p>
      <w:pPr>
        <w:pStyle w:val="6"/>
        <w:spacing w:line="357" w:lineRule="auto"/>
        <w:ind w:left="681" w:right="842" w:firstLine="609" w:firstLineChars="290"/>
        <w:rPr>
          <w:rFonts w:hint="eastAsia"/>
          <w:color w:val="auto"/>
          <w:lang w:eastAsia="zh-CN"/>
        </w:rPr>
      </w:pPr>
      <w:r>
        <w:rPr>
          <w:rFonts w:hint="eastAsia"/>
          <w:color w:val="auto"/>
          <w:lang w:eastAsia="zh-CN"/>
        </w:rPr>
        <w:t>主要内容包含如下；</w:t>
      </w:r>
    </w:p>
    <w:p>
      <w:pPr>
        <w:pStyle w:val="6"/>
        <w:spacing w:line="357" w:lineRule="auto"/>
        <w:ind w:left="681" w:right="842" w:firstLine="609" w:firstLineChars="290"/>
        <w:rPr>
          <w:rFonts w:hint="eastAsia"/>
          <w:color w:val="auto"/>
        </w:rPr>
      </w:pPr>
      <w:r>
        <w:rPr>
          <w:rFonts w:hint="eastAsia"/>
          <w:color w:val="auto"/>
        </w:rPr>
        <w:t>1、靖海路、时和路、永清路、信义路、善和路、茶山路、岁丰路、海晏路、河清路、杨帆路、振远路、振兴路等道路清扫、保洁；</w:t>
      </w:r>
    </w:p>
    <w:p>
      <w:pPr>
        <w:pStyle w:val="6"/>
        <w:spacing w:line="357" w:lineRule="auto"/>
        <w:ind w:left="681" w:right="842" w:firstLine="609" w:firstLineChars="290"/>
        <w:rPr>
          <w:rFonts w:hint="eastAsia"/>
          <w:color w:val="auto"/>
        </w:rPr>
      </w:pPr>
      <w:r>
        <w:rPr>
          <w:rFonts w:hint="eastAsia"/>
          <w:color w:val="auto"/>
        </w:rPr>
        <w:t>2、解放中河保洁；</w:t>
      </w:r>
    </w:p>
    <w:p>
      <w:pPr>
        <w:pStyle w:val="6"/>
        <w:spacing w:line="357" w:lineRule="auto"/>
        <w:ind w:left="681" w:right="842" w:firstLine="609" w:firstLineChars="290"/>
        <w:rPr>
          <w:rFonts w:hint="eastAsia"/>
          <w:color w:val="auto"/>
        </w:rPr>
      </w:pPr>
      <w:r>
        <w:rPr>
          <w:rFonts w:hint="eastAsia"/>
          <w:color w:val="auto"/>
        </w:rPr>
        <w:t>3、公厕保洁；</w:t>
      </w:r>
    </w:p>
    <w:p>
      <w:pPr>
        <w:pStyle w:val="6"/>
        <w:spacing w:line="357" w:lineRule="auto"/>
        <w:ind w:left="681" w:right="842" w:firstLine="609" w:firstLineChars="290"/>
        <w:rPr>
          <w:rFonts w:hint="eastAsia"/>
          <w:color w:val="auto"/>
        </w:rPr>
      </w:pPr>
      <w:r>
        <w:rPr>
          <w:rFonts w:hint="eastAsia"/>
          <w:color w:val="auto"/>
        </w:rPr>
        <w:t>4、沿各道路小巷、</w:t>
      </w:r>
      <w:r>
        <w:rPr>
          <w:rFonts w:hint="eastAsia"/>
          <w:b w:val="0"/>
          <w:bCs w:val="0"/>
          <w:color w:val="auto"/>
        </w:rPr>
        <w:t>弄堂范围</w:t>
      </w:r>
      <w:r>
        <w:rPr>
          <w:rFonts w:hint="eastAsia"/>
          <w:color w:val="auto"/>
        </w:rPr>
        <w:t>可见的地方清洁、保洁，沿道路和企业、学校、新民小区、商店、综合市场及摊点等垃圾（包括建筑垃圾、工业垃圾、生活垃圾、零星矿石和淤泥）收集和清运清除；</w:t>
      </w:r>
    </w:p>
    <w:p>
      <w:pPr>
        <w:pStyle w:val="6"/>
        <w:spacing w:line="357" w:lineRule="auto"/>
        <w:ind w:left="681" w:right="842" w:firstLine="609" w:firstLineChars="290"/>
        <w:rPr>
          <w:rFonts w:hint="eastAsia"/>
          <w:color w:val="auto"/>
        </w:rPr>
      </w:pPr>
      <w:r>
        <w:rPr>
          <w:rFonts w:hint="eastAsia"/>
          <w:color w:val="auto"/>
        </w:rPr>
        <w:t>5、示范区范围内绿化的保洁和道路杂草清除；</w:t>
      </w:r>
    </w:p>
    <w:p>
      <w:pPr>
        <w:pStyle w:val="6"/>
        <w:spacing w:line="357" w:lineRule="auto"/>
        <w:ind w:left="681" w:right="842" w:firstLine="609" w:firstLineChars="290"/>
        <w:rPr>
          <w:rFonts w:hint="eastAsia"/>
          <w:color w:val="auto"/>
        </w:rPr>
      </w:pPr>
      <w:r>
        <w:rPr>
          <w:rFonts w:hint="eastAsia"/>
          <w:color w:val="auto"/>
        </w:rPr>
        <w:t>6、示范区范围内张贴物的清除。</w:t>
      </w:r>
    </w:p>
    <w:p>
      <w:pPr>
        <w:pStyle w:val="4"/>
        <w:ind w:left="1101" w:firstLine="0"/>
        <w:rPr>
          <w:rFonts w:hint="eastAsia"/>
          <w:b w:val="0"/>
          <w:bCs w:val="0"/>
          <w:color w:val="auto"/>
          <w:lang w:val="en-US" w:eastAsia="zh-CN"/>
        </w:rPr>
      </w:pPr>
      <w:r>
        <w:rPr>
          <w:rFonts w:hint="eastAsia" w:ascii="宋体" w:eastAsia="宋体"/>
          <w:color w:val="auto"/>
        </w:rPr>
        <w:t>承包期限</w:t>
      </w:r>
      <w:r>
        <w:rPr>
          <w:rFonts w:hint="eastAsia" w:ascii="宋体" w:eastAsia="宋体"/>
          <w:color w:val="auto"/>
          <w:lang w:eastAsia="zh-CN"/>
        </w:rPr>
        <w:t>：</w:t>
      </w:r>
      <w:r>
        <w:rPr>
          <w:rFonts w:hint="eastAsia" w:ascii="宋体" w:hAnsi="宋体" w:eastAsia="宋体" w:cs="宋体"/>
          <w:b w:val="0"/>
          <w:bCs w:val="0"/>
          <w:color w:val="auto"/>
          <w:sz w:val="21"/>
          <w:szCs w:val="21"/>
          <w:lang w:val="zh-CN" w:eastAsia="zh-CN" w:bidi="zh-CN"/>
        </w:rPr>
        <w:t>自</w:t>
      </w:r>
      <w:r>
        <w:rPr>
          <w:rFonts w:hint="eastAsia" w:ascii="宋体" w:hAnsi="宋体" w:eastAsia="宋体" w:cs="宋体"/>
          <w:b w:val="0"/>
          <w:bCs w:val="0"/>
          <w:color w:val="auto"/>
          <w:sz w:val="21"/>
          <w:szCs w:val="21"/>
          <w:lang w:val="en-US" w:eastAsia="zh-CN" w:bidi="zh-CN"/>
        </w:rPr>
        <w:t>2018年  月  日起，结束日期为2019年   月  日。</w:t>
      </w:r>
    </w:p>
    <w:p>
      <w:pPr>
        <w:rPr>
          <w:rFonts w:hint="eastAsia"/>
          <w:color w:val="auto"/>
          <w:lang w:val="en-US" w:eastAsia="zh-CN"/>
        </w:rPr>
      </w:pPr>
    </w:p>
    <w:p>
      <w:pPr>
        <w:pStyle w:val="4"/>
        <w:numPr>
          <w:ilvl w:val="0"/>
          <w:numId w:val="0"/>
        </w:numPr>
        <w:ind w:left="1101" w:leftChars="0" w:right="0" w:rightChars="0"/>
        <w:rPr>
          <w:rFonts w:hint="eastAsia" w:ascii="宋体" w:eastAsia="宋体"/>
          <w:color w:val="auto"/>
          <w:lang w:eastAsia="zh-CN"/>
        </w:rPr>
      </w:pPr>
      <w:r>
        <w:rPr>
          <w:rFonts w:hint="eastAsia" w:ascii="宋体" w:hAnsi="宋体" w:eastAsia="宋体" w:cs="宋体"/>
          <w:b w:val="0"/>
          <w:bCs w:val="0"/>
          <w:color w:val="auto"/>
          <w:sz w:val="21"/>
          <w:szCs w:val="21"/>
          <w:lang w:val="en-US" w:eastAsia="zh-CN" w:bidi="zh-CN"/>
        </w:rPr>
        <w:t>（2）</w:t>
      </w:r>
      <w:r>
        <w:rPr>
          <w:rFonts w:hint="eastAsia" w:ascii="宋体" w:eastAsia="宋体"/>
          <w:color w:val="auto"/>
          <w:lang w:eastAsia="zh-CN"/>
        </w:rPr>
        <w:t>下列为合同不可分割部分；</w:t>
      </w:r>
    </w:p>
    <w:p>
      <w:pPr>
        <w:pStyle w:val="6"/>
        <w:spacing w:line="357" w:lineRule="auto"/>
        <w:ind w:right="842" w:firstLine="1260" w:firstLineChars="600"/>
        <w:rPr>
          <w:rFonts w:hint="eastAsia"/>
          <w:color w:val="auto"/>
          <w:lang w:val="en-US" w:eastAsia="zh-CN"/>
        </w:rPr>
      </w:pPr>
      <w:r>
        <w:rPr>
          <w:rFonts w:hint="eastAsia" w:ascii="宋体" w:hAnsi="宋体" w:eastAsia="宋体" w:cs="宋体"/>
          <w:color w:val="auto"/>
          <w:sz w:val="21"/>
          <w:szCs w:val="21"/>
          <w:lang w:val="en-US" w:eastAsia="zh-CN" w:bidi="zh-CN"/>
        </w:rPr>
        <w:t xml:space="preserve"> </w:t>
      </w:r>
      <w:r>
        <w:rPr>
          <w:rFonts w:hint="eastAsia"/>
          <w:color w:val="auto"/>
          <w:lang w:val="en-US" w:eastAsia="zh-CN"/>
        </w:rPr>
        <w:t>①招标文件及其附件；</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② 乙方的投标文件；</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③乙方在招投标过程中所做的其它承诺、声明、书面澄清等；</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④中标通知书；</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⑤考核办法；</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⑥考核评分标准；</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⑦合同附件</w:t>
      </w:r>
    </w:p>
    <w:p>
      <w:pPr>
        <w:pStyle w:val="6"/>
        <w:spacing w:line="357" w:lineRule="auto"/>
        <w:ind w:left="681" w:right="842" w:firstLine="609" w:firstLineChars="290"/>
        <w:rPr>
          <w:rFonts w:hint="eastAsia"/>
          <w:color w:val="auto"/>
          <w:lang w:val="en-US" w:eastAsia="zh-CN"/>
        </w:rPr>
      </w:pPr>
      <w:r>
        <w:rPr>
          <w:rFonts w:hint="eastAsia"/>
          <w:color w:val="auto"/>
          <w:lang w:val="en-US" w:eastAsia="zh-CN"/>
        </w:rPr>
        <w:t>以上与本合同具有同等法律效力</w:t>
      </w:r>
    </w:p>
    <w:p>
      <w:pPr>
        <w:pStyle w:val="6"/>
        <w:spacing w:line="357" w:lineRule="auto"/>
        <w:ind w:left="681" w:right="842" w:firstLine="609" w:firstLineChars="290"/>
        <w:rPr>
          <w:rFonts w:hint="eastAsia"/>
          <w:color w:val="auto"/>
          <w:lang w:val="en-US" w:eastAsia="zh-CN"/>
        </w:rPr>
      </w:pPr>
    </w:p>
    <w:p>
      <w:pPr>
        <w:pStyle w:val="6"/>
        <w:spacing w:line="357" w:lineRule="auto"/>
        <w:ind w:left="681" w:right="842" w:firstLine="609" w:firstLineChars="290"/>
        <w:rPr>
          <w:rFonts w:hint="eastAsia"/>
          <w:color w:val="auto"/>
          <w:lang w:val="en-US" w:eastAsia="zh-CN"/>
        </w:rPr>
      </w:pPr>
    </w:p>
    <w:p>
      <w:pPr>
        <w:pStyle w:val="6"/>
        <w:numPr>
          <w:ilvl w:val="0"/>
          <w:numId w:val="28"/>
        </w:numPr>
        <w:spacing w:before="2"/>
        <w:ind w:left="630" w:leftChars="0" w:right="0" w:rightChars="0" w:firstLine="0" w:firstLineChars="0"/>
        <w:rPr>
          <w:rFonts w:hint="eastAsia" w:cs="宋体"/>
          <w:b/>
          <w:bCs/>
          <w:color w:val="auto"/>
          <w:sz w:val="21"/>
          <w:szCs w:val="21"/>
          <w:lang w:val="zh-CN" w:eastAsia="zh-CN" w:bidi="zh-CN"/>
        </w:rPr>
      </w:pPr>
      <w:r>
        <w:rPr>
          <w:rFonts w:hint="eastAsia" w:cs="宋体"/>
          <w:b/>
          <w:bCs/>
          <w:color w:val="auto"/>
          <w:sz w:val="21"/>
          <w:szCs w:val="21"/>
          <w:lang w:val="zh-CN" w:eastAsia="zh-CN" w:bidi="zh-CN"/>
        </w:rPr>
        <w:t>保洁服务费及付款方式：</w:t>
      </w:r>
    </w:p>
    <w:p>
      <w:pPr>
        <w:pStyle w:val="6"/>
        <w:numPr>
          <w:ilvl w:val="0"/>
          <w:numId w:val="0"/>
        </w:numPr>
        <w:spacing w:before="2"/>
        <w:ind w:left="630" w:leftChars="0" w:right="0" w:rightChars="0"/>
        <w:rPr>
          <w:rFonts w:hint="eastAsia" w:cs="宋体"/>
          <w:b/>
          <w:bCs/>
          <w:color w:val="auto"/>
          <w:sz w:val="21"/>
          <w:szCs w:val="21"/>
          <w:lang w:val="zh-CN" w:eastAsia="zh-CN" w:bidi="zh-CN"/>
        </w:rPr>
      </w:pPr>
    </w:p>
    <w:p>
      <w:pPr>
        <w:pStyle w:val="6"/>
        <w:numPr>
          <w:ilvl w:val="0"/>
          <w:numId w:val="29"/>
        </w:numPr>
        <w:spacing w:line="357" w:lineRule="auto"/>
        <w:ind w:left="681" w:right="842" w:firstLine="609" w:firstLineChars="290"/>
        <w:rPr>
          <w:rFonts w:hint="eastAsia"/>
          <w:color w:val="auto"/>
          <w:lang w:eastAsia="zh-CN"/>
        </w:rPr>
      </w:pPr>
      <w:r>
        <w:rPr>
          <w:rFonts w:hint="eastAsia"/>
          <w:color w:val="auto"/>
        </w:rPr>
        <w:t>总承包金额人民币￥</w:t>
      </w:r>
      <w:r>
        <w:rPr>
          <w:rFonts w:hint="eastAsia"/>
          <w:color w:val="auto"/>
          <w:u w:val="single"/>
        </w:rPr>
        <w:t xml:space="preserve"> </w:t>
      </w:r>
      <w:r>
        <w:rPr>
          <w:rFonts w:hint="eastAsia"/>
          <w:color w:val="auto"/>
          <w:u w:val="single"/>
        </w:rPr>
        <w:tab/>
      </w:r>
      <w:r>
        <w:rPr>
          <w:rFonts w:hint="eastAsia"/>
          <w:color w:val="auto"/>
          <w:u w:val="single"/>
          <w:lang w:val="en-US" w:eastAsia="zh-CN"/>
        </w:rPr>
        <w:t xml:space="preserve"> </w:t>
      </w:r>
      <w:r>
        <w:rPr>
          <w:rFonts w:hint="eastAsia"/>
          <w:color w:val="auto"/>
        </w:rPr>
        <w:t>元，大写</w:t>
      </w:r>
      <w:r>
        <w:rPr>
          <w:rFonts w:hint="eastAsia"/>
          <w:color w:val="auto"/>
          <w:u w:val="single"/>
        </w:rPr>
        <w:t xml:space="preserve"> </w:t>
      </w:r>
      <w:r>
        <w:rPr>
          <w:rFonts w:hint="eastAsia"/>
          <w:color w:val="auto"/>
          <w:u w:val="single"/>
        </w:rPr>
        <w:tab/>
      </w:r>
      <w:r>
        <w:rPr>
          <w:rFonts w:hint="eastAsia"/>
          <w:color w:val="auto"/>
          <w:u w:val="single"/>
          <w:lang w:val="en-US" w:eastAsia="zh-CN"/>
        </w:rPr>
        <w:t xml:space="preserve">  </w:t>
      </w:r>
      <w:r>
        <w:rPr>
          <w:rFonts w:hint="eastAsia"/>
          <w:color w:val="auto"/>
        </w:rPr>
        <w:t>元</w:t>
      </w:r>
      <w:r>
        <w:rPr>
          <w:rFonts w:hint="eastAsia"/>
          <w:color w:val="auto"/>
          <w:lang w:eastAsia="zh-CN"/>
        </w:rPr>
        <w:t>整</w:t>
      </w:r>
      <w:r>
        <w:rPr>
          <w:rFonts w:hint="eastAsia"/>
          <w:color w:val="auto"/>
        </w:rPr>
        <w:t>。包括在承包区域内提供道路清扫保洁服务所需的人工费（包括工人工资、奖金、房补、劳保福利、社保、意外保险、工伤费、教育培训费、暂住费及处理一切伤亡事故等费用）、机械台班费、水电费、工具材料费、   垃圾清运费、安全文明生产装备费（包括工人冬、夏装工作服、反光衣帽等）、重大活动及应急任务费用、企业应缴税金和应得利润、应急等完成合同所需的一切本身和不可或缺的所有工作开支、政策性文件规定计合同包含的所有风险、责任等各项全部费用并承担一切风险责任</w:t>
      </w:r>
      <w:r>
        <w:rPr>
          <w:rFonts w:hint="eastAsia"/>
          <w:color w:val="auto"/>
          <w:lang w:eastAsia="zh-CN"/>
        </w:rPr>
        <w:t>。</w:t>
      </w:r>
    </w:p>
    <w:p>
      <w:pPr>
        <w:pStyle w:val="6"/>
        <w:numPr>
          <w:ilvl w:val="0"/>
          <w:numId w:val="29"/>
        </w:numPr>
        <w:spacing w:line="357" w:lineRule="auto"/>
        <w:ind w:left="681" w:right="842" w:firstLine="609" w:firstLineChars="290"/>
        <w:rPr>
          <w:rFonts w:hint="eastAsia"/>
          <w:color w:val="auto"/>
          <w:lang w:val="zh-CN" w:eastAsia="zh-CN"/>
        </w:rPr>
      </w:pPr>
      <w:r>
        <w:rPr>
          <w:rFonts w:hint="eastAsia"/>
          <w:color w:val="auto"/>
          <w:lang w:val="zh-CN" w:eastAsia="zh-CN"/>
        </w:rPr>
        <w:t>付款办法：</w:t>
      </w:r>
    </w:p>
    <w:p>
      <w:pPr>
        <w:pStyle w:val="6"/>
        <w:numPr>
          <w:ilvl w:val="0"/>
          <w:numId w:val="0"/>
        </w:numPr>
        <w:spacing w:line="357" w:lineRule="auto"/>
        <w:ind w:leftChars="290" w:right="842" w:rightChars="0"/>
        <w:rPr>
          <w:rFonts w:hint="eastAsia"/>
          <w:color w:val="auto"/>
          <w:u w:val="none"/>
          <w:lang w:val="en-US" w:eastAsia="zh-CN"/>
        </w:rPr>
      </w:pPr>
      <w:r>
        <w:rPr>
          <w:rFonts w:hint="eastAsia"/>
          <w:color w:val="auto"/>
          <w:lang w:val="en-US" w:eastAsia="zh-CN"/>
        </w:rPr>
        <w:t xml:space="preserve">      价款支付：</w:t>
      </w:r>
      <w:r>
        <w:rPr>
          <w:rFonts w:hint="eastAsia"/>
          <w:color w:val="auto"/>
          <w:u w:val="single"/>
          <w:lang w:val="en-US" w:eastAsia="zh-CN"/>
        </w:rPr>
        <w:t xml:space="preserve">      元</w:t>
      </w:r>
      <w:r>
        <w:rPr>
          <w:rFonts w:hint="eastAsia"/>
          <w:color w:val="auto"/>
          <w:u w:val="none"/>
          <w:lang w:val="en-US" w:eastAsia="zh-CN"/>
        </w:rPr>
        <w:t>（中标价/12个月），每月支付一次（发包人考核，达到合格标准足额支付，达不到合格标准，按规定扣减），付款方式为先做后结，由发包人根据前一个月的考核结果支付，每月的 15 日支付前一个月费用。</w:t>
      </w:r>
    </w:p>
    <w:p>
      <w:pPr>
        <w:pStyle w:val="6"/>
        <w:numPr>
          <w:ilvl w:val="0"/>
          <w:numId w:val="29"/>
        </w:numPr>
        <w:spacing w:line="357" w:lineRule="auto"/>
        <w:ind w:left="681" w:leftChars="0" w:right="842" w:rightChars="0" w:firstLine="609" w:firstLineChars="290"/>
        <w:rPr>
          <w:rFonts w:hint="eastAsia"/>
          <w:color w:val="auto"/>
          <w:u w:val="none"/>
          <w:lang w:val="en-US" w:eastAsia="zh-CN"/>
        </w:rPr>
      </w:pPr>
      <w:r>
        <w:rPr>
          <w:rFonts w:hint="eastAsia"/>
          <w:color w:val="auto"/>
          <w:u w:val="none"/>
          <w:lang w:val="en-US" w:eastAsia="zh-CN"/>
        </w:rPr>
        <w:t>若有新增道路的，按新增面积进行增加费用，其费用计算为：（新增面积/373416m2）*中标价，</w:t>
      </w:r>
    </w:p>
    <w:p>
      <w:pPr>
        <w:pStyle w:val="6"/>
        <w:numPr>
          <w:ilvl w:val="0"/>
          <w:numId w:val="0"/>
        </w:numPr>
        <w:spacing w:line="357" w:lineRule="auto"/>
        <w:ind w:leftChars="290" w:right="842" w:rightChars="0"/>
        <w:rPr>
          <w:rFonts w:hint="eastAsia"/>
          <w:b/>
          <w:bCs/>
          <w:color w:val="auto"/>
          <w:u w:val="none"/>
          <w:lang w:val="en-US" w:eastAsia="zh-CN"/>
        </w:rPr>
      </w:pPr>
      <w:r>
        <w:rPr>
          <w:rFonts w:hint="eastAsia"/>
          <w:b/>
          <w:bCs/>
          <w:color w:val="auto"/>
          <w:u w:val="none"/>
          <w:lang w:val="en-US" w:eastAsia="zh-CN"/>
        </w:rPr>
        <w:t xml:space="preserve"> 三、履约保证金</w:t>
      </w:r>
    </w:p>
    <w:p>
      <w:pPr>
        <w:pStyle w:val="6"/>
        <w:spacing w:line="357" w:lineRule="auto"/>
        <w:ind w:left="681" w:right="842" w:firstLine="420"/>
        <w:rPr>
          <w:rFonts w:hint="eastAsia"/>
          <w:color w:val="auto"/>
          <w:lang w:eastAsia="zh-CN"/>
        </w:rPr>
      </w:pPr>
      <w:r>
        <w:rPr>
          <w:rFonts w:hint="eastAsia"/>
          <w:color w:val="auto"/>
          <w:lang w:eastAsia="zh-CN"/>
        </w:rPr>
        <w:t>按伍万元在签订合同前向招标人交纳履约保证金，该保证金在保洁服务期满且保洁服务缺陷更正一个月后，并配合招标人和新中标单位办理移交手续后支付。如中标人对保洁服务缺陷不予跟正，招标人有权另请其他单位更正，所发生的费用在履约保证金中扣除，</w:t>
      </w:r>
    </w:p>
    <w:p>
      <w:pPr>
        <w:pStyle w:val="6"/>
        <w:numPr>
          <w:ilvl w:val="0"/>
          <w:numId w:val="0"/>
        </w:numPr>
        <w:spacing w:line="357" w:lineRule="auto"/>
        <w:ind w:left="630" w:leftChars="0" w:right="842" w:rightChars="0"/>
        <w:rPr>
          <w:rFonts w:hint="eastAsia"/>
          <w:b/>
          <w:bCs/>
          <w:color w:val="auto"/>
          <w:lang w:val="en-US" w:eastAsia="zh-CN"/>
        </w:rPr>
      </w:pPr>
      <w:r>
        <w:rPr>
          <w:rFonts w:hint="eastAsia"/>
          <w:b/>
          <w:bCs/>
          <w:color w:val="auto"/>
          <w:lang w:eastAsia="zh-CN"/>
        </w:rPr>
        <w:t>四、管理要求</w:t>
      </w:r>
      <w:r>
        <w:rPr>
          <w:rFonts w:hint="eastAsia"/>
          <w:b/>
          <w:bCs/>
          <w:color w:val="auto"/>
          <w:lang w:val="en-US" w:eastAsia="zh-CN"/>
        </w:rPr>
        <w:t xml:space="preserve">   </w:t>
      </w:r>
    </w:p>
    <w:p>
      <w:pPr>
        <w:pStyle w:val="6"/>
        <w:numPr>
          <w:ilvl w:val="0"/>
          <w:numId w:val="0"/>
        </w:numPr>
        <w:spacing w:line="357" w:lineRule="auto"/>
        <w:ind w:left="630" w:leftChars="0" w:right="842" w:rightChars="0" w:firstLine="421"/>
        <w:rPr>
          <w:rFonts w:hint="eastAsia"/>
          <w:color w:val="auto"/>
          <w:lang w:val="en-US" w:eastAsia="zh-CN"/>
        </w:rPr>
      </w:pPr>
      <w:r>
        <w:rPr>
          <w:rFonts w:hint="eastAsia"/>
          <w:color w:val="auto"/>
          <w:lang w:val="en-US" w:eastAsia="zh-CN"/>
        </w:rPr>
        <w:t>符合《浙江省城市市容和环境卫生管理条例》、《台州市市区市容和环境卫生管理实施细则》规定合格标准及招标文件规定的技术标准要求。</w:t>
      </w:r>
    </w:p>
    <w:p>
      <w:pPr>
        <w:pStyle w:val="6"/>
        <w:numPr>
          <w:ilvl w:val="0"/>
          <w:numId w:val="30"/>
        </w:numPr>
        <w:spacing w:line="357" w:lineRule="auto"/>
        <w:ind w:right="842" w:rightChars="0" w:firstLine="632" w:firstLineChars="300"/>
        <w:rPr>
          <w:rFonts w:hint="eastAsia"/>
          <w:b/>
          <w:bCs/>
          <w:color w:val="auto"/>
          <w:lang w:val="en-US" w:eastAsia="zh-CN"/>
        </w:rPr>
      </w:pPr>
      <w:r>
        <w:rPr>
          <w:rFonts w:hint="eastAsia"/>
          <w:b/>
          <w:bCs/>
          <w:color w:val="auto"/>
          <w:lang w:val="en-US" w:eastAsia="zh-CN"/>
        </w:rPr>
        <w:t>环卫人员及人数的确定</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从事清扫、保洁、清运、管理等环卫人员每天实到总人数不得少于26人（其中清扫、保洁人员不得少于24人，清运及驾驶人员共2人、垃圾运输车至少一辆）。全面推行日签到打卡、月累计扣罚奖励制度。男性人工年龄不得大于65周岁，女性工人年龄不得大于60周岁，且身体健康。</w:t>
      </w:r>
    </w:p>
    <w:p>
      <w:pPr>
        <w:pStyle w:val="6"/>
        <w:numPr>
          <w:ilvl w:val="0"/>
          <w:numId w:val="30"/>
        </w:numPr>
        <w:spacing w:line="357" w:lineRule="auto"/>
        <w:ind w:left="0" w:leftChars="0" w:right="842" w:firstLine="632" w:firstLineChars="300"/>
        <w:rPr>
          <w:rFonts w:hint="eastAsia"/>
          <w:b/>
          <w:bCs/>
          <w:color w:val="auto"/>
          <w:lang w:val="en-US" w:eastAsia="zh-CN"/>
        </w:rPr>
      </w:pPr>
      <w:r>
        <w:rPr>
          <w:rFonts w:hint="eastAsia"/>
          <w:b/>
          <w:bCs/>
          <w:color w:val="auto"/>
          <w:lang w:val="en-US" w:eastAsia="zh-CN"/>
        </w:rPr>
        <w:t>保洁作业时间</w:t>
      </w:r>
    </w:p>
    <w:p>
      <w:pPr>
        <w:pStyle w:val="6"/>
        <w:numPr>
          <w:ilvl w:val="0"/>
          <w:numId w:val="31"/>
        </w:numPr>
        <w:spacing w:line="357" w:lineRule="auto"/>
        <w:ind w:leftChars="290" w:right="842" w:rightChars="0" w:firstLine="420" w:firstLineChars="200"/>
        <w:rPr>
          <w:rFonts w:hint="eastAsia"/>
          <w:color w:val="auto"/>
          <w:lang w:val="en-US" w:eastAsia="zh-CN"/>
        </w:rPr>
      </w:pPr>
      <w:r>
        <w:rPr>
          <w:rFonts w:hint="eastAsia"/>
          <w:color w:val="auto"/>
          <w:lang w:val="en-US" w:eastAsia="zh-CN"/>
        </w:rPr>
        <w:t>工作要求：管理人员冬天早上6：00、夏天早上5：30进入工作场地进行工作布置，清扫保洁人员签到打卡；清运人员必须在早上9点前、下午4点前二次完成所有垃圾收集工作，并上路巡查道路，及时清理道路上机动车撒落的建筑石子、沙、淤泥、工业垃圾等；清扫人员在每天早上7：30前完成各自道路的清扫、果壳箱的清理、公厕卫生清理，全天候进行道路、绿化、小巷、公厕、河道保洁，牛皮癣清理保证日发现日清理；工作人员应统一着装（反光卫生工作服），不穿拖鞋，佩证上岗，不脱岗。</w:t>
      </w:r>
    </w:p>
    <w:p>
      <w:pPr>
        <w:pStyle w:val="6"/>
        <w:numPr>
          <w:ilvl w:val="0"/>
          <w:numId w:val="31"/>
        </w:numPr>
        <w:spacing w:line="357" w:lineRule="auto"/>
        <w:ind w:leftChars="290" w:right="842" w:rightChars="0" w:firstLine="420" w:firstLineChars="200"/>
        <w:rPr>
          <w:rFonts w:hint="eastAsia"/>
          <w:color w:val="auto"/>
          <w:lang w:val="en-US" w:eastAsia="zh-CN"/>
        </w:rPr>
      </w:pPr>
      <w:r>
        <w:rPr>
          <w:rFonts w:hint="eastAsia"/>
          <w:color w:val="auto"/>
          <w:lang w:val="en-US" w:eastAsia="zh-CN"/>
        </w:rPr>
        <w:t>若遇当地政府的重大活动，乙方应无条件服从甲方对保洁时间的调整。</w:t>
      </w:r>
    </w:p>
    <w:p>
      <w:pPr>
        <w:pStyle w:val="6"/>
        <w:numPr>
          <w:ilvl w:val="0"/>
          <w:numId w:val="0"/>
        </w:numPr>
        <w:spacing w:line="357" w:lineRule="auto"/>
        <w:ind w:leftChars="490" w:right="842" w:rightChars="0"/>
        <w:rPr>
          <w:rFonts w:hint="eastAsia"/>
          <w:color w:val="auto"/>
          <w:lang w:val="en-US" w:eastAsia="zh-CN"/>
        </w:rPr>
      </w:pPr>
    </w:p>
    <w:p>
      <w:pPr>
        <w:pStyle w:val="6"/>
        <w:numPr>
          <w:ilvl w:val="0"/>
          <w:numId w:val="0"/>
        </w:numPr>
        <w:spacing w:line="357" w:lineRule="auto"/>
        <w:ind w:right="842" w:rightChars="0" w:firstLine="632" w:firstLineChars="300"/>
        <w:rPr>
          <w:color w:val="auto"/>
          <w:sz w:val="15"/>
        </w:rPr>
      </w:pPr>
      <w:r>
        <w:rPr>
          <w:rFonts w:hint="eastAsia"/>
          <w:b/>
          <w:bCs/>
          <w:color w:val="auto"/>
          <w:lang w:val="en-US" w:eastAsia="zh-CN"/>
        </w:rPr>
        <w:t>七、其他</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承包人必须建立清扫保洁管理机构，分解管理责任目标；建立应对遇恶劣天气环境卫生作业的应急机制；建立健全各项保洁管理的规章制度，明确各路段及作业点作业人员分工情况标；健全巡查制度，有巡查日志；各项台账资料齐全、确定可信。</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2、承包人应建立健全安全生产管理制度和落实安全生产责任人。作业人员、作业车辆必须符合国家有关规定，且证件齐全、切实落实各项安全技术措施，确保作业人员、作业车辆的安全生产和文明作业、乙方在承包期间作业过程中引发的人身伤亡、财产损失及其他一切事故，其责任及费用全部由承包人负责，并没收50%合同履约保证金。</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3、清扫保洁要做到承包区域内无痰迹烟蒂；晴天地面无积水；侧石无积沙积泥、无污迹；无窨井堵塞；人行道、树圈载无 杂草；绿地、绿化带等无有色垃圾；小合同（沟）水面无漂浮物、河岸边无堆积垃圾、无蜘蛛网、无牛皮癣等；公厕无异味、无垃圾堆放；各道路小巷、弄堂无垃圾、无杂物堆放等；公厕、果壳箱、垃圾房等应做到无垃圾满溢（每日下班必须清理干净），每天清洗，保持内外整洁，无歪斜、无破损、周围地面清洁。</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4、文明作业要求：车行道、人行道不得漏扫或反扫到交叉路口、里弄口内侧、喇叭口；也不得扫入窨井和绿化带内；树圈应清扫彻底；交叉口及未通车、为能成的产品等生活垃圾和建筑垃圾要及时清扫干净。</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5、垃圾收集要求：清扫收集的垃圾倒入垃圾中转站或指定地点，做到日产日清，不得随处乱倒或焚烧垃圾。若遇垃圾中转站检修期间等特殊情况，应服从发包人临时安排；建筑装修等垃圾由承包人运送到发包人指定的场所堆放。</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6、员工着装要求：道路清扫做人人员必须穿着方管安全工作服、佩戴工作证上岗，工作服保持干净，规范穿着、</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7、作业车辆要求:车人证件齐全，保洁车辆做到每天清洗，保持车容整洁，安装反观镜警示条，不得吊挂杂物，做到密闭化运输。</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8、应急处置要求：建立应急响应机制和处置工作。遇到路面污染现象是，承包人须组织人员及时清除并冲洗受污路面，以保证路面整洁。</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9、承包人必须重视员工经常性安全教育，防止安全事故的发生，进去工作现场，穿着统一工作服，佩戴安全帽。承包期内，由于承包人的操作不规范等因素造成的安全责任事故，均由承包人承担一切费用，并没收50%合同履约保证金。</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10、承包人运输的机械须有资质单位检验合格，并交纳第三者责任险，机械操作人员须持证上岗并按机械的技术规程操作，确保交通及人身安全，如发生意外事故责任由承包人自我承担一切费用，并没收50%合同履约保证金。</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11、承包期内，承包人必须对所有管理及操作人员投保人身意外险及工伤保险等。</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12、若承包人投放的道路清扫、保洁及清运人员的技术管理水平明显不能满足质量标准要求和少于指标规定人数的，若三次以上督促任务明显改进，没收全部合同履约保证金，发包人有权单方终止合同，要求承包人清退，将项目交其它单位承包，由此造成的一切经济损失及违约责任均由承包人承担。</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13、承包人必须保证及时支付环卫工人工资，或者发包人有权从其承包费中代其支付相应费用。</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14、承包人为经发包人同意，不得擅自转包分包，一经发现，即终止合同没收全部合同履约保证金，并赔偿发包人由此造成的一切损失。</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15、承包人承诺的管理、清扫、清洁、清运人员和设备必须全部按投标承诺名单及时到位，没收全部合同履约保证金，发包人有权单方终止合同，由此造成的损失及责任均由承包人负责。</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16、承包人存在以下行为之一的，发包人经发现查实，扣除合同0.5-5%，清洁严重，没收全部合同履约保证金，发包人有权单方终止合同，由此造成的损失及责任均由承包人负责。</w:t>
      </w:r>
    </w:p>
    <w:p>
      <w:pPr>
        <w:pStyle w:val="6"/>
        <w:numPr>
          <w:ilvl w:val="0"/>
          <w:numId w:val="0"/>
        </w:numPr>
        <w:spacing w:line="357" w:lineRule="auto"/>
        <w:ind w:leftChars="290" w:right="842" w:rightChars="0" w:firstLine="420" w:firstLineChars="200"/>
        <w:rPr>
          <w:rFonts w:hint="eastAsia"/>
          <w:color w:val="auto"/>
          <w:lang w:val="en-US" w:eastAsia="zh-CN"/>
        </w:rPr>
      </w:pPr>
      <w:r>
        <w:rPr>
          <w:rFonts w:hint="eastAsia"/>
          <w:color w:val="auto"/>
          <w:lang w:val="en-US" w:eastAsia="zh-CN"/>
        </w:rPr>
        <w:t>（1）在半个月内连续检查中，发包人已发行并明确指出为错误作业的仍重复出现三次；</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（2）在半个月内连续检查中，垃圾连续三天未清理清运或清运不彻底；</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（3）在规定的整改时间内未完成整改项目（因不可抗力二无法完成的除外）</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（4）在省、市、县行业检查中，因公司管理原因被点名批评的和排名靠后三名的；</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（5）经查证属实存在有违业操守而引发较大方响的行为。</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17、如承包人卫生质量有明显下降，发包人以书面形式通知承包人三天内仍未明显改进的，发包人有权雇佣第三方人员进行整改，而所需一切费用从承包人合同价款中扣除，情节严重的，没收全部履约保证金，发包人有权单方终止合同，由此造成的损失及责任，均由承包人负责；如遇台风，暴雨等，而承包人未能及时采取有效措施，发包人有权雇佣第三方人员实施有关工作，一切费用从合同价款中扣除。</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18、乙方除应为保洁工人提供必要的劳动保护条件外，还应为其办理作业时的人身安全保险和意外伤害险，一切安全责任事故均由乙方负责（保险种类由乙方自行选择）。</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19、乙方应做好职工的安全生产教育，并配备一定的劳动保护必需品以供职工使用。</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20、乙方履约保证金在签订合同签交至甲方财务部，履约保证金采用现金。</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21、乙方应根据甲方要求提供社保证明、保险单据证明，从进场服务起一个月内提供服务人员的电子信息（姓名、性别、年龄、身份证号、社保号），及服务人员的身份证社保证复印件。</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22、若甲方查到乙方提供的人与阿奴信息不符（含社保），甲方有权扣除其人员费用或社保费用或保险费用；若虚假清洁严重，甲方有权终止合同，扣除乙方履约保证金，清退出场。</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23、在合同期间，发包人每月根据《考核标准》、《考核评分办法》对承包人工作进行考核。每次考核成绩在9.0分以上为合格，承包人可全额领取当月合同承包款；合格以下的，每分扣除人民币1000元整；二个月每月连续累计3次或每月累计5次达不到9.0分，没收承包人全部合同履约保证金，发包人有权单方中止合同，由此造成的损失及责任均由承包人负责</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24、未尽事宜双协商解决。</w:t>
      </w:r>
    </w:p>
    <w:p>
      <w:pPr>
        <w:pStyle w:val="6"/>
        <w:numPr>
          <w:ilvl w:val="0"/>
          <w:numId w:val="0"/>
        </w:numPr>
        <w:spacing w:before="132"/>
        <w:ind w:right="0" w:rightChars="0" w:firstLine="1054" w:firstLineChars="500"/>
        <w:rPr>
          <w:rFonts w:hint="eastAsia"/>
          <w:b/>
          <w:color w:val="auto"/>
          <w:lang w:val="en-US" w:eastAsia="zh-CN"/>
        </w:rPr>
      </w:pPr>
      <w:r>
        <w:rPr>
          <w:rFonts w:hint="eastAsia"/>
          <w:b/>
          <w:color w:val="auto"/>
          <w:lang w:val="en-US" w:eastAsia="zh-CN"/>
        </w:rPr>
        <w:t>八、合同的生效</w:t>
      </w:r>
    </w:p>
    <w:p>
      <w:pPr>
        <w:pStyle w:val="6"/>
        <w:numPr>
          <w:ilvl w:val="0"/>
          <w:numId w:val="0"/>
        </w:numPr>
        <w:spacing w:before="132"/>
        <w:ind w:right="0" w:rightChars="0" w:firstLine="1050" w:firstLineChars="500"/>
        <w:rPr>
          <w:rFonts w:hint="eastAsia"/>
          <w:b w:val="0"/>
          <w:bCs/>
          <w:color w:val="auto"/>
          <w:lang w:val="en-US" w:eastAsia="zh-CN"/>
        </w:rPr>
      </w:pPr>
      <w:r>
        <w:rPr>
          <w:rFonts w:hint="eastAsia"/>
          <w:b w:val="0"/>
          <w:bCs/>
          <w:color w:val="auto"/>
          <w:lang w:val="en-US" w:eastAsia="zh-CN"/>
        </w:rPr>
        <w:t>合同签订时间：</w:t>
      </w:r>
      <w:r>
        <w:rPr>
          <w:rFonts w:hint="eastAsia"/>
          <w:b w:val="0"/>
          <w:bCs/>
          <w:color w:val="auto"/>
          <w:u w:val="single"/>
          <w:lang w:val="en-US" w:eastAsia="zh-CN"/>
        </w:rPr>
        <w:t xml:space="preserve">    </w:t>
      </w:r>
      <w:r>
        <w:rPr>
          <w:rFonts w:hint="eastAsia"/>
          <w:b w:val="0"/>
          <w:bCs/>
          <w:color w:val="auto"/>
          <w:lang w:val="en-US" w:eastAsia="zh-CN"/>
        </w:rPr>
        <w:t>年</w:t>
      </w:r>
      <w:r>
        <w:rPr>
          <w:rFonts w:hint="eastAsia"/>
          <w:b w:val="0"/>
          <w:bCs/>
          <w:color w:val="auto"/>
          <w:u w:val="single"/>
          <w:lang w:val="en-US" w:eastAsia="zh-CN"/>
        </w:rPr>
        <w:t xml:space="preserve">    </w:t>
      </w:r>
      <w:r>
        <w:rPr>
          <w:rFonts w:hint="eastAsia"/>
          <w:b w:val="0"/>
          <w:bCs/>
          <w:color w:val="auto"/>
          <w:lang w:val="en-US" w:eastAsia="zh-CN"/>
        </w:rPr>
        <w:t>月</w:t>
      </w:r>
      <w:r>
        <w:rPr>
          <w:rFonts w:hint="eastAsia"/>
          <w:b w:val="0"/>
          <w:bCs/>
          <w:color w:val="auto"/>
          <w:u w:val="single"/>
          <w:lang w:val="en-US" w:eastAsia="zh-CN"/>
        </w:rPr>
        <w:t xml:space="preserve">   </w:t>
      </w:r>
      <w:r>
        <w:rPr>
          <w:rFonts w:hint="eastAsia"/>
          <w:b w:val="0"/>
          <w:bCs/>
          <w:color w:val="auto"/>
          <w:lang w:val="en-US" w:eastAsia="zh-CN"/>
        </w:rPr>
        <w:t>日</w:t>
      </w:r>
    </w:p>
    <w:p>
      <w:pPr>
        <w:pStyle w:val="6"/>
        <w:numPr>
          <w:ilvl w:val="0"/>
          <w:numId w:val="0"/>
        </w:numPr>
        <w:spacing w:before="132"/>
        <w:ind w:right="0" w:rightChars="0" w:firstLine="1050" w:firstLineChars="500"/>
        <w:rPr>
          <w:rFonts w:hint="eastAsia"/>
          <w:b w:val="0"/>
          <w:bCs/>
          <w:color w:val="auto"/>
          <w:u w:val="single"/>
          <w:lang w:val="en-US" w:eastAsia="zh-CN"/>
        </w:rPr>
      </w:pPr>
      <w:r>
        <w:rPr>
          <w:rFonts w:hint="eastAsia"/>
          <w:b w:val="0"/>
          <w:bCs/>
          <w:color w:val="auto"/>
          <w:lang w:val="en-US" w:eastAsia="zh-CN"/>
        </w:rPr>
        <w:t>合同签订地点：</w:t>
      </w:r>
      <w:r>
        <w:rPr>
          <w:rFonts w:hint="eastAsia"/>
          <w:b w:val="0"/>
          <w:bCs/>
          <w:color w:val="auto"/>
          <w:u w:val="single"/>
          <w:lang w:val="en-US" w:eastAsia="zh-CN"/>
        </w:rPr>
        <w:t xml:space="preserve">        </w:t>
      </w:r>
    </w:p>
    <w:p>
      <w:pPr>
        <w:pStyle w:val="6"/>
        <w:numPr>
          <w:ilvl w:val="0"/>
          <w:numId w:val="0"/>
        </w:numPr>
        <w:spacing w:before="132"/>
        <w:ind w:right="0" w:rightChars="0" w:firstLine="1050" w:firstLineChars="500"/>
        <w:rPr>
          <w:rFonts w:hint="eastAsia"/>
          <w:b w:val="0"/>
          <w:bCs/>
          <w:color w:val="auto"/>
          <w:u w:val="none"/>
          <w:lang w:val="en-US" w:eastAsia="zh-CN"/>
        </w:rPr>
      </w:pPr>
      <w:r>
        <w:rPr>
          <w:rFonts w:hint="eastAsia"/>
          <w:b w:val="0"/>
          <w:bCs/>
          <w:color w:val="auto"/>
          <w:u w:val="none"/>
          <w:lang w:val="en-US" w:eastAsia="zh-CN"/>
        </w:rPr>
        <w:t>双方约定本合同自双方经法定代表人或委托代理人签字，加盖本单位公章后生效。</w:t>
      </w:r>
    </w:p>
    <w:p>
      <w:pPr>
        <w:pStyle w:val="6"/>
        <w:numPr>
          <w:ilvl w:val="0"/>
          <w:numId w:val="0"/>
        </w:numPr>
        <w:spacing w:before="132"/>
        <w:ind w:right="0" w:rightChars="0"/>
        <w:rPr>
          <w:b/>
          <w:color w:val="auto"/>
        </w:rPr>
      </w:pPr>
    </w:p>
    <w:p>
      <w:pPr>
        <w:spacing w:before="0"/>
        <w:ind w:left="1101" w:right="0" w:firstLine="0"/>
        <w:jc w:val="left"/>
        <w:rPr>
          <w:b/>
          <w:color w:val="auto"/>
          <w:sz w:val="21"/>
        </w:rPr>
      </w:pPr>
      <w:r>
        <w:rPr>
          <w:rFonts w:hint="eastAsia" w:ascii="宋体" w:eastAsia="宋体"/>
          <w:color w:val="auto"/>
        </w:rPr>
        <w:t>九、</w:t>
      </w:r>
      <w:r>
        <w:rPr>
          <w:b/>
          <w:color w:val="auto"/>
          <w:sz w:val="21"/>
        </w:rPr>
        <w:t>本协议一式六份，甲乙双方各执</w:t>
      </w:r>
      <w:r>
        <w:rPr>
          <w:rFonts w:hint="eastAsia"/>
          <w:b/>
          <w:color w:val="auto"/>
          <w:sz w:val="21"/>
          <w:lang w:eastAsia="zh-CN"/>
        </w:rPr>
        <w:t>两</w:t>
      </w:r>
      <w:r>
        <w:rPr>
          <w:b/>
          <w:color w:val="auto"/>
          <w:sz w:val="21"/>
        </w:rPr>
        <w:t>份</w:t>
      </w:r>
      <w:r>
        <w:rPr>
          <w:rFonts w:hint="eastAsia"/>
          <w:b/>
          <w:color w:val="auto"/>
          <w:sz w:val="21"/>
          <w:lang w:eastAsia="zh-CN"/>
        </w:rPr>
        <w:t>，代理机构备案执两份</w:t>
      </w:r>
      <w:r>
        <w:rPr>
          <w:b/>
          <w:color w:val="auto"/>
          <w:sz w:val="21"/>
        </w:rPr>
        <w:t>。</w:t>
      </w:r>
    </w:p>
    <w:p>
      <w:pPr>
        <w:pStyle w:val="6"/>
        <w:spacing w:before="4"/>
        <w:rPr>
          <w:b/>
          <w:color w:val="auto"/>
          <w:sz w:val="27"/>
        </w:rPr>
      </w:pPr>
    </w:p>
    <w:p>
      <w:pPr>
        <w:spacing w:before="0" w:line="446" w:lineRule="auto"/>
        <w:ind w:left="681" w:right="809" w:firstLine="420"/>
        <w:jc w:val="left"/>
        <w:rPr>
          <w:b/>
          <w:color w:val="auto"/>
          <w:sz w:val="21"/>
        </w:rPr>
      </w:pPr>
      <w:r>
        <w:rPr>
          <w:b/>
          <w:color w:val="auto"/>
          <w:spacing w:val="3"/>
          <w:w w:val="95"/>
          <w:sz w:val="21"/>
        </w:rPr>
        <w:t xml:space="preserve">十、本合同如有未尽事宜，双方协商解决，作为补充协议。补充协议与本合同具有同  </w:t>
      </w:r>
      <w:r>
        <w:rPr>
          <w:b/>
          <w:color w:val="auto"/>
          <w:spacing w:val="3"/>
          <w:sz w:val="21"/>
        </w:rPr>
        <w:t>等的法律效力。协商不成的，可申请合同仲裁，也可向人民法院提起诉讼。</w:t>
      </w:r>
    </w:p>
    <w:p>
      <w:pPr>
        <w:spacing w:before="120"/>
        <w:ind w:left="1101" w:right="0" w:firstLine="0"/>
        <w:jc w:val="left"/>
        <w:rPr>
          <w:b/>
          <w:color w:val="auto"/>
          <w:sz w:val="21"/>
        </w:rPr>
      </w:pPr>
      <w:r>
        <w:rPr>
          <w:b/>
          <w:color w:val="auto"/>
          <w:sz w:val="21"/>
        </w:rPr>
        <w:t>十</w:t>
      </w:r>
      <w:r>
        <w:rPr>
          <w:rFonts w:hint="eastAsia"/>
          <w:b/>
          <w:color w:val="auto"/>
          <w:sz w:val="21"/>
          <w:lang w:eastAsia="zh-CN"/>
        </w:rPr>
        <w:t>一</w:t>
      </w:r>
      <w:r>
        <w:rPr>
          <w:b/>
          <w:color w:val="auto"/>
          <w:sz w:val="21"/>
        </w:rPr>
        <w:t>、考核办法和考核评分标准也是本合同的组成部份，具有同等的法律效力。</w:t>
      </w:r>
    </w:p>
    <w:p>
      <w:pPr>
        <w:spacing w:before="120"/>
        <w:ind w:left="1101" w:right="0" w:firstLine="0"/>
        <w:jc w:val="left"/>
        <w:rPr>
          <w:b/>
          <w:color w:val="auto"/>
          <w:sz w:val="21"/>
        </w:rPr>
      </w:pPr>
    </w:p>
    <w:p>
      <w:pPr>
        <w:pStyle w:val="6"/>
        <w:rPr>
          <w:b/>
          <w:color w:val="auto"/>
          <w:sz w:val="20"/>
        </w:rPr>
      </w:pPr>
    </w:p>
    <w:p>
      <w:pPr>
        <w:pStyle w:val="6"/>
        <w:tabs>
          <w:tab w:val="left" w:pos="1521"/>
          <w:tab w:val="left" w:pos="1941"/>
          <w:tab w:val="left" w:pos="5930"/>
          <w:tab w:val="left" w:pos="6350"/>
          <w:tab w:val="left" w:pos="6770"/>
        </w:tabs>
        <w:spacing w:before="142"/>
        <w:ind w:left="1101"/>
        <w:rPr>
          <w:color w:val="auto"/>
        </w:rPr>
      </w:pPr>
      <w:r>
        <w:rPr>
          <w:color w:val="auto"/>
        </w:rPr>
        <w:t>发</w:t>
      </w:r>
      <w:r>
        <w:rPr>
          <w:color w:val="auto"/>
        </w:rPr>
        <w:tab/>
      </w:r>
      <w:r>
        <w:rPr>
          <w:color w:val="auto"/>
        </w:rPr>
        <w:t>包</w:t>
      </w:r>
      <w:r>
        <w:rPr>
          <w:color w:val="auto"/>
        </w:rPr>
        <w:tab/>
      </w:r>
      <w:r>
        <w:rPr>
          <w:color w:val="auto"/>
        </w:rPr>
        <w:t>人：（公章）</w:t>
      </w:r>
      <w:r>
        <w:rPr>
          <w:color w:val="auto"/>
        </w:rPr>
        <w:tab/>
      </w:r>
      <w:r>
        <w:rPr>
          <w:color w:val="auto"/>
        </w:rPr>
        <w:t>承</w:t>
      </w:r>
      <w:r>
        <w:rPr>
          <w:color w:val="auto"/>
        </w:rPr>
        <w:tab/>
      </w:r>
      <w:r>
        <w:rPr>
          <w:color w:val="auto"/>
        </w:rPr>
        <w:t>包</w:t>
      </w:r>
      <w:r>
        <w:rPr>
          <w:color w:val="auto"/>
        </w:rPr>
        <w:tab/>
      </w:r>
      <w:r>
        <w:rPr>
          <w:color w:val="auto"/>
        </w:rPr>
        <w:t>人：（公章）</w:t>
      </w:r>
    </w:p>
    <w:p>
      <w:pPr>
        <w:pStyle w:val="6"/>
        <w:spacing w:before="12"/>
        <w:rPr>
          <w:color w:val="auto"/>
          <w:sz w:val="17"/>
        </w:rPr>
      </w:pPr>
    </w:p>
    <w:p>
      <w:pPr>
        <w:pStyle w:val="6"/>
        <w:tabs>
          <w:tab w:val="left" w:pos="5930"/>
        </w:tabs>
        <w:ind w:left="1101"/>
        <w:rPr>
          <w:color w:val="auto"/>
        </w:rPr>
      </w:pPr>
      <w:r>
        <w:rPr>
          <w:color w:val="auto"/>
        </w:rPr>
        <w:t>法定代表人：</w:t>
      </w:r>
      <w:r>
        <w:rPr>
          <w:color w:val="auto"/>
        </w:rPr>
        <w:tab/>
      </w:r>
      <w:r>
        <w:rPr>
          <w:color w:val="auto"/>
        </w:rPr>
        <w:t>法定代表人：</w:t>
      </w:r>
    </w:p>
    <w:p>
      <w:pPr>
        <w:pStyle w:val="6"/>
        <w:rPr>
          <w:color w:val="auto"/>
          <w:sz w:val="18"/>
        </w:rPr>
      </w:pPr>
    </w:p>
    <w:p>
      <w:pPr>
        <w:pStyle w:val="6"/>
        <w:tabs>
          <w:tab w:val="left" w:pos="5930"/>
        </w:tabs>
        <w:ind w:left="1101"/>
        <w:rPr>
          <w:color w:val="auto"/>
        </w:rPr>
      </w:pPr>
      <w:r>
        <w:rPr>
          <w:color w:val="auto"/>
        </w:rPr>
        <w:t>或委托代理人：</w:t>
      </w:r>
      <w:r>
        <w:rPr>
          <w:color w:val="auto"/>
        </w:rPr>
        <w:tab/>
      </w:r>
      <w:r>
        <w:rPr>
          <w:color w:val="auto"/>
        </w:rPr>
        <w:t>或委托代理人：</w:t>
      </w:r>
    </w:p>
    <w:p>
      <w:pPr>
        <w:pStyle w:val="6"/>
        <w:spacing w:before="2"/>
        <w:rPr>
          <w:color w:val="auto"/>
          <w:sz w:val="18"/>
        </w:rPr>
      </w:pPr>
    </w:p>
    <w:p>
      <w:pPr>
        <w:pStyle w:val="6"/>
        <w:tabs>
          <w:tab w:val="left" w:pos="1941"/>
          <w:tab w:val="left" w:pos="5930"/>
          <w:tab w:val="left" w:pos="6770"/>
        </w:tabs>
        <w:ind w:left="1101"/>
        <w:rPr>
          <w:color w:val="auto"/>
        </w:rPr>
      </w:pPr>
      <w:r>
        <w:rPr>
          <w:color w:val="auto"/>
        </w:rPr>
        <w:t>电</w:t>
      </w:r>
      <w:r>
        <w:rPr>
          <w:color w:val="auto"/>
        </w:rPr>
        <w:tab/>
      </w:r>
      <w:r>
        <w:rPr>
          <w:color w:val="auto"/>
        </w:rPr>
        <w:t>话：</w:t>
      </w:r>
      <w:r>
        <w:rPr>
          <w:color w:val="auto"/>
        </w:rPr>
        <w:tab/>
      </w:r>
      <w:r>
        <w:rPr>
          <w:color w:val="auto"/>
        </w:rPr>
        <w:t>电</w:t>
      </w:r>
      <w:r>
        <w:rPr>
          <w:color w:val="auto"/>
        </w:rPr>
        <w:tab/>
      </w:r>
      <w:r>
        <w:rPr>
          <w:color w:val="auto"/>
          <w:spacing w:val="-1"/>
          <w:w w:val="95"/>
        </w:rPr>
        <w:t>话</w:t>
      </w:r>
      <w:r>
        <w:rPr>
          <w:color w:val="auto"/>
          <w:w w:val="95"/>
        </w:rPr>
        <w:t>：</w:t>
      </w:r>
    </w:p>
    <w:p>
      <w:pPr>
        <w:pStyle w:val="6"/>
        <w:spacing w:before="12"/>
        <w:rPr>
          <w:color w:val="auto"/>
          <w:sz w:val="17"/>
        </w:rPr>
      </w:pPr>
    </w:p>
    <w:p>
      <w:pPr>
        <w:pStyle w:val="6"/>
        <w:tabs>
          <w:tab w:val="left" w:pos="1941"/>
          <w:tab w:val="left" w:pos="5930"/>
          <w:tab w:val="left" w:pos="6770"/>
        </w:tabs>
        <w:ind w:left="1101"/>
        <w:rPr>
          <w:color w:val="auto"/>
        </w:rPr>
      </w:pPr>
      <w:r>
        <w:rPr>
          <w:color w:val="auto"/>
        </w:rPr>
        <w:t>传</w:t>
      </w:r>
      <w:r>
        <w:rPr>
          <w:color w:val="auto"/>
        </w:rPr>
        <w:tab/>
      </w:r>
      <w:r>
        <w:rPr>
          <w:color w:val="auto"/>
        </w:rPr>
        <w:t>真：</w:t>
      </w:r>
      <w:r>
        <w:rPr>
          <w:color w:val="auto"/>
        </w:rPr>
        <w:tab/>
      </w:r>
      <w:r>
        <w:rPr>
          <w:color w:val="auto"/>
        </w:rPr>
        <w:t>传</w:t>
      </w:r>
      <w:r>
        <w:rPr>
          <w:color w:val="auto"/>
        </w:rPr>
        <w:tab/>
      </w:r>
      <w:r>
        <w:rPr>
          <w:color w:val="auto"/>
          <w:spacing w:val="-1"/>
          <w:w w:val="95"/>
        </w:rPr>
        <w:t>真</w:t>
      </w:r>
      <w:r>
        <w:rPr>
          <w:color w:val="auto"/>
          <w:w w:val="95"/>
        </w:rPr>
        <w:t>：</w:t>
      </w:r>
    </w:p>
    <w:p>
      <w:pPr>
        <w:pStyle w:val="6"/>
        <w:spacing w:before="12"/>
        <w:rPr>
          <w:color w:val="auto"/>
          <w:sz w:val="17"/>
        </w:rPr>
      </w:pPr>
    </w:p>
    <w:p>
      <w:pPr>
        <w:pStyle w:val="6"/>
        <w:tabs>
          <w:tab w:val="left" w:pos="5930"/>
        </w:tabs>
        <w:ind w:left="1101"/>
        <w:rPr>
          <w:color w:val="auto"/>
        </w:rPr>
      </w:pPr>
      <w:r>
        <w:rPr>
          <w:color w:val="auto"/>
        </w:rPr>
        <w:t>开户银行：</w:t>
      </w:r>
      <w:r>
        <w:rPr>
          <w:color w:val="auto"/>
        </w:rPr>
        <w:tab/>
      </w:r>
      <w:r>
        <w:rPr>
          <w:color w:val="auto"/>
        </w:rPr>
        <w:t>开户银行：</w:t>
      </w:r>
    </w:p>
    <w:p>
      <w:pPr>
        <w:pStyle w:val="6"/>
        <w:spacing w:before="2"/>
        <w:rPr>
          <w:color w:val="auto"/>
          <w:sz w:val="18"/>
        </w:rPr>
      </w:pPr>
    </w:p>
    <w:p>
      <w:pPr>
        <w:pStyle w:val="6"/>
        <w:tabs>
          <w:tab w:val="left" w:pos="1941"/>
          <w:tab w:val="left" w:pos="5930"/>
          <w:tab w:val="left" w:pos="6770"/>
        </w:tabs>
        <w:ind w:left="1101"/>
        <w:rPr>
          <w:color w:val="auto"/>
        </w:rPr>
      </w:pPr>
      <w:r>
        <w:rPr>
          <w:color w:val="auto"/>
        </w:rPr>
        <w:t>账</w:t>
      </w:r>
      <w:r>
        <w:rPr>
          <w:color w:val="auto"/>
        </w:rPr>
        <w:tab/>
      </w:r>
      <w:r>
        <w:rPr>
          <w:color w:val="auto"/>
        </w:rPr>
        <w:t>号：</w:t>
      </w:r>
      <w:r>
        <w:rPr>
          <w:color w:val="auto"/>
        </w:rPr>
        <w:tab/>
      </w:r>
      <w:r>
        <w:rPr>
          <w:color w:val="auto"/>
        </w:rPr>
        <w:t>账</w:t>
      </w:r>
      <w:r>
        <w:rPr>
          <w:color w:val="auto"/>
        </w:rPr>
        <w:tab/>
      </w:r>
      <w:r>
        <w:rPr>
          <w:color w:val="auto"/>
        </w:rPr>
        <w:t>号：</w:t>
      </w:r>
    </w:p>
    <w:p>
      <w:pPr>
        <w:pStyle w:val="6"/>
        <w:rPr>
          <w:color w:val="auto"/>
          <w:sz w:val="20"/>
        </w:rPr>
      </w:pPr>
    </w:p>
    <w:p>
      <w:pPr>
        <w:pStyle w:val="6"/>
        <w:rPr>
          <w:color w:val="auto"/>
          <w:sz w:val="20"/>
        </w:rPr>
      </w:pPr>
    </w:p>
    <w:p>
      <w:pPr>
        <w:pStyle w:val="6"/>
        <w:rPr>
          <w:color w:val="auto"/>
          <w:sz w:val="20"/>
        </w:rPr>
      </w:pPr>
    </w:p>
    <w:p>
      <w:pPr>
        <w:pStyle w:val="6"/>
        <w:spacing w:before="2"/>
        <w:rPr>
          <w:color w:val="auto"/>
          <w:sz w:val="29"/>
        </w:rPr>
      </w:pPr>
    </w:p>
    <w:p>
      <w:pPr>
        <w:pStyle w:val="6"/>
        <w:tabs>
          <w:tab w:val="left" w:pos="2884"/>
          <w:tab w:val="left" w:pos="3621"/>
          <w:tab w:val="left" w:pos="4461"/>
        </w:tabs>
        <w:ind w:left="681" w:firstLine="210" w:firstLineChars="100"/>
        <w:rPr>
          <w:color w:val="auto"/>
        </w:rPr>
      </w:pPr>
      <w:r>
        <w:rPr>
          <w:color w:val="auto"/>
        </w:rPr>
        <w:t>合同签订时间：</w:t>
      </w:r>
      <w:r>
        <w:rPr>
          <w:color w:val="auto"/>
        </w:rPr>
        <w:tab/>
      </w:r>
      <w:r>
        <w:rPr>
          <w:color w:val="auto"/>
        </w:rPr>
        <w:t>年</w:t>
      </w:r>
      <w:r>
        <w:rPr>
          <w:color w:val="auto"/>
        </w:rPr>
        <w:tab/>
      </w:r>
      <w:r>
        <w:rPr>
          <w:color w:val="auto"/>
        </w:rPr>
        <w:t>月</w:t>
      </w:r>
      <w:r>
        <w:rPr>
          <w:color w:val="auto"/>
        </w:rPr>
        <w:tab/>
      </w:r>
      <w:r>
        <w:rPr>
          <w:color w:val="auto"/>
        </w:rPr>
        <w:t>日</w:t>
      </w:r>
    </w:p>
    <w:p>
      <w:pPr>
        <w:spacing w:after="0"/>
        <w:rPr>
          <w:color w:val="auto"/>
        </w:rPr>
      </w:pPr>
      <w:r>
        <w:rPr>
          <w:color w:val="auto"/>
        </w:rPr>
        <w:br w:type="page"/>
      </w:r>
    </w:p>
    <w:p>
      <w:pPr>
        <w:pStyle w:val="6"/>
        <w:numPr>
          <w:ilvl w:val="0"/>
          <w:numId w:val="32"/>
        </w:numPr>
        <w:jc w:val="center"/>
        <w:rPr>
          <w:rFonts w:hint="eastAsia" w:ascii="黑体"/>
          <w:b/>
          <w:color w:val="auto"/>
          <w:sz w:val="32"/>
          <w:lang w:val="en-US" w:eastAsia="zh-CN"/>
        </w:rPr>
      </w:pPr>
      <w:r>
        <w:rPr>
          <w:rFonts w:hint="eastAsia" w:ascii="黑体"/>
          <w:b/>
          <w:color w:val="auto"/>
          <w:sz w:val="32"/>
          <w:lang w:val="en-US" w:eastAsia="zh-CN"/>
        </w:rPr>
        <w:t xml:space="preserve"> 廉政责任书</w:t>
      </w:r>
    </w:p>
    <w:p>
      <w:pPr>
        <w:pStyle w:val="6"/>
        <w:numPr>
          <w:ilvl w:val="0"/>
          <w:numId w:val="0"/>
        </w:numPr>
        <w:ind w:right="0" w:rightChars="0"/>
        <w:jc w:val="both"/>
        <w:rPr>
          <w:rFonts w:hint="eastAsia" w:ascii="黑体"/>
          <w:b/>
          <w:color w:val="auto"/>
          <w:sz w:val="32"/>
          <w:lang w:val="en-US" w:eastAsia="zh-CN"/>
        </w:rPr>
      </w:pP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工程项目名称：</w:t>
      </w:r>
      <w:r>
        <w:rPr>
          <w:rFonts w:hint="eastAsia"/>
          <w:color w:val="auto"/>
          <w:u w:val="single"/>
          <w:lang w:val="en-US" w:eastAsia="zh-CN"/>
        </w:rPr>
        <w:t xml:space="preserve">                           </w:t>
      </w:r>
      <w:r>
        <w:rPr>
          <w:rFonts w:hint="eastAsia"/>
          <w:color w:val="auto"/>
          <w:lang w:val="en-US" w:eastAsia="zh-CN"/>
        </w:rPr>
        <w:t xml:space="preserve">  </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工程项目地址：</w:t>
      </w:r>
      <w:r>
        <w:rPr>
          <w:rFonts w:hint="eastAsia"/>
          <w:color w:val="auto"/>
          <w:u w:val="single"/>
          <w:lang w:val="en-US" w:eastAsia="zh-CN"/>
        </w:rPr>
        <w:t xml:space="preserve">                           </w:t>
      </w:r>
      <w:r>
        <w:rPr>
          <w:rFonts w:hint="eastAsia"/>
          <w:color w:val="auto"/>
          <w:lang w:val="en-US" w:eastAsia="zh-CN"/>
        </w:rPr>
        <w:t xml:space="preserve">  </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建设单位（甲方）：</w:t>
      </w:r>
      <w:r>
        <w:rPr>
          <w:rFonts w:hint="eastAsia"/>
          <w:color w:val="auto"/>
          <w:u w:val="single"/>
          <w:lang w:val="en-US" w:eastAsia="zh-CN"/>
        </w:rPr>
        <w:t xml:space="preserve">                       </w:t>
      </w:r>
      <w:r>
        <w:rPr>
          <w:rFonts w:hint="eastAsia"/>
          <w:color w:val="auto"/>
          <w:lang w:val="en-US" w:eastAsia="zh-CN"/>
        </w:rPr>
        <w:t xml:space="preserve">   </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施工单位（乙方）：</w:t>
      </w:r>
      <w:r>
        <w:rPr>
          <w:rFonts w:hint="eastAsia"/>
          <w:color w:val="auto"/>
          <w:u w:val="single"/>
          <w:lang w:val="en-US" w:eastAsia="zh-CN"/>
        </w:rPr>
        <w:t xml:space="preserve">                       </w:t>
      </w:r>
    </w:p>
    <w:p>
      <w:pPr>
        <w:pStyle w:val="6"/>
        <w:numPr>
          <w:ilvl w:val="0"/>
          <w:numId w:val="0"/>
        </w:numPr>
        <w:spacing w:line="357" w:lineRule="auto"/>
        <w:ind w:leftChars="490" w:right="842" w:rightChars="0" w:firstLine="420" w:firstLineChars="200"/>
        <w:rPr>
          <w:rFonts w:hint="eastAsia"/>
          <w:color w:val="auto"/>
          <w:lang w:val="en-US" w:eastAsia="zh-CN"/>
        </w:rPr>
      </w:pPr>
      <w:r>
        <w:rPr>
          <w:rFonts w:hint="eastAsia"/>
          <w:color w:val="auto"/>
          <w:lang w:val="en-US" w:eastAsia="zh-CN"/>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第一条 甲乙双方的责任</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（一）应严格遵守国家关于市场准入、项目招标投标、工程建设、施工安装和市场活动等有关法律、法规，相关政策，以及廉政建设的各项规定。</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（二）严格执行建设工程项目承发包合同文件，自觉按合同办事。</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（三）业务活动必须坚持公开、公平、公正、诚信、透明的原则（除法律法规另有规定者外），不得为获取不正当的利益，损害国家、集体和对方利益，不得违反工程建设管理、施工安装的规章制度。</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（四）发现对方在业务活动中有违规、违纪、违法行为的，应及时提醒对方，情节严重的，应向其上级主管部门或纪检监察、司法等有关机关举报。</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第二条 甲方的责任</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甲方的领导和从事该建设工程项目的工作人员，在工程建设的事前、事中、事后应遵守以下规定：</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（一）不准向乙方和相关单位索要或接受回扣、礼金、有价证券、贵重物品和好处费、感谢费等。</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（二）不准在乙方和相关单位报销任何应由甲方或个人支付的费用。</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（三）不准要求、暗示和接受乙方和相关单位为个人装修住房、婚丧嫁娶、配偶子女的工作安排以及出国（境）、旅游等提供方便。</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（四）不准参加有可能影响公正执行公务的乙方和相关单位的宴请和健身、娱乐等活动。</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第三条 乙方的责任</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应与甲方保持正常的业务交往，按照有关法律法规和程序开展业务工作，严格执行工程建设的有关方针、政策，尤其是有关建筑施工安装的强制性标准和规范，并遵守以下规定：</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（一）不准以任何理由向甲方、相关单位及其工作人员索要、接受或赠送礼金、有价证券、贵重物品和回扣、好处费、感谢费等。</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（二）不准以任何理由为甲方和相关单位报销应由对方或个人支付的费用。</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（三）不准接受或暗示为甲方、相关单位或个人装修住房、婚丧嫁娶、配偶子女的工作安排以及出国（境）、旅游等提供方便。</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（四）不准以任何理由为甲方、相关单位或个人组织有可能影响公正执行公务的宴请、健身、娱乐等活动。</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第四条 违约责任</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第五条 本责任书作为工程施工合同的附件，与工程施工合同具有同等法律效力。经双方签署后立即生效。</w:t>
      </w:r>
    </w:p>
    <w:p>
      <w:pPr>
        <w:pStyle w:val="6"/>
        <w:numPr>
          <w:ilvl w:val="0"/>
          <w:numId w:val="0"/>
        </w:numPr>
        <w:spacing w:line="357" w:lineRule="auto"/>
        <w:ind w:leftChars="490" w:right="842" w:rightChars="0"/>
        <w:rPr>
          <w:rFonts w:hint="eastAsia"/>
          <w:color w:val="auto"/>
          <w:lang w:val="en-US" w:eastAsia="zh-CN"/>
        </w:rPr>
      </w:pPr>
      <w:r>
        <w:rPr>
          <w:rFonts w:hint="eastAsia"/>
          <w:color w:val="auto"/>
          <w:lang w:val="en-US" w:eastAsia="zh-CN"/>
        </w:rPr>
        <w:t>　　第六条 本责任书的有效期为双方签署之日起至该工程项目竣工验收合格时止。</w:t>
      </w:r>
    </w:p>
    <w:p>
      <w:pPr>
        <w:autoSpaceDE w:val="0"/>
        <w:autoSpaceDN w:val="0"/>
        <w:spacing w:line="360" w:lineRule="exact"/>
        <w:rPr>
          <w:color w:val="auto"/>
          <w:szCs w:val="21"/>
        </w:rPr>
      </w:pPr>
    </w:p>
    <w:p>
      <w:pPr>
        <w:autoSpaceDE w:val="0"/>
        <w:autoSpaceDN w:val="0"/>
        <w:spacing w:line="360" w:lineRule="exact"/>
        <w:ind w:firstLine="482"/>
        <w:rPr>
          <w:color w:val="auto"/>
          <w:szCs w:val="21"/>
        </w:rPr>
      </w:pPr>
    </w:p>
    <w:p>
      <w:pPr>
        <w:autoSpaceDE w:val="0"/>
        <w:autoSpaceDN w:val="0"/>
        <w:spacing w:line="360" w:lineRule="exact"/>
        <w:ind w:firstLine="482"/>
        <w:rPr>
          <w:color w:val="auto"/>
          <w:szCs w:val="21"/>
        </w:rPr>
      </w:pPr>
    </w:p>
    <w:p>
      <w:pPr>
        <w:autoSpaceDE w:val="0"/>
        <w:autoSpaceDN w:val="0"/>
        <w:spacing w:line="360" w:lineRule="auto"/>
        <w:ind w:firstLine="921" w:firstLineChars="419"/>
        <w:rPr>
          <w:color w:val="auto"/>
          <w:szCs w:val="21"/>
        </w:rPr>
      </w:pPr>
      <w:r>
        <w:rPr>
          <w:rFonts w:hint="eastAsia" w:ascii="Calibri" w:hAnsi="Calibri" w:cs="宋体"/>
          <w:color w:val="auto"/>
          <w:szCs w:val="21"/>
        </w:rPr>
        <w:t>甲方单位：（盖章）　　　　　　　　</w:t>
      </w:r>
      <w:r>
        <w:rPr>
          <w:rFonts w:ascii="Calibri" w:hAnsi="Calibri"/>
          <w:color w:val="auto"/>
          <w:szCs w:val="21"/>
        </w:rPr>
        <w:t xml:space="preserve">              </w:t>
      </w:r>
      <w:r>
        <w:rPr>
          <w:rFonts w:hint="eastAsia" w:ascii="Calibri" w:hAnsi="Calibri" w:cs="宋体"/>
          <w:color w:val="auto"/>
          <w:szCs w:val="21"/>
        </w:rPr>
        <w:t>乙方单位：（盖章）</w:t>
      </w:r>
    </w:p>
    <w:p>
      <w:pPr>
        <w:autoSpaceDE w:val="0"/>
        <w:autoSpaceDN w:val="0"/>
        <w:spacing w:line="360" w:lineRule="auto"/>
        <w:ind w:firstLine="921" w:firstLineChars="419"/>
        <w:rPr>
          <w:color w:val="auto"/>
          <w:szCs w:val="21"/>
        </w:rPr>
      </w:pPr>
      <w:r>
        <w:rPr>
          <w:rFonts w:hint="eastAsia" w:ascii="Calibri" w:hAnsi="Calibri" w:cs="宋体"/>
          <w:color w:val="auto"/>
          <w:szCs w:val="21"/>
        </w:rPr>
        <w:t>法定代表人：　　　　　　　　　</w:t>
      </w:r>
      <w:r>
        <w:rPr>
          <w:rFonts w:ascii="Calibri" w:hAnsi="Calibri"/>
          <w:color w:val="auto"/>
          <w:szCs w:val="21"/>
        </w:rPr>
        <w:t xml:space="preserve">               </w:t>
      </w:r>
      <w:r>
        <w:rPr>
          <w:rFonts w:hint="eastAsia" w:ascii="Calibri" w:hAnsi="Calibri" w:cs="宋体"/>
          <w:color w:val="auto"/>
          <w:szCs w:val="21"/>
        </w:rPr>
        <w:t>　法定代表人：</w:t>
      </w:r>
    </w:p>
    <w:p>
      <w:pPr>
        <w:autoSpaceDE w:val="0"/>
        <w:autoSpaceDN w:val="0"/>
        <w:spacing w:line="360" w:lineRule="auto"/>
        <w:ind w:firstLine="921" w:firstLineChars="419"/>
        <w:rPr>
          <w:color w:val="auto"/>
          <w:szCs w:val="21"/>
        </w:rPr>
      </w:pPr>
      <w:r>
        <w:rPr>
          <w:rFonts w:hint="eastAsia" w:ascii="Calibri" w:hAnsi="Calibri" w:cs="宋体"/>
          <w:color w:val="auto"/>
          <w:szCs w:val="21"/>
        </w:rPr>
        <w:t>地址：　　　　　　　　　　　　　</w:t>
      </w:r>
      <w:r>
        <w:rPr>
          <w:rFonts w:ascii="Calibri" w:hAnsi="Calibri"/>
          <w:color w:val="auto"/>
          <w:szCs w:val="21"/>
        </w:rPr>
        <w:t xml:space="preserve">               </w:t>
      </w:r>
      <w:r>
        <w:rPr>
          <w:rFonts w:hint="eastAsia" w:ascii="Calibri" w:hAnsi="Calibri" w:cs="宋体"/>
          <w:color w:val="auto"/>
          <w:szCs w:val="21"/>
        </w:rPr>
        <w:t>地址：</w:t>
      </w:r>
    </w:p>
    <w:p>
      <w:pPr>
        <w:autoSpaceDE w:val="0"/>
        <w:autoSpaceDN w:val="0"/>
        <w:spacing w:line="360" w:lineRule="auto"/>
        <w:ind w:firstLine="921" w:firstLineChars="419"/>
        <w:rPr>
          <w:color w:val="auto"/>
          <w:szCs w:val="21"/>
        </w:rPr>
      </w:pPr>
      <w:r>
        <w:rPr>
          <w:rFonts w:hint="eastAsia" w:ascii="Calibri" w:hAnsi="Calibri" w:cs="宋体"/>
          <w:color w:val="auto"/>
          <w:szCs w:val="21"/>
        </w:rPr>
        <w:t>电话：　　　　　　　　　　　　　　　</w:t>
      </w:r>
      <w:r>
        <w:rPr>
          <w:rFonts w:ascii="Calibri" w:hAnsi="Calibri"/>
          <w:color w:val="auto"/>
          <w:szCs w:val="21"/>
        </w:rPr>
        <w:t xml:space="preserve">           </w:t>
      </w:r>
      <w:r>
        <w:rPr>
          <w:rFonts w:hint="eastAsia" w:ascii="Calibri" w:hAnsi="Calibri" w:cs="宋体"/>
          <w:color w:val="auto"/>
          <w:szCs w:val="21"/>
        </w:rPr>
        <w:t>电话：</w:t>
      </w:r>
    </w:p>
    <w:p>
      <w:pPr>
        <w:autoSpaceDE w:val="0"/>
        <w:autoSpaceDN w:val="0"/>
        <w:spacing w:line="360" w:lineRule="auto"/>
        <w:ind w:firstLine="1161" w:firstLineChars="528"/>
        <w:rPr>
          <w:rFonts w:hint="eastAsia" w:ascii="Calibri" w:hAnsi="Calibri" w:cs="宋体"/>
          <w:color w:val="auto"/>
          <w:szCs w:val="21"/>
        </w:rPr>
      </w:pPr>
      <w:r>
        <w:rPr>
          <w:rFonts w:hint="eastAsia" w:ascii="Calibri" w:hAnsi="Calibri" w:cs="宋体"/>
          <w:color w:val="auto"/>
          <w:szCs w:val="21"/>
        </w:rPr>
        <w:t>年　月　日　　　　　　　　　　　　　</w:t>
      </w:r>
      <w:r>
        <w:rPr>
          <w:rFonts w:ascii="Calibri" w:hAnsi="Calibri"/>
          <w:color w:val="auto"/>
          <w:szCs w:val="21"/>
        </w:rPr>
        <w:t xml:space="preserve">               </w:t>
      </w:r>
      <w:r>
        <w:rPr>
          <w:rFonts w:hint="eastAsia" w:ascii="Calibri" w:hAnsi="Calibri" w:cs="宋体"/>
          <w:color w:val="auto"/>
          <w:szCs w:val="21"/>
        </w:rPr>
        <w:t>年　月　日</w:t>
      </w:r>
    </w:p>
    <w:p>
      <w:pPr>
        <w:autoSpaceDE w:val="0"/>
        <w:autoSpaceDN w:val="0"/>
        <w:spacing w:line="360" w:lineRule="auto"/>
        <w:ind w:firstLine="1161" w:firstLineChars="528"/>
        <w:rPr>
          <w:rFonts w:hint="eastAsia" w:ascii="Calibri" w:hAnsi="Calibri" w:cs="宋体"/>
          <w:color w:val="auto"/>
          <w:szCs w:val="21"/>
        </w:rPr>
      </w:pPr>
      <w:r>
        <w:rPr>
          <w:rFonts w:hint="eastAsia" w:ascii="Calibri" w:hAnsi="Calibri" w:cs="宋体"/>
          <w:color w:val="auto"/>
          <w:szCs w:val="21"/>
        </w:rPr>
        <w:br w:type="page"/>
      </w:r>
    </w:p>
    <w:p>
      <w:pPr>
        <w:numPr>
          <w:ilvl w:val="0"/>
          <w:numId w:val="32"/>
        </w:numPr>
        <w:autoSpaceDE w:val="0"/>
        <w:autoSpaceDN w:val="0"/>
        <w:spacing w:line="360" w:lineRule="auto"/>
        <w:ind w:left="0" w:leftChars="0" w:firstLine="0" w:firstLineChars="0"/>
        <w:jc w:val="center"/>
        <w:rPr>
          <w:rFonts w:hint="eastAsia" w:ascii="黑体" w:cs="宋体"/>
          <w:b/>
          <w:color w:val="auto"/>
          <w:sz w:val="32"/>
          <w:szCs w:val="21"/>
          <w:lang w:val="en-US" w:eastAsia="zh-CN" w:bidi="zh-CN"/>
        </w:rPr>
      </w:pPr>
      <w:r>
        <w:rPr>
          <w:rFonts w:hint="eastAsia" w:ascii="黑体" w:cs="宋体"/>
          <w:b/>
          <w:color w:val="auto"/>
          <w:sz w:val="32"/>
          <w:szCs w:val="21"/>
          <w:lang w:val="en-US" w:eastAsia="zh-CN" w:bidi="zh-CN"/>
        </w:rPr>
        <w:t xml:space="preserve">项目安全生产协议书 </w:t>
      </w:r>
    </w:p>
    <w:p>
      <w:pPr>
        <w:widowControl w:val="0"/>
        <w:numPr>
          <w:ilvl w:val="0"/>
          <w:numId w:val="0"/>
        </w:numPr>
        <w:autoSpaceDE w:val="0"/>
        <w:autoSpaceDN w:val="0"/>
        <w:spacing w:before="0" w:after="0" w:line="360" w:lineRule="auto"/>
        <w:ind w:right="0" w:rightChars="0"/>
        <w:jc w:val="left"/>
        <w:rPr>
          <w:rFonts w:hint="eastAsia" w:cs="宋体"/>
          <w:color w:val="auto"/>
          <w:sz w:val="21"/>
          <w:szCs w:val="21"/>
          <w:u w:val="single"/>
          <w:lang w:val="en-US" w:eastAsia="zh-CN" w:bidi="zh-CN"/>
        </w:rPr>
      </w:pPr>
      <w:r>
        <w:rPr>
          <w:rFonts w:hint="eastAsia" w:ascii="黑体" w:cs="宋体"/>
          <w:b/>
          <w:color w:val="auto"/>
          <w:sz w:val="32"/>
          <w:szCs w:val="21"/>
          <w:lang w:val="en-US" w:eastAsia="zh-CN" w:bidi="zh-CN"/>
        </w:rPr>
        <w:t xml:space="preserve">  </w:t>
      </w:r>
      <w:r>
        <w:rPr>
          <w:rFonts w:hint="eastAsia" w:ascii="宋体" w:hAnsi="宋体" w:eastAsia="宋体" w:cs="宋体"/>
          <w:color w:val="auto"/>
          <w:sz w:val="21"/>
          <w:szCs w:val="21"/>
          <w:lang w:val="en-US" w:eastAsia="zh-CN" w:bidi="zh-CN"/>
        </w:rPr>
        <w:t xml:space="preserve"> </w:t>
      </w:r>
      <w:r>
        <w:rPr>
          <w:rFonts w:hint="eastAsia" w:cs="宋体"/>
          <w:color w:val="auto"/>
          <w:sz w:val="21"/>
          <w:szCs w:val="21"/>
          <w:lang w:val="en-US" w:eastAsia="zh-CN" w:bidi="zh-CN"/>
        </w:rPr>
        <w:t xml:space="preserve">    </w:t>
      </w:r>
      <w:r>
        <w:rPr>
          <w:rFonts w:hint="eastAsia" w:ascii="宋体" w:hAnsi="宋体" w:eastAsia="宋体" w:cs="宋体"/>
          <w:color w:val="auto"/>
          <w:sz w:val="21"/>
          <w:szCs w:val="21"/>
          <w:lang w:val="en-US" w:eastAsia="zh-CN" w:bidi="zh-CN"/>
        </w:rPr>
        <w:t>发包单位</w:t>
      </w:r>
      <w:r>
        <w:rPr>
          <w:rFonts w:hint="eastAsia" w:cs="宋体"/>
          <w:color w:val="auto"/>
          <w:sz w:val="21"/>
          <w:szCs w:val="21"/>
          <w:lang w:val="en-US" w:eastAsia="zh-CN" w:bidi="zh-CN"/>
        </w:rPr>
        <w:t>（简称甲方）：</w:t>
      </w:r>
      <w:r>
        <w:rPr>
          <w:rFonts w:hint="eastAsia" w:cs="宋体"/>
          <w:color w:val="auto"/>
          <w:sz w:val="21"/>
          <w:szCs w:val="21"/>
          <w:u w:val="single"/>
          <w:lang w:val="en-US" w:eastAsia="zh-CN" w:bidi="zh-CN"/>
        </w:rPr>
        <w:t xml:space="preserve">                </w:t>
      </w:r>
    </w:p>
    <w:p>
      <w:pPr>
        <w:widowControl w:val="0"/>
        <w:numPr>
          <w:ilvl w:val="0"/>
          <w:numId w:val="0"/>
        </w:numPr>
        <w:autoSpaceDE w:val="0"/>
        <w:autoSpaceDN w:val="0"/>
        <w:spacing w:before="0" w:after="0" w:line="360" w:lineRule="auto"/>
        <w:ind w:right="0" w:rightChars="0" w:firstLine="840" w:firstLineChars="400"/>
        <w:jc w:val="left"/>
        <w:rPr>
          <w:rFonts w:hint="eastAsia" w:cs="宋体"/>
          <w:color w:val="auto"/>
          <w:sz w:val="21"/>
          <w:szCs w:val="21"/>
          <w:u w:val="single"/>
          <w:lang w:val="en-US" w:eastAsia="zh-CN" w:bidi="zh-CN"/>
        </w:rPr>
      </w:pPr>
      <w:r>
        <w:rPr>
          <w:rFonts w:hint="eastAsia" w:cs="宋体"/>
          <w:color w:val="auto"/>
          <w:sz w:val="21"/>
          <w:szCs w:val="21"/>
          <w:lang w:val="en-US" w:eastAsia="zh-CN" w:bidi="zh-CN"/>
        </w:rPr>
        <w:t>承包</w:t>
      </w:r>
      <w:r>
        <w:rPr>
          <w:rFonts w:hint="eastAsia" w:ascii="宋体" w:hAnsi="宋体" w:eastAsia="宋体" w:cs="宋体"/>
          <w:color w:val="auto"/>
          <w:sz w:val="21"/>
          <w:szCs w:val="21"/>
          <w:lang w:val="en-US" w:eastAsia="zh-CN" w:bidi="zh-CN"/>
        </w:rPr>
        <w:t>单位</w:t>
      </w:r>
      <w:r>
        <w:rPr>
          <w:rFonts w:hint="eastAsia" w:cs="宋体"/>
          <w:color w:val="auto"/>
          <w:sz w:val="21"/>
          <w:szCs w:val="21"/>
          <w:lang w:val="en-US" w:eastAsia="zh-CN" w:bidi="zh-CN"/>
        </w:rPr>
        <w:t>（简称乙方）：</w:t>
      </w:r>
      <w:r>
        <w:rPr>
          <w:rFonts w:hint="eastAsia" w:cs="宋体"/>
          <w:color w:val="auto"/>
          <w:sz w:val="21"/>
          <w:szCs w:val="21"/>
          <w:u w:val="single"/>
          <w:lang w:val="en-US" w:eastAsia="zh-CN" w:bidi="zh-CN"/>
        </w:rPr>
        <w:t xml:space="preserve">                </w:t>
      </w:r>
    </w:p>
    <w:p>
      <w:pPr>
        <w:widowControl w:val="0"/>
        <w:numPr>
          <w:ilvl w:val="0"/>
          <w:numId w:val="33"/>
        </w:numPr>
        <w:autoSpaceDE w:val="0"/>
        <w:autoSpaceDN w:val="0"/>
        <w:spacing w:before="0" w:after="0" w:line="360" w:lineRule="auto"/>
        <w:ind w:left="840"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根据《中华人民共和国安全生产法》（以下简称《安全生产法》）、《中华人民共和国合同法》及相关法律、法规的规定，结合本工程施工项目实际，本着“安全第一，预防为主”的原则，经甲乙双方等协商，达成一致意见，资源签订本合同，并共同遵守本合同的各项规定。</w:t>
      </w:r>
    </w:p>
    <w:p>
      <w:pPr>
        <w:widowControl w:val="0"/>
        <w:numPr>
          <w:ilvl w:val="0"/>
          <w:numId w:val="34"/>
        </w:numPr>
        <w:autoSpaceDE w:val="0"/>
        <w:autoSpaceDN w:val="0"/>
        <w:spacing w:before="0" w:after="0" w:line="360" w:lineRule="auto"/>
        <w:ind w:right="0" w:rightChars="0" w:firstLine="843" w:firstLineChars="40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甲方的责任、权利和义务</w:t>
      </w:r>
    </w:p>
    <w:p>
      <w:pPr>
        <w:widowControl w:val="0"/>
        <w:numPr>
          <w:ilvl w:val="0"/>
          <w:numId w:val="33"/>
        </w:numPr>
        <w:autoSpaceDE w:val="0"/>
        <w:autoSpaceDN w:val="0"/>
        <w:spacing w:before="0" w:after="0" w:line="360" w:lineRule="auto"/>
        <w:ind w:left="840"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甲方有权对乙方的安全生产资质（安全生产许可证）、健康安全环境业绩、设备设施安全状况、人员上岗资格等进行审查。</w:t>
      </w:r>
    </w:p>
    <w:p>
      <w:pPr>
        <w:widowControl w:val="0"/>
        <w:numPr>
          <w:ilvl w:val="0"/>
          <w:numId w:val="33"/>
        </w:numPr>
        <w:autoSpaceDE w:val="0"/>
        <w:autoSpaceDN w:val="0"/>
        <w:spacing w:before="0" w:after="0" w:line="360" w:lineRule="auto"/>
        <w:ind w:left="840"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甲方应提供本单位HSE管理制度及有关规定，有权对乙方施工作业过程的安全环保情况进行检查，有权责成乙方对发现的问题和隐患进行整改，乙方未按要求进行整改，甲方有权责令停工直至终止合同。</w:t>
      </w:r>
    </w:p>
    <w:p>
      <w:pPr>
        <w:widowControl w:val="0"/>
        <w:numPr>
          <w:ilvl w:val="0"/>
          <w:numId w:val="33"/>
        </w:numPr>
        <w:autoSpaceDE w:val="0"/>
        <w:autoSpaceDN w:val="0"/>
        <w:spacing w:before="0" w:after="0" w:line="360" w:lineRule="auto"/>
        <w:ind w:left="840"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甲方有义务和责任监督约束本单位职工在进入乙方施工现场是，严格遵守有关安全环保规章制度，履行各自的安全环保责任。</w:t>
      </w:r>
    </w:p>
    <w:p>
      <w:pPr>
        <w:widowControl w:val="0"/>
        <w:numPr>
          <w:ilvl w:val="0"/>
          <w:numId w:val="34"/>
        </w:numPr>
        <w:autoSpaceDE w:val="0"/>
        <w:autoSpaceDN w:val="0"/>
        <w:spacing w:before="0" w:after="0" w:line="360" w:lineRule="auto"/>
        <w:ind w:left="0" w:leftChars="0" w:right="0" w:rightChars="0" w:firstLine="843" w:firstLineChars="40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乙方的责任、权利和义务</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乙方应严格遵守《安全生产法》及相关法律、法规和行业标准的规定。  </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乙方依据《安全生产法》及相关法律、法规和行业标准的规定，监理健全以安全生产责任制为核心的各项规章制度、操作规程和技术标准，并在施工作业过程中贯彻落实。</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乙方必须持有政府部门核发的有效安全生产许可证。</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乙方应为承包工程项目的施工作业配置符合安全环保要求的设备设施，保证合格的安全环保生产条件。</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乙方应配置符合安全环保要求的人员进行施工作业，组织所有施工人员进行安全环保培训，特殊工种必须确保100%持证上岗。</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乙方应按国家有关法规为参与项目施工的全体人员、设备办理保险，并为施工人员配发符合国家和行业要求的劳动防护用品。</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乙方应当要求甲方人员在进入施工现场是，严格遵守双方安全环保规章制度和相关规章。</w:t>
      </w:r>
    </w:p>
    <w:p>
      <w:pPr>
        <w:widowControl w:val="0"/>
        <w:numPr>
          <w:ilvl w:val="0"/>
          <w:numId w:val="35"/>
        </w:numPr>
        <w:autoSpaceDE w:val="0"/>
        <w:autoSpaceDN w:val="0"/>
        <w:spacing w:before="0" w:after="0" w:line="360" w:lineRule="auto"/>
        <w:ind w:leftChars="400" w:right="0" w:right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乙方有义务定期向甲方汇报安全环保情况，结算甲方的安全环保监督检查。</w:t>
      </w:r>
    </w:p>
    <w:p>
      <w:pPr>
        <w:widowControl w:val="0"/>
        <w:numPr>
          <w:ilvl w:val="0"/>
          <w:numId w:val="0"/>
        </w:numPr>
        <w:autoSpaceDE w:val="0"/>
        <w:autoSpaceDN w:val="0"/>
        <w:spacing w:before="0" w:after="0" w:line="360" w:lineRule="auto"/>
        <w:ind w:right="0" w:rightChars="0" w:firstLine="843" w:firstLineChars="40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三、生产组织和协调</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施工作业过程的生产组织由乙方全面负责，乙方在施工作业起开始前应成立安全环保领导小组，明确项目安全环保管理人员及职责，确保安全环保责任得到有效落实。发生事故时由乙方负责全部责任。</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乙方在项目开工前，组织对项目施工风险进行全面识别和评估，并根据识别评估结果，指定风向削减和控制措施以及有关规程和制度，并在施工作业中落实。</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乙方应根据项目风险识别和评估结果，编制事故应急预案，报地方政府相关部门备案，乙方应加强应急培训和演习，落实应急责任。</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乙方在开工前应组织或委托地方政府对参与项目施工的人员进行培训教育，电气焊工、电工、起重工等特殊工种必须持有有效合格证件上岗，施工前应组织健康检查，确保参与项目施工人员满足安全环保要求。</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乙方应定期对施工机械设备、作业工具、劳动防护用品进行检查、维护和保养，特种设备（锅炉压力容器、起重机械等）必须经地方政府有关部门检验，取得合格证后方可投入使用。</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乙方对施工过程中的维修作业必须进行严格管理，有限空间作业、高处作业、动火作业、动土作业、有毒有害作业等必须严格执行作业许可制度，工业动火等作业有乙方负责到地方政府办理审批手续。</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乙方在施工作业过程中，不得违章指挥、违章操作、违反劳动纪律。</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乙方在施工中作业中，必须对本单位安全环保情况进行经常性检查，及时整改事故隐患。</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乙方在购置、使用、运输、储存与施工作业有关的危险化学平、民爆物品等危险物品时，必须按有关规定到地方政府办理审批手续。</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乙方应定期组织安全环保例会，并及时参与甲方组织的安全环保例会，汇报其安全环保情况，认真落实甲方的有关安全环保工作要求。</w:t>
      </w:r>
    </w:p>
    <w:p>
      <w:pPr>
        <w:widowControl w:val="0"/>
        <w:numPr>
          <w:ilvl w:val="0"/>
          <w:numId w:val="36"/>
        </w:numPr>
        <w:autoSpaceDE w:val="0"/>
        <w:autoSpaceDN w:val="0"/>
        <w:spacing w:before="0" w:after="0" w:line="360" w:lineRule="auto"/>
        <w:ind w:left="941"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 xml:space="preserve"> 未经甲方允许，乙方不得擅自将工程分包给其他施工单位或个人进行施工。</w:t>
      </w:r>
    </w:p>
    <w:p>
      <w:pPr>
        <w:widowControl w:val="0"/>
        <w:numPr>
          <w:ilvl w:val="0"/>
          <w:numId w:val="0"/>
        </w:numPr>
        <w:autoSpaceDE w:val="0"/>
        <w:autoSpaceDN w:val="0"/>
        <w:spacing w:before="0" w:after="0" w:line="360" w:lineRule="auto"/>
        <w:ind w:leftChars="40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四、其他补充条款（根据实际情况补充制定）</w:t>
      </w:r>
    </w:p>
    <w:p>
      <w:pPr>
        <w:widowControl w:val="0"/>
        <w:numPr>
          <w:ilvl w:val="0"/>
          <w:numId w:val="37"/>
        </w:numPr>
        <w:autoSpaceDE w:val="0"/>
        <w:autoSpaceDN w:val="0"/>
        <w:spacing w:before="0" w:after="0" w:line="360" w:lineRule="auto"/>
        <w:ind w:left="945" w:leftChars="0" w:right="0" w:rightChars="0" w:firstLine="0" w:firstLineChars="0"/>
        <w:jc w:val="left"/>
        <w:rPr>
          <w:rFonts w:hint="eastAsia" w:cs="宋体"/>
          <w:color w:val="auto"/>
          <w:sz w:val="21"/>
          <w:szCs w:val="21"/>
          <w:u w:val="none"/>
          <w:lang w:val="en-US" w:eastAsia="zh-CN" w:bidi="zh-CN"/>
        </w:rPr>
      </w:pPr>
      <w:r>
        <w:rPr>
          <w:rFonts w:hint="eastAsia" w:cs="宋体"/>
          <w:color w:val="auto"/>
          <w:sz w:val="21"/>
          <w:szCs w:val="21"/>
          <w:u w:val="none"/>
          <w:lang w:val="en-US" w:eastAsia="zh-CN" w:bidi="zh-CN"/>
        </w:rPr>
        <w:t>严格落实本工程项目《健康安全环境管理手册》相关内容。</w:t>
      </w:r>
    </w:p>
    <w:p>
      <w:pPr>
        <w:widowControl w:val="0"/>
        <w:numPr>
          <w:ilvl w:val="0"/>
          <w:numId w:val="38"/>
        </w:numPr>
        <w:autoSpaceDE w:val="0"/>
        <w:autoSpaceDN w:val="0"/>
        <w:spacing w:before="0" w:after="0" w:line="360" w:lineRule="auto"/>
        <w:ind w:left="840" w:leftChars="0" w:right="0" w:rightChars="0" w:firstLine="0" w:firstLine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事故处理</w:t>
      </w:r>
    </w:p>
    <w:p>
      <w:pPr>
        <w:widowControl w:val="0"/>
        <w:numPr>
          <w:ilvl w:val="0"/>
          <w:numId w:val="0"/>
        </w:numPr>
        <w:autoSpaceDE w:val="0"/>
        <w:autoSpaceDN w:val="0"/>
        <w:spacing w:before="0" w:after="0" w:line="360" w:lineRule="auto"/>
        <w:ind w:left="1054" w:right="0" w:rightChars="0" w:hanging="1054" w:hangingChars="500"/>
        <w:jc w:val="left"/>
        <w:rPr>
          <w:rFonts w:hint="eastAsia" w:cs="宋体"/>
          <w:b w:val="0"/>
          <w:bCs w:val="0"/>
          <w:color w:val="auto"/>
          <w:sz w:val="21"/>
          <w:szCs w:val="21"/>
          <w:u w:val="none"/>
          <w:lang w:val="en-US" w:eastAsia="zh-CN" w:bidi="zh-CN"/>
        </w:rPr>
      </w:pPr>
      <w:r>
        <w:rPr>
          <w:rFonts w:hint="eastAsia" w:cs="宋体"/>
          <w:b/>
          <w:bCs/>
          <w:color w:val="auto"/>
          <w:sz w:val="21"/>
          <w:szCs w:val="21"/>
          <w:u w:val="none"/>
          <w:lang w:val="en-US" w:eastAsia="zh-CN" w:bidi="zh-CN"/>
        </w:rPr>
        <w:t xml:space="preserve">          </w:t>
      </w:r>
      <w:r>
        <w:rPr>
          <w:rFonts w:hint="eastAsia" w:cs="宋体"/>
          <w:b w:val="0"/>
          <w:bCs w:val="0"/>
          <w:color w:val="auto"/>
          <w:sz w:val="21"/>
          <w:szCs w:val="21"/>
          <w:u w:val="none"/>
          <w:lang w:val="en-US" w:eastAsia="zh-CN" w:bidi="zh-CN"/>
        </w:rPr>
        <w:t xml:space="preserve"> 工程项目施工过程中发生事故时，总包方应立即向本单位主管部门报告，并同时通知建设方，建设方应在规定时间内向本单位主管部门报告。</w:t>
      </w:r>
    </w:p>
    <w:p>
      <w:pPr>
        <w:widowControl w:val="0"/>
        <w:numPr>
          <w:ilvl w:val="0"/>
          <w:numId w:val="38"/>
        </w:numPr>
        <w:autoSpaceDE w:val="0"/>
        <w:autoSpaceDN w:val="0"/>
        <w:spacing w:before="0" w:after="0" w:line="360" w:lineRule="auto"/>
        <w:ind w:left="840" w:leftChars="0" w:right="0" w:rightChars="0" w:firstLine="0" w:firstLine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违约责任</w:t>
      </w:r>
    </w:p>
    <w:p>
      <w:pPr>
        <w:widowControl w:val="0"/>
        <w:numPr>
          <w:ilvl w:val="0"/>
          <w:numId w:val="39"/>
        </w:numPr>
        <w:autoSpaceDE w:val="0"/>
        <w:autoSpaceDN w:val="0"/>
        <w:spacing w:before="0" w:after="0" w:line="360" w:lineRule="auto"/>
        <w:ind w:left="840"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工程未经验收交付，甲方提前动用相关设施引发事故时，甲方承担责任。</w:t>
      </w:r>
    </w:p>
    <w:p>
      <w:pPr>
        <w:widowControl w:val="0"/>
        <w:numPr>
          <w:ilvl w:val="0"/>
          <w:numId w:val="39"/>
        </w:numPr>
        <w:autoSpaceDE w:val="0"/>
        <w:autoSpaceDN w:val="0"/>
        <w:spacing w:before="0" w:after="0" w:line="360" w:lineRule="auto"/>
        <w:ind w:left="840"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由于乙方原因引发事故导致甲方或第三方人员伤害、经济损失时，由乙方承担全部责任。</w:t>
      </w:r>
    </w:p>
    <w:p>
      <w:pPr>
        <w:widowControl w:val="0"/>
        <w:numPr>
          <w:ilvl w:val="0"/>
          <w:numId w:val="38"/>
        </w:numPr>
        <w:autoSpaceDE w:val="0"/>
        <w:autoSpaceDN w:val="0"/>
        <w:spacing w:before="0" w:after="0" w:line="360" w:lineRule="auto"/>
        <w:ind w:left="840" w:leftChars="0" w:right="0" w:rightChars="0" w:firstLine="0" w:firstLine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其他</w:t>
      </w:r>
    </w:p>
    <w:p>
      <w:pPr>
        <w:widowControl w:val="0"/>
        <w:numPr>
          <w:ilvl w:val="0"/>
          <w:numId w:val="40"/>
        </w:numPr>
        <w:autoSpaceDE w:val="0"/>
        <w:autoSpaceDN w:val="0"/>
        <w:spacing w:before="0" w:after="0" w:line="360" w:lineRule="auto"/>
        <w:ind w:left="843" w:leftChars="0" w:right="0" w:rightChars="0" w:firstLine="0" w:firstLine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本协议争议解决办法与成本合同争议解决办法相同。</w:t>
      </w:r>
    </w:p>
    <w:p>
      <w:pPr>
        <w:widowControl w:val="0"/>
        <w:numPr>
          <w:ilvl w:val="0"/>
          <w:numId w:val="40"/>
        </w:numPr>
        <w:autoSpaceDE w:val="0"/>
        <w:autoSpaceDN w:val="0"/>
        <w:spacing w:before="0" w:after="0" w:line="360" w:lineRule="auto"/>
        <w:ind w:left="843" w:leftChars="0" w:right="0" w:rightChars="0" w:firstLine="0" w:firstLine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本协议作为成本合同的组成部分，与成本合同同时生效或终止。</w:t>
      </w:r>
    </w:p>
    <w:p>
      <w:pPr>
        <w:widowControl w:val="0"/>
        <w:numPr>
          <w:ilvl w:val="0"/>
          <w:numId w:val="40"/>
        </w:numPr>
        <w:autoSpaceDE w:val="0"/>
        <w:autoSpaceDN w:val="0"/>
        <w:spacing w:before="0" w:after="0" w:line="360" w:lineRule="auto"/>
        <w:ind w:left="843" w:leftChars="0" w:right="0" w:rightChars="0" w:firstLine="0" w:firstLineChars="0"/>
        <w:jc w:val="left"/>
        <w:rPr>
          <w:rFonts w:ascii="宋体" w:cs="宋体"/>
          <w:color w:val="auto"/>
          <w:szCs w:val="21"/>
        </w:rPr>
      </w:pPr>
      <w:r>
        <w:rPr>
          <w:rFonts w:hint="eastAsia" w:cs="宋体"/>
          <w:b w:val="0"/>
          <w:bCs w:val="0"/>
          <w:color w:val="auto"/>
          <w:sz w:val="21"/>
          <w:szCs w:val="21"/>
          <w:u w:val="none"/>
          <w:lang w:val="en-US" w:eastAsia="zh-CN" w:bidi="zh-CN"/>
        </w:rPr>
        <w:t xml:space="preserve"> 本协议未尽事宜或国家、地方政府有关规定相违背的，按有关法规或规定执行。</w:t>
      </w:r>
    </w:p>
    <w:p>
      <w:pPr>
        <w:widowControl w:val="0"/>
        <w:numPr>
          <w:ilvl w:val="0"/>
          <w:numId w:val="40"/>
        </w:numPr>
        <w:autoSpaceDE w:val="0"/>
        <w:autoSpaceDN w:val="0"/>
        <w:spacing w:before="0" w:after="0" w:line="360" w:lineRule="auto"/>
        <w:ind w:left="843" w:leftChars="0" w:right="0" w:rightChars="0" w:firstLine="0" w:firstLineChars="0"/>
        <w:jc w:val="left"/>
        <w:rPr>
          <w:rFonts w:ascii="宋体" w:cs="宋体"/>
          <w:color w:val="auto"/>
          <w:szCs w:val="21"/>
        </w:rPr>
      </w:pPr>
      <w:r>
        <w:rPr>
          <w:rFonts w:hint="eastAsia" w:cs="宋体"/>
          <w:b w:val="0"/>
          <w:bCs w:val="0"/>
          <w:color w:val="auto"/>
          <w:sz w:val="21"/>
          <w:szCs w:val="21"/>
          <w:u w:val="none"/>
          <w:lang w:val="en-US" w:eastAsia="zh-CN" w:bidi="zh-CN"/>
        </w:rPr>
        <w:t xml:space="preserve"> 本协议一式四份，正本两份，甲乙双方各执两份</w:t>
      </w:r>
    </w:p>
    <w:p>
      <w:pPr>
        <w:widowControl w:val="0"/>
        <w:numPr>
          <w:ilvl w:val="0"/>
          <w:numId w:val="0"/>
        </w:numPr>
        <w:autoSpaceDE w:val="0"/>
        <w:autoSpaceDN w:val="0"/>
        <w:spacing w:before="0" w:after="0" w:line="360" w:lineRule="auto"/>
        <w:ind w:left="843" w:leftChars="0" w:right="0" w:rightChars="0"/>
        <w:jc w:val="left"/>
        <w:rPr>
          <w:rFonts w:ascii="宋体" w:cs="宋体"/>
          <w:color w:val="auto"/>
          <w:szCs w:val="21"/>
        </w:rPr>
      </w:pPr>
    </w:p>
    <w:p>
      <w:pPr>
        <w:widowControl w:val="0"/>
        <w:numPr>
          <w:ilvl w:val="0"/>
          <w:numId w:val="0"/>
        </w:numPr>
        <w:autoSpaceDE w:val="0"/>
        <w:autoSpaceDN w:val="0"/>
        <w:spacing w:before="0" w:after="0" w:line="360" w:lineRule="auto"/>
        <w:ind w:left="843" w:leftChars="0" w:right="0" w:rightChars="0"/>
        <w:jc w:val="left"/>
        <w:rPr>
          <w:rFonts w:ascii="宋体" w:cs="宋体"/>
          <w:color w:val="auto"/>
          <w:szCs w:val="21"/>
        </w:rPr>
      </w:pPr>
      <w:r>
        <w:rPr>
          <w:rFonts w:hint="eastAsia" w:ascii="宋体" w:cs="宋体"/>
          <w:color w:val="auto"/>
          <w:szCs w:val="21"/>
        </w:rPr>
        <w:t>甲方单位：（盖章）　　　　　　　　                　　　</w:t>
      </w:r>
      <w:r>
        <w:rPr>
          <w:rFonts w:hint="eastAsia" w:cs="宋体"/>
          <w:b w:val="0"/>
          <w:bCs w:val="0"/>
          <w:color w:val="auto"/>
          <w:sz w:val="21"/>
          <w:szCs w:val="21"/>
          <w:u w:val="none"/>
          <w:lang w:val="en-US" w:eastAsia="zh-CN" w:bidi="zh-CN"/>
        </w:rPr>
        <w:t>乙方单位：（盖章）</w:t>
      </w:r>
    </w:p>
    <w:p>
      <w:pPr>
        <w:autoSpaceDE w:val="0"/>
        <w:autoSpaceDN w:val="0"/>
        <w:spacing w:line="440" w:lineRule="exact"/>
        <w:ind w:firstLine="1089" w:firstLineChars="519"/>
        <w:rPr>
          <w:rFonts w:hint="eastAsia" w:ascii="宋体" w:hAnsi="宋体" w:eastAsia="宋体" w:cs="宋体"/>
          <w:b w:val="0"/>
          <w:bCs w:val="0"/>
          <w:color w:val="auto"/>
          <w:kern w:val="0"/>
          <w:sz w:val="21"/>
          <w:szCs w:val="21"/>
          <w:u w:val="none"/>
          <w:lang w:val="en-US" w:eastAsia="zh-CN" w:bidi="zh-CN"/>
        </w:rPr>
      </w:pPr>
      <w:r>
        <w:rPr>
          <w:rFonts w:hint="eastAsia" w:cs="宋体"/>
          <w:b w:val="0"/>
          <w:bCs w:val="0"/>
          <w:color w:val="auto"/>
          <w:sz w:val="21"/>
          <w:szCs w:val="21"/>
          <w:u w:val="none"/>
          <w:lang w:val="en-US" w:eastAsia="zh-CN" w:bidi="zh-CN"/>
        </w:rPr>
        <w:t>法定代表人：</w:t>
      </w:r>
      <w:r>
        <w:rPr>
          <w:rFonts w:hint="eastAsia" w:ascii="宋体" w:cs="宋体"/>
          <w:color w:val="auto"/>
          <w:szCs w:val="21"/>
        </w:rPr>
        <w:t>　　　　　　　　　               　　　　　法</w:t>
      </w:r>
      <w:r>
        <w:rPr>
          <w:rFonts w:hint="eastAsia" w:ascii="宋体" w:hAnsi="宋体" w:eastAsia="宋体" w:cs="宋体"/>
          <w:b w:val="0"/>
          <w:bCs w:val="0"/>
          <w:color w:val="auto"/>
          <w:kern w:val="0"/>
          <w:sz w:val="21"/>
          <w:szCs w:val="21"/>
          <w:u w:val="none"/>
          <w:lang w:val="en-US" w:eastAsia="zh-CN" w:bidi="zh-CN"/>
        </w:rPr>
        <w:t>定代表人：</w:t>
      </w:r>
    </w:p>
    <w:p>
      <w:pPr>
        <w:autoSpaceDE w:val="0"/>
        <w:autoSpaceDN w:val="0"/>
        <w:spacing w:line="440" w:lineRule="exact"/>
        <w:ind w:firstLine="1089" w:firstLineChars="519"/>
        <w:rPr>
          <w:rFonts w:hint="eastAsia" w:ascii="宋体" w:hAnsi="宋体" w:eastAsia="宋体" w:cs="宋体"/>
          <w:b w:val="0"/>
          <w:bCs w:val="0"/>
          <w:color w:val="auto"/>
          <w:kern w:val="0"/>
          <w:sz w:val="21"/>
          <w:szCs w:val="21"/>
          <w:u w:val="none"/>
          <w:lang w:val="en-US" w:eastAsia="zh-CN" w:bidi="zh-CN"/>
        </w:rPr>
      </w:pPr>
      <w:r>
        <w:rPr>
          <w:rFonts w:hint="eastAsia" w:ascii="宋体" w:hAnsi="宋体" w:eastAsia="宋体" w:cs="宋体"/>
          <w:b w:val="0"/>
          <w:bCs w:val="0"/>
          <w:color w:val="auto"/>
          <w:kern w:val="0"/>
          <w:sz w:val="21"/>
          <w:szCs w:val="21"/>
          <w:u w:val="none"/>
          <w:lang w:val="en-US" w:eastAsia="zh-CN" w:bidi="zh-CN"/>
        </w:rPr>
        <w:t>电话：　　　　　　　　　　　　　　　               　　电话：</w:t>
      </w:r>
    </w:p>
    <w:p>
      <w:pPr>
        <w:pStyle w:val="13"/>
        <w:spacing w:before="0" w:beforeAutospacing="0" w:after="0" w:afterAutospacing="0" w:line="440" w:lineRule="exact"/>
        <w:ind w:firstLine="1050" w:firstLineChars="500"/>
        <w:jc w:val="both"/>
        <w:rPr>
          <w:color w:val="auto"/>
          <w:sz w:val="28"/>
          <w:szCs w:val="28"/>
        </w:rPr>
      </w:pPr>
      <w:r>
        <w:rPr>
          <w:rFonts w:hint="eastAsia" w:ascii="宋体" w:hAnsi="宋体" w:eastAsia="宋体" w:cs="宋体"/>
          <w:b w:val="0"/>
          <w:bCs w:val="0"/>
          <w:color w:val="auto"/>
          <w:kern w:val="0"/>
          <w:sz w:val="21"/>
          <w:szCs w:val="21"/>
          <w:u w:val="none"/>
          <w:lang w:val="en-US" w:eastAsia="zh-CN" w:bidi="zh-CN"/>
        </w:rPr>
        <w:t>年　月　日　　　　　　　　　　　　　               　　年　月　日</w:t>
      </w:r>
    </w:p>
    <w:p>
      <w:pPr>
        <w:widowControl w:val="0"/>
        <w:numPr>
          <w:ilvl w:val="0"/>
          <w:numId w:val="40"/>
        </w:numPr>
        <w:autoSpaceDE w:val="0"/>
        <w:autoSpaceDN w:val="0"/>
        <w:spacing w:before="0" w:after="0" w:line="360" w:lineRule="auto"/>
        <w:ind w:left="843" w:leftChars="0" w:right="0" w:rightChars="0" w:firstLine="0" w:firstLineChars="0"/>
        <w:jc w:val="left"/>
        <w:rPr>
          <w:rFonts w:hint="eastAsia" w:cs="宋体"/>
          <w:b w:val="0"/>
          <w:bCs w:val="0"/>
          <w:color w:val="auto"/>
          <w:sz w:val="21"/>
          <w:szCs w:val="21"/>
          <w:u w:val="none"/>
          <w:lang w:val="en-US" w:eastAsia="zh-CN" w:bidi="zh-CN"/>
        </w:rPr>
        <w:sectPr>
          <w:pgSz w:w="11910" w:h="16840"/>
          <w:pgMar w:top="1360" w:right="860" w:bottom="1060" w:left="1020" w:header="873" w:footer="863" w:gutter="0"/>
        </w:sectPr>
      </w:pPr>
    </w:p>
    <w:p>
      <w:pPr>
        <w:pStyle w:val="2"/>
        <w:numPr>
          <w:ilvl w:val="0"/>
          <w:numId w:val="41"/>
        </w:numPr>
        <w:tabs>
          <w:tab w:val="left" w:pos="3808"/>
        </w:tabs>
        <w:spacing w:before="77"/>
        <w:ind w:left="2524"/>
        <w:rPr>
          <w:color w:val="auto"/>
        </w:rPr>
      </w:pPr>
      <w:bookmarkStart w:id="126" w:name="_GoBack"/>
      <w:bookmarkStart w:id="113" w:name="第四章  考核办法和考核评分标准"/>
      <w:bookmarkEnd w:id="113"/>
      <w:bookmarkStart w:id="114" w:name="_bookmark17"/>
      <w:bookmarkEnd w:id="114"/>
      <w:r>
        <w:rPr>
          <w:color w:val="auto"/>
        </w:rPr>
        <w:t>考核</w:t>
      </w:r>
      <w:bookmarkEnd w:id="126"/>
      <w:r>
        <w:rPr>
          <w:color w:val="auto"/>
        </w:rPr>
        <w:t>办法和考核评分标准</w:t>
      </w:r>
    </w:p>
    <w:p>
      <w:pPr>
        <w:numPr>
          <w:ilvl w:val="0"/>
          <w:numId w:val="0"/>
        </w:numPr>
        <w:ind w:right="0" w:rightChars="0"/>
        <w:rPr>
          <w:color w:val="auto"/>
        </w:rPr>
      </w:pPr>
    </w:p>
    <w:p>
      <w:pPr>
        <w:jc w:val="center"/>
        <w:rPr>
          <w:rFonts w:hint="eastAsia" w:cs="宋体"/>
          <w:b/>
          <w:bCs/>
          <w:color w:val="auto"/>
          <w:sz w:val="24"/>
          <w:szCs w:val="24"/>
          <w:lang w:eastAsia="zh-CN"/>
        </w:rPr>
      </w:pPr>
      <w:r>
        <w:rPr>
          <w:rFonts w:hint="eastAsia" w:cs="宋体"/>
          <w:b/>
          <w:bCs/>
          <w:color w:val="auto"/>
          <w:sz w:val="24"/>
          <w:szCs w:val="24"/>
          <w:lang w:eastAsia="zh-CN"/>
        </w:rPr>
        <w:t>考核办法</w:t>
      </w:r>
    </w:p>
    <w:p>
      <w:pPr>
        <w:numPr>
          <w:ilvl w:val="0"/>
          <w:numId w:val="42"/>
        </w:numPr>
        <w:ind w:firstLine="723" w:firstLineChars="300"/>
        <w:jc w:val="left"/>
        <w:rPr>
          <w:rFonts w:hint="eastAsia" w:cs="宋体"/>
          <w:b/>
          <w:bCs/>
          <w:color w:val="auto"/>
          <w:sz w:val="24"/>
          <w:szCs w:val="24"/>
          <w:lang w:eastAsia="zh-CN"/>
        </w:rPr>
      </w:pPr>
      <w:r>
        <w:rPr>
          <w:rFonts w:hint="eastAsia" w:cs="宋体"/>
          <w:b/>
          <w:bCs/>
          <w:color w:val="auto"/>
          <w:sz w:val="24"/>
          <w:szCs w:val="24"/>
          <w:lang w:eastAsia="zh-CN"/>
        </w:rPr>
        <w:t>保洁区域：</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本项目位于玉环海洋经济转型示范区，道路清扫保洁、河道保洁及沿道路垃圾收集清运项目总面积为373416m2（其中道路面积348666m2、河道面积24750m2)，另公厕保洁1座,项目服务期为12个月，主要内容包含如下：</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1、靖海路、时和路、永清路、信义路、善和路、茶山路、岁丰路、海晏路、河清路、杨帆路、振远路、振兴路等道路清扫、保洁；</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2、解放中河保洁；</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3、公厕保洁；</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4、沿各道路小巷、弄堂范围可见的地方清洁、保洁，沿道路和企业、学校、新民小区、商店、综合市场及摊点等垃圾（包括建筑垃圾、工业垃圾、生活垃圾、零星矿石和淤泥）收集和清运清除；</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5、示范区范围内绿化的保洁和道路杂草清除；</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6、示范区范围内张贴物的清除。</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bCs/>
          <w:color w:val="auto"/>
          <w:sz w:val="21"/>
          <w:szCs w:val="21"/>
          <w:u w:val="none"/>
          <w:lang w:val="en-US" w:eastAsia="zh-CN" w:bidi="zh-CN"/>
        </w:rPr>
        <w:t>二、考核小组</w:t>
      </w:r>
      <w:r>
        <w:rPr>
          <w:rFonts w:hint="eastAsia" w:cs="宋体"/>
          <w:b w:val="0"/>
          <w:bCs w:val="0"/>
          <w:color w:val="auto"/>
          <w:sz w:val="21"/>
          <w:szCs w:val="21"/>
          <w:u w:val="none"/>
          <w:lang w:val="en-US" w:eastAsia="zh-CN" w:bidi="zh-CN"/>
        </w:rPr>
        <w:t>：</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由开发区城市管理大道成立环境卫生考核小组，采取茗茶和暗访相结合方法对路段和绿化等承包范围进行检查考核，月总结评分。</w:t>
      </w:r>
    </w:p>
    <w:p>
      <w:pPr>
        <w:widowControl w:val="0"/>
        <w:numPr>
          <w:ilvl w:val="0"/>
          <w:numId w:val="0"/>
        </w:numPr>
        <w:autoSpaceDE w:val="0"/>
        <w:autoSpaceDN w:val="0"/>
        <w:spacing w:before="0" w:after="0" w:line="360" w:lineRule="auto"/>
        <w:ind w:left="843" w:leftChars="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三、绿化保洁时间</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绿化保洁作业时间为6:00-18:00，责任范围内区域每小时巡回保洁、维护、保养一次。如遇特殊情况，无条件调整时间并按要求保质保量完成任务。</w:t>
      </w:r>
    </w:p>
    <w:p>
      <w:pPr>
        <w:widowControl w:val="0"/>
        <w:numPr>
          <w:ilvl w:val="0"/>
          <w:numId w:val="0"/>
        </w:numPr>
        <w:autoSpaceDE w:val="0"/>
        <w:autoSpaceDN w:val="0"/>
        <w:spacing w:before="0" w:after="0" w:line="360" w:lineRule="auto"/>
        <w:ind w:left="843" w:leftChars="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四、清扫保洁作业规范、质量要求</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1、范围内实行统一清扫，一天不能少于两次，即早上8:00前完成第一次清扫保洁，下午在规定下班时间前清扫完毕，各路段及绿化带采取人工全天候巡回保洁。</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2、按照规定时间上岗完成作业。作业时间内，工作人员严禁离岗，做到清扫与巡回保洁相结合，保证车道、非机动车道、人行道、边沟、隔离带（墩）下、绿化带、侧右边绿化带整洁干净，无保存垃圾。</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3、沿街成堆垃圾滞留时间不得超过0.5小时。必须在规定的作业时间之前完成最后一次收集任务，不留卫生死角和成堆垃圾。</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4、果壳箱内的垃圾及时清理，箱周围地面无抛撒、存留垃圾。</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5、上午9:00前完成第一次垃圾收集，下午16:00前完成第二次垃圾收集，清扫收集的垃圾少量沙尘等废弃物应及时清运到垃圾中转站，自觉维护中转站秩序，服从中转站管理人员安排、管理。不准将垃圾扫入或导入窨井、河道、绿化带。</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6、绿化带内不得有杂物，道路上不得有杂草，道路左右护肩不得有杂物，及时清理。</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7、清扫员必须遵守作业规范；垃圾车必须保持车容整洁，并且要妥当停靠，严禁违规停放阻碍交通，作业时必须统一穿戴反光服上岗，佩戴上岗证，不得穿拖鞋工作，做好安全防范工作。</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8、“三包一化”人员必须在规定的时间完成环卫作业，及时收集清运垃圾，进一步强化“三包一化”工作。</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9、所属员工注意安全生产、消防安全，防止事故发生，必须穿着统一工作服、帽及反光服，佩戴上岗证。保持通讯通畅，遇有紧急情况随叫随到。</w:t>
      </w:r>
    </w:p>
    <w:p>
      <w:pPr>
        <w:widowControl w:val="0"/>
        <w:numPr>
          <w:ilvl w:val="0"/>
          <w:numId w:val="0"/>
        </w:numPr>
        <w:autoSpaceDE w:val="0"/>
        <w:autoSpaceDN w:val="0"/>
        <w:spacing w:before="0" w:after="0" w:line="360" w:lineRule="auto"/>
        <w:ind w:left="843" w:leftChars="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五、清扫保洁作业规范、质量要求</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1、必须及时完成发包人不知的环卫突击工作并服从发包人管理。</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2、应加强对垃圾清运管理，落实管理责任，做到清运点环境清洁有序，垃圾不留夜日产日清（部分清运点要做到每日清理两次，具体区域有发包人确定）严禁随意焚烧垃圾。</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3、清运途中需对垃圾进行遮盖，杜绝运输途中在产生。不准有跑、滴、漏现象，运输设备保持外观清洁。</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4、应保护垃圾清运点的公共环卫设施，如操作不当造成损坏的，要负责赔偿。</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5、要对本单位全体环卫工作人员进行安全教育及管理，如发生一切安全事故，发包人概不负责。</w:t>
      </w:r>
    </w:p>
    <w:p>
      <w:pPr>
        <w:widowControl w:val="0"/>
        <w:numPr>
          <w:ilvl w:val="0"/>
          <w:numId w:val="0"/>
        </w:numPr>
        <w:autoSpaceDE w:val="0"/>
        <w:autoSpaceDN w:val="0"/>
        <w:spacing w:before="0" w:after="0" w:line="360" w:lineRule="auto"/>
        <w:ind w:left="843" w:leftChars="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六、工作范围及义务</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bCs/>
          <w:color w:val="auto"/>
          <w:sz w:val="21"/>
          <w:szCs w:val="21"/>
          <w:u w:val="none"/>
          <w:lang w:val="en-US" w:eastAsia="zh-CN" w:bidi="zh-CN"/>
        </w:rPr>
        <w:t xml:space="preserve">  </w:t>
      </w:r>
      <w:r>
        <w:rPr>
          <w:rFonts w:hint="eastAsia" w:cs="宋体"/>
          <w:b w:val="0"/>
          <w:bCs w:val="0"/>
          <w:color w:val="auto"/>
          <w:sz w:val="21"/>
          <w:szCs w:val="21"/>
          <w:u w:val="none"/>
          <w:lang w:val="en-US" w:eastAsia="zh-CN" w:bidi="zh-CN"/>
        </w:rPr>
        <w:t xml:space="preserve"> 1、所属员工注意安全生产、消防安全、防止事故发生，必须穿着统一工作服，佩戴上岗证；</w:t>
      </w:r>
    </w:p>
    <w:p>
      <w:pPr>
        <w:widowControl w:val="0"/>
        <w:numPr>
          <w:ilvl w:val="0"/>
          <w:numId w:val="0"/>
        </w:numPr>
        <w:autoSpaceDE w:val="0"/>
        <w:autoSpaceDN w:val="0"/>
        <w:spacing w:before="0" w:after="0" w:line="360" w:lineRule="auto"/>
        <w:ind w:left="843" w:leftChars="0"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2、有紧急情况随叫随到；</w:t>
      </w:r>
    </w:p>
    <w:p>
      <w:pPr>
        <w:widowControl w:val="0"/>
        <w:numPr>
          <w:ilvl w:val="0"/>
          <w:numId w:val="0"/>
        </w:numPr>
        <w:autoSpaceDE w:val="0"/>
        <w:autoSpaceDN w:val="0"/>
        <w:spacing w:before="0" w:after="0" w:line="360" w:lineRule="auto"/>
        <w:ind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3、文明作业，占据车道是应设立警示标志；</w:t>
      </w:r>
    </w:p>
    <w:p>
      <w:pPr>
        <w:widowControl w:val="0"/>
        <w:numPr>
          <w:ilvl w:val="0"/>
          <w:numId w:val="0"/>
        </w:numPr>
        <w:autoSpaceDE w:val="0"/>
        <w:autoSpaceDN w:val="0"/>
        <w:spacing w:before="0" w:after="0" w:line="360" w:lineRule="auto"/>
        <w:ind w:right="0" w:right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 xml:space="preserve">           4、作好巡逻，如遇重大事情及时上报。</w:t>
      </w:r>
    </w:p>
    <w:p>
      <w:pPr>
        <w:widowControl w:val="0"/>
        <w:numPr>
          <w:ilvl w:val="0"/>
          <w:numId w:val="0"/>
        </w:numPr>
        <w:autoSpaceDE w:val="0"/>
        <w:autoSpaceDN w:val="0"/>
        <w:spacing w:before="0" w:after="0" w:line="360" w:lineRule="auto"/>
        <w:ind w:left="843" w:leftChars="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七、评分办法</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检查考核组根据本办法和《清扫保洁、垃圾收集考核标准》进行考核打分，满分10分。把每条路段划分成若干段采用随机抽查的方法实现考核，并根据考核情况扣除相应分值，月考核总分除考核次数所得分值为当月考核最后得分。</w:t>
      </w:r>
    </w:p>
    <w:p>
      <w:pPr>
        <w:widowControl w:val="0"/>
        <w:numPr>
          <w:ilvl w:val="0"/>
          <w:numId w:val="0"/>
        </w:numPr>
        <w:autoSpaceDE w:val="0"/>
        <w:autoSpaceDN w:val="0"/>
        <w:spacing w:before="0" w:after="0" w:line="360" w:lineRule="auto"/>
        <w:ind w:left="843" w:leftChars="0" w:right="0" w:rightChars="0"/>
        <w:jc w:val="left"/>
        <w:rPr>
          <w:rFonts w:hint="eastAsia" w:cs="宋体"/>
          <w:b/>
          <w:bCs/>
          <w:color w:val="auto"/>
          <w:sz w:val="21"/>
          <w:szCs w:val="21"/>
          <w:u w:val="none"/>
          <w:lang w:val="en-US" w:eastAsia="zh-CN" w:bidi="zh-CN"/>
        </w:rPr>
      </w:pPr>
      <w:r>
        <w:rPr>
          <w:rFonts w:hint="eastAsia" w:cs="宋体"/>
          <w:b/>
          <w:bCs/>
          <w:color w:val="auto"/>
          <w:sz w:val="21"/>
          <w:szCs w:val="21"/>
          <w:u w:val="none"/>
          <w:lang w:val="en-US" w:eastAsia="zh-CN" w:bidi="zh-CN"/>
        </w:rPr>
        <w:t>八、考核组责任</w:t>
      </w:r>
    </w:p>
    <w:p>
      <w:pPr>
        <w:widowControl w:val="0"/>
        <w:numPr>
          <w:ilvl w:val="0"/>
          <w:numId w:val="0"/>
        </w:numPr>
        <w:autoSpaceDE w:val="0"/>
        <w:autoSpaceDN w:val="0"/>
        <w:spacing w:before="0" w:after="0" w:line="360" w:lineRule="auto"/>
        <w:ind w:left="843" w:leftChars="0" w:right="0" w:rightChars="0" w:firstLine="420" w:firstLineChars="20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t>考核组在检查考核时必须按照规定的标准和要求进得考核，考核结果要真实可靠。如有徇私枉法，不公平现象，乙方有权向主管部门反映。一经查实，取消其考核组成员资格，并根据有关规定对相关责任人员作出严肃处理。</w:t>
      </w:r>
    </w:p>
    <w:p>
      <w:pPr>
        <w:widowControl w:val="0"/>
        <w:numPr>
          <w:ilvl w:val="0"/>
          <w:numId w:val="40"/>
        </w:numPr>
        <w:autoSpaceDE w:val="0"/>
        <w:autoSpaceDN w:val="0"/>
        <w:spacing w:before="0" w:after="0" w:line="360" w:lineRule="auto"/>
        <w:ind w:left="843" w:leftChars="0" w:right="0" w:rightChars="0" w:firstLine="0" w:firstLineChars="0"/>
        <w:jc w:val="left"/>
        <w:rPr>
          <w:rFonts w:hint="eastAsia" w:cs="宋体"/>
          <w:b w:val="0"/>
          <w:bCs w:val="0"/>
          <w:color w:val="auto"/>
          <w:sz w:val="21"/>
          <w:szCs w:val="21"/>
          <w:u w:val="none"/>
          <w:lang w:val="en-US" w:eastAsia="zh-CN" w:bidi="zh-CN"/>
        </w:rPr>
      </w:pPr>
      <w:r>
        <w:rPr>
          <w:rFonts w:hint="eastAsia" w:cs="宋体"/>
          <w:b w:val="0"/>
          <w:bCs w:val="0"/>
          <w:color w:val="auto"/>
          <w:sz w:val="21"/>
          <w:szCs w:val="21"/>
          <w:u w:val="none"/>
          <w:lang w:val="en-US" w:eastAsia="zh-CN" w:bidi="zh-CN"/>
        </w:rPr>
        <w:br w:type="page"/>
      </w:r>
    </w:p>
    <w:p>
      <w:pPr>
        <w:pStyle w:val="5"/>
        <w:rPr>
          <w:rFonts w:hint="eastAsia" w:cs="宋体"/>
          <w:b/>
          <w:bCs w:val="0"/>
          <w:color w:val="auto"/>
          <w:sz w:val="40"/>
          <w:szCs w:val="40"/>
        </w:rPr>
      </w:pPr>
      <w:r>
        <w:rPr>
          <w:rFonts w:hint="eastAsia" w:cs="宋体"/>
          <w:b/>
          <w:bCs w:val="0"/>
          <w:color w:val="auto"/>
          <w:sz w:val="40"/>
          <w:szCs w:val="40"/>
        </w:rPr>
        <w:t>考核</w:t>
      </w:r>
      <w:r>
        <w:rPr>
          <w:rFonts w:hint="eastAsia" w:cs="宋体"/>
          <w:b/>
          <w:bCs w:val="0"/>
          <w:color w:val="auto"/>
          <w:sz w:val="40"/>
          <w:szCs w:val="40"/>
          <w:lang w:eastAsia="zh-CN"/>
        </w:rPr>
        <w:t>评分</w:t>
      </w:r>
      <w:r>
        <w:rPr>
          <w:rFonts w:hint="eastAsia" w:cs="宋体"/>
          <w:b/>
          <w:bCs w:val="0"/>
          <w:color w:val="auto"/>
          <w:sz w:val="40"/>
          <w:szCs w:val="40"/>
        </w:rPr>
        <w:t>标准</w:t>
      </w:r>
    </w:p>
    <w:p>
      <w:pPr>
        <w:pStyle w:val="5"/>
        <w:spacing w:line="240" w:lineRule="exact"/>
        <w:jc w:val="right"/>
        <w:rPr>
          <w:rFonts w:hint="eastAsia" w:cs="宋体"/>
          <w:color w:val="auto"/>
          <w:sz w:val="32"/>
          <w:szCs w:val="32"/>
        </w:rPr>
      </w:pPr>
      <w:r>
        <w:rPr>
          <w:rFonts w:hint="eastAsia" w:cs="宋体"/>
          <w:color w:val="auto"/>
          <w:sz w:val="32"/>
          <w:szCs w:val="32"/>
        </w:rPr>
        <w:t xml:space="preserve">                      </w:t>
      </w:r>
    </w:p>
    <w:p>
      <w:pPr>
        <w:pStyle w:val="5"/>
        <w:jc w:val="right"/>
        <w:rPr>
          <w:rFonts w:hint="eastAsia" w:cs="宋体"/>
          <w:color w:val="auto"/>
          <w:sz w:val="32"/>
          <w:szCs w:val="32"/>
        </w:rPr>
      </w:pPr>
      <w:r>
        <w:rPr>
          <w:rFonts w:hint="eastAsia" w:cs="宋体"/>
          <w:color w:val="auto"/>
          <w:sz w:val="24"/>
          <w:szCs w:val="24"/>
        </w:rPr>
        <w:t>日期：    年   月  日   时</w:t>
      </w:r>
    </w:p>
    <w:tbl>
      <w:tblPr>
        <w:tblStyle w:val="15"/>
        <w:tblW w:w="9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932"/>
        <w:gridCol w:w="4140"/>
        <w:gridCol w:w="900"/>
        <w:gridCol w:w="790"/>
        <w:gridCol w:w="790"/>
        <w:gridCol w:w="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序</w:t>
            </w:r>
          </w:p>
        </w:tc>
        <w:tc>
          <w:tcPr>
            <w:tcW w:w="1932" w:type="dxa"/>
            <w:vAlign w:val="center"/>
          </w:tcPr>
          <w:p>
            <w:pPr>
              <w:pStyle w:val="5"/>
              <w:rPr>
                <w:rFonts w:hint="eastAsia" w:cs="宋体"/>
                <w:color w:val="auto"/>
                <w:sz w:val="24"/>
                <w:szCs w:val="24"/>
              </w:rPr>
            </w:pPr>
            <w:r>
              <w:rPr>
                <w:rFonts w:hint="eastAsia" w:cs="宋体"/>
                <w:color w:val="auto"/>
                <w:sz w:val="24"/>
                <w:szCs w:val="24"/>
              </w:rPr>
              <w:t>检查项目及要求</w:t>
            </w:r>
          </w:p>
        </w:tc>
        <w:tc>
          <w:tcPr>
            <w:tcW w:w="4140" w:type="dxa"/>
            <w:vAlign w:val="center"/>
          </w:tcPr>
          <w:p>
            <w:pPr>
              <w:pStyle w:val="5"/>
              <w:rPr>
                <w:rFonts w:hint="eastAsia" w:cs="宋体"/>
                <w:color w:val="auto"/>
                <w:sz w:val="24"/>
                <w:szCs w:val="24"/>
              </w:rPr>
            </w:pPr>
            <w:r>
              <w:rPr>
                <w:rFonts w:hint="eastAsia" w:cs="宋体"/>
                <w:color w:val="auto"/>
                <w:sz w:val="24"/>
                <w:szCs w:val="24"/>
              </w:rPr>
              <w:t>扣分项目及标准</w:t>
            </w:r>
          </w:p>
        </w:tc>
        <w:tc>
          <w:tcPr>
            <w:tcW w:w="900" w:type="dxa"/>
            <w:vAlign w:val="center"/>
          </w:tcPr>
          <w:p>
            <w:pPr>
              <w:pStyle w:val="5"/>
              <w:jc w:val="left"/>
              <w:rPr>
                <w:rFonts w:hint="eastAsia" w:cs="宋体"/>
                <w:color w:val="auto"/>
                <w:sz w:val="24"/>
                <w:szCs w:val="24"/>
              </w:rPr>
            </w:pPr>
            <w:r>
              <w:rPr>
                <w:rFonts w:hint="eastAsia" w:cs="宋体"/>
                <w:color w:val="auto"/>
                <w:sz w:val="24"/>
                <w:szCs w:val="24"/>
              </w:rPr>
              <w:t>满分</w:t>
            </w:r>
          </w:p>
        </w:tc>
        <w:tc>
          <w:tcPr>
            <w:tcW w:w="790" w:type="dxa"/>
            <w:vAlign w:val="center"/>
          </w:tcPr>
          <w:p>
            <w:pPr>
              <w:pStyle w:val="5"/>
              <w:jc w:val="left"/>
              <w:rPr>
                <w:rFonts w:hint="eastAsia" w:cs="宋体"/>
                <w:color w:val="auto"/>
                <w:sz w:val="24"/>
                <w:szCs w:val="24"/>
              </w:rPr>
            </w:pPr>
            <w:r>
              <w:rPr>
                <w:rFonts w:hint="eastAsia" w:cs="宋体"/>
                <w:color w:val="auto"/>
                <w:sz w:val="24"/>
                <w:szCs w:val="24"/>
              </w:rPr>
              <w:t>扣分</w:t>
            </w:r>
          </w:p>
        </w:tc>
        <w:tc>
          <w:tcPr>
            <w:tcW w:w="790" w:type="dxa"/>
            <w:vAlign w:val="center"/>
          </w:tcPr>
          <w:p>
            <w:pPr>
              <w:pStyle w:val="5"/>
              <w:jc w:val="left"/>
              <w:rPr>
                <w:rFonts w:hint="eastAsia" w:cs="宋体"/>
                <w:color w:val="auto"/>
                <w:sz w:val="24"/>
                <w:szCs w:val="24"/>
              </w:rPr>
            </w:pPr>
            <w:r>
              <w:rPr>
                <w:rFonts w:hint="eastAsia" w:cs="宋体"/>
                <w:color w:val="auto"/>
                <w:sz w:val="24"/>
                <w:szCs w:val="24"/>
              </w:rPr>
              <w:t>得分</w:t>
            </w:r>
          </w:p>
        </w:tc>
        <w:tc>
          <w:tcPr>
            <w:tcW w:w="791" w:type="dxa"/>
            <w:vAlign w:val="center"/>
          </w:tcPr>
          <w:p>
            <w:pPr>
              <w:pStyle w:val="5"/>
              <w:jc w:val="left"/>
              <w:rPr>
                <w:rFonts w:hint="eastAsia" w:cs="宋体"/>
                <w:color w:val="auto"/>
                <w:sz w:val="24"/>
                <w:szCs w:val="24"/>
              </w:rPr>
            </w:pPr>
            <w:r>
              <w:rPr>
                <w:rFonts w:hint="eastAsia" w:cs="宋体"/>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1</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人员状况</w:t>
            </w:r>
          </w:p>
        </w:tc>
        <w:tc>
          <w:tcPr>
            <w:tcW w:w="4140" w:type="dxa"/>
            <w:vAlign w:val="center"/>
          </w:tcPr>
          <w:p>
            <w:pPr>
              <w:pStyle w:val="5"/>
              <w:spacing w:line="320" w:lineRule="exact"/>
              <w:jc w:val="left"/>
              <w:rPr>
                <w:rFonts w:hint="eastAsia" w:cs="宋体"/>
                <w:color w:val="auto"/>
                <w:spacing w:val="-6"/>
                <w:sz w:val="24"/>
                <w:szCs w:val="24"/>
              </w:rPr>
            </w:pPr>
            <w:r>
              <w:rPr>
                <w:rFonts w:hint="eastAsia" w:cs="宋体"/>
                <w:color w:val="auto"/>
                <w:spacing w:val="-6"/>
                <w:sz w:val="24"/>
                <w:szCs w:val="24"/>
              </w:rPr>
              <w:t>上岗人数不是规定人数的，按每次一人扣1分直至扣完当月合同款为止；环卫人员不按时上下岗的每人次扣0.1分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1</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2</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按规定时间清扫保洁</w:t>
            </w:r>
          </w:p>
        </w:tc>
        <w:tc>
          <w:tcPr>
            <w:tcW w:w="4140" w:type="dxa"/>
            <w:vAlign w:val="center"/>
          </w:tcPr>
          <w:p>
            <w:pPr>
              <w:pStyle w:val="5"/>
              <w:spacing w:line="320" w:lineRule="exact"/>
              <w:jc w:val="left"/>
              <w:rPr>
                <w:rFonts w:hint="eastAsia" w:cs="宋体"/>
                <w:color w:val="auto"/>
                <w:sz w:val="24"/>
                <w:szCs w:val="24"/>
              </w:rPr>
            </w:pPr>
            <w:r>
              <w:rPr>
                <w:rFonts w:hint="eastAsia" w:cs="宋体"/>
                <w:color w:val="auto"/>
                <w:sz w:val="24"/>
                <w:szCs w:val="24"/>
              </w:rPr>
              <w:t>未按规定时间完成清扫作业和及时保洁的,每人次扣0.1分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0.5</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3</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保洁人员在岗，服装统一（包括反光背心和帽）</w:t>
            </w:r>
          </w:p>
        </w:tc>
        <w:tc>
          <w:tcPr>
            <w:tcW w:w="4140" w:type="dxa"/>
            <w:vAlign w:val="center"/>
          </w:tcPr>
          <w:p>
            <w:pPr>
              <w:pStyle w:val="5"/>
              <w:spacing w:line="320" w:lineRule="exact"/>
              <w:jc w:val="left"/>
              <w:rPr>
                <w:rFonts w:hint="eastAsia" w:cs="宋体"/>
                <w:color w:val="auto"/>
                <w:spacing w:val="-10"/>
                <w:sz w:val="24"/>
                <w:szCs w:val="24"/>
              </w:rPr>
            </w:pPr>
            <w:r>
              <w:rPr>
                <w:rFonts w:hint="eastAsia" w:cs="宋体"/>
                <w:color w:val="auto"/>
                <w:spacing w:val="-10"/>
                <w:sz w:val="24"/>
                <w:szCs w:val="24"/>
              </w:rPr>
              <w:t>保洁人员不在岗，每人次扣0.1分，服装不统一或没佩戴上岗证，每人次扣0.1分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1</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4</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路面、路牙净</w:t>
            </w:r>
          </w:p>
        </w:tc>
        <w:tc>
          <w:tcPr>
            <w:tcW w:w="4140" w:type="dxa"/>
            <w:vAlign w:val="center"/>
          </w:tcPr>
          <w:p>
            <w:pPr>
              <w:pStyle w:val="5"/>
              <w:spacing w:line="320" w:lineRule="exact"/>
              <w:jc w:val="left"/>
              <w:rPr>
                <w:rFonts w:hint="eastAsia" w:cs="宋体"/>
                <w:color w:val="auto"/>
                <w:spacing w:val="-8"/>
                <w:sz w:val="24"/>
                <w:szCs w:val="24"/>
              </w:rPr>
            </w:pPr>
            <w:r>
              <w:rPr>
                <w:rFonts w:hint="eastAsia" w:cs="宋体"/>
                <w:color w:val="auto"/>
                <w:spacing w:val="-8"/>
                <w:sz w:val="24"/>
                <w:szCs w:val="24"/>
              </w:rPr>
              <w:t>人行道下有明显砂带、15m以内扣0.1分，20m以内扣0.2分，有果皮（壳）及其它零星杂物每处扣0.1分，路面未清扫扣0.1分，未清扫有明显积水扣0.1分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2</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5</w:t>
            </w:r>
          </w:p>
        </w:tc>
        <w:tc>
          <w:tcPr>
            <w:tcW w:w="1932" w:type="dxa"/>
            <w:vAlign w:val="center"/>
          </w:tcPr>
          <w:p>
            <w:pPr>
              <w:pStyle w:val="5"/>
              <w:spacing w:line="320" w:lineRule="exact"/>
              <w:rPr>
                <w:rFonts w:hint="eastAsia" w:eastAsia="宋体" w:cs="宋体"/>
                <w:color w:val="auto"/>
                <w:sz w:val="24"/>
                <w:szCs w:val="24"/>
                <w:lang w:eastAsia="zh-CN"/>
              </w:rPr>
            </w:pPr>
            <w:r>
              <w:rPr>
                <w:rFonts w:hint="eastAsia" w:cs="宋体"/>
                <w:color w:val="auto"/>
                <w:sz w:val="24"/>
                <w:szCs w:val="24"/>
                <w:lang w:eastAsia="zh-CN"/>
              </w:rPr>
              <w:t>河道保洁、绿化</w:t>
            </w:r>
          </w:p>
        </w:tc>
        <w:tc>
          <w:tcPr>
            <w:tcW w:w="4140" w:type="dxa"/>
            <w:vAlign w:val="center"/>
          </w:tcPr>
          <w:p>
            <w:pPr>
              <w:pStyle w:val="5"/>
              <w:spacing w:line="320" w:lineRule="exact"/>
              <w:jc w:val="left"/>
              <w:rPr>
                <w:rFonts w:hint="eastAsia" w:cs="宋体"/>
                <w:color w:val="auto"/>
                <w:sz w:val="24"/>
                <w:szCs w:val="24"/>
              </w:rPr>
            </w:pPr>
            <w:r>
              <w:rPr>
                <w:rFonts w:hint="eastAsia" w:cs="宋体"/>
                <w:color w:val="auto"/>
                <w:sz w:val="24"/>
                <w:szCs w:val="24"/>
                <w:lang w:eastAsia="zh-CN"/>
              </w:rPr>
              <w:t>河道、</w:t>
            </w:r>
            <w:r>
              <w:rPr>
                <w:rFonts w:hint="eastAsia" w:cs="宋体"/>
                <w:color w:val="auto"/>
                <w:sz w:val="24"/>
                <w:szCs w:val="24"/>
              </w:rPr>
              <w:t>绿化内不得有杂物，一处扣0.1分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1</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6</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三包一化</w:t>
            </w:r>
          </w:p>
        </w:tc>
        <w:tc>
          <w:tcPr>
            <w:tcW w:w="4140" w:type="dxa"/>
            <w:vAlign w:val="center"/>
          </w:tcPr>
          <w:p>
            <w:pPr>
              <w:pStyle w:val="5"/>
              <w:spacing w:line="320" w:lineRule="exact"/>
              <w:jc w:val="left"/>
              <w:rPr>
                <w:rFonts w:hint="eastAsia" w:cs="宋体"/>
                <w:color w:val="auto"/>
                <w:sz w:val="24"/>
                <w:szCs w:val="24"/>
              </w:rPr>
            </w:pPr>
            <w:r>
              <w:rPr>
                <w:rFonts w:hint="eastAsia" w:cs="宋体"/>
                <w:color w:val="auto"/>
                <w:sz w:val="24"/>
                <w:szCs w:val="24"/>
              </w:rPr>
              <w:t>未按照规定的时间完成“三包一化”作业的，每人每次扣0.2分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0.5</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7</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无卫生死角</w:t>
            </w:r>
          </w:p>
        </w:tc>
        <w:tc>
          <w:tcPr>
            <w:tcW w:w="4140" w:type="dxa"/>
            <w:vAlign w:val="center"/>
          </w:tcPr>
          <w:p>
            <w:pPr>
              <w:pStyle w:val="5"/>
              <w:spacing w:line="320" w:lineRule="exact"/>
              <w:jc w:val="left"/>
              <w:rPr>
                <w:rFonts w:hint="eastAsia" w:cs="宋体"/>
                <w:color w:val="auto"/>
                <w:spacing w:val="-8"/>
                <w:sz w:val="24"/>
                <w:szCs w:val="24"/>
              </w:rPr>
            </w:pPr>
            <w:r>
              <w:rPr>
                <w:rFonts w:hint="eastAsia" w:cs="宋体"/>
                <w:color w:val="auto"/>
                <w:spacing w:val="-8"/>
                <w:sz w:val="24"/>
                <w:szCs w:val="24"/>
              </w:rPr>
              <w:t>街道两侧弄堂及一、二及交接处5m内目视无卫生死角，发现一处扣0.1分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1</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8</w:t>
            </w:r>
          </w:p>
        </w:tc>
        <w:tc>
          <w:tcPr>
            <w:tcW w:w="1932" w:type="dxa"/>
            <w:vAlign w:val="center"/>
          </w:tcPr>
          <w:p>
            <w:pPr>
              <w:pStyle w:val="5"/>
              <w:spacing w:line="320" w:lineRule="exact"/>
              <w:rPr>
                <w:rFonts w:hint="eastAsia" w:cs="宋体"/>
                <w:color w:val="auto"/>
                <w:spacing w:val="-14"/>
                <w:sz w:val="24"/>
                <w:szCs w:val="24"/>
              </w:rPr>
            </w:pPr>
            <w:r>
              <w:rPr>
                <w:rFonts w:hint="eastAsia" w:cs="宋体"/>
                <w:color w:val="auto"/>
                <w:spacing w:val="-14"/>
                <w:sz w:val="24"/>
                <w:szCs w:val="24"/>
              </w:rPr>
              <w:t>垃圾收集及时干净</w:t>
            </w:r>
          </w:p>
        </w:tc>
        <w:tc>
          <w:tcPr>
            <w:tcW w:w="4140" w:type="dxa"/>
            <w:vAlign w:val="center"/>
          </w:tcPr>
          <w:p>
            <w:pPr>
              <w:pStyle w:val="5"/>
              <w:spacing w:line="320" w:lineRule="exact"/>
              <w:jc w:val="left"/>
              <w:rPr>
                <w:rFonts w:hint="eastAsia" w:cs="宋体"/>
                <w:color w:val="auto"/>
                <w:spacing w:val="-12"/>
                <w:sz w:val="24"/>
                <w:szCs w:val="24"/>
              </w:rPr>
            </w:pPr>
            <w:r>
              <w:rPr>
                <w:rFonts w:hint="eastAsia" w:cs="宋体"/>
                <w:color w:val="auto"/>
                <w:spacing w:val="-12"/>
                <w:sz w:val="24"/>
                <w:szCs w:val="24"/>
              </w:rPr>
              <w:t>有一处垃圾堆扣0.1分（还在作业不扣分）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1</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9</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垃圾密闭运输（包括人力车）</w:t>
            </w:r>
          </w:p>
        </w:tc>
        <w:tc>
          <w:tcPr>
            <w:tcW w:w="4140" w:type="dxa"/>
            <w:vAlign w:val="center"/>
          </w:tcPr>
          <w:p>
            <w:pPr>
              <w:pStyle w:val="5"/>
              <w:spacing w:line="320" w:lineRule="exact"/>
              <w:jc w:val="left"/>
              <w:rPr>
                <w:rFonts w:hint="eastAsia" w:cs="宋体"/>
                <w:color w:val="auto"/>
                <w:spacing w:val="-6"/>
                <w:sz w:val="24"/>
                <w:szCs w:val="24"/>
              </w:rPr>
            </w:pPr>
            <w:r>
              <w:rPr>
                <w:rFonts w:hint="eastAsia" w:cs="宋体"/>
                <w:color w:val="auto"/>
                <w:spacing w:val="-6"/>
                <w:sz w:val="24"/>
                <w:szCs w:val="24"/>
              </w:rPr>
              <w:t>垃圾车运输时（包括收集车、清扫车、人力车）都应密封，发现一次扣0.1分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0.5</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10</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rPr>
              <w:t>垃圾车清洁（包括人）、停放规范</w:t>
            </w:r>
          </w:p>
        </w:tc>
        <w:tc>
          <w:tcPr>
            <w:tcW w:w="4140" w:type="dxa"/>
            <w:vAlign w:val="center"/>
          </w:tcPr>
          <w:p>
            <w:pPr>
              <w:pStyle w:val="5"/>
              <w:spacing w:line="320" w:lineRule="exact"/>
              <w:jc w:val="left"/>
              <w:rPr>
                <w:rFonts w:hint="eastAsia" w:cs="宋体"/>
                <w:color w:val="auto"/>
                <w:spacing w:val="-10"/>
                <w:sz w:val="24"/>
                <w:szCs w:val="24"/>
              </w:rPr>
            </w:pPr>
            <w:r>
              <w:rPr>
                <w:rFonts w:hint="eastAsia" w:cs="宋体"/>
                <w:color w:val="auto"/>
                <w:spacing w:val="-10"/>
                <w:sz w:val="24"/>
                <w:szCs w:val="24"/>
              </w:rPr>
              <w:t>垃圾车运输时（包括收集车、清扫车、人力车）都应保持清洁，发现一次扣0.1分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0.5</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468" w:type="dxa"/>
            <w:vAlign w:val="center"/>
          </w:tcPr>
          <w:p>
            <w:pPr>
              <w:pStyle w:val="5"/>
              <w:rPr>
                <w:rFonts w:hint="eastAsia" w:cs="宋体"/>
                <w:color w:val="auto"/>
                <w:sz w:val="24"/>
                <w:szCs w:val="24"/>
              </w:rPr>
            </w:pPr>
            <w:r>
              <w:rPr>
                <w:rFonts w:hint="eastAsia" w:cs="宋体"/>
                <w:color w:val="auto"/>
                <w:sz w:val="24"/>
                <w:szCs w:val="24"/>
              </w:rPr>
              <w:t>11</w:t>
            </w:r>
          </w:p>
        </w:tc>
        <w:tc>
          <w:tcPr>
            <w:tcW w:w="1932" w:type="dxa"/>
            <w:vAlign w:val="center"/>
          </w:tcPr>
          <w:p>
            <w:pPr>
              <w:pStyle w:val="5"/>
              <w:spacing w:line="320" w:lineRule="exact"/>
              <w:rPr>
                <w:rFonts w:hint="eastAsia" w:cs="宋体"/>
                <w:color w:val="auto"/>
                <w:sz w:val="24"/>
                <w:szCs w:val="24"/>
              </w:rPr>
            </w:pPr>
            <w:r>
              <w:rPr>
                <w:rFonts w:hint="eastAsia" w:cs="宋体"/>
                <w:color w:val="auto"/>
                <w:sz w:val="24"/>
                <w:szCs w:val="24"/>
                <w:lang w:eastAsia="zh-CN"/>
              </w:rPr>
              <w:t>公厕、</w:t>
            </w:r>
            <w:r>
              <w:rPr>
                <w:rFonts w:hint="eastAsia" w:cs="宋体"/>
                <w:color w:val="auto"/>
                <w:sz w:val="24"/>
                <w:szCs w:val="24"/>
              </w:rPr>
              <w:t>果壳箱、垃圾房清洁完好</w:t>
            </w:r>
          </w:p>
        </w:tc>
        <w:tc>
          <w:tcPr>
            <w:tcW w:w="4140" w:type="dxa"/>
            <w:vAlign w:val="center"/>
          </w:tcPr>
          <w:p>
            <w:pPr>
              <w:pStyle w:val="5"/>
              <w:spacing w:line="320" w:lineRule="exact"/>
              <w:jc w:val="left"/>
              <w:rPr>
                <w:rFonts w:hint="eastAsia" w:cs="宋体"/>
                <w:color w:val="auto"/>
                <w:sz w:val="24"/>
                <w:szCs w:val="24"/>
              </w:rPr>
            </w:pPr>
            <w:r>
              <w:rPr>
                <w:rFonts w:hint="eastAsia" w:cs="宋体"/>
                <w:color w:val="auto"/>
                <w:sz w:val="24"/>
                <w:szCs w:val="24"/>
                <w:lang w:eastAsia="zh-CN"/>
              </w:rPr>
              <w:t>公厕、</w:t>
            </w:r>
            <w:r>
              <w:rPr>
                <w:rFonts w:hint="eastAsia" w:cs="宋体"/>
                <w:color w:val="auto"/>
                <w:sz w:val="24"/>
                <w:szCs w:val="24"/>
              </w:rPr>
              <w:t>箱房体洗涮不净，扣0.1分，废弃物满溢扣0.1分，有锁不锁扣0.1分，损坏及时修理</w:t>
            </w:r>
          </w:p>
        </w:tc>
        <w:tc>
          <w:tcPr>
            <w:tcW w:w="900" w:type="dxa"/>
            <w:vAlign w:val="center"/>
          </w:tcPr>
          <w:p>
            <w:pPr>
              <w:pStyle w:val="5"/>
              <w:spacing w:line="400" w:lineRule="exact"/>
              <w:rPr>
                <w:rFonts w:hint="eastAsia" w:cs="宋体"/>
                <w:color w:val="auto"/>
                <w:sz w:val="24"/>
                <w:szCs w:val="24"/>
              </w:rPr>
            </w:pPr>
            <w:r>
              <w:rPr>
                <w:rFonts w:hint="eastAsia" w:cs="宋体"/>
                <w:color w:val="auto"/>
                <w:sz w:val="24"/>
                <w:szCs w:val="24"/>
              </w:rPr>
              <w:t>1</w:t>
            </w:r>
          </w:p>
        </w:tc>
        <w:tc>
          <w:tcPr>
            <w:tcW w:w="790" w:type="dxa"/>
            <w:vAlign w:val="center"/>
          </w:tcPr>
          <w:p>
            <w:pPr>
              <w:pStyle w:val="5"/>
              <w:spacing w:line="400" w:lineRule="exact"/>
              <w:jc w:val="left"/>
              <w:rPr>
                <w:rFonts w:hint="eastAsia" w:cs="宋体"/>
                <w:color w:val="auto"/>
                <w:sz w:val="24"/>
                <w:szCs w:val="24"/>
              </w:rPr>
            </w:pPr>
          </w:p>
        </w:tc>
        <w:tc>
          <w:tcPr>
            <w:tcW w:w="790" w:type="dxa"/>
            <w:vAlign w:val="center"/>
          </w:tcPr>
          <w:p>
            <w:pPr>
              <w:pStyle w:val="5"/>
              <w:spacing w:line="400" w:lineRule="exact"/>
              <w:jc w:val="left"/>
              <w:rPr>
                <w:rFonts w:hint="eastAsia" w:cs="宋体"/>
                <w:color w:val="auto"/>
                <w:sz w:val="24"/>
                <w:szCs w:val="24"/>
              </w:rPr>
            </w:pPr>
          </w:p>
        </w:tc>
        <w:tc>
          <w:tcPr>
            <w:tcW w:w="791" w:type="dxa"/>
            <w:vAlign w:val="center"/>
          </w:tcPr>
          <w:p>
            <w:pPr>
              <w:pStyle w:val="5"/>
              <w:spacing w:line="400" w:lineRule="exact"/>
              <w:jc w:val="left"/>
              <w:rPr>
                <w:rFonts w:hint="eastAsia"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9811" w:type="dxa"/>
            <w:gridSpan w:val="7"/>
            <w:vAlign w:val="center"/>
          </w:tcPr>
          <w:p>
            <w:pPr>
              <w:pStyle w:val="5"/>
              <w:jc w:val="left"/>
              <w:rPr>
                <w:rFonts w:hint="eastAsia" w:cs="宋体"/>
                <w:color w:val="auto"/>
                <w:sz w:val="24"/>
                <w:szCs w:val="24"/>
              </w:rPr>
            </w:pPr>
            <w:r>
              <w:rPr>
                <w:rFonts w:hint="eastAsia" w:cs="宋体"/>
                <w:color w:val="auto"/>
                <w:sz w:val="24"/>
                <w:szCs w:val="24"/>
              </w:rPr>
              <w:t>备注：采用每日考核制，试用期二个月内每月连续累计三次或每月累计五次达不到9分的，甲方有权终止承包合同，同时没收乙方的全部履约保证金。</w:t>
            </w:r>
          </w:p>
        </w:tc>
      </w:tr>
    </w:tbl>
    <w:p>
      <w:pPr>
        <w:spacing w:line="240" w:lineRule="exact"/>
        <w:jc w:val="left"/>
        <w:rPr>
          <w:rFonts w:hint="eastAsia" w:ascii="宋体" w:hAnsi="宋体" w:cs="宋体"/>
          <w:bCs/>
          <w:iCs/>
          <w:color w:val="auto"/>
          <w:sz w:val="32"/>
          <w:szCs w:val="32"/>
        </w:rPr>
      </w:pPr>
    </w:p>
    <w:p>
      <w:pPr>
        <w:jc w:val="left"/>
        <w:rPr>
          <w:rFonts w:hint="eastAsia" w:ascii="宋体" w:hAnsi="宋体" w:cs="宋体"/>
          <w:bCs/>
          <w:iCs/>
          <w:color w:val="auto"/>
          <w:sz w:val="22"/>
          <w:szCs w:val="22"/>
        </w:rPr>
      </w:pPr>
      <w:r>
        <w:rPr>
          <w:rFonts w:hint="eastAsia" w:ascii="宋体" w:hAnsi="宋体" w:cs="宋体"/>
          <w:bCs/>
          <w:iCs/>
          <w:color w:val="auto"/>
          <w:sz w:val="22"/>
          <w:szCs w:val="22"/>
        </w:rPr>
        <w:t>检查人员：                                                日期：    年    月     日</w:t>
      </w:r>
    </w:p>
    <w:p>
      <w:pPr>
        <w:spacing w:after="0"/>
        <w:rPr>
          <w:rFonts w:ascii="Times New Roman"/>
          <w:color w:val="auto"/>
          <w:sz w:val="20"/>
        </w:rPr>
        <w:sectPr>
          <w:pgSz w:w="11910" w:h="16840"/>
          <w:pgMar w:top="1360" w:right="860" w:bottom="1060" w:left="1020" w:header="873" w:footer="863" w:gutter="0"/>
        </w:sectPr>
      </w:pPr>
    </w:p>
    <w:p>
      <w:pPr>
        <w:pStyle w:val="2"/>
        <w:tabs>
          <w:tab w:val="left" w:pos="4931"/>
        </w:tabs>
        <w:spacing w:before="77"/>
        <w:ind w:left="3650"/>
        <w:rPr>
          <w:color w:val="auto"/>
        </w:rPr>
      </w:pPr>
      <w:bookmarkStart w:id="115" w:name="_bookmark18"/>
      <w:bookmarkEnd w:id="115"/>
      <w:bookmarkStart w:id="116" w:name="第五章  评标办法"/>
      <w:bookmarkEnd w:id="116"/>
      <w:r>
        <w:rPr>
          <w:color w:val="auto"/>
        </w:rPr>
        <w:t>第五章</w:t>
      </w:r>
      <w:r>
        <w:rPr>
          <w:color w:val="auto"/>
        </w:rPr>
        <w:tab/>
      </w:r>
      <w:r>
        <w:rPr>
          <w:color w:val="auto"/>
        </w:rPr>
        <w:t>评标办法</w:t>
      </w:r>
    </w:p>
    <w:p>
      <w:pPr>
        <w:spacing w:before="264" w:line="391" w:lineRule="auto"/>
        <w:ind w:left="1101" w:right="1548" w:firstLine="0"/>
        <w:jc w:val="left"/>
        <w:rPr>
          <w:color w:val="auto"/>
          <w:sz w:val="21"/>
        </w:rPr>
      </w:pPr>
      <w:r>
        <w:rPr>
          <w:b/>
          <w:color w:val="auto"/>
          <w:w w:val="95"/>
          <w:sz w:val="21"/>
        </w:rPr>
        <w:t xml:space="preserve">本工程项目的评标办法采用平均价最接近法（计算结果保留整数以元为单位）。  </w:t>
      </w:r>
      <w:r>
        <w:rPr>
          <w:color w:val="auto"/>
          <w:sz w:val="21"/>
        </w:rPr>
        <w:t>一、商务标评审。</w:t>
      </w:r>
    </w:p>
    <w:p>
      <w:pPr>
        <w:pStyle w:val="6"/>
        <w:spacing w:before="4"/>
        <w:ind w:left="1101"/>
        <w:rPr>
          <w:color w:val="auto"/>
        </w:rPr>
      </w:pPr>
      <w:r>
        <w:rPr>
          <w:rFonts w:ascii="Times New Roman" w:eastAsia="Times New Roman"/>
          <w:color w:val="auto"/>
        </w:rPr>
        <w:t>1</w:t>
      </w:r>
      <w:r>
        <w:rPr>
          <w:color w:val="auto"/>
        </w:rPr>
        <w:t>、招标控制价：</w:t>
      </w:r>
      <w:r>
        <w:rPr>
          <w:rFonts w:hint="eastAsia" w:ascii="Times New Roman"/>
          <w:color w:val="auto"/>
          <w:lang w:val="en-US" w:eastAsia="zh-CN"/>
        </w:rPr>
        <w:t>861348</w:t>
      </w:r>
      <w:r>
        <w:rPr>
          <w:color w:val="auto"/>
        </w:rPr>
        <w:t>元。</w:t>
      </w:r>
    </w:p>
    <w:p>
      <w:pPr>
        <w:pStyle w:val="6"/>
        <w:spacing w:before="170"/>
        <w:ind w:left="1101"/>
        <w:rPr>
          <w:color w:val="auto"/>
        </w:rPr>
      </w:pPr>
      <w:r>
        <w:rPr>
          <w:rFonts w:ascii="Times New Roman" w:eastAsia="Times New Roman"/>
          <w:color w:val="auto"/>
        </w:rPr>
        <w:t>2</w:t>
      </w:r>
      <w:r>
        <w:rPr>
          <w:color w:val="auto"/>
        </w:rPr>
        <w:t>、有效报价上限：</w:t>
      </w:r>
      <w:r>
        <w:rPr>
          <w:rFonts w:hint="eastAsia"/>
          <w:color w:val="auto"/>
        </w:rPr>
        <w:t>792440</w:t>
      </w:r>
      <w:r>
        <w:rPr>
          <w:rFonts w:hint="eastAsia" w:ascii="Times New Roman"/>
          <w:color w:val="auto"/>
          <w:lang w:val="en-US" w:eastAsia="zh-CN"/>
        </w:rPr>
        <w:t xml:space="preserve"> </w:t>
      </w:r>
      <w:r>
        <w:rPr>
          <w:color w:val="auto"/>
        </w:rPr>
        <w:t>元；有效报价下限：</w:t>
      </w:r>
      <w:r>
        <w:rPr>
          <w:rFonts w:hint="eastAsia"/>
          <w:color w:val="auto"/>
          <w:lang w:val="en-US" w:eastAsia="zh-CN"/>
        </w:rPr>
        <w:t>732164</w:t>
      </w:r>
      <w:r>
        <w:rPr>
          <w:color w:val="auto"/>
        </w:rPr>
        <w:t>元；超出上述范围作无效标处理。</w:t>
      </w:r>
    </w:p>
    <w:p>
      <w:pPr>
        <w:pStyle w:val="6"/>
        <w:spacing w:before="170"/>
        <w:ind w:left="1101"/>
        <w:rPr>
          <w:color w:val="auto"/>
        </w:rPr>
      </w:pPr>
      <w:r>
        <w:rPr>
          <w:rFonts w:ascii="Times New Roman" w:eastAsia="Times New Roman"/>
          <w:color w:val="auto"/>
        </w:rPr>
        <w:t>3</w:t>
      </w:r>
      <w:r>
        <w:rPr>
          <w:color w:val="auto"/>
        </w:rPr>
        <w:t>、评标标底价的确定。</w:t>
      </w:r>
    </w:p>
    <w:p>
      <w:pPr>
        <w:pStyle w:val="6"/>
        <w:spacing w:before="173" w:line="391" w:lineRule="auto"/>
        <w:ind w:left="681" w:right="727" w:firstLine="420"/>
        <w:rPr>
          <w:color w:val="auto"/>
        </w:rPr>
      </w:pPr>
      <w:r>
        <w:rPr>
          <w:color w:val="auto"/>
        </w:rPr>
        <w:t>评标标底价</w:t>
      </w:r>
      <w:r>
        <w:rPr>
          <w:rFonts w:ascii="Times New Roman" w:hAnsi="Times New Roman" w:eastAsia="Times New Roman"/>
          <w:color w:val="auto"/>
        </w:rPr>
        <w:t>=</w:t>
      </w:r>
      <w:r>
        <w:rPr>
          <w:color w:val="auto"/>
        </w:rPr>
        <w:t>所有经评审的有效报价的算术平均值×</w:t>
      </w:r>
      <w:r>
        <w:rPr>
          <w:rFonts w:ascii="Times New Roman" w:hAnsi="Times New Roman" w:eastAsia="Times New Roman"/>
          <w:color w:val="auto"/>
        </w:rPr>
        <w:t>40%+</w:t>
      </w:r>
      <w:r>
        <w:rPr>
          <w:color w:val="auto"/>
          <w:spacing w:val="-1"/>
        </w:rPr>
        <w:t>招标控制价×</w:t>
      </w:r>
      <w:r>
        <w:rPr>
          <w:color w:val="auto"/>
          <w:spacing w:val="-3"/>
        </w:rPr>
        <w:t>（</w:t>
      </w:r>
      <w:r>
        <w:rPr>
          <w:rFonts w:ascii="Times New Roman" w:hAnsi="Times New Roman" w:eastAsia="Times New Roman"/>
          <w:color w:val="auto"/>
          <w:spacing w:val="-3"/>
        </w:rPr>
        <w:t>1-D%</w:t>
      </w:r>
      <w:r>
        <w:rPr>
          <w:color w:val="auto"/>
          <w:spacing w:val="-3"/>
        </w:rPr>
        <w:t>）×</w:t>
      </w:r>
      <w:r>
        <w:rPr>
          <w:rFonts w:ascii="Times New Roman" w:hAnsi="Times New Roman" w:eastAsia="Times New Roman"/>
          <w:color w:val="auto"/>
          <w:spacing w:val="-3"/>
        </w:rPr>
        <w:t>60%</w:t>
      </w:r>
      <w:r>
        <w:rPr>
          <w:color w:val="auto"/>
          <w:spacing w:val="-3"/>
        </w:rPr>
        <w:t xml:space="preserve">， </w:t>
      </w:r>
      <w:r>
        <w:rPr>
          <w:color w:val="auto"/>
          <w:spacing w:val="25"/>
        </w:rPr>
        <w:t>其中</w:t>
      </w:r>
      <w:r>
        <w:rPr>
          <w:rFonts w:ascii="Times New Roman" w:hAnsi="Times New Roman" w:eastAsia="Times New Roman"/>
          <w:color w:val="auto"/>
        </w:rPr>
        <w:t xml:space="preserve">D </w:t>
      </w:r>
      <w:r>
        <w:rPr>
          <w:color w:val="auto"/>
          <w:spacing w:val="-12"/>
        </w:rPr>
        <w:t xml:space="preserve">为下浮率，由招标人在开标现场通过随机抽签的办法在下列 </w:t>
      </w:r>
      <w:r>
        <w:rPr>
          <w:rFonts w:ascii="Times New Roman" w:hAnsi="Times New Roman" w:eastAsia="Times New Roman"/>
          <w:color w:val="auto"/>
        </w:rPr>
        <w:t xml:space="preserve">8 </w:t>
      </w:r>
      <w:r>
        <w:rPr>
          <w:color w:val="auto"/>
          <w:spacing w:val="-11"/>
        </w:rPr>
        <w:t xml:space="preserve">个数值中确定： </w:t>
      </w:r>
      <w:r>
        <w:rPr>
          <w:rFonts w:ascii="Times New Roman" w:hAnsi="Times New Roman" w:eastAsia="Times New Roman"/>
          <w:color w:val="auto"/>
        </w:rPr>
        <w:t>8.0</w:t>
      </w:r>
      <w:r>
        <w:rPr>
          <w:color w:val="auto"/>
          <w:spacing w:val="-85"/>
        </w:rPr>
        <w:t>、</w:t>
      </w:r>
      <w:r>
        <w:rPr>
          <w:rFonts w:ascii="Times New Roman" w:hAnsi="Times New Roman" w:eastAsia="Times New Roman"/>
          <w:color w:val="auto"/>
        </w:rPr>
        <w:t>9.0</w:t>
      </w:r>
      <w:r>
        <w:rPr>
          <w:color w:val="auto"/>
        </w:rPr>
        <w:t>、</w:t>
      </w:r>
    </w:p>
    <w:p>
      <w:pPr>
        <w:pStyle w:val="6"/>
        <w:spacing w:before="1"/>
        <w:ind w:left="681"/>
        <w:rPr>
          <w:color w:val="auto"/>
        </w:rPr>
      </w:pPr>
      <w:r>
        <w:rPr>
          <w:rFonts w:ascii="Times New Roman" w:eastAsia="Times New Roman"/>
          <w:color w:val="auto"/>
        </w:rPr>
        <w:t>10.0</w:t>
      </w:r>
      <w:r>
        <w:rPr>
          <w:color w:val="auto"/>
        </w:rPr>
        <w:t>、</w:t>
      </w:r>
      <w:r>
        <w:rPr>
          <w:rFonts w:ascii="Times New Roman" w:eastAsia="Times New Roman"/>
          <w:color w:val="auto"/>
        </w:rPr>
        <w:t>11.0</w:t>
      </w:r>
      <w:r>
        <w:rPr>
          <w:color w:val="auto"/>
        </w:rPr>
        <w:t>、</w:t>
      </w:r>
      <w:r>
        <w:rPr>
          <w:rFonts w:ascii="Times New Roman" w:eastAsia="Times New Roman"/>
          <w:color w:val="auto"/>
        </w:rPr>
        <w:t>12.0</w:t>
      </w:r>
      <w:r>
        <w:rPr>
          <w:color w:val="auto"/>
        </w:rPr>
        <w:t>、</w:t>
      </w:r>
      <w:r>
        <w:rPr>
          <w:rFonts w:ascii="Times New Roman" w:eastAsia="Times New Roman"/>
          <w:color w:val="auto"/>
        </w:rPr>
        <w:t>13.0</w:t>
      </w:r>
      <w:r>
        <w:rPr>
          <w:color w:val="auto"/>
        </w:rPr>
        <w:t>、</w:t>
      </w:r>
      <w:r>
        <w:rPr>
          <w:rFonts w:ascii="Times New Roman" w:eastAsia="Times New Roman"/>
          <w:color w:val="auto"/>
        </w:rPr>
        <w:t>14.0</w:t>
      </w:r>
      <w:r>
        <w:rPr>
          <w:color w:val="auto"/>
        </w:rPr>
        <w:t>、</w:t>
      </w:r>
      <w:r>
        <w:rPr>
          <w:rFonts w:ascii="Times New Roman" w:eastAsia="Times New Roman"/>
          <w:color w:val="auto"/>
        </w:rPr>
        <w:t>15.0</w:t>
      </w:r>
      <w:r>
        <w:rPr>
          <w:color w:val="auto"/>
        </w:rPr>
        <w:t>。</w:t>
      </w:r>
    </w:p>
    <w:p>
      <w:pPr>
        <w:pStyle w:val="6"/>
        <w:spacing w:before="173"/>
        <w:ind w:left="1101"/>
        <w:rPr>
          <w:color w:val="auto"/>
        </w:rPr>
      </w:pPr>
      <w:r>
        <w:rPr>
          <w:rFonts w:ascii="Times New Roman" w:eastAsia="Times New Roman"/>
          <w:color w:val="auto"/>
        </w:rPr>
        <w:t>4</w:t>
      </w:r>
      <w:r>
        <w:rPr>
          <w:color w:val="auto"/>
        </w:rPr>
        <w:t>、中标候选人的确定（</w:t>
      </w:r>
      <w:r>
        <w:rPr>
          <w:rFonts w:ascii="Times New Roman" w:eastAsia="Times New Roman"/>
          <w:color w:val="auto"/>
        </w:rPr>
        <w:t xml:space="preserve">1 </w:t>
      </w:r>
      <w:r>
        <w:rPr>
          <w:color w:val="auto"/>
        </w:rPr>
        <w:t>名中标候选人）。</w:t>
      </w:r>
    </w:p>
    <w:p>
      <w:pPr>
        <w:pStyle w:val="6"/>
        <w:spacing w:before="170" w:line="391" w:lineRule="auto"/>
        <w:ind w:left="681" w:right="840" w:firstLine="420"/>
        <w:rPr>
          <w:color w:val="auto"/>
        </w:rPr>
      </w:pPr>
      <w:r>
        <w:rPr>
          <w:color w:val="auto"/>
        </w:rPr>
        <w:t>在所有经评审的有效报价中，按有效报价与评标标底价之差的绝对值大小确定中标候选人。即：</w:t>
      </w:r>
    </w:p>
    <w:p>
      <w:pPr>
        <w:pStyle w:val="17"/>
        <w:numPr>
          <w:ilvl w:val="2"/>
          <w:numId w:val="43"/>
        </w:numPr>
        <w:tabs>
          <w:tab w:val="left" w:pos="1626"/>
        </w:tabs>
        <w:spacing w:before="3" w:after="0" w:line="240" w:lineRule="auto"/>
        <w:ind w:left="1626" w:right="0" w:hanging="525"/>
        <w:jc w:val="left"/>
        <w:rPr>
          <w:color w:val="auto"/>
          <w:sz w:val="21"/>
        </w:rPr>
      </w:pPr>
      <w:r>
        <w:rPr>
          <w:color w:val="auto"/>
          <w:sz w:val="21"/>
        </w:rPr>
        <w:t>以有效报价与评标标底价之差的绝对值最小者为中标候选人；</w:t>
      </w:r>
    </w:p>
    <w:p>
      <w:pPr>
        <w:pStyle w:val="17"/>
        <w:numPr>
          <w:ilvl w:val="2"/>
          <w:numId w:val="43"/>
        </w:numPr>
        <w:tabs>
          <w:tab w:val="left" w:pos="1626"/>
        </w:tabs>
        <w:spacing w:before="171" w:after="0" w:line="391" w:lineRule="auto"/>
        <w:ind w:left="681" w:right="840" w:firstLine="420"/>
        <w:jc w:val="left"/>
        <w:rPr>
          <w:color w:val="auto"/>
          <w:sz w:val="21"/>
        </w:rPr>
      </w:pPr>
      <w:r>
        <w:rPr>
          <w:color w:val="auto"/>
          <w:w w:val="95"/>
          <w:sz w:val="21"/>
        </w:rPr>
        <w:t xml:space="preserve">如有效报价与评标标底价之差的最小绝对值相等而有效报价不相等的，取报价低者  </w:t>
      </w:r>
      <w:r>
        <w:rPr>
          <w:color w:val="auto"/>
          <w:sz w:val="21"/>
        </w:rPr>
        <w:t>为中标候选人；</w:t>
      </w:r>
    </w:p>
    <w:p>
      <w:pPr>
        <w:pStyle w:val="17"/>
        <w:numPr>
          <w:ilvl w:val="2"/>
          <w:numId w:val="43"/>
        </w:numPr>
        <w:tabs>
          <w:tab w:val="left" w:pos="1626"/>
        </w:tabs>
        <w:spacing w:before="3" w:after="0" w:line="391" w:lineRule="auto"/>
        <w:ind w:left="681" w:right="840" w:firstLine="420"/>
        <w:jc w:val="left"/>
        <w:rPr>
          <w:color w:val="auto"/>
          <w:sz w:val="21"/>
        </w:rPr>
      </w:pPr>
      <w:r>
        <w:rPr>
          <w:color w:val="auto"/>
          <w:w w:val="95"/>
          <w:sz w:val="21"/>
        </w:rPr>
        <w:t xml:space="preserve">如有效报价与评标标底价之差的最小绝对值相等且有效报价相等的，则以现场抽签  </w:t>
      </w:r>
      <w:r>
        <w:rPr>
          <w:color w:val="auto"/>
          <w:sz w:val="21"/>
        </w:rPr>
        <w:t>方式确定中标候选人。</w:t>
      </w:r>
    </w:p>
    <w:p>
      <w:pPr>
        <w:spacing w:after="0" w:line="391" w:lineRule="auto"/>
        <w:jc w:val="left"/>
        <w:rPr>
          <w:color w:val="auto"/>
          <w:sz w:val="21"/>
        </w:rPr>
        <w:sectPr>
          <w:pgSz w:w="11910" w:h="16840"/>
          <w:pgMar w:top="1360" w:right="860" w:bottom="1060" w:left="1020" w:header="873" w:footer="863" w:gutter="0"/>
        </w:sectPr>
      </w:pPr>
    </w:p>
    <w:p>
      <w:pPr>
        <w:pStyle w:val="6"/>
        <w:spacing w:before="1"/>
        <w:rPr>
          <w:color w:val="auto"/>
          <w:sz w:val="19"/>
        </w:rPr>
      </w:pPr>
    </w:p>
    <w:p>
      <w:pPr>
        <w:pStyle w:val="6"/>
        <w:spacing w:before="70"/>
        <w:ind w:left="681"/>
        <w:rPr>
          <w:color w:val="auto"/>
        </w:rPr>
      </w:pPr>
      <w:bookmarkStart w:id="117" w:name="附件一："/>
      <w:bookmarkEnd w:id="117"/>
      <w:bookmarkStart w:id="118" w:name="_bookmark19"/>
      <w:bookmarkEnd w:id="118"/>
      <w:r>
        <w:rPr>
          <w:color w:val="auto"/>
        </w:rPr>
        <w:t>附件一：</w:t>
      </w:r>
    </w:p>
    <w:p>
      <w:pPr>
        <w:pStyle w:val="6"/>
        <w:spacing w:before="6"/>
        <w:rPr>
          <w:color w:val="auto"/>
          <w:sz w:val="16"/>
        </w:rPr>
      </w:pPr>
    </w:p>
    <w:p>
      <w:pPr>
        <w:pStyle w:val="2"/>
        <w:spacing w:before="1"/>
        <w:ind w:left="1111"/>
        <w:jc w:val="center"/>
        <w:rPr>
          <w:rFonts w:hint="eastAsia" w:ascii="宋体" w:eastAsia="宋体"/>
          <w:color w:val="auto"/>
          <w:lang w:eastAsia="zh-CN"/>
        </w:rPr>
      </w:pPr>
      <w:bookmarkStart w:id="119" w:name="2018年-2019年泽坎线沙门至龙溪段路面清扫保洁项目"/>
      <w:bookmarkEnd w:id="119"/>
      <w:r>
        <w:rPr>
          <w:rFonts w:hint="eastAsia" w:ascii="Times New Roman" w:eastAsia="宋体"/>
          <w:color w:val="auto"/>
          <w:lang w:eastAsia="zh-CN"/>
        </w:rPr>
        <w:t>玉环海洋经济转型示范区道路清扫保洁、河道保洁及沿道路垃圾收集清运项目</w:t>
      </w:r>
    </w:p>
    <w:p>
      <w:pPr>
        <w:spacing w:before="223"/>
        <w:ind w:left="0" w:right="161" w:firstLine="0"/>
        <w:jc w:val="center"/>
        <w:rPr>
          <w:rFonts w:hint="eastAsia" w:ascii="黑体" w:eastAsia="黑体"/>
          <w:b/>
          <w:color w:val="auto"/>
          <w:sz w:val="32"/>
        </w:rPr>
      </w:pPr>
      <w:r>
        <w:rPr>
          <w:rFonts w:hint="eastAsia" w:ascii="黑体" w:eastAsia="黑体"/>
          <w:b/>
          <w:color w:val="auto"/>
          <w:sz w:val="32"/>
        </w:rPr>
        <w:t>投 标 函</w:t>
      </w:r>
    </w:p>
    <w:p>
      <w:pPr>
        <w:pStyle w:val="6"/>
        <w:rPr>
          <w:rFonts w:ascii="黑体"/>
          <w:b/>
          <w:color w:val="auto"/>
          <w:sz w:val="32"/>
        </w:rPr>
      </w:pPr>
    </w:p>
    <w:p>
      <w:pPr>
        <w:pStyle w:val="6"/>
        <w:spacing w:before="221"/>
        <w:ind w:left="681"/>
        <w:rPr>
          <w:color w:val="auto"/>
        </w:rPr>
      </w:pPr>
      <w:r>
        <w:rPr>
          <w:rFonts w:hint="eastAsia"/>
          <w:color w:val="auto"/>
          <w:u w:val="single"/>
          <w:lang w:eastAsia="zh-CN"/>
        </w:rPr>
        <w:t>浙江玉环经济开发区管理委员会</w:t>
      </w:r>
      <w:r>
        <w:rPr>
          <w:color w:val="auto"/>
        </w:rPr>
        <w:t>（招标人）：</w:t>
      </w:r>
    </w:p>
    <w:p>
      <w:pPr>
        <w:pStyle w:val="6"/>
        <w:rPr>
          <w:color w:val="auto"/>
          <w:sz w:val="24"/>
        </w:rPr>
      </w:pPr>
    </w:p>
    <w:p>
      <w:pPr>
        <w:pStyle w:val="6"/>
        <w:spacing w:line="501" w:lineRule="auto"/>
        <w:ind w:left="681" w:right="837" w:firstLine="420"/>
        <w:rPr>
          <w:color w:val="auto"/>
        </w:rPr>
      </w:pPr>
      <w:r>
        <w:rPr>
          <w:color w:val="auto"/>
        </w:rPr>
        <w:t xml:space="preserve">一、根据你方的 </w:t>
      </w:r>
      <w:r>
        <w:rPr>
          <w:rFonts w:hint="eastAsia" w:ascii="Times New Roman"/>
          <w:color w:val="auto"/>
          <w:u w:val="single"/>
          <w:lang w:eastAsia="zh-CN"/>
        </w:rPr>
        <w:t>玉环海洋经济转型示范区道路清扫保洁、河道保洁及沿道路垃圾收集清运项目</w:t>
      </w:r>
      <w:r>
        <w:rPr>
          <w:color w:val="auto"/>
        </w:rPr>
        <w:t>招标文件，经考察现场和研究上述招标文件后，在全部同意招标文件内容前提下，我方保证：</w:t>
      </w:r>
    </w:p>
    <w:p>
      <w:pPr>
        <w:tabs>
          <w:tab w:val="left" w:pos="3515"/>
          <w:tab w:val="left" w:pos="4144"/>
          <w:tab w:val="left" w:pos="4804"/>
          <w:tab w:val="left" w:pos="5464"/>
          <w:tab w:val="left" w:pos="6124"/>
          <w:tab w:val="left" w:pos="6782"/>
          <w:tab w:val="left" w:pos="8344"/>
        </w:tabs>
        <w:spacing w:before="0" w:line="499" w:lineRule="auto"/>
        <w:ind w:left="681" w:right="842" w:firstLine="420"/>
        <w:jc w:val="left"/>
        <w:rPr>
          <w:color w:val="auto"/>
          <w:sz w:val="21"/>
        </w:rPr>
      </w:pPr>
      <w:r>
        <w:rPr>
          <w:rFonts w:ascii="Times New Roman" w:eastAsia="Times New Roman"/>
          <w:color w:val="auto"/>
          <w:sz w:val="21"/>
        </w:rPr>
        <w:t>1</w:t>
      </w:r>
      <w:r>
        <w:rPr>
          <w:color w:val="auto"/>
          <w:spacing w:val="-5"/>
          <w:sz w:val="21"/>
        </w:rPr>
        <w:t>、</w:t>
      </w:r>
      <w:r>
        <w:rPr>
          <w:b/>
          <w:color w:val="auto"/>
          <w:sz w:val="21"/>
        </w:rPr>
        <w:t>愿以总报价人民币</w:t>
      </w:r>
      <w:r>
        <w:rPr>
          <w:b/>
          <w:color w:val="auto"/>
          <w:sz w:val="21"/>
          <w:u w:val="single"/>
        </w:rPr>
        <w:t xml:space="preserve"> </w:t>
      </w:r>
      <w:r>
        <w:rPr>
          <w:b/>
          <w:color w:val="auto"/>
          <w:sz w:val="21"/>
          <w:u w:val="single"/>
        </w:rPr>
        <w:tab/>
      </w:r>
      <w:r>
        <w:rPr>
          <w:color w:val="auto"/>
          <w:sz w:val="21"/>
        </w:rPr>
        <w:t>拾</w:t>
      </w:r>
      <w:r>
        <w:rPr>
          <w:color w:val="auto"/>
          <w:sz w:val="21"/>
          <w:u w:val="single"/>
        </w:rPr>
        <w:t xml:space="preserve"> </w:t>
      </w:r>
      <w:r>
        <w:rPr>
          <w:color w:val="auto"/>
          <w:sz w:val="21"/>
          <w:u w:val="single"/>
        </w:rPr>
        <w:tab/>
      </w:r>
      <w:r>
        <w:rPr>
          <w:color w:val="auto"/>
          <w:sz w:val="21"/>
        </w:rPr>
        <w:t>万</w:t>
      </w:r>
      <w:r>
        <w:rPr>
          <w:color w:val="auto"/>
          <w:sz w:val="21"/>
          <w:u w:val="single"/>
        </w:rPr>
        <w:t xml:space="preserve"> </w:t>
      </w:r>
      <w:r>
        <w:rPr>
          <w:color w:val="auto"/>
          <w:sz w:val="21"/>
          <w:u w:val="single"/>
        </w:rPr>
        <w:tab/>
      </w:r>
      <w:r>
        <w:rPr>
          <w:color w:val="auto"/>
          <w:sz w:val="21"/>
        </w:rPr>
        <w:t>仟</w:t>
      </w:r>
      <w:r>
        <w:rPr>
          <w:color w:val="auto"/>
          <w:sz w:val="21"/>
          <w:u w:val="single"/>
        </w:rPr>
        <w:t xml:space="preserve"> </w:t>
      </w:r>
      <w:r>
        <w:rPr>
          <w:color w:val="auto"/>
          <w:sz w:val="21"/>
          <w:u w:val="single"/>
        </w:rPr>
        <w:tab/>
      </w:r>
      <w:r>
        <w:rPr>
          <w:color w:val="auto"/>
          <w:sz w:val="21"/>
        </w:rPr>
        <w:t>佰</w:t>
      </w:r>
      <w:r>
        <w:rPr>
          <w:color w:val="auto"/>
          <w:sz w:val="21"/>
          <w:u w:val="single"/>
        </w:rPr>
        <w:t xml:space="preserve"> </w:t>
      </w:r>
      <w:r>
        <w:rPr>
          <w:color w:val="auto"/>
          <w:sz w:val="21"/>
          <w:u w:val="single"/>
        </w:rPr>
        <w:tab/>
      </w:r>
      <w:r>
        <w:rPr>
          <w:color w:val="auto"/>
          <w:sz w:val="21"/>
        </w:rPr>
        <w:t>拾</w:t>
      </w:r>
      <w:r>
        <w:rPr>
          <w:color w:val="auto"/>
          <w:sz w:val="21"/>
          <w:u w:val="single"/>
        </w:rPr>
        <w:t xml:space="preserve"> </w:t>
      </w:r>
      <w:r>
        <w:rPr>
          <w:color w:val="auto"/>
          <w:sz w:val="21"/>
          <w:u w:val="single"/>
        </w:rPr>
        <w:tab/>
      </w:r>
      <w:r>
        <w:rPr>
          <w:color w:val="auto"/>
          <w:sz w:val="21"/>
        </w:rPr>
        <w:t>元</w:t>
      </w:r>
      <w:r>
        <w:rPr>
          <w:color w:val="auto"/>
          <w:spacing w:val="-4"/>
          <w:sz w:val="21"/>
        </w:rPr>
        <w:t>，￥：</w:t>
      </w:r>
      <w:r>
        <w:rPr>
          <w:color w:val="auto"/>
          <w:spacing w:val="-4"/>
          <w:sz w:val="21"/>
          <w:u w:val="single"/>
        </w:rPr>
        <w:t xml:space="preserve"> </w:t>
      </w:r>
      <w:r>
        <w:rPr>
          <w:color w:val="auto"/>
          <w:spacing w:val="-4"/>
          <w:sz w:val="21"/>
          <w:u w:val="single"/>
        </w:rPr>
        <w:tab/>
      </w:r>
      <w:r>
        <w:rPr>
          <w:color w:val="auto"/>
          <w:sz w:val="21"/>
        </w:rPr>
        <w:t>元承包</w:t>
      </w:r>
      <w:r>
        <w:rPr>
          <w:color w:val="auto"/>
          <w:spacing w:val="-15"/>
          <w:sz w:val="21"/>
        </w:rPr>
        <w:t>上</w:t>
      </w:r>
      <w:r>
        <w:rPr>
          <w:color w:val="auto"/>
          <w:sz w:val="21"/>
        </w:rPr>
        <w:t>述项目的全部内容。</w:t>
      </w:r>
    </w:p>
    <w:p>
      <w:pPr>
        <w:pStyle w:val="6"/>
        <w:ind w:left="1101"/>
        <w:rPr>
          <w:color w:val="auto"/>
        </w:rPr>
      </w:pPr>
      <w:r>
        <w:rPr>
          <w:rFonts w:ascii="Times New Roman" w:hAnsi="Times New Roman" w:eastAsia="Times New Roman"/>
          <w:color w:val="auto"/>
        </w:rPr>
        <w:t>2</w:t>
      </w:r>
      <w:r>
        <w:rPr>
          <w:color w:val="auto"/>
        </w:rPr>
        <w:t>、服务期限：</w:t>
      </w:r>
      <w:r>
        <w:rPr>
          <w:rFonts w:hint="eastAsia" w:ascii="Times New Roman" w:hAnsi="Times New Roman"/>
          <w:color w:val="auto"/>
          <w:lang w:val="en-US" w:eastAsia="zh-CN"/>
        </w:rPr>
        <w:t>1年</w:t>
      </w:r>
      <w:r>
        <w:rPr>
          <w:color w:val="auto"/>
        </w:rPr>
        <w:t>；</w:t>
      </w:r>
    </w:p>
    <w:p>
      <w:pPr>
        <w:pStyle w:val="6"/>
        <w:spacing w:before="5"/>
        <w:rPr>
          <w:color w:val="auto"/>
          <w:sz w:val="22"/>
        </w:rPr>
      </w:pPr>
    </w:p>
    <w:p>
      <w:pPr>
        <w:pStyle w:val="6"/>
        <w:spacing w:before="1" w:line="499" w:lineRule="auto"/>
        <w:ind w:left="681" w:right="840" w:firstLine="420"/>
        <w:rPr>
          <w:color w:val="auto"/>
        </w:rPr>
      </w:pPr>
      <w:r>
        <w:rPr>
          <w:rFonts w:ascii="Times New Roman" w:eastAsia="Times New Roman"/>
          <w:color w:val="auto"/>
          <w:w w:val="95"/>
        </w:rPr>
        <w:t>3</w:t>
      </w:r>
      <w:r>
        <w:rPr>
          <w:color w:val="auto"/>
          <w:w w:val="95"/>
        </w:rPr>
        <w:t xml:space="preserve">、工作要求和质量标准：具体工作的质量标准和作业规范按甲方具体要求及招标文件中  </w:t>
      </w:r>
      <w:r>
        <w:rPr>
          <w:color w:val="auto"/>
        </w:rPr>
        <w:t>所规定的执行；</w:t>
      </w:r>
    </w:p>
    <w:p>
      <w:pPr>
        <w:pStyle w:val="6"/>
        <w:spacing w:before="1"/>
        <w:ind w:left="1101"/>
        <w:rPr>
          <w:color w:val="auto"/>
        </w:rPr>
      </w:pPr>
      <w:r>
        <w:rPr>
          <w:rFonts w:ascii="Times New Roman" w:eastAsia="Times New Roman"/>
          <w:color w:val="auto"/>
        </w:rPr>
        <w:t>4</w:t>
      </w:r>
      <w:r>
        <w:rPr>
          <w:color w:val="auto"/>
        </w:rPr>
        <w:t>、人员设备按本投标文件的部署及时到位。</w:t>
      </w:r>
    </w:p>
    <w:p>
      <w:pPr>
        <w:pStyle w:val="6"/>
        <w:spacing w:before="8"/>
        <w:rPr>
          <w:color w:val="auto"/>
          <w:sz w:val="22"/>
        </w:rPr>
      </w:pPr>
    </w:p>
    <w:p>
      <w:pPr>
        <w:pStyle w:val="6"/>
        <w:spacing w:line="499" w:lineRule="auto"/>
        <w:ind w:left="1101" w:right="734"/>
        <w:rPr>
          <w:color w:val="auto"/>
        </w:rPr>
      </w:pPr>
      <w:r>
        <w:rPr>
          <w:color w:val="auto"/>
          <w:w w:val="95"/>
        </w:rPr>
        <w:t xml:space="preserve">二、如果我方中标，我方将按照招标文件规定提交履约担保，共同地和分别地承担责任。   </w:t>
      </w:r>
      <w:r>
        <w:rPr>
          <w:color w:val="auto"/>
          <w:spacing w:val="-12"/>
        </w:rPr>
        <w:t>三、除非另外达成协议并生效，你方的中标通知书和本投标文件将构成约束我们双方的合</w:t>
      </w:r>
    </w:p>
    <w:p>
      <w:pPr>
        <w:pStyle w:val="6"/>
        <w:spacing w:before="2"/>
        <w:ind w:left="681"/>
        <w:rPr>
          <w:color w:val="auto"/>
        </w:rPr>
      </w:pPr>
      <w:r>
        <w:rPr>
          <w:color w:val="auto"/>
        </w:rPr>
        <w:t>同。</w:t>
      </w:r>
    </w:p>
    <w:p>
      <w:pPr>
        <w:pStyle w:val="6"/>
        <w:spacing w:before="8"/>
        <w:rPr>
          <w:color w:val="auto"/>
          <w:sz w:val="22"/>
        </w:rPr>
      </w:pPr>
    </w:p>
    <w:p>
      <w:pPr>
        <w:pStyle w:val="6"/>
        <w:ind w:left="1101"/>
        <w:rPr>
          <w:color w:val="auto"/>
        </w:rPr>
      </w:pPr>
      <w:r>
        <w:rPr>
          <w:color w:val="auto"/>
        </w:rPr>
        <w:t>四、我方的投标担保已按招标文件的要求递交。</w:t>
      </w: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spacing w:before="1"/>
        <w:rPr>
          <w:color w:val="auto"/>
          <w:sz w:val="17"/>
        </w:rPr>
      </w:pPr>
    </w:p>
    <w:p>
      <w:pPr>
        <w:pStyle w:val="6"/>
        <w:spacing w:line="499" w:lineRule="auto"/>
        <w:ind w:left="5090" w:right="2205"/>
        <w:rPr>
          <w:color w:val="auto"/>
        </w:rPr>
      </w:pPr>
      <w:r>
        <w:rPr>
          <w:color w:val="auto"/>
        </w:rPr>
        <w:t>法定代表人（签字或盖章）： 投标人（盖章）：</w:t>
      </w:r>
    </w:p>
    <w:p>
      <w:pPr>
        <w:pStyle w:val="6"/>
        <w:tabs>
          <w:tab w:val="left" w:pos="6244"/>
          <w:tab w:val="left" w:pos="6981"/>
          <w:tab w:val="left" w:pos="7715"/>
        </w:tabs>
        <w:spacing w:line="268" w:lineRule="exact"/>
        <w:ind w:left="5090"/>
        <w:rPr>
          <w:color w:val="auto"/>
        </w:rPr>
      </w:pPr>
      <w:r>
        <w:rPr>
          <w:color w:val="auto"/>
        </w:rPr>
        <w:t>日期：</w:t>
      </w:r>
      <w:r>
        <w:rPr>
          <w:color w:val="auto"/>
        </w:rPr>
        <w:tab/>
      </w:r>
      <w:r>
        <w:rPr>
          <w:color w:val="auto"/>
        </w:rPr>
        <w:t>年</w:t>
      </w:r>
      <w:r>
        <w:rPr>
          <w:color w:val="auto"/>
        </w:rPr>
        <w:tab/>
      </w:r>
      <w:r>
        <w:rPr>
          <w:color w:val="auto"/>
        </w:rPr>
        <w:t>月</w:t>
      </w:r>
      <w:r>
        <w:rPr>
          <w:color w:val="auto"/>
        </w:rPr>
        <w:tab/>
      </w:r>
      <w:r>
        <w:rPr>
          <w:color w:val="auto"/>
        </w:rPr>
        <w:t>日</w:t>
      </w:r>
    </w:p>
    <w:p>
      <w:pPr>
        <w:spacing w:after="0" w:line="268" w:lineRule="exact"/>
        <w:rPr>
          <w:color w:val="auto"/>
        </w:rPr>
        <w:sectPr>
          <w:footerReference r:id="rId6" w:type="default"/>
          <w:pgSz w:w="11910" w:h="16840"/>
          <w:pgMar w:top="1360" w:right="860" w:bottom="1060" w:left="1020" w:header="873" w:footer="863" w:gutter="0"/>
          <w:pgNumType w:start="20"/>
        </w:sectPr>
      </w:pPr>
    </w:p>
    <w:p>
      <w:pPr>
        <w:pStyle w:val="6"/>
        <w:spacing w:before="1"/>
        <w:rPr>
          <w:color w:val="auto"/>
          <w:sz w:val="19"/>
        </w:rPr>
      </w:pPr>
    </w:p>
    <w:p>
      <w:pPr>
        <w:spacing w:after="0"/>
        <w:rPr>
          <w:color w:val="auto"/>
          <w:sz w:val="19"/>
        </w:rPr>
        <w:sectPr>
          <w:pgSz w:w="11910" w:h="16840"/>
          <w:pgMar w:top="1360" w:right="860" w:bottom="1060" w:left="1020" w:header="873" w:footer="863" w:gutter="0"/>
        </w:sectPr>
      </w:pPr>
    </w:p>
    <w:p>
      <w:pPr>
        <w:pStyle w:val="6"/>
        <w:spacing w:before="70"/>
        <w:ind w:left="681"/>
        <w:rPr>
          <w:color w:val="auto"/>
        </w:rPr>
      </w:pPr>
      <w:bookmarkStart w:id="120" w:name="_bookmark20"/>
      <w:bookmarkEnd w:id="120"/>
      <w:bookmarkStart w:id="121" w:name="附件二："/>
      <w:bookmarkEnd w:id="121"/>
      <w:r>
        <w:rPr>
          <w:color w:val="auto"/>
        </w:rPr>
        <w:t>附件二：</w:t>
      </w:r>
    </w:p>
    <w:p>
      <w:pPr>
        <w:pStyle w:val="6"/>
        <w:spacing w:before="3"/>
        <w:rPr>
          <w:color w:val="auto"/>
          <w:sz w:val="36"/>
        </w:rPr>
      </w:pPr>
      <w:r>
        <w:rPr>
          <w:color w:val="auto"/>
        </w:rPr>
        <w:br w:type="column"/>
      </w:r>
    </w:p>
    <w:p>
      <w:pPr>
        <w:pStyle w:val="2"/>
        <w:spacing w:before="0"/>
        <w:ind w:left="681"/>
        <w:rPr>
          <w:color w:val="auto"/>
        </w:rPr>
      </w:pPr>
      <w:r>
        <w:rPr>
          <w:color w:val="auto"/>
        </w:rPr>
        <w:t>台州市建设工程诚信投标承诺书</w:t>
      </w:r>
    </w:p>
    <w:p>
      <w:pPr>
        <w:spacing w:after="0"/>
        <w:rPr>
          <w:color w:val="auto"/>
        </w:rPr>
        <w:sectPr>
          <w:type w:val="continuous"/>
          <w:pgSz w:w="11910" w:h="16840"/>
          <w:pgMar w:top="1600" w:right="860" w:bottom="280" w:left="1020" w:header="720" w:footer="720" w:gutter="0"/>
          <w:cols w:equalWidth="0" w:num="2">
            <w:col w:w="1560" w:space="444"/>
            <w:col w:w="8026"/>
          </w:cols>
        </w:sectPr>
      </w:pPr>
    </w:p>
    <w:p>
      <w:pPr>
        <w:pStyle w:val="6"/>
        <w:rPr>
          <w:rFonts w:ascii="黑体"/>
          <w:b/>
          <w:color w:val="auto"/>
          <w:sz w:val="20"/>
        </w:rPr>
      </w:pPr>
    </w:p>
    <w:p>
      <w:pPr>
        <w:pStyle w:val="6"/>
        <w:spacing w:before="6"/>
        <w:rPr>
          <w:rFonts w:ascii="黑体"/>
          <w:b/>
          <w:color w:val="auto"/>
          <w:sz w:val="20"/>
        </w:rPr>
      </w:pPr>
    </w:p>
    <w:p>
      <w:pPr>
        <w:pStyle w:val="6"/>
        <w:spacing w:before="69"/>
        <w:ind w:left="1101"/>
        <w:rPr>
          <w:color w:val="auto"/>
        </w:rPr>
      </w:pPr>
      <w:r>
        <w:rPr>
          <w:color w:val="auto"/>
        </w:rPr>
        <w:t>本人以企业法定代表人的身份郑重承诺：</w:t>
      </w:r>
    </w:p>
    <w:p>
      <w:pPr>
        <w:pStyle w:val="6"/>
        <w:spacing w:before="9"/>
        <w:rPr>
          <w:color w:val="auto"/>
          <w:sz w:val="24"/>
        </w:rPr>
      </w:pPr>
    </w:p>
    <w:p>
      <w:pPr>
        <w:pStyle w:val="6"/>
        <w:spacing w:before="70"/>
        <w:ind w:left="681"/>
        <w:rPr>
          <w:color w:val="auto"/>
        </w:rPr>
      </w:pPr>
      <w:r>
        <w:rPr>
          <w:color w:val="auto"/>
        </w:rPr>
        <w:t xml:space="preserve">一、将遵循公开、公平、公正和诚实信用的原则参加 </w:t>
      </w:r>
      <w:r>
        <w:rPr>
          <w:rFonts w:hint="eastAsia"/>
          <w:color w:val="auto"/>
          <w:u w:val="single"/>
        </w:rPr>
        <w:t>玉环海洋经济转型示范区道路清扫保洁、河道保洁及沿道路垃圾收集清运项目</w:t>
      </w:r>
      <w:r>
        <w:rPr>
          <w:color w:val="auto"/>
        </w:rPr>
        <w:t>（项目名称）的投标；</w:t>
      </w:r>
    </w:p>
    <w:p>
      <w:pPr>
        <w:pStyle w:val="6"/>
        <w:spacing w:before="11"/>
        <w:rPr>
          <w:color w:val="auto"/>
          <w:sz w:val="24"/>
        </w:rPr>
      </w:pPr>
    </w:p>
    <w:p>
      <w:pPr>
        <w:pStyle w:val="6"/>
        <w:ind w:left="1101"/>
        <w:rPr>
          <w:color w:val="auto"/>
        </w:rPr>
      </w:pPr>
      <w:r>
        <w:rPr>
          <w:color w:val="auto"/>
        </w:rPr>
        <w:t>二、所提供的一切材料都是真实、有效、合法的；</w:t>
      </w:r>
    </w:p>
    <w:p>
      <w:pPr>
        <w:pStyle w:val="6"/>
        <w:spacing w:before="9"/>
        <w:rPr>
          <w:color w:val="auto"/>
          <w:sz w:val="24"/>
        </w:rPr>
      </w:pPr>
    </w:p>
    <w:p>
      <w:pPr>
        <w:pStyle w:val="6"/>
        <w:spacing w:line="523" w:lineRule="auto"/>
        <w:ind w:left="681" w:right="840" w:firstLine="420"/>
        <w:rPr>
          <w:color w:val="auto"/>
        </w:rPr>
      </w:pPr>
      <w:r>
        <w:rPr>
          <w:color w:val="auto"/>
          <w:spacing w:val="-9"/>
          <w:w w:val="95"/>
        </w:rPr>
        <w:t xml:space="preserve">三、不与其他投标人相互串通投标报价，不排挤其他投标人的公平竞争，不损害招标人或   </w:t>
      </w:r>
      <w:r>
        <w:rPr>
          <w:color w:val="auto"/>
          <w:spacing w:val="-9"/>
        </w:rPr>
        <w:t>其他投标人的合法权益；</w:t>
      </w:r>
    </w:p>
    <w:p>
      <w:pPr>
        <w:pStyle w:val="6"/>
        <w:spacing w:line="523" w:lineRule="auto"/>
        <w:ind w:left="681" w:right="840" w:firstLine="420"/>
        <w:rPr>
          <w:color w:val="auto"/>
        </w:rPr>
      </w:pPr>
      <w:r>
        <w:rPr>
          <w:color w:val="auto"/>
          <w:spacing w:val="-9"/>
          <w:w w:val="95"/>
        </w:rPr>
        <w:t xml:space="preserve">四、不与招标人或招标代理机构串通投标，损害国家利益、社会公共利益或者他人的合法   </w:t>
      </w:r>
      <w:r>
        <w:rPr>
          <w:color w:val="auto"/>
          <w:spacing w:val="-9"/>
        </w:rPr>
        <w:t>权益；</w:t>
      </w:r>
    </w:p>
    <w:p>
      <w:pPr>
        <w:pStyle w:val="6"/>
        <w:spacing w:line="267" w:lineRule="exact"/>
        <w:ind w:left="1101"/>
        <w:rPr>
          <w:color w:val="auto"/>
        </w:rPr>
      </w:pPr>
      <w:r>
        <w:rPr>
          <w:color w:val="auto"/>
        </w:rPr>
        <w:t>五、不向招标人或者评标小组成员行贿以牟取中标；</w:t>
      </w:r>
    </w:p>
    <w:p>
      <w:pPr>
        <w:pStyle w:val="6"/>
        <w:spacing w:before="9"/>
        <w:rPr>
          <w:color w:val="auto"/>
          <w:sz w:val="24"/>
        </w:rPr>
      </w:pPr>
    </w:p>
    <w:p>
      <w:pPr>
        <w:pStyle w:val="6"/>
        <w:spacing w:before="1"/>
        <w:ind w:left="1101"/>
        <w:rPr>
          <w:color w:val="auto"/>
        </w:rPr>
      </w:pPr>
      <w:r>
        <w:rPr>
          <w:color w:val="auto"/>
        </w:rPr>
        <w:t>六、不以他人名义投标或者以其他方式弄虚作假，骗取中标。</w:t>
      </w:r>
    </w:p>
    <w:p>
      <w:pPr>
        <w:pStyle w:val="6"/>
        <w:spacing w:before="8"/>
        <w:rPr>
          <w:color w:val="auto"/>
          <w:sz w:val="24"/>
        </w:rPr>
      </w:pPr>
    </w:p>
    <w:p>
      <w:pPr>
        <w:pStyle w:val="6"/>
        <w:spacing w:before="1" w:line="523" w:lineRule="auto"/>
        <w:ind w:left="681" w:right="840" w:firstLine="420"/>
        <w:rPr>
          <w:color w:val="auto"/>
        </w:rPr>
      </w:pPr>
      <w:r>
        <w:rPr>
          <w:color w:val="auto"/>
          <w:spacing w:val="-6"/>
          <w:w w:val="95"/>
        </w:rPr>
        <w:t xml:space="preserve">本公司若有违反本承诺内容的行为，愿意承担法律责任，并愿意接受招投标行政监督部门   </w:t>
      </w:r>
      <w:r>
        <w:rPr>
          <w:color w:val="auto"/>
          <w:spacing w:val="-6"/>
        </w:rPr>
        <w:t>的任何处理。如已中标的，自动放弃中标资格；给招标人造成损失的，依法承担赔偿责任。</w:t>
      </w: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tabs>
          <w:tab w:val="left" w:pos="5615"/>
          <w:tab w:val="left" w:pos="6035"/>
        </w:tabs>
        <w:spacing w:before="144" w:line="525" w:lineRule="auto"/>
        <w:ind w:left="5196" w:right="2100"/>
        <w:rPr>
          <w:color w:val="auto"/>
        </w:rPr>
      </w:pPr>
      <w:r>
        <w:rPr>
          <w:color w:val="auto"/>
        </w:rPr>
        <w:t>法定代表人（签字或盖章</w:t>
      </w:r>
      <w:r>
        <w:rPr>
          <w:color w:val="auto"/>
          <w:spacing w:val="-8"/>
        </w:rPr>
        <w:t xml:space="preserve">）： </w:t>
      </w:r>
      <w:r>
        <w:rPr>
          <w:color w:val="auto"/>
        </w:rPr>
        <w:t>投</w:t>
      </w:r>
      <w:r>
        <w:rPr>
          <w:color w:val="auto"/>
        </w:rPr>
        <w:tab/>
      </w:r>
      <w:r>
        <w:rPr>
          <w:color w:val="auto"/>
        </w:rPr>
        <w:t>标</w:t>
      </w:r>
      <w:r>
        <w:rPr>
          <w:color w:val="auto"/>
        </w:rPr>
        <w:tab/>
      </w:r>
      <w:r>
        <w:rPr>
          <w:color w:val="auto"/>
        </w:rPr>
        <w:t>人（盖章）：</w:t>
      </w:r>
    </w:p>
    <w:p>
      <w:pPr>
        <w:pStyle w:val="6"/>
        <w:tabs>
          <w:tab w:val="left" w:pos="6875"/>
          <w:tab w:val="left" w:pos="7504"/>
        </w:tabs>
        <w:spacing w:line="264" w:lineRule="exact"/>
        <w:ind w:left="6244"/>
        <w:rPr>
          <w:color w:val="auto"/>
        </w:rPr>
      </w:pPr>
      <w:r>
        <w:rPr>
          <w:color w:val="auto"/>
        </w:rPr>
        <w:t>年</w:t>
      </w:r>
      <w:r>
        <w:rPr>
          <w:color w:val="auto"/>
        </w:rPr>
        <w:tab/>
      </w:r>
      <w:r>
        <w:rPr>
          <w:color w:val="auto"/>
        </w:rPr>
        <w:t>月</w:t>
      </w:r>
      <w:r>
        <w:rPr>
          <w:color w:val="auto"/>
        </w:rPr>
        <w:tab/>
      </w:r>
      <w:r>
        <w:rPr>
          <w:color w:val="auto"/>
        </w:rPr>
        <w:t>日</w:t>
      </w:r>
    </w:p>
    <w:p>
      <w:pPr>
        <w:spacing w:after="0" w:line="264" w:lineRule="exact"/>
        <w:rPr>
          <w:color w:val="auto"/>
        </w:rPr>
        <w:sectPr>
          <w:type w:val="continuous"/>
          <w:pgSz w:w="11910" w:h="16840"/>
          <w:pgMar w:top="1600" w:right="860" w:bottom="280" w:left="1020" w:header="720" w:footer="720" w:gutter="0"/>
        </w:sectPr>
      </w:pPr>
    </w:p>
    <w:p>
      <w:pPr>
        <w:pStyle w:val="6"/>
        <w:spacing w:before="5"/>
        <w:rPr>
          <w:color w:val="auto"/>
          <w:sz w:val="14"/>
        </w:rPr>
      </w:pPr>
    </w:p>
    <w:p>
      <w:pPr>
        <w:spacing w:after="0"/>
        <w:rPr>
          <w:color w:val="auto"/>
          <w:sz w:val="14"/>
        </w:rPr>
        <w:sectPr>
          <w:pgSz w:w="11910" w:h="16840"/>
          <w:pgMar w:top="1360" w:right="860" w:bottom="1060" w:left="1020" w:header="873" w:footer="863" w:gutter="0"/>
        </w:sectPr>
      </w:pPr>
    </w:p>
    <w:p>
      <w:pPr>
        <w:pStyle w:val="6"/>
        <w:spacing w:before="70"/>
        <w:ind w:left="681"/>
        <w:rPr>
          <w:color w:val="auto"/>
        </w:rPr>
      </w:pPr>
      <w:bookmarkStart w:id="122" w:name="附件三："/>
      <w:bookmarkEnd w:id="122"/>
      <w:bookmarkStart w:id="123" w:name="_bookmark21"/>
      <w:bookmarkEnd w:id="123"/>
      <w:r>
        <w:rPr>
          <w:color w:val="auto"/>
        </w:rPr>
        <w:t>附件三：</w:t>
      </w:r>
    </w:p>
    <w:p>
      <w:pPr>
        <w:pStyle w:val="6"/>
        <w:spacing w:before="3"/>
        <w:rPr>
          <w:color w:val="auto"/>
          <w:sz w:val="36"/>
        </w:rPr>
      </w:pPr>
      <w:r>
        <w:rPr>
          <w:color w:val="auto"/>
        </w:rPr>
        <w:br w:type="column"/>
      </w:r>
    </w:p>
    <w:p>
      <w:pPr>
        <w:pStyle w:val="2"/>
        <w:spacing w:before="0"/>
        <w:ind w:left="663" w:right="3466"/>
        <w:jc w:val="center"/>
        <w:rPr>
          <w:color w:val="auto"/>
        </w:rPr>
      </w:pPr>
      <w:r>
        <w:rPr>
          <w:color w:val="auto"/>
        </w:rPr>
        <w:t>法定代表人授权委托书</w:t>
      </w:r>
    </w:p>
    <w:p>
      <w:pPr>
        <w:pStyle w:val="6"/>
        <w:spacing w:before="12"/>
        <w:rPr>
          <w:rFonts w:ascii="黑体"/>
          <w:b/>
          <w:color w:val="auto"/>
          <w:sz w:val="25"/>
        </w:rPr>
      </w:pPr>
    </w:p>
    <w:p>
      <w:pPr>
        <w:pStyle w:val="3"/>
        <w:ind w:right="3466"/>
        <w:jc w:val="center"/>
        <w:rPr>
          <w:color w:val="auto"/>
        </w:rPr>
      </w:pPr>
      <w:r>
        <w:rPr>
          <w:color w:val="auto"/>
        </w:rPr>
        <w:t>（参考样张）</w:t>
      </w:r>
    </w:p>
    <w:p>
      <w:pPr>
        <w:spacing w:after="0"/>
        <w:jc w:val="center"/>
        <w:rPr>
          <w:color w:val="auto"/>
        </w:rPr>
        <w:sectPr>
          <w:type w:val="continuous"/>
          <w:pgSz w:w="11910" w:h="16840"/>
          <w:pgMar w:top="1600" w:right="860" w:bottom="280" w:left="1020" w:header="720" w:footer="720" w:gutter="0"/>
          <w:cols w:equalWidth="0" w:num="2">
            <w:col w:w="1560" w:space="1087"/>
            <w:col w:w="7383"/>
          </w:cols>
        </w:sectPr>
      </w:pPr>
    </w:p>
    <w:p>
      <w:pPr>
        <w:pStyle w:val="6"/>
        <w:spacing w:before="11"/>
        <w:rPr>
          <w:color w:val="auto"/>
          <w:sz w:val="29"/>
        </w:rPr>
      </w:pPr>
    </w:p>
    <w:p>
      <w:pPr>
        <w:pStyle w:val="6"/>
        <w:tabs>
          <w:tab w:val="left" w:pos="4461"/>
          <w:tab w:val="left" w:pos="5039"/>
          <w:tab w:val="left" w:pos="8135"/>
        </w:tabs>
        <w:spacing w:before="77" w:line="571" w:lineRule="auto"/>
        <w:ind w:left="681" w:right="837" w:firstLine="420"/>
        <w:jc w:val="both"/>
        <w:rPr>
          <w:color w:val="auto"/>
        </w:rPr>
      </w:pPr>
      <w:r>
        <w:rPr>
          <w:color w:val="auto"/>
        </w:rPr>
        <w:t>本授权委托书声明：我</w:t>
      </w:r>
      <w:r>
        <w:rPr>
          <w:color w:val="auto"/>
          <w:u w:val="single"/>
        </w:rPr>
        <w:t xml:space="preserve"> </w:t>
      </w:r>
      <w:r>
        <w:rPr>
          <w:color w:val="auto"/>
          <w:u w:val="single"/>
        </w:rPr>
        <w:tab/>
      </w:r>
      <w:r>
        <w:rPr>
          <w:color w:val="auto"/>
        </w:rPr>
        <w:t>（姓名）系</w:t>
      </w:r>
      <w:r>
        <w:rPr>
          <w:color w:val="auto"/>
          <w:u w:val="single"/>
        </w:rPr>
        <w:t xml:space="preserve"> </w:t>
      </w:r>
      <w:r>
        <w:rPr>
          <w:color w:val="auto"/>
          <w:u w:val="single"/>
        </w:rPr>
        <w:tab/>
      </w:r>
      <w:r>
        <w:rPr>
          <w:color w:val="auto"/>
        </w:rPr>
        <w:t>（投标人</w:t>
      </w:r>
      <w:r>
        <w:rPr>
          <w:color w:val="auto"/>
          <w:spacing w:val="-12"/>
        </w:rPr>
        <w:t xml:space="preserve">） </w:t>
      </w:r>
      <w:r>
        <w:rPr>
          <w:color w:val="auto"/>
        </w:rPr>
        <w:t>的法定代表人</w:t>
      </w:r>
      <w:r>
        <w:rPr>
          <w:color w:val="auto"/>
          <w:spacing w:val="-27"/>
        </w:rPr>
        <w:t>，</w:t>
      </w:r>
      <w:r>
        <w:rPr>
          <w:color w:val="auto"/>
        </w:rPr>
        <w:t>现授权委托我单位</w:t>
      </w:r>
      <w:r>
        <w:rPr>
          <w:color w:val="auto"/>
          <w:u w:val="single"/>
        </w:rPr>
        <w:t xml:space="preserve"> </w:t>
      </w:r>
      <w:r>
        <w:rPr>
          <w:color w:val="auto"/>
          <w:u w:val="single"/>
        </w:rPr>
        <w:tab/>
      </w:r>
      <w:r>
        <w:rPr>
          <w:color w:val="auto"/>
          <w:u w:val="single"/>
        </w:rPr>
        <w:tab/>
      </w:r>
      <w:r>
        <w:rPr>
          <w:color w:val="auto"/>
          <w:w w:val="95"/>
        </w:rPr>
        <w:t>（姓名</w:t>
      </w:r>
      <w:r>
        <w:rPr>
          <w:color w:val="auto"/>
          <w:spacing w:val="-25"/>
          <w:w w:val="95"/>
        </w:rPr>
        <w:t>）</w:t>
      </w:r>
      <w:r>
        <w:rPr>
          <w:color w:val="auto"/>
          <w:w w:val="95"/>
        </w:rPr>
        <w:t>为我的代理人</w:t>
      </w:r>
      <w:r>
        <w:rPr>
          <w:color w:val="auto"/>
          <w:spacing w:val="-25"/>
          <w:w w:val="95"/>
        </w:rPr>
        <w:t>，</w:t>
      </w:r>
      <w:r>
        <w:rPr>
          <w:color w:val="auto"/>
          <w:w w:val="95"/>
        </w:rPr>
        <w:t xml:space="preserve">以本单位的名义参加 </w:t>
      </w:r>
      <w:r>
        <w:rPr>
          <w:rFonts w:hint="eastAsia"/>
          <w:color w:val="auto"/>
          <w:spacing w:val="4"/>
          <w:u w:val="single"/>
          <w:lang w:eastAsia="zh-CN"/>
        </w:rPr>
        <w:t>浙江玉环经济开发区管理委员会</w:t>
      </w:r>
      <w:r>
        <w:rPr>
          <w:color w:val="auto"/>
          <w:spacing w:val="4"/>
        </w:rPr>
        <w:t>（</w:t>
      </w:r>
      <w:r>
        <w:rPr>
          <w:color w:val="auto"/>
        </w:rPr>
        <w:t>招</w:t>
      </w:r>
      <w:r>
        <w:rPr>
          <w:color w:val="auto"/>
          <w:spacing w:val="4"/>
        </w:rPr>
        <w:t>标</w:t>
      </w:r>
      <w:r>
        <w:rPr>
          <w:color w:val="auto"/>
        </w:rPr>
        <w:t>人</w:t>
      </w:r>
      <w:r>
        <w:rPr>
          <w:color w:val="auto"/>
          <w:spacing w:val="4"/>
        </w:rPr>
        <w:t>）</w:t>
      </w:r>
      <w:r>
        <w:rPr>
          <w:color w:val="auto"/>
        </w:rPr>
        <w:t>的</w:t>
      </w:r>
      <w:r>
        <w:rPr>
          <w:color w:val="auto"/>
          <w:spacing w:val="-53"/>
        </w:rPr>
        <w:t xml:space="preserve"> </w:t>
      </w:r>
      <w:r>
        <w:rPr>
          <w:rFonts w:hint="eastAsia" w:ascii="Times New Roman"/>
          <w:color w:val="auto"/>
          <w:u w:val="single"/>
          <w:lang w:eastAsia="zh-CN"/>
        </w:rPr>
        <w:t>玉环海洋经济转型示范区道路清扫保洁、河道保洁及沿道路垃圾收集清运项目</w:t>
      </w:r>
      <w:r>
        <w:rPr>
          <w:color w:val="auto"/>
          <w:spacing w:val="4"/>
        </w:rPr>
        <w:t>（</w:t>
      </w:r>
      <w:r>
        <w:rPr>
          <w:color w:val="auto"/>
        </w:rPr>
        <w:t>项目名称）的投标。代理人在该工程招投标活动中的一切事务，我均予以承认。</w:t>
      </w:r>
    </w:p>
    <w:p>
      <w:pPr>
        <w:pStyle w:val="6"/>
        <w:spacing w:line="268" w:lineRule="exact"/>
        <w:ind w:left="1101"/>
        <w:rPr>
          <w:color w:val="auto"/>
        </w:rPr>
      </w:pPr>
      <w:r>
        <w:rPr>
          <w:color w:val="auto"/>
        </w:rPr>
        <w:t>代理人无转委权，特此委托。</w:t>
      </w: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rPr>
          <w:color w:val="auto"/>
          <w:sz w:val="20"/>
        </w:rPr>
      </w:pPr>
    </w:p>
    <w:p>
      <w:pPr>
        <w:pStyle w:val="6"/>
        <w:spacing w:before="4"/>
        <w:rPr>
          <w:color w:val="auto"/>
          <w:sz w:val="14"/>
        </w:rPr>
      </w:pPr>
    </w:p>
    <w:p>
      <w:pPr>
        <w:pStyle w:val="6"/>
        <w:tabs>
          <w:tab w:val="left" w:pos="6715"/>
        </w:tabs>
        <w:spacing w:before="1"/>
        <w:ind w:left="681"/>
        <w:rPr>
          <w:rFonts w:ascii="Times New Roman" w:eastAsia="Times New Roman"/>
          <w:color w:val="auto"/>
        </w:rPr>
      </w:pPr>
      <w:r>
        <w:rPr>
          <w:color w:val="auto"/>
          <w:w w:val="95"/>
        </w:rPr>
        <w:t>投标人（盖章）：</w:t>
      </w:r>
      <w:r>
        <w:rPr>
          <w:rFonts w:ascii="Times New Roman" w:eastAsia="Times New Roman"/>
          <w:color w:val="auto"/>
          <w:w w:val="95"/>
          <w:u w:val="single"/>
        </w:rPr>
        <w:t xml:space="preserve"> </w:t>
      </w:r>
      <w:r>
        <w:rPr>
          <w:rFonts w:ascii="Times New Roman" w:eastAsia="Times New Roman"/>
          <w:color w:val="auto"/>
          <w:u w:val="single"/>
        </w:rPr>
        <w:tab/>
      </w:r>
    </w:p>
    <w:p>
      <w:pPr>
        <w:pStyle w:val="6"/>
        <w:spacing w:before="2"/>
        <w:rPr>
          <w:rFonts w:ascii="Times New Roman"/>
          <w:color w:val="auto"/>
          <w:sz w:val="29"/>
        </w:rPr>
      </w:pPr>
    </w:p>
    <w:p>
      <w:pPr>
        <w:pStyle w:val="6"/>
        <w:tabs>
          <w:tab w:val="left" w:pos="6715"/>
        </w:tabs>
        <w:spacing w:before="77"/>
        <w:ind w:left="681"/>
        <w:rPr>
          <w:rFonts w:ascii="Times New Roman" w:eastAsia="Times New Roman"/>
          <w:color w:val="auto"/>
        </w:rPr>
      </w:pPr>
      <w:r>
        <w:rPr>
          <w:color w:val="auto"/>
          <w:w w:val="95"/>
        </w:rPr>
        <w:t>法定代表人（盖章）：</w:t>
      </w:r>
      <w:r>
        <w:rPr>
          <w:rFonts w:ascii="Times New Roman" w:eastAsia="Times New Roman"/>
          <w:color w:val="auto"/>
          <w:w w:val="95"/>
          <w:u w:val="single"/>
        </w:rPr>
        <w:t xml:space="preserve"> </w:t>
      </w:r>
      <w:r>
        <w:rPr>
          <w:rFonts w:ascii="Times New Roman" w:eastAsia="Times New Roman"/>
          <w:color w:val="auto"/>
          <w:u w:val="single"/>
        </w:rPr>
        <w:tab/>
      </w:r>
    </w:p>
    <w:p>
      <w:pPr>
        <w:pStyle w:val="6"/>
        <w:rPr>
          <w:rFonts w:ascii="Times New Roman"/>
          <w:color w:val="auto"/>
          <w:sz w:val="29"/>
        </w:rPr>
      </w:pPr>
    </w:p>
    <w:p>
      <w:pPr>
        <w:pStyle w:val="6"/>
        <w:tabs>
          <w:tab w:val="left" w:pos="2990"/>
          <w:tab w:val="left" w:pos="5090"/>
          <w:tab w:val="left" w:pos="6612"/>
        </w:tabs>
        <w:spacing w:before="76"/>
        <w:ind w:left="681"/>
        <w:rPr>
          <w:rFonts w:ascii="Times New Roman" w:eastAsia="Times New Roman"/>
          <w:color w:val="auto"/>
        </w:rPr>
      </w:pPr>
      <w:r>
        <w:rPr>
          <w:color w:val="auto"/>
        </w:rPr>
        <w:t>代理人：</w:t>
      </w:r>
      <w:r>
        <w:rPr>
          <w:color w:val="auto"/>
          <w:u w:val="single"/>
        </w:rPr>
        <w:t xml:space="preserve"> </w:t>
      </w:r>
      <w:r>
        <w:rPr>
          <w:color w:val="auto"/>
          <w:u w:val="single"/>
        </w:rPr>
        <w:tab/>
      </w:r>
      <w:r>
        <w:rPr>
          <w:color w:val="auto"/>
        </w:rPr>
        <w:t>性别：</w:t>
      </w:r>
      <w:r>
        <w:rPr>
          <w:color w:val="auto"/>
          <w:u w:val="single"/>
        </w:rPr>
        <w:t xml:space="preserve"> </w:t>
      </w:r>
      <w:r>
        <w:rPr>
          <w:color w:val="auto"/>
          <w:u w:val="single"/>
        </w:rPr>
        <w:tab/>
      </w:r>
      <w:r>
        <w:rPr>
          <w:color w:val="auto"/>
          <w:w w:val="95"/>
        </w:rPr>
        <w:t>年龄</w:t>
      </w:r>
      <w:r>
        <w:rPr>
          <w:rFonts w:ascii="Times New Roman" w:eastAsia="Times New Roman"/>
          <w:color w:val="auto"/>
          <w:w w:val="95"/>
          <w:u w:val="single"/>
        </w:rPr>
        <w:t xml:space="preserve"> </w:t>
      </w:r>
      <w:r>
        <w:rPr>
          <w:rFonts w:ascii="Times New Roman" w:eastAsia="Times New Roman"/>
          <w:color w:val="auto"/>
          <w:u w:val="single"/>
        </w:rPr>
        <w:tab/>
      </w:r>
    </w:p>
    <w:p>
      <w:pPr>
        <w:pStyle w:val="6"/>
        <w:spacing w:before="1"/>
        <w:rPr>
          <w:rFonts w:ascii="Times New Roman"/>
          <w:color w:val="auto"/>
          <w:sz w:val="29"/>
        </w:rPr>
      </w:pPr>
    </w:p>
    <w:p>
      <w:pPr>
        <w:pStyle w:val="6"/>
        <w:tabs>
          <w:tab w:val="left" w:pos="3830"/>
          <w:tab w:val="left" w:pos="6612"/>
        </w:tabs>
        <w:spacing w:before="76"/>
        <w:ind w:left="681"/>
        <w:rPr>
          <w:rFonts w:ascii="Times New Roman" w:eastAsia="Times New Roman"/>
          <w:color w:val="auto"/>
        </w:rPr>
      </w:pPr>
      <w:r>
        <w:rPr>
          <w:color w:val="auto"/>
        </w:rPr>
        <w:t>身份证号码：</w:t>
      </w:r>
      <w:r>
        <w:rPr>
          <w:color w:val="auto"/>
          <w:u w:val="single"/>
        </w:rPr>
        <w:t xml:space="preserve"> </w:t>
      </w:r>
      <w:r>
        <w:rPr>
          <w:color w:val="auto"/>
          <w:u w:val="single"/>
        </w:rPr>
        <w:tab/>
      </w:r>
      <w:r>
        <w:rPr>
          <w:color w:val="auto"/>
          <w:w w:val="95"/>
        </w:rPr>
        <w:t>职务：</w:t>
      </w:r>
      <w:r>
        <w:rPr>
          <w:rFonts w:ascii="Times New Roman" w:eastAsia="Times New Roman"/>
          <w:color w:val="auto"/>
          <w:w w:val="95"/>
          <w:u w:val="single"/>
        </w:rPr>
        <w:t xml:space="preserve"> </w:t>
      </w:r>
      <w:r>
        <w:rPr>
          <w:rFonts w:ascii="Times New Roman" w:eastAsia="Times New Roman"/>
          <w:color w:val="auto"/>
          <w:u w:val="single"/>
        </w:rPr>
        <w:tab/>
      </w:r>
    </w:p>
    <w:p>
      <w:pPr>
        <w:pStyle w:val="6"/>
        <w:spacing w:before="9"/>
        <w:rPr>
          <w:rFonts w:ascii="Times New Roman"/>
          <w:color w:val="auto"/>
          <w:sz w:val="29"/>
        </w:rPr>
      </w:pPr>
    </w:p>
    <w:p>
      <w:pPr>
        <w:pStyle w:val="6"/>
        <w:tabs>
          <w:tab w:val="left" w:pos="3410"/>
          <w:tab w:val="left" w:pos="4881"/>
          <w:tab w:val="left" w:pos="6455"/>
        </w:tabs>
        <w:spacing w:before="70"/>
        <w:ind w:left="681"/>
        <w:rPr>
          <w:color w:val="auto"/>
        </w:rPr>
      </w:pPr>
      <w:r>
        <w:rPr>
          <w:color w:val="auto"/>
        </w:rPr>
        <w:t>授权委托日期：</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spacing w:after="0"/>
        <w:rPr>
          <w:color w:val="auto"/>
        </w:rPr>
        <w:sectPr>
          <w:type w:val="continuous"/>
          <w:pgSz w:w="11910" w:h="16840"/>
          <w:pgMar w:top="1600" w:right="860" w:bottom="280" w:left="1020" w:header="720" w:footer="720" w:gutter="0"/>
        </w:sectPr>
      </w:pPr>
    </w:p>
    <w:p>
      <w:pPr>
        <w:pStyle w:val="6"/>
        <w:spacing w:before="75"/>
        <w:ind w:left="681"/>
        <w:rPr>
          <w:color w:val="auto"/>
        </w:rPr>
      </w:pPr>
      <w:bookmarkStart w:id="124" w:name="_bookmark22"/>
      <w:bookmarkEnd w:id="124"/>
      <w:bookmarkStart w:id="125" w:name="附件四："/>
      <w:bookmarkEnd w:id="125"/>
      <w:r>
        <w:rPr>
          <w:color w:val="auto"/>
        </w:rPr>
        <w:t>附件四：</w:t>
      </w:r>
    </w:p>
    <w:p>
      <w:pPr>
        <w:pStyle w:val="6"/>
        <w:spacing w:before="7"/>
        <w:rPr>
          <w:color w:val="auto"/>
          <w:sz w:val="36"/>
        </w:rPr>
      </w:pPr>
      <w:r>
        <w:rPr>
          <w:color w:val="auto"/>
        </w:rPr>
        <w:br w:type="column"/>
      </w:r>
    </w:p>
    <w:p>
      <w:pPr>
        <w:pStyle w:val="2"/>
        <w:spacing w:before="0"/>
        <w:ind w:left="681"/>
        <w:rPr>
          <w:color w:val="auto"/>
        </w:rPr>
      </w:pPr>
      <w:r>
        <w:rPr>
          <w:color w:val="auto"/>
        </w:rPr>
        <w:t>相关证书复印件</w:t>
      </w:r>
    </w:p>
    <w:p>
      <w:pPr>
        <w:spacing w:after="0"/>
        <w:rPr>
          <w:color w:val="auto"/>
        </w:rPr>
        <w:sectPr>
          <w:pgSz w:w="11910" w:h="16840"/>
          <w:pgMar w:top="1360" w:right="860" w:bottom="1060" w:left="1020" w:header="873" w:footer="863" w:gutter="0"/>
          <w:cols w:equalWidth="0" w:num="2">
            <w:col w:w="1560" w:space="1567"/>
            <w:col w:w="6903"/>
          </w:cols>
        </w:sectPr>
      </w:pPr>
    </w:p>
    <w:p>
      <w:pPr>
        <w:pStyle w:val="6"/>
        <w:rPr>
          <w:rFonts w:ascii="黑体"/>
          <w:b/>
          <w:color w:val="auto"/>
          <w:sz w:val="20"/>
        </w:rPr>
      </w:pPr>
    </w:p>
    <w:p>
      <w:pPr>
        <w:pStyle w:val="6"/>
        <w:spacing w:before="12"/>
        <w:rPr>
          <w:rFonts w:ascii="黑体"/>
          <w:b/>
          <w:color w:val="auto"/>
          <w:sz w:val="16"/>
        </w:rPr>
      </w:pPr>
    </w:p>
    <w:p>
      <w:pPr>
        <w:pStyle w:val="3"/>
        <w:spacing w:before="66"/>
        <w:ind w:left="1180"/>
        <w:rPr>
          <w:rFonts w:hint="eastAsia"/>
          <w:color w:val="auto"/>
          <w:lang w:eastAsia="zh-CN"/>
        </w:rPr>
      </w:pPr>
      <w:r>
        <w:rPr>
          <w:color w:val="auto"/>
        </w:rPr>
        <w:t>①《营业执照</w:t>
      </w:r>
      <w:r>
        <w:rPr>
          <w:rFonts w:hint="eastAsia"/>
          <w:color w:val="auto"/>
          <w:lang w:eastAsia="zh-CN"/>
        </w:rPr>
        <w:t>》复印件加盖公章；</w:t>
      </w:r>
    </w:p>
    <w:p>
      <w:pPr>
        <w:pStyle w:val="3"/>
        <w:spacing w:before="66"/>
        <w:ind w:firstLine="480" w:firstLineChars="200"/>
        <w:rPr>
          <w:color w:val="auto"/>
        </w:rPr>
      </w:pPr>
      <w:r>
        <w:rPr>
          <w:rFonts w:hint="eastAsia" w:ascii="宋体" w:hAnsi="宋体" w:eastAsia="宋体" w:cs="宋体"/>
          <w:color w:val="auto"/>
        </w:rPr>
        <w:t>②</w:t>
      </w:r>
      <w:r>
        <w:rPr>
          <w:rFonts w:hint="eastAsia" w:cs="宋体"/>
          <w:color w:val="auto"/>
          <w:lang w:eastAsia="zh-CN"/>
        </w:rPr>
        <w:t>类似业绩证明复印件加盖公章</w:t>
      </w:r>
      <w:r>
        <w:rPr>
          <w:color w:val="auto"/>
        </w:rPr>
        <w:t>。</w:t>
      </w:r>
    </w:p>
    <w:sectPr>
      <w:type w:val="continuous"/>
      <w:pgSz w:w="11910" w:h="16840"/>
      <w:pgMar w:top="1600" w:right="860" w:bottom="280" w:left="10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77568" behindDoc="1" locked="0" layoutInCell="1" allowOverlap="1">
              <wp:simplePos x="0" y="0"/>
              <wp:positionH relativeFrom="page">
                <wp:posOffset>1067435</wp:posOffset>
              </wp:positionH>
              <wp:positionV relativeFrom="page">
                <wp:posOffset>10008870</wp:posOffset>
              </wp:positionV>
              <wp:extent cx="1168400" cy="1397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68400" cy="139700"/>
                      </a:xfrm>
                      <a:prstGeom prst="rect">
                        <a:avLst/>
                      </a:prstGeom>
                      <a:noFill/>
                      <a:ln w="9525">
                        <a:noFill/>
                      </a:ln>
                    </wps:spPr>
                    <wps:txbx>
                      <w:txbxContent>
                        <w:p>
                          <w:pPr>
                            <w:spacing w:before="0" w:line="220" w:lineRule="exact"/>
                            <w:ind w:left="20" w:right="0" w:firstLine="0"/>
                            <w:jc w:val="left"/>
                            <w:rPr>
                              <w:rFonts w:hint="eastAsia" w:ascii="仿宋" w:eastAsia="仿宋"/>
                              <w:sz w:val="18"/>
                              <w:lang w:eastAsia="zh-CN"/>
                            </w:rPr>
                          </w:pPr>
                          <w:r>
                            <w:rPr>
                              <w:rFonts w:hint="eastAsia" w:ascii="仿宋" w:eastAsia="仿宋"/>
                              <w:sz w:val="18"/>
                              <w:lang w:eastAsia="zh-CN"/>
                            </w:rPr>
                            <w:t>建经投资咨询有限公司</w:t>
                          </w:r>
                        </w:p>
                      </w:txbxContent>
                    </wps:txbx>
                    <wps:bodyPr lIns="0" tIns="0" rIns="0" bIns="0" upright="1"/>
                  </wps:wsp>
                </a:graphicData>
              </a:graphic>
            </wp:anchor>
          </w:drawing>
        </mc:Choice>
        <mc:Fallback>
          <w:pict>
            <v:shape id="_x0000_s1026" o:spid="_x0000_s1026" o:spt="202" type="#_x0000_t202" style="position:absolute;left:0pt;margin-left:84.05pt;margin-top:788.1pt;height:11pt;width:92pt;mso-position-horizontal-relative:page;mso-position-vertical-relative:page;z-index:-38912;mso-width-relative:page;mso-height-relative:page;" filled="f" stroked="f" coordsize="21600,21600" o:gfxdata="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JB6DaAAAADQEA&#10;AA8AAAAAAAAAAQAgAAAAIgAAAGRycy9kb3ducmV2LnhtbFBLAQIUABQAAAAIAIdO4kDeHem6pgEA&#10;AC0DAAAOAAAAAAAAAAEAIAAAACkBAABkcnMvZTJvRG9jLnhtbFBLBQYAAAAABgAGAFkBAABBBQAA&#10;AAA=&#10;">
              <v:fill on="f" focussize="0,0"/>
              <v:stroke on="f"/>
              <v:imagedata o:title=""/>
              <o:lock v:ext="edit" aspectratio="f"/>
              <v:textbox inset="0mm,0mm,0mm,0mm">
                <w:txbxContent>
                  <w:p>
                    <w:pPr>
                      <w:spacing w:before="0" w:line="220" w:lineRule="exact"/>
                      <w:ind w:left="20" w:right="0" w:firstLine="0"/>
                      <w:jc w:val="left"/>
                      <w:rPr>
                        <w:rFonts w:hint="eastAsia" w:ascii="仿宋" w:eastAsia="仿宋"/>
                        <w:sz w:val="18"/>
                        <w:lang w:eastAsia="zh-CN"/>
                      </w:rPr>
                    </w:pPr>
                    <w:r>
                      <w:rPr>
                        <w:rFonts w:hint="eastAsia" w:ascii="仿宋" w:eastAsia="仿宋"/>
                        <w:sz w:val="18"/>
                        <w:lang w:eastAsia="zh-CN"/>
                      </w:rPr>
                      <w:t>建经投资咨询有限公司</w:t>
                    </w:r>
                  </w:p>
                </w:txbxContent>
              </v:textbox>
            </v:shape>
          </w:pict>
        </mc:Fallback>
      </mc:AlternateContent>
    </w:r>
    <w:r>
      <mc:AlternateContent>
        <mc:Choice Requires="wps">
          <w:drawing>
            <wp:anchor distT="0" distB="0" distL="114300" distR="114300" simplePos="0" relativeHeight="503277568" behindDoc="1" locked="0" layoutInCell="1" allowOverlap="1">
              <wp:simplePos x="0" y="0"/>
              <wp:positionH relativeFrom="page">
                <wp:posOffset>3867150</wp:posOffset>
              </wp:positionH>
              <wp:positionV relativeFrom="page">
                <wp:posOffset>10005060</wp:posOffset>
              </wp:positionV>
              <wp:extent cx="15811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58115"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w:t>
                          </w:r>
                          <w:r>
                            <w:fldChar w:fldCharType="begin"/>
                          </w:r>
                          <w:r>
                            <w:rPr>
                              <w:rFonts w:ascii="Times New Roman"/>
                              <w:sz w:val="18"/>
                            </w:rPr>
                            <w:instrText xml:space="preserve"> PAGE </w:instrText>
                          </w:r>
                          <w:r>
                            <w:fldChar w:fldCharType="separate"/>
                          </w:r>
                          <w:r>
                            <w:t>1</w:t>
                          </w:r>
                          <w:r>
                            <w:fldChar w:fldCharType="end"/>
                          </w:r>
                          <w:r>
                            <w:rPr>
                              <w:rFonts w:ascii="Times New Roman"/>
                              <w:sz w:val="18"/>
                            </w:rPr>
                            <w:t>-</w:t>
                          </w:r>
                        </w:p>
                      </w:txbxContent>
                    </wps:txbx>
                    <wps:bodyPr lIns="0" tIns="0" rIns="0" bIns="0" upright="1"/>
                  </wps:wsp>
                </a:graphicData>
              </a:graphic>
            </wp:anchor>
          </w:drawing>
        </mc:Choice>
        <mc:Fallback>
          <w:pict>
            <v:shape id="_x0000_s1026" o:spid="_x0000_s1026" o:spt="202" type="#_x0000_t202" style="position:absolute;left:0pt;margin-left:304.5pt;margin-top:787.8pt;height:12pt;width:12.45pt;mso-position-horizontal-relative:page;mso-position-vertical-relative:page;z-index:-38912;mso-width-relative:page;mso-height-relative:page;" filled="f" stroked="f" coordsize="21600,21600" o:gfxdata="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WHhmX2gAAAA0B&#10;AAAPAAAAAAAAAAEAIAAAACIAAABkcnMvZG93bnJldi54bWxQSwECFAAUAAAACACHTuJA/GQG+6cB&#10;AAAsAwAADgAAAAAAAAABACAAAAApAQAAZHJzL2Uyb0RvYy54bWxQSwUGAAAAAAYABgBZAQAAQgUA&#10;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w:t>
                    </w:r>
                    <w:r>
                      <w:fldChar w:fldCharType="begin"/>
                    </w:r>
                    <w:r>
                      <w:rPr>
                        <w:rFonts w:ascii="Times New Roman"/>
                        <w:sz w:val="18"/>
                      </w:rPr>
                      <w:instrText xml:space="preserve"> PAGE </w:instrText>
                    </w:r>
                    <w:r>
                      <w:fldChar w:fldCharType="separate"/>
                    </w:r>
                    <w:r>
                      <w:t>1</w:t>
                    </w:r>
                    <w:r>
                      <w:fldChar w:fldCharType="end"/>
                    </w:r>
                    <w:r>
                      <w:rPr>
                        <w:rFonts w:ascii="Times New Roman"/>
                        <w:sz w:val="18"/>
                      </w:rPr>
                      <w:t>-</w:t>
                    </w:r>
                  </w:p>
                </w:txbxContent>
              </v:textbox>
            </v:shape>
          </w:pict>
        </mc:Fallback>
      </mc:AlternateContent>
    </w:r>
    <w:r>
      <mc:AlternateContent>
        <mc:Choice Requires="wps">
          <w:drawing>
            <wp:anchor distT="0" distB="0" distL="114300" distR="114300" simplePos="0" relativeHeight="503277568" behindDoc="1" locked="0" layoutInCell="1" allowOverlap="1">
              <wp:simplePos x="0" y="0"/>
              <wp:positionH relativeFrom="page">
                <wp:posOffset>5429250</wp:posOffset>
              </wp:positionH>
              <wp:positionV relativeFrom="page">
                <wp:posOffset>10005060</wp:posOffset>
              </wp:positionV>
              <wp:extent cx="1093470" cy="1524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93470" cy="152400"/>
                      </a:xfrm>
                      <a:prstGeom prst="rect">
                        <a:avLst/>
                      </a:prstGeom>
                      <a:noFill/>
                      <a:ln w="9525">
                        <a:noFill/>
                      </a:ln>
                    </wps:spPr>
                    <wps:txbx>
                      <w:txbxContent>
                        <w:p>
                          <w:pPr>
                            <w:spacing w:before="0"/>
                            <w:ind w:right="0"/>
                            <w:jc w:val="left"/>
                            <w:rPr>
                              <w:rFonts w:ascii="Times New Roman" w:eastAsia="Times New Roman"/>
                              <w:sz w:val="18"/>
                            </w:rPr>
                          </w:pPr>
                        </w:p>
                      </w:txbxContent>
                    </wps:txbx>
                    <wps:bodyPr lIns="0" tIns="0" rIns="0" bIns="0" upright="1"/>
                  </wps:wsp>
                </a:graphicData>
              </a:graphic>
            </wp:anchor>
          </w:drawing>
        </mc:Choice>
        <mc:Fallback>
          <w:pict>
            <v:shape id="_x0000_s1026" o:spid="_x0000_s1026" o:spt="202" type="#_x0000_t202" style="position:absolute;left:0pt;margin-left:427.5pt;margin-top:787.8pt;height:12pt;width:86.1pt;mso-position-horizontal-relative:page;mso-position-vertical-relative:page;z-index:-38912;mso-width-relative:page;mso-height-relative:page;" filled="f" stroked="f" coordsize="21600,21600" o:gfxdata="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Fo6L89sAAAAO&#10;AQAADwAAAAAAAAABACAAAAAiAAAAZHJzL2Rvd25yZXYueG1sUEsBAhQAFAAAAAgAh07iQF0OR0Wn&#10;AQAALQMAAA4AAAAAAAAAAQAgAAAAKgEAAGRycy9lMm9Eb2MueG1sUEsFBgAAAAAGAAYAWQEAAEMF&#10;AAAAAA==&#10;">
              <v:fill on="f" focussize="0,0"/>
              <v:stroke on="f"/>
              <v:imagedata o:title=""/>
              <o:lock v:ext="edit" aspectratio="f"/>
              <v:textbox inset="0mm,0mm,0mm,0mm">
                <w:txbxContent>
                  <w:p>
                    <w:pPr>
                      <w:spacing w:before="0"/>
                      <w:ind w:right="0"/>
                      <w:jc w:val="left"/>
                      <w:rPr>
                        <w:rFonts w:ascii="Times New Roman" w:eastAsia="Times New Roman"/>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77568" behindDoc="1" locked="0" layoutInCell="1" allowOverlap="1">
              <wp:simplePos x="0" y="0"/>
              <wp:positionH relativeFrom="page">
                <wp:posOffset>1067435</wp:posOffset>
              </wp:positionH>
              <wp:positionV relativeFrom="page">
                <wp:posOffset>10008870</wp:posOffset>
              </wp:positionV>
              <wp:extent cx="1168400" cy="1397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68400" cy="139700"/>
                      </a:xfrm>
                      <a:prstGeom prst="rect">
                        <a:avLst/>
                      </a:prstGeom>
                      <a:noFill/>
                      <a:ln w="9525">
                        <a:noFill/>
                      </a:ln>
                    </wps:spPr>
                    <wps:txbx>
                      <w:txbxContent>
                        <w:p>
                          <w:pPr>
                            <w:spacing w:before="0" w:line="220" w:lineRule="exact"/>
                            <w:ind w:left="20" w:right="0" w:firstLine="0"/>
                            <w:jc w:val="left"/>
                            <w:rPr>
                              <w:rFonts w:hint="eastAsia" w:ascii="仿宋" w:eastAsia="仿宋"/>
                              <w:sz w:val="18"/>
                              <w:lang w:eastAsia="zh-CN"/>
                            </w:rPr>
                          </w:pPr>
                          <w:r>
                            <w:rPr>
                              <w:rFonts w:hint="eastAsia" w:ascii="仿宋" w:eastAsia="仿宋"/>
                              <w:sz w:val="18"/>
                              <w:lang w:eastAsia="zh-CN"/>
                            </w:rPr>
                            <w:t>建经投资咨询有限公司</w:t>
                          </w:r>
                        </w:p>
                      </w:txbxContent>
                    </wps:txbx>
                    <wps:bodyPr lIns="0" tIns="0" rIns="0" bIns="0" upright="1"/>
                  </wps:wsp>
                </a:graphicData>
              </a:graphic>
            </wp:anchor>
          </w:drawing>
        </mc:Choice>
        <mc:Fallback>
          <w:pict>
            <v:shape id="_x0000_s1026" o:spid="_x0000_s1026" o:spt="202" type="#_x0000_t202" style="position:absolute;left:0pt;margin-left:84.05pt;margin-top:788.1pt;height:11pt;width:92pt;mso-position-horizontal-relative:page;mso-position-vertical-relative:page;z-index:-38912;mso-width-relative:page;mso-height-relative:page;" filled="f" stroked="f" coordsize="21600,21600" o:gfxdata="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JB6DaAAAADQEA&#10;AA8AAAAAAAAAAQAgAAAAIgAAAGRycy9kb3ducmV2LnhtbFBLAQIUABQAAAAIAIdO4kD+s9F1pgEA&#10;AC0DAAAOAAAAAAAAAAEAIAAAACkBAABkcnMvZTJvRG9jLnhtbFBLBQYAAAAABgAGAFkBAABBBQAA&#10;AAA=&#10;">
              <v:fill on="f" focussize="0,0"/>
              <v:stroke on="f"/>
              <v:imagedata o:title=""/>
              <o:lock v:ext="edit" aspectratio="f"/>
              <v:textbox inset="0mm,0mm,0mm,0mm">
                <w:txbxContent>
                  <w:p>
                    <w:pPr>
                      <w:spacing w:before="0" w:line="220" w:lineRule="exact"/>
                      <w:ind w:left="20" w:right="0" w:firstLine="0"/>
                      <w:jc w:val="left"/>
                      <w:rPr>
                        <w:rFonts w:hint="eastAsia" w:ascii="仿宋" w:eastAsia="仿宋"/>
                        <w:sz w:val="18"/>
                        <w:lang w:eastAsia="zh-CN"/>
                      </w:rPr>
                    </w:pPr>
                    <w:r>
                      <w:rPr>
                        <w:rFonts w:hint="eastAsia" w:ascii="仿宋" w:eastAsia="仿宋"/>
                        <w:sz w:val="18"/>
                        <w:lang w:eastAsia="zh-CN"/>
                      </w:rPr>
                      <w:t>建经投资咨询有限公司</w:t>
                    </w:r>
                  </w:p>
                </w:txbxContent>
              </v:textbox>
            </v:shape>
          </w:pict>
        </mc:Fallback>
      </mc:AlternateContent>
    </w:r>
    <w:r>
      <mc:AlternateContent>
        <mc:Choice Requires="wps">
          <w:drawing>
            <wp:anchor distT="0" distB="0" distL="114300" distR="114300" simplePos="0" relativeHeight="503277568" behindDoc="1" locked="0" layoutInCell="1" allowOverlap="1">
              <wp:simplePos x="0" y="0"/>
              <wp:positionH relativeFrom="page">
                <wp:posOffset>3810635</wp:posOffset>
              </wp:positionH>
              <wp:positionV relativeFrom="page">
                <wp:posOffset>10005060</wp:posOffset>
              </wp:positionV>
              <wp:extent cx="214630" cy="1524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14630"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w:t>
                          </w:r>
                          <w:r>
                            <w:fldChar w:fldCharType="begin"/>
                          </w:r>
                          <w:r>
                            <w:rPr>
                              <w:rFonts w:ascii="Times New Roman"/>
                              <w:sz w:val="18"/>
                            </w:rPr>
                            <w:instrText xml:space="preserve"> PAGE </w:instrText>
                          </w:r>
                          <w:r>
                            <w:fldChar w:fldCharType="separate"/>
                          </w:r>
                          <w:r>
                            <w:t>10</w:t>
                          </w:r>
                          <w:r>
                            <w:fldChar w:fldCharType="end"/>
                          </w:r>
                          <w:r>
                            <w:rPr>
                              <w:rFonts w:ascii="Times New Roman"/>
                              <w:sz w:val="18"/>
                            </w:rPr>
                            <w:t>-</w:t>
                          </w:r>
                        </w:p>
                      </w:txbxContent>
                    </wps:txbx>
                    <wps:bodyPr lIns="0" tIns="0" rIns="0" bIns="0" upright="1"/>
                  </wps:wsp>
                </a:graphicData>
              </a:graphic>
            </wp:anchor>
          </w:drawing>
        </mc:Choice>
        <mc:Fallback>
          <w:pict>
            <v:shape id="_x0000_s1026" o:spid="_x0000_s1026" o:spt="202" type="#_x0000_t202" style="position:absolute;left:0pt;margin-left:300.05pt;margin-top:787.8pt;height:12pt;width:16.9pt;mso-position-horizontal-relative:page;mso-position-vertical-relative:page;z-index:-38912;mso-width-relative:page;mso-height-relative:page;" filled="f" stroked="f" coordsize="21600,21600" o:gfxdata="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HsBeE2gAAAA0B&#10;AAAPAAAAAAAAAAEAIAAAACIAAABkcnMvZG93bnJldi54bWxQSwECFAAUAAAACACHTuJAPf0klKcB&#10;AAAsAwAADgAAAAAAAAABACAAAAApAQAAZHJzL2Uyb0RvYy54bWxQSwUGAAAAAAYABgBZAQAAQgUA&#10;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w:t>
                    </w:r>
                    <w:r>
                      <w:fldChar w:fldCharType="begin"/>
                    </w:r>
                    <w:r>
                      <w:rPr>
                        <w:rFonts w:ascii="Times New Roman"/>
                        <w:sz w:val="18"/>
                      </w:rPr>
                      <w:instrText xml:space="preserve"> PAGE </w:instrText>
                    </w:r>
                    <w:r>
                      <w:fldChar w:fldCharType="separate"/>
                    </w:r>
                    <w:r>
                      <w:t>10</w:t>
                    </w:r>
                    <w:r>
                      <w:fldChar w:fldCharType="end"/>
                    </w: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77568" behindDoc="1" locked="0" layoutInCell="1" allowOverlap="1">
              <wp:simplePos x="0" y="0"/>
              <wp:positionH relativeFrom="page">
                <wp:posOffset>1067435</wp:posOffset>
              </wp:positionH>
              <wp:positionV relativeFrom="page">
                <wp:posOffset>10008870</wp:posOffset>
              </wp:positionV>
              <wp:extent cx="1168400" cy="1397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68400" cy="139700"/>
                      </a:xfrm>
                      <a:prstGeom prst="rect">
                        <a:avLst/>
                      </a:prstGeom>
                      <a:noFill/>
                      <a:ln w="9525">
                        <a:noFill/>
                      </a:ln>
                    </wps:spPr>
                    <wps:txbx>
                      <w:txbxContent>
                        <w:p>
                          <w:pPr>
                            <w:spacing w:before="0" w:line="220" w:lineRule="exact"/>
                            <w:ind w:left="20" w:right="0" w:firstLine="0"/>
                            <w:jc w:val="left"/>
                            <w:rPr>
                              <w:rFonts w:hint="eastAsia" w:ascii="仿宋" w:eastAsia="仿宋"/>
                              <w:sz w:val="18"/>
                              <w:lang w:eastAsia="zh-CN"/>
                            </w:rPr>
                          </w:pPr>
                          <w:r>
                            <w:rPr>
                              <w:rFonts w:hint="eastAsia" w:ascii="仿宋" w:eastAsia="仿宋"/>
                              <w:sz w:val="18"/>
                              <w:lang w:eastAsia="zh-CN"/>
                            </w:rPr>
                            <w:t>建经投资咨询有限公司</w:t>
                          </w:r>
                        </w:p>
                      </w:txbxContent>
                    </wps:txbx>
                    <wps:bodyPr lIns="0" tIns="0" rIns="0" bIns="0" upright="1"/>
                  </wps:wsp>
                </a:graphicData>
              </a:graphic>
            </wp:anchor>
          </w:drawing>
        </mc:Choice>
        <mc:Fallback>
          <w:pict>
            <v:shape id="_x0000_s1026" o:spid="_x0000_s1026" o:spt="202" type="#_x0000_t202" style="position:absolute;left:0pt;margin-left:84.05pt;margin-top:788.1pt;height:11pt;width:92pt;mso-position-horizontal-relative:page;mso-position-vertical-relative:page;z-index:-38912;mso-width-relative:page;mso-height-relative:page;" filled="f" stroked="f" coordsize="21600,21600" o:gfxdata="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JB6DaAAAADQEA&#10;AA8AAAAAAAAAAQAgAAAAIgAAAGRycy9kb3ducmV2LnhtbFBLAQIUABQAAAAIAIdO4kDfR+n/pgEA&#10;AC0DAAAOAAAAAAAAAAEAIAAAACkBAABkcnMvZTJvRG9jLnhtbFBLBQYAAAAABgAGAFkBAABBBQAA&#10;AAA=&#10;">
              <v:fill on="f" focussize="0,0"/>
              <v:stroke on="f"/>
              <v:imagedata o:title=""/>
              <o:lock v:ext="edit" aspectratio="f"/>
              <v:textbox inset="0mm,0mm,0mm,0mm">
                <w:txbxContent>
                  <w:p>
                    <w:pPr>
                      <w:spacing w:before="0" w:line="220" w:lineRule="exact"/>
                      <w:ind w:left="20" w:right="0" w:firstLine="0"/>
                      <w:jc w:val="left"/>
                      <w:rPr>
                        <w:rFonts w:hint="eastAsia" w:ascii="仿宋" w:eastAsia="仿宋"/>
                        <w:sz w:val="18"/>
                        <w:lang w:eastAsia="zh-CN"/>
                      </w:rPr>
                    </w:pPr>
                    <w:r>
                      <w:rPr>
                        <w:rFonts w:hint="eastAsia" w:ascii="仿宋" w:eastAsia="仿宋"/>
                        <w:sz w:val="18"/>
                        <w:lang w:eastAsia="zh-CN"/>
                      </w:rPr>
                      <w:t>建经投资咨询有限公司</w:t>
                    </w:r>
                  </w:p>
                </w:txbxContent>
              </v:textbox>
            </v:shape>
          </w:pict>
        </mc:Fallback>
      </mc:AlternateContent>
    </w:r>
    <w:r>
      <mc:AlternateContent>
        <mc:Choice Requires="wps">
          <w:drawing>
            <wp:anchor distT="0" distB="0" distL="114300" distR="114300" simplePos="0" relativeHeight="503277568" behindDoc="1" locked="0" layoutInCell="1" allowOverlap="1">
              <wp:simplePos x="0" y="0"/>
              <wp:positionH relativeFrom="page">
                <wp:posOffset>3810635</wp:posOffset>
              </wp:positionH>
              <wp:positionV relativeFrom="page">
                <wp:posOffset>10005060</wp:posOffset>
              </wp:positionV>
              <wp:extent cx="214630" cy="1524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14630"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w:t>
                          </w:r>
                          <w:r>
                            <w:fldChar w:fldCharType="begin"/>
                          </w:r>
                          <w:r>
                            <w:rPr>
                              <w:rFonts w:ascii="Times New Roman"/>
                              <w:sz w:val="18"/>
                            </w:rPr>
                            <w:instrText xml:space="preserve"> PAGE </w:instrText>
                          </w:r>
                          <w:r>
                            <w:fldChar w:fldCharType="separate"/>
                          </w:r>
                          <w:r>
                            <w:t>20</w:t>
                          </w:r>
                          <w:r>
                            <w:fldChar w:fldCharType="end"/>
                          </w:r>
                          <w:r>
                            <w:rPr>
                              <w:rFonts w:ascii="Times New Roman"/>
                              <w:sz w:val="18"/>
                            </w:rPr>
                            <w:t>-</w:t>
                          </w:r>
                        </w:p>
                      </w:txbxContent>
                    </wps:txbx>
                    <wps:bodyPr lIns="0" tIns="0" rIns="0" bIns="0" upright="1"/>
                  </wps:wsp>
                </a:graphicData>
              </a:graphic>
            </wp:anchor>
          </w:drawing>
        </mc:Choice>
        <mc:Fallback>
          <w:pict>
            <v:shape id="_x0000_s1026" o:spid="_x0000_s1026" o:spt="202" type="#_x0000_t202" style="position:absolute;left:0pt;margin-left:300.05pt;margin-top:787.8pt;height:12pt;width:16.9pt;mso-position-horizontal-relative:page;mso-position-vertical-relative:page;z-index:-38912;mso-width-relative:page;mso-height-relative:page;" filled="f" stroked="f" coordsize="21600,21600" o:gfxdata="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HsBeE2gAAAA0B&#10;AAAPAAAAAAAAAAEAIAAAACIAAABkcnMvZG93bnJldi54bWxQSwECFAAUAAAACACHTuJAqSGZVKcB&#10;AAAuAwAADgAAAAAAAAABACAAAAApAQAAZHJzL2Uyb0RvYy54bWxQSwUGAAAAAAYABgBZAQAAQgUA&#10;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w:t>
                    </w:r>
                    <w:r>
                      <w:fldChar w:fldCharType="begin"/>
                    </w:r>
                    <w:r>
                      <w:rPr>
                        <w:rFonts w:ascii="Times New Roman"/>
                        <w:sz w:val="18"/>
                      </w:rPr>
                      <w:instrText xml:space="preserve"> PAGE </w:instrText>
                    </w:r>
                    <w:r>
                      <w:fldChar w:fldCharType="separate"/>
                    </w:r>
                    <w:r>
                      <w:t>20</w:t>
                    </w:r>
                    <w:r>
                      <w:fldChar w:fldCharType="end"/>
                    </w:r>
                    <w:r>
                      <w:rPr>
                        <w:rFonts w:ascii="Times New Roman"/>
                        <w:sz w:val="1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77568" behindDoc="1" locked="0" layoutInCell="1" allowOverlap="1">
              <wp:simplePos x="0" y="0"/>
              <wp:positionH relativeFrom="page">
                <wp:posOffset>1080135</wp:posOffset>
              </wp:positionH>
              <wp:positionV relativeFrom="page">
                <wp:posOffset>705485</wp:posOffset>
              </wp:positionV>
              <wp:extent cx="5400675" cy="0"/>
              <wp:effectExtent l="0" t="0" r="0" b="0"/>
              <wp:wrapNone/>
              <wp:docPr id="1" name="直线 1"/>
              <wp:cNvGraphicFramePr/>
              <a:graphic xmlns:a="http://schemas.openxmlformats.org/drawingml/2006/main">
                <a:graphicData uri="http://schemas.microsoft.com/office/word/2010/wordprocessingShape">
                  <wps:wsp>
                    <wps:cNvCnPr/>
                    <wps:spPr>
                      <a:xfrm>
                        <a:off x="0" y="0"/>
                        <a:ext cx="540067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1" o:spid="_x0000_s1026" o:spt="20" style="position:absolute;left:0pt;margin-left:85.05pt;margin-top:55.55pt;height:0pt;width:425.25pt;mso-position-horizontal-relative:page;mso-position-vertical-relative:page;z-index:-38912;mso-width-relative:page;mso-height-relative:page;" filled="f" stroked="t" coordsize="21600,21600" o:gfxdata="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U8h4fUAAAADAEAAA8AAAAAAAAAAQAgAAAAIgAAAGRycy9k&#10;b3ducmV2LnhtbFBLAQIUABQAAAAIAIdO4kD2FwyIzQEAAI0DAAAOAAAAAAAAAAEAIAAAACMBAABk&#10;cnMvZTJvRG9jLnhtbFBLBQYAAAAABgAGAFkBAABiBQAAAAA=&#10;">
              <v:fill on="f" focussize="0,0"/>
              <v:stroke weight="0.72pt" color="#000000" joinstyle="round"/>
              <v:imagedata o:title=""/>
              <o:lock v:ext="edit" aspectratio="f"/>
            </v:line>
          </w:pict>
        </mc:Fallback>
      </mc:AlternateContent>
    </w:r>
    <w:r>
      <mc:AlternateContent>
        <mc:Choice Requires="wps">
          <w:drawing>
            <wp:anchor distT="0" distB="0" distL="114300" distR="114300" simplePos="0" relativeHeight="503277568" behindDoc="1" locked="0" layoutInCell="1" allowOverlap="1">
              <wp:simplePos x="0" y="0"/>
              <wp:positionH relativeFrom="page">
                <wp:posOffset>3286125</wp:posOffset>
              </wp:positionH>
              <wp:positionV relativeFrom="page">
                <wp:posOffset>541020</wp:posOffset>
              </wp:positionV>
              <wp:extent cx="3206115" cy="1524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206115" cy="152400"/>
                      </a:xfrm>
                      <a:prstGeom prst="rect">
                        <a:avLst/>
                      </a:prstGeom>
                      <a:noFill/>
                      <a:ln w="9525">
                        <a:noFill/>
                      </a:ln>
                    </wps:spPr>
                    <wps:txbx>
                      <w:txbxContent>
                        <w:p>
                          <w:pPr>
                            <w:spacing w:before="0"/>
                            <w:ind w:left="20" w:right="0" w:firstLine="0"/>
                            <w:jc w:val="left"/>
                            <w:rPr>
                              <w:sz w:val="18"/>
                            </w:rPr>
                          </w:pPr>
                          <w:r>
                            <w:rPr>
                              <w:rFonts w:hint="eastAsia" w:ascii="Times New Roman"/>
                              <w:sz w:val="18"/>
                              <w:lang w:eastAsia="zh-CN"/>
                            </w:rPr>
                            <w:t>玉环海洋经济转型示范区道路清扫保洁、河道保洁及沿道路垃圾</w:t>
                          </w:r>
                          <w:r>
                            <w:rPr>
                              <w:rFonts w:hint="eastAsia" w:ascii="Times New Roman"/>
                              <w:sz w:val="18"/>
                              <w:lang w:val="en-US" w:eastAsia="zh-CN"/>
                            </w:rPr>
                            <w:t>SHOUJI QING</w:t>
                          </w:r>
                          <w:r>
                            <w:rPr>
                              <w:rFonts w:hint="eastAsia" w:ascii="Times New Roman"/>
                              <w:sz w:val="18"/>
                              <w:lang w:eastAsia="zh-CN"/>
                            </w:rPr>
                            <w:t>收集清运项目</w:t>
                          </w:r>
                          <w:r>
                            <w:rPr>
                              <w:sz w:val="18"/>
                            </w:rPr>
                            <w:t>招标文件</w:t>
                          </w:r>
                        </w:p>
                      </w:txbxContent>
                    </wps:txbx>
                    <wps:bodyPr lIns="0" tIns="0" rIns="0" bIns="0" upright="1"/>
                  </wps:wsp>
                </a:graphicData>
              </a:graphic>
            </wp:anchor>
          </w:drawing>
        </mc:Choice>
        <mc:Fallback>
          <w:pict>
            <v:shape id="_x0000_s1026" o:spid="_x0000_s1026" o:spt="202" type="#_x0000_t202" style="position:absolute;left:0pt;margin-left:258.75pt;margin-top:42.6pt;height:12pt;width:252.45pt;mso-position-horizontal-relative:page;mso-position-vertical-relative:page;z-index:-38912;mso-width-relative:page;mso-height-relative:page;" filled="f" stroked="f" coordsize="21600,21600" o:gfxdata="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Y6yY7ZAAAACwEA&#10;AA8AAAAAAAAAAQAgAAAAIgAAAGRycy9kb3ducmV2LnhtbFBLAQIUABQAAAAIAIdO4kAzuP11pwEA&#10;AC0DAAAOAAAAAAAAAAEAIAAAACgBAABkcnMvZTJvRG9jLnhtbFBLBQYAAAAABgAGAFkBAABBBQAA&#10;AAA=&#10;">
              <v:fill on="f" focussize="0,0"/>
              <v:stroke on="f"/>
              <v:imagedata o:title=""/>
              <o:lock v:ext="edit" aspectratio="f"/>
              <v:textbox inset="0mm,0mm,0mm,0mm">
                <w:txbxContent>
                  <w:p>
                    <w:pPr>
                      <w:spacing w:before="0"/>
                      <w:ind w:left="20" w:right="0" w:firstLine="0"/>
                      <w:jc w:val="left"/>
                      <w:rPr>
                        <w:sz w:val="18"/>
                      </w:rPr>
                    </w:pPr>
                    <w:r>
                      <w:rPr>
                        <w:rFonts w:hint="eastAsia" w:ascii="Times New Roman"/>
                        <w:sz w:val="18"/>
                        <w:lang w:eastAsia="zh-CN"/>
                      </w:rPr>
                      <w:t>玉环海洋经济转型示范区道路清扫保洁、河道保洁及沿道路垃圾</w:t>
                    </w:r>
                    <w:r>
                      <w:rPr>
                        <w:rFonts w:hint="eastAsia" w:ascii="Times New Roman"/>
                        <w:sz w:val="18"/>
                        <w:lang w:val="en-US" w:eastAsia="zh-CN"/>
                      </w:rPr>
                      <w:t>SHOUJI QING</w:t>
                    </w:r>
                    <w:r>
                      <w:rPr>
                        <w:rFonts w:hint="eastAsia" w:ascii="Times New Roman"/>
                        <w:sz w:val="18"/>
                        <w:lang w:eastAsia="zh-CN"/>
                      </w:rPr>
                      <w:t>收集清运项目</w:t>
                    </w:r>
                    <w:r>
                      <w:rPr>
                        <w:sz w:val="18"/>
                      </w:rPr>
                      <w:t>招标文件</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tentative="0">
      <w:start w:val="3"/>
      <w:numFmt w:val="decimal"/>
      <w:lvlText w:val="%1"/>
      <w:lvlJc w:val="left"/>
      <w:pPr>
        <w:ind w:left="681" w:hanging="315"/>
        <w:jc w:val="left"/>
      </w:pPr>
      <w:rPr>
        <w:rFonts w:hint="default"/>
        <w:lang w:val="zh-CN" w:eastAsia="zh-CN" w:bidi="zh-CN"/>
      </w:rPr>
    </w:lvl>
    <w:lvl w:ilvl="1" w:tentative="0">
      <w:start w:val="3"/>
      <w:numFmt w:val="decimal"/>
      <w:lvlText w:val="%1.%2"/>
      <w:lvlJc w:val="left"/>
      <w:pPr>
        <w:ind w:left="681" w:hanging="315"/>
        <w:jc w:val="left"/>
      </w:pPr>
      <w:rPr>
        <w:rFonts w:hint="default" w:ascii="Times New Roman" w:hAnsi="Times New Roman" w:eastAsia="Times New Roman" w:cs="Times New Roman"/>
        <w:spacing w:val="-2"/>
        <w:w w:val="99"/>
        <w:sz w:val="21"/>
        <w:szCs w:val="21"/>
        <w:lang w:val="zh-CN" w:eastAsia="zh-CN" w:bidi="zh-CN"/>
      </w:rPr>
    </w:lvl>
    <w:lvl w:ilvl="2" w:tentative="0">
      <w:start w:val="1"/>
      <w:numFmt w:val="decimal"/>
      <w:lvlText w:val="（%3）"/>
      <w:lvlJc w:val="left"/>
      <w:pPr>
        <w:ind w:left="1626" w:hanging="525"/>
        <w:jc w:val="left"/>
      </w:pPr>
      <w:rPr>
        <w:rFonts w:hint="default" w:ascii="宋体" w:hAnsi="宋体" w:eastAsia="宋体" w:cs="宋体"/>
        <w:spacing w:val="-1"/>
        <w:w w:val="99"/>
        <w:sz w:val="19"/>
        <w:szCs w:val="19"/>
        <w:lang w:val="zh-CN" w:eastAsia="zh-CN" w:bidi="zh-CN"/>
      </w:rPr>
    </w:lvl>
    <w:lvl w:ilvl="3" w:tentative="0">
      <w:start w:val="0"/>
      <w:numFmt w:val="bullet"/>
      <w:lvlText w:val="•"/>
      <w:lvlJc w:val="left"/>
      <w:pPr>
        <w:ind w:left="3488" w:hanging="525"/>
      </w:pPr>
      <w:rPr>
        <w:rFonts w:hint="default"/>
        <w:lang w:val="zh-CN" w:eastAsia="zh-CN" w:bidi="zh-CN"/>
      </w:rPr>
    </w:lvl>
    <w:lvl w:ilvl="4" w:tentative="0">
      <w:start w:val="0"/>
      <w:numFmt w:val="bullet"/>
      <w:lvlText w:val="•"/>
      <w:lvlJc w:val="left"/>
      <w:pPr>
        <w:ind w:left="4422" w:hanging="525"/>
      </w:pPr>
      <w:rPr>
        <w:rFonts w:hint="default"/>
        <w:lang w:val="zh-CN" w:eastAsia="zh-CN" w:bidi="zh-CN"/>
      </w:rPr>
    </w:lvl>
    <w:lvl w:ilvl="5" w:tentative="0">
      <w:start w:val="0"/>
      <w:numFmt w:val="bullet"/>
      <w:lvlText w:val="•"/>
      <w:lvlJc w:val="left"/>
      <w:pPr>
        <w:ind w:left="5356" w:hanging="525"/>
      </w:pPr>
      <w:rPr>
        <w:rFonts w:hint="default"/>
        <w:lang w:val="zh-CN" w:eastAsia="zh-CN" w:bidi="zh-CN"/>
      </w:rPr>
    </w:lvl>
    <w:lvl w:ilvl="6" w:tentative="0">
      <w:start w:val="0"/>
      <w:numFmt w:val="bullet"/>
      <w:lvlText w:val="•"/>
      <w:lvlJc w:val="left"/>
      <w:pPr>
        <w:ind w:left="6290" w:hanging="525"/>
      </w:pPr>
      <w:rPr>
        <w:rFonts w:hint="default"/>
        <w:lang w:val="zh-CN" w:eastAsia="zh-CN" w:bidi="zh-CN"/>
      </w:rPr>
    </w:lvl>
    <w:lvl w:ilvl="7" w:tentative="0">
      <w:start w:val="0"/>
      <w:numFmt w:val="bullet"/>
      <w:lvlText w:val="•"/>
      <w:lvlJc w:val="left"/>
      <w:pPr>
        <w:ind w:left="7224" w:hanging="525"/>
      </w:pPr>
      <w:rPr>
        <w:rFonts w:hint="default"/>
        <w:lang w:val="zh-CN" w:eastAsia="zh-CN" w:bidi="zh-CN"/>
      </w:rPr>
    </w:lvl>
    <w:lvl w:ilvl="8" w:tentative="0">
      <w:start w:val="0"/>
      <w:numFmt w:val="bullet"/>
      <w:lvlText w:val="•"/>
      <w:lvlJc w:val="left"/>
      <w:pPr>
        <w:ind w:left="8158" w:hanging="525"/>
      </w:pPr>
      <w:rPr>
        <w:rFonts w:hint="default"/>
        <w:lang w:val="zh-CN" w:eastAsia="zh-CN" w:bidi="zh-CN"/>
      </w:rPr>
    </w:lvl>
  </w:abstractNum>
  <w:abstractNum w:abstractNumId="1">
    <w:nsid w:val="9239341B"/>
    <w:multiLevelType w:val="multilevel"/>
    <w:tmpl w:val="9239341B"/>
    <w:lvl w:ilvl="0" w:tentative="0">
      <w:start w:val="1"/>
      <w:numFmt w:val="decimal"/>
      <w:lvlText w:val="（%1）"/>
      <w:lvlJc w:val="left"/>
      <w:pPr>
        <w:ind w:left="674" w:hanging="526"/>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1614" w:hanging="526"/>
      </w:pPr>
      <w:rPr>
        <w:rFonts w:hint="default"/>
        <w:lang w:val="zh-CN" w:eastAsia="zh-CN" w:bidi="zh-CN"/>
      </w:rPr>
    </w:lvl>
    <w:lvl w:ilvl="2" w:tentative="0">
      <w:start w:val="0"/>
      <w:numFmt w:val="bullet"/>
      <w:lvlText w:val="•"/>
      <w:lvlJc w:val="left"/>
      <w:pPr>
        <w:ind w:left="2549" w:hanging="526"/>
      </w:pPr>
      <w:rPr>
        <w:rFonts w:hint="default"/>
        <w:lang w:val="zh-CN" w:eastAsia="zh-CN" w:bidi="zh-CN"/>
      </w:rPr>
    </w:lvl>
    <w:lvl w:ilvl="3" w:tentative="0">
      <w:start w:val="0"/>
      <w:numFmt w:val="bullet"/>
      <w:lvlText w:val="•"/>
      <w:lvlJc w:val="left"/>
      <w:pPr>
        <w:ind w:left="3484" w:hanging="526"/>
      </w:pPr>
      <w:rPr>
        <w:rFonts w:hint="default"/>
        <w:lang w:val="zh-CN" w:eastAsia="zh-CN" w:bidi="zh-CN"/>
      </w:rPr>
    </w:lvl>
    <w:lvl w:ilvl="4" w:tentative="0">
      <w:start w:val="0"/>
      <w:numFmt w:val="bullet"/>
      <w:lvlText w:val="•"/>
      <w:lvlJc w:val="left"/>
      <w:pPr>
        <w:ind w:left="4418" w:hanging="526"/>
      </w:pPr>
      <w:rPr>
        <w:rFonts w:hint="default"/>
        <w:lang w:val="zh-CN" w:eastAsia="zh-CN" w:bidi="zh-CN"/>
      </w:rPr>
    </w:lvl>
    <w:lvl w:ilvl="5" w:tentative="0">
      <w:start w:val="0"/>
      <w:numFmt w:val="bullet"/>
      <w:lvlText w:val="•"/>
      <w:lvlJc w:val="left"/>
      <w:pPr>
        <w:ind w:left="5353" w:hanging="526"/>
      </w:pPr>
      <w:rPr>
        <w:rFonts w:hint="default"/>
        <w:lang w:val="zh-CN" w:eastAsia="zh-CN" w:bidi="zh-CN"/>
      </w:rPr>
    </w:lvl>
    <w:lvl w:ilvl="6" w:tentative="0">
      <w:start w:val="0"/>
      <w:numFmt w:val="bullet"/>
      <w:lvlText w:val="•"/>
      <w:lvlJc w:val="left"/>
      <w:pPr>
        <w:ind w:left="6288" w:hanging="526"/>
      </w:pPr>
      <w:rPr>
        <w:rFonts w:hint="default"/>
        <w:lang w:val="zh-CN" w:eastAsia="zh-CN" w:bidi="zh-CN"/>
      </w:rPr>
    </w:lvl>
    <w:lvl w:ilvl="7" w:tentative="0">
      <w:start w:val="0"/>
      <w:numFmt w:val="bullet"/>
      <w:lvlText w:val="•"/>
      <w:lvlJc w:val="left"/>
      <w:pPr>
        <w:ind w:left="7222" w:hanging="526"/>
      </w:pPr>
      <w:rPr>
        <w:rFonts w:hint="default"/>
        <w:lang w:val="zh-CN" w:eastAsia="zh-CN" w:bidi="zh-CN"/>
      </w:rPr>
    </w:lvl>
    <w:lvl w:ilvl="8" w:tentative="0">
      <w:start w:val="0"/>
      <w:numFmt w:val="bullet"/>
      <w:lvlText w:val="•"/>
      <w:lvlJc w:val="left"/>
      <w:pPr>
        <w:ind w:left="8157" w:hanging="526"/>
      </w:pPr>
      <w:rPr>
        <w:rFonts w:hint="default"/>
        <w:lang w:val="zh-CN" w:eastAsia="zh-CN" w:bidi="zh-CN"/>
      </w:rPr>
    </w:lvl>
  </w:abstractNum>
  <w:abstractNum w:abstractNumId="2">
    <w:nsid w:val="924E4CE9"/>
    <w:multiLevelType w:val="singleLevel"/>
    <w:tmpl w:val="924E4CE9"/>
    <w:lvl w:ilvl="0" w:tentative="0">
      <w:start w:val="1"/>
      <w:numFmt w:val="decimal"/>
      <w:suff w:val="nothing"/>
      <w:lvlText w:val="%1、"/>
      <w:lvlJc w:val="left"/>
    </w:lvl>
  </w:abstractNum>
  <w:abstractNum w:abstractNumId="3">
    <w:nsid w:val="986B6C41"/>
    <w:multiLevelType w:val="singleLevel"/>
    <w:tmpl w:val="986B6C41"/>
    <w:lvl w:ilvl="0" w:tentative="0">
      <w:start w:val="1"/>
      <w:numFmt w:val="decimal"/>
      <w:suff w:val="nothing"/>
      <w:lvlText w:val="%1、"/>
      <w:lvlJc w:val="left"/>
      <w:pPr>
        <w:ind w:left="840" w:leftChars="0" w:firstLine="0" w:firstLineChars="0"/>
      </w:pPr>
    </w:lvl>
  </w:abstractNum>
  <w:abstractNum w:abstractNumId="4">
    <w:nsid w:val="9C397AB1"/>
    <w:multiLevelType w:val="singleLevel"/>
    <w:tmpl w:val="9C397AB1"/>
    <w:lvl w:ilvl="0" w:tentative="0">
      <w:start w:val="1"/>
      <w:numFmt w:val="decimal"/>
      <w:suff w:val="nothing"/>
      <w:lvlText w:val="%1、"/>
      <w:lvlJc w:val="left"/>
      <w:pPr>
        <w:ind w:left="941" w:leftChars="0" w:firstLine="0" w:firstLineChars="0"/>
      </w:pPr>
    </w:lvl>
  </w:abstractNum>
  <w:abstractNum w:abstractNumId="5">
    <w:nsid w:val="9C8AC8EF"/>
    <w:multiLevelType w:val="multilevel"/>
    <w:tmpl w:val="9C8AC8EF"/>
    <w:lvl w:ilvl="0" w:tentative="0">
      <w:start w:val="1"/>
      <w:numFmt w:val="decimal"/>
      <w:lvlText w:val="（%1）"/>
      <w:lvlJc w:val="left"/>
      <w:pPr>
        <w:ind w:left="1520"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370" w:hanging="525"/>
      </w:pPr>
      <w:rPr>
        <w:rFonts w:hint="default"/>
        <w:lang w:val="zh-CN" w:eastAsia="zh-CN" w:bidi="zh-CN"/>
      </w:rPr>
    </w:lvl>
    <w:lvl w:ilvl="2" w:tentative="0">
      <w:start w:val="0"/>
      <w:numFmt w:val="bullet"/>
      <w:lvlText w:val="•"/>
      <w:lvlJc w:val="left"/>
      <w:pPr>
        <w:ind w:left="3221" w:hanging="525"/>
      </w:pPr>
      <w:rPr>
        <w:rFonts w:hint="default"/>
        <w:lang w:val="zh-CN" w:eastAsia="zh-CN" w:bidi="zh-CN"/>
      </w:rPr>
    </w:lvl>
    <w:lvl w:ilvl="3" w:tentative="0">
      <w:start w:val="0"/>
      <w:numFmt w:val="bullet"/>
      <w:lvlText w:val="•"/>
      <w:lvlJc w:val="left"/>
      <w:pPr>
        <w:ind w:left="4072" w:hanging="525"/>
      </w:pPr>
      <w:rPr>
        <w:rFonts w:hint="default"/>
        <w:lang w:val="zh-CN" w:eastAsia="zh-CN" w:bidi="zh-CN"/>
      </w:rPr>
    </w:lvl>
    <w:lvl w:ilvl="4" w:tentative="0">
      <w:start w:val="0"/>
      <w:numFmt w:val="bullet"/>
      <w:lvlText w:val="•"/>
      <w:lvlJc w:val="left"/>
      <w:pPr>
        <w:ind w:left="4922" w:hanging="525"/>
      </w:pPr>
      <w:rPr>
        <w:rFonts w:hint="default"/>
        <w:lang w:val="zh-CN" w:eastAsia="zh-CN" w:bidi="zh-CN"/>
      </w:rPr>
    </w:lvl>
    <w:lvl w:ilvl="5" w:tentative="0">
      <w:start w:val="0"/>
      <w:numFmt w:val="bullet"/>
      <w:lvlText w:val="•"/>
      <w:lvlJc w:val="left"/>
      <w:pPr>
        <w:ind w:left="5773" w:hanging="525"/>
      </w:pPr>
      <w:rPr>
        <w:rFonts w:hint="default"/>
        <w:lang w:val="zh-CN" w:eastAsia="zh-CN" w:bidi="zh-CN"/>
      </w:rPr>
    </w:lvl>
    <w:lvl w:ilvl="6" w:tentative="0">
      <w:start w:val="0"/>
      <w:numFmt w:val="bullet"/>
      <w:lvlText w:val="•"/>
      <w:lvlJc w:val="left"/>
      <w:pPr>
        <w:ind w:left="6624" w:hanging="525"/>
      </w:pPr>
      <w:rPr>
        <w:rFonts w:hint="default"/>
        <w:lang w:val="zh-CN" w:eastAsia="zh-CN" w:bidi="zh-CN"/>
      </w:rPr>
    </w:lvl>
    <w:lvl w:ilvl="7" w:tentative="0">
      <w:start w:val="0"/>
      <w:numFmt w:val="bullet"/>
      <w:lvlText w:val="•"/>
      <w:lvlJc w:val="left"/>
      <w:pPr>
        <w:ind w:left="7474" w:hanging="525"/>
      </w:pPr>
      <w:rPr>
        <w:rFonts w:hint="default"/>
        <w:lang w:val="zh-CN" w:eastAsia="zh-CN" w:bidi="zh-CN"/>
      </w:rPr>
    </w:lvl>
    <w:lvl w:ilvl="8" w:tentative="0">
      <w:start w:val="0"/>
      <w:numFmt w:val="bullet"/>
      <w:lvlText w:val="•"/>
      <w:lvlJc w:val="left"/>
      <w:pPr>
        <w:ind w:left="8325" w:hanging="525"/>
      </w:pPr>
      <w:rPr>
        <w:rFonts w:hint="default"/>
        <w:lang w:val="zh-CN" w:eastAsia="zh-CN" w:bidi="zh-CN"/>
      </w:rPr>
    </w:lvl>
  </w:abstractNum>
  <w:abstractNum w:abstractNumId="6">
    <w:nsid w:val="B0F1ACD9"/>
    <w:multiLevelType w:val="multilevel"/>
    <w:tmpl w:val="B0F1ACD9"/>
    <w:lvl w:ilvl="0" w:tentative="0">
      <w:start w:val="1"/>
      <w:numFmt w:val="decimal"/>
      <w:lvlText w:val="（%1）"/>
      <w:lvlJc w:val="left"/>
      <w:pPr>
        <w:ind w:left="1626"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460" w:hanging="525"/>
      </w:pPr>
      <w:rPr>
        <w:rFonts w:hint="default"/>
        <w:lang w:val="zh-CN" w:eastAsia="zh-CN" w:bidi="zh-CN"/>
      </w:rPr>
    </w:lvl>
    <w:lvl w:ilvl="2" w:tentative="0">
      <w:start w:val="0"/>
      <w:numFmt w:val="bullet"/>
      <w:lvlText w:val="•"/>
      <w:lvlJc w:val="left"/>
      <w:pPr>
        <w:ind w:left="3301" w:hanging="525"/>
      </w:pPr>
      <w:rPr>
        <w:rFonts w:hint="default"/>
        <w:lang w:val="zh-CN" w:eastAsia="zh-CN" w:bidi="zh-CN"/>
      </w:rPr>
    </w:lvl>
    <w:lvl w:ilvl="3" w:tentative="0">
      <w:start w:val="0"/>
      <w:numFmt w:val="bullet"/>
      <w:lvlText w:val="•"/>
      <w:lvlJc w:val="left"/>
      <w:pPr>
        <w:ind w:left="4142" w:hanging="525"/>
      </w:pPr>
      <w:rPr>
        <w:rFonts w:hint="default"/>
        <w:lang w:val="zh-CN" w:eastAsia="zh-CN" w:bidi="zh-CN"/>
      </w:rPr>
    </w:lvl>
    <w:lvl w:ilvl="4" w:tentative="0">
      <w:start w:val="0"/>
      <w:numFmt w:val="bullet"/>
      <w:lvlText w:val="•"/>
      <w:lvlJc w:val="left"/>
      <w:pPr>
        <w:ind w:left="4982" w:hanging="525"/>
      </w:pPr>
      <w:rPr>
        <w:rFonts w:hint="default"/>
        <w:lang w:val="zh-CN" w:eastAsia="zh-CN" w:bidi="zh-CN"/>
      </w:rPr>
    </w:lvl>
    <w:lvl w:ilvl="5" w:tentative="0">
      <w:start w:val="0"/>
      <w:numFmt w:val="bullet"/>
      <w:lvlText w:val="•"/>
      <w:lvlJc w:val="left"/>
      <w:pPr>
        <w:ind w:left="5823" w:hanging="525"/>
      </w:pPr>
      <w:rPr>
        <w:rFonts w:hint="default"/>
        <w:lang w:val="zh-CN" w:eastAsia="zh-CN" w:bidi="zh-CN"/>
      </w:rPr>
    </w:lvl>
    <w:lvl w:ilvl="6" w:tentative="0">
      <w:start w:val="0"/>
      <w:numFmt w:val="bullet"/>
      <w:lvlText w:val="•"/>
      <w:lvlJc w:val="left"/>
      <w:pPr>
        <w:ind w:left="6664" w:hanging="525"/>
      </w:pPr>
      <w:rPr>
        <w:rFonts w:hint="default"/>
        <w:lang w:val="zh-CN" w:eastAsia="zh-CN" w:bidi="zh-CN"/>
      </w:rPr>
    </w:lvl>
    <w:lvl w:ilvl="7" w:tentative="0">
      <w:start w:val="0"/>
      <w:numFmt w:val="bullet"/>
      <w:lvlText w:val="•"/>
      <w:lvlJc w:val="left"/>
      <w:pPr>
        <w:ind w:left="7504" w:hanging="525"/>
      </w:pPr>
      <w:rPr>
        <w:rFonts w:hint="default"/>
        <w:lang w:val="zh-CN" w:eastAsia="zh-CN" w:bidi="zh-CN"/>
      </w:rPr>
    </w:lvl>
    <w:lvl w:ilvl="8" w:tentative="0">
      <w:start w:val="0"/>
      <w:numFmt w:val="bullet"/>
      <w:lvlText w:val="•"/>
      <w:lvlJc w:val="left"/>
      <w:pPr>
        <w:ind w:left="8345" w:hanging="525"/>
      </w:pPr>
      <w:rPr>
        <w:rFonts w:hint="default"/>
        <w:lang w:val="zh-CN" w:eastAsia="zh-CN" w:bidi="zh-CN"/>
      </w:rPr>
    </w:lvl>
  </w:abstractNum>
  <w:abstractNum w:abstractNumId="7">
    <w:nsid w:val="B20FB398"/>
    <w:multiLevelType w:val="singleLevel"/>
    <w:tmpl w:val="B20FB398"/>
    <w:lvl w:ilvl="0" w:tentative="0">
      <w:start w:val="2"/>
      <w:numFmt w:val="chineseCounting"/>
      <w:suff w:val="nothing"/>
      <w:lvlText w:val="%1、"/>
      <w:lvlJc w:val="left"/>
      <w:pPr>
        <w:ind w:left="630" w:leftChars="0" w:firstLine="0" w:firstLineChars="0"/>
      </w:pPr>
      <w:rPr>
        <w:rFonts w:hint="eastAsia"/>
      </w:rPr>
    </w:lvl>
  </w:abstractNum>
  <w:abstractNum w:abstractNumId="8">
    <w:nsid w:val="B5E306ED"/>
    <w:multiLevelType w:val="multilevel"/>
    <w:tmpl w:val="B5E306ED"/>
    <w:lvl w:ilvl="0" w:tentative="0">
      <w:start w:val="7"/>
      <w:numFmt w:val="decimal"/>
      <w:lvlText w:val="%1"/>
      <w:lvlJc w:val="left"/>
      <w:pPr>
        <w:ind w:left="681" w:hanging="368"/>
        <w:jc w:val="left"/>
      </w:pPr>
      <w:rPr>
        <w:rFonts w:hint="default"/>
        <w:lang w:val="zh-CN" w:eastAsia="zh-CN" w:bidi="zh-CN"/>
      </w:rPr>
    </w:lvl>
    <w:lvl w:ilvl="1" w:tentative="0">
      <w:start w:val="1"/>
      <w:numFmt w:val="decimal"/>
      <w:lvlText w:val="%1.%2"/>
      <w:lvlJc w:val="left"/>
      <w:pPr>
        <w:ind w:left="681" w:hanging="368"/>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368"/>
      </w:pPr>
      <w:rPr>
        <w:rFonts w:hint="default"/>
        <w:lang w:val="zh-CN" w:eastAsia="zh-CN" w:bidi="zh-CN"/>
      </w:rPr>
    </w:lvl>
    <w:lvl w:ilvl="3" w:tentative="0">
      <w:start w:val="0"/>
      <w:numFmt w:val="bullet"/>
      <w:lvlText w:val="•"/>
      <w:lvlJc w:val="left"/>
      <w:pPr>
        <w:ind w:left="3484" w:hanging="368"/>
      </w:pPr>
      <w:rPr>
        <w:rFonts w:hint="default"/>
        <w:lang w:val="zh-CN" w:eastAsia="zh-CN" w:bidi="zh-CN"/>
      </w:rPr>
    </w:lvl>
    <w:lvl w:ilvl="4" w:tentative="0">
      <w:start w:val="0"/>
      <w:numFmt w:val="bullet"/>
      <w:lvlText w:val="•"/>
      <w:lvlJc w:val="left"/>
      <w:pPr>
        <w:ind w:left="4418" w:hanging="368"/>
      </w:pPr>
      <w:rPr>
        <w:rFonts w:hint="default"/>
        <w:lang w:val="zh-CN" w:eastAsia="zh-CN" w:bidi="zh-CN"/>
      </w:rPr>
    </w:lvl>
    <w:lvl w:ilvl="5" w:tentative="0">
      <w:start w:val="0"/>
      <w:numFmt w:val="bullet"/>
      <w:lvlText w:val="•"/>
      <w:lvlJc w:val="left"/>
      <w:pPr>
        <w:ind w:left="5353" w:hanging="368"/>
      </w:pPr>
      <w:rPr>
        <w:rFonts w:hint="default"/>
        <w:lang w:val="zh-CN" w:eastAsia="zh-CN" w:bidi="zh-CN"/>
      </w:rPr>
    </w:lvl>
    <w:lvl w:ilvl="6" w:tentative="0">
      <w:start w:val="0"/>
      <w:numFmt w:val="bullet"/>
      <w:lvlText w:val="•"/>
      <w:lvlJc w:val="left"/>
      <w:pPr>
        <w:ind w:left="6288" w:hanging="368"/>
      </w:pPr>
      <w:rPr>
        <w:rFonts w:hint="default"/>
        <w:lang w:val="zh-CN" w:eastAsia="zh-CN" w:bidi="zh-CN"/>
      </w:rPr>
    </w:lvl>
    <w:lvl w:ilvl="7" w:tentative="0">
      <w:start w:val="0"/>
      <w:numFmt w:val="bullet"/>
      <w:lvlText w:val="•"/>
      <w:lvlJc w:val="left"/>
      <w:pPr>
        <w:ind w:left="7222" w:hanging="368"/>
      </w:pPr>
      <w:rPr>
        <w:rFonts w:hint="default"/>
        <w:lang w:val="zh-CN" w:eastAsia="zh-CN" w:bidi="zh-CN"/>
      </w:rPr>
    </w:lvl>
    <w:lvl w:ilvl="8" w:tentative="0">
      <w:start w:val="0"/>
      <w:numFmt w:val="bullet"/>
      <w:lvlText w:val="•"/>
      <w:lvlJc w:val="left"/>
      <w:pPr>
        <w:ind w:left="8157" w:hanging="368"/>
      </w:pPr>
      <w:rPr>
        <w:rFonts w:hint="default"/>
        <w:lang w:val="zh-CN" w:eastAsia="zh-CN" w:bidi="zh-CN"/>
      </w:rPr>
    </w:lvl>
  </w:abstractNum>
  <w:abstractNum w:abstractNumId="9">
    <w:nsid w:val="BE923771"/>
    <w:multiLevelType w:val="multilevel"/>
    <w:tmpl w:val="BE923771"/>
    <w:lvl w:ilvl="0" w:tentative="0">
      <w:start w:val="1"/>
      <w:numFmt w:val="decimal"/>
      <w:lvlText w:val="（%1）"/>
      <w:lvlJc w:val="left"/>
      <w:pPr>
        <w:ind w:left="1626"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460" w:hanging="525"/>
      </w:pPr>
      <w:rPr>
        <w:rFonts w:hint="default"/>
        <w:lang w:val="zh-CN" w:eastAsia="zh-CN" w:bidi="zh-CN"/>
      </w:rPr>
    </w:lvl>
    <w:lvl w:ilvl="2" w:tentative="0">
      <w:start w:val="0"/>
      <w:numFmt w:val="bullet"/>
      <w:lvlText w:val="•"/>
      <w:lvlJc w:val="left"/>
      <w:pPr>
        <w:ind w:left="3301" w:hanging="525"/>
      </w:pPr>
      <w:rPr>
        <w:rFonts w:hint="default"/>
        <w:lang w:val="zh-CN" w:eastAsia="zh-CN" w:bidi="zh-CN"/>
      </w:rPr>
    </w:lvl>
    <w:lvl w:ilvl="3" w:tentative="0">
      <w:start w:val="0"/>
      <w:numFmt w:val="bullet"/>
      <w:lvlText w:val="•"/>
      <w:lvlJc w:val="left"/>
      <w:pPr>
        <w:ind w:left="4142" w:hanging="525"/>
      </w:pPr>
      <w:rPr>
        <w:rFonts w:hint="default"/>
        <w:lang w:val="zh-CN" w:eastAsia="zh-CN" w:bidi="zh-CN"/>
      </w:rPr>
    </w:lvl>
    <w:lvl w:ilvl="4" w:tentative="0">
      <w:start w:val="0"/>
      <w:numFmt w:val="bullet"/>
      <w:lvlText w:val="•"/>
      <w:lvlJc w:val="left"/>
      <w:pPr>
        <w:ind w:left="4982" w:hanging="525"/>
      </w:pPr>
      <w:rPr>
        <w:rFonts w:hint="default"/>
        <w:lang w:val="zh-CN" w:eastAsia="zh-CN" w:bidi="zh-CN"/>
      </w:rPr>
    </w:lvl>
    <w:lvl w:ilvl="5" w:tentative="0">
      <w:start w:val="0"/>
      <w:numFmt w:val="bullet"/>
      <w:lvlText w:val="•"/>
      <w:lvlJc w:val="left"/>
      <w:pPr>
        <w:ind w:left="5823" w:hanging="525"/>
      </w:pPr>
      <w:rPr>
        <w:rFonts w:hint="default"/>
        <w:lang w:val="zh-CN" w:eastAsia="zh-CN" w:bidi="zh-CN"/>
      </w:rPr>
    </w:lvl>
    <w:lvl w:ilvl="6" w:tentative="0">
      <w:start w:val="0"/>
      <w:numFmt w:val="bullet"/>
      <w:lvlText w:val="•"/>
      <w:lvlJc w:val="left"/>
      <w:pPr>
        <w:ind w:left="6664" w:hanging="525"/>
      </w:pPr>
      <w:rPr>
        <w:rFonts w:hint="default"/>
        <w:lang w:val="zh-CN" w:eastAsia="zh-CN" w:bidi="zh-CN"/>
      </w:rPr>
    </w:lvl>
    <w:lvl w:ilvl="7" w:tentative="0">
      <w:start w:val="0"/>
      <w:numFmt w:val="bullet"/>
      <w:lvlText w:val="•"/>
      <w:lvlJc w:val="left"/>
      <w:pPr>
        <w:ind w:left="7504" w:hanging="525"/>
      </w:pPr>
      <w:rPr>
        <w:rFonts w:hint="default"/>
        <w:lang w:val="zh-CN" w:eastAsia="zh-CN" w:bidi="zh-CN"/>
      </w:rPr>
    </w:lvl>
    <w:lvl w:ilvl="8" w:tentative="0">
      <w:start w:val="0"/>
      <w:numFmt w:val="bullet"/>
      <w:lvlText w:val="•"/>
      <w:lvlJc w:val="left"/>
      <w:pPr>
        <w:ind w:left="8345" w:hanging="525"/>
      </w:pPr>
      <w:rPr>
        <w:rFonts w:hint="default"/>
        <w:lang w:val="zh-CN" w:eastAsia="zh-CN" w:bidi="zh-CN"/>
      </w:rPr>
    </w:lvl>
  </w:abstractNum>
  <w:abstractNum w:abstractNumId="10">
    <w:nsid w:val="BF205925"/>
    <w:multiLevelType w:val="multilevel"/>
    <w:tmpl w:val="BF205925"/>
    <w:lvl w:ilvl="0" w:tentative="0">
      <w:start w:val="1"/>
      <w:numFmt w:val="decimal"/>
      <w:lvlText w:val="%1."/>
      <w:lvlJc w:val="left"/>
      <w:pPr>
        <w:ind w:left="1411" w:hanging="159"/>
        <w:jc w:val="left"/>
      </w:pPr>
      <w:rPr>
        <w:rFonts w:hint="default" w:ascii="Times New Roman" w:hAnsi="Times New Roman" w:eastAsia="Times New Roman" w:cs="Times New Roman"/>
        <w:b/>
        <w:bCs/>
        <w:spacing w:val="0"/>
        <w:w w:val="99"/>
        <w:sz w:val="19"/>
        <w:szCs w:val="19"/>
        <w:lang w:val="zh-CN" w:eastAsia="zh-CN" w:bidi="zh-CN"/>
      </w:rPr>
    </w:lvl>
    <w:lvl w:ilvl="1" w:tentative="0">
      <w:start w:val="1"/>
      <w:numFmt w:val="decimal"/>
      <w:lvlText w:val="%1.%2"/>
      <w:lvlJc w:val="left"/>
      <w:pPr>
        <w:ind w:left="1468" w:hanging="368"/>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1460" w:hanging="368"/>
      </w:pPr>
      <w:rPr>
        <w:rFonts w:hint="default"/>
        <w:lang w:val="zh-CN" w:eastAsia="zh-CN" w:bidi="zh-CN"/>
      </w:rPr>
    </w:lvl>
    <w:lvl w:ilvl="3" w:tentative="0">
      <w:start w:val="0"/>
      <w:numFmt w:val="bullet"/>
      <w:lvlText w:val="•"/>
      <w:lvlJc w:val="left"/>
      <w:pPr>
        <w:ind w:left="1560" w:hanging="368"/>
      </w:pPr>
      <w:rPr>
        <w:rFonts w:hint="default"/>
        <w:lang w:val="zh-CN" w:eastAsia="zh-CN" w:bidi="zh-CN"/>
      </w:rPr>
    </w:lvl>
    <w:lvl w:ilvl="4" w:tentative="0">
      <w:start w:val="0"/>
      <w:numFmt w:val="bullet"/>
      <w:lvlText w:val="•"/>
      <w:lvlJc w:val="left"/>
      <w:pPr>
        <w:ind w:left="1580" w:hanging="368"/>
      </w:pPr>
      <w:rPr>
        <w:rFonts w:hint="default"/>
        <w:lang w:val="zh-CN" w:eastAsia="zh-CN" w:bidi="zh-CN"/>
      </w:rPr>
    </w:lvl>
    <w:lvl w:ilvl="5" w:tentative="0">
      <w:start w:val="0"/>
      <w:numFmt w:val="bullet"/>
      <w:lvlText w:val="•"/>
      <w:lvlJc w:val="left"/>
      <w:pPr>
        <w:ind w:left="1698" w:hanging="368"/>
      </w:pPr>
      <w:rPr>
        <w:rFonts w:hint="default"/>
        <w:lang w:val="zh-CN" w:eastAsia="zh-CN" w:bidi="zh-CN"/>
      </w:rPr>
    </w:lvl>
    <w:lvl w:ilvl="6" w:tentative="0">
      <w:start w:val="0"/>
      <w:numFmt w:val="bullet"/>
      <w:lvlText w:val="•"/>
      <w:lvlJc w:val="left"/>
      <w:pPr>
        <w:ind w:left="1817" w:hanging="368"/>
      </w:pPr>
      <w:rPr>
        <w:rFonts w:hint="default"/>
        <w:lang w:val="zh-CN" w:eastAsia="zh-CN" w:bidi="zh-CN"/>
      </w:rPr>
    </w:lvl>
    <w:lvl w:ilvl="7" w:tentative="0">
      <w:start w:val="0"/>
      <w:numFmt w:val="bullet"/>
      <w:lvlText w:val="•"/>
      <w:lvlJc w:val="left"/>
      <w:pPr>
        <w:ind w:left="1936" w:hanging="368"/>
      </w:pPr>
      <w:rPr>
        <w:rFonts w:hint="default"/>
        <w:lang w:val="zh-CN" w:eastAsia="zh-CN" w:bidi="zh-CN"/>
      </w:rPr>
    </w:lvl>
    <w:lvl w:ilvl="8" w:tentative="0">
      <w:start w:val="0"/>
      <w:numFmt w:val="bullet"/>
      <w:lvlText w:val="•"/>
      <w:lvlJc w:val="left"/>
      <w:pPr>
        <w:ind w:left="2055" w:hanging="368"/>
      </w:pPr>
      <w:rPr>
        <w:rFonts w:hint="default"/>
        <w:lang w:val="zh-CN" w:eastAsia="zh-CN" w:bidi="zh-CN"/>
      </w:rPr>
    </w:lvl>
  </w:abstractNum>
  <w:abstractNum w:abstractNumId="11">
    <w:nsid w:val="C8879AEF"/>
    <w:multiLevelType w:val="multilevel"/>
    <w:tmpl w:val="C8879AEF"/>
    <w:lvl w:ilvl="0" w:tentative="0">
      <w:start w:val="23"/>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12">
    <w:nsid w:val="CAD32687"/>
    <w:multiLevelType w:val="singleLevel"/>
    <w:tmpl w:val="CAD32687"/>
    <w:lvl w:ilvl="0" w:tentative="0">
      <w:start w:val="4"/>
      <w:numFmt w:val="chineseCounting"/>
      <w:lvlText w:val="第%1章"/>
      <w:lvlJc w:val="left"/>
      <w:rPr>
        <w:rFonts w:hint="eastAsia"/>
      </w:rPr>
    </w:lvl>
  </w:abstractNum>
  <w:abstractNum w:abstractNumId="13">
    <w:nsid w:val="CF092B84"/>
    <w:multiLevelType w:val="multilevel"/>
    <w:tmpl w:val="CF092B84"/>
    <w:lvl w:ilvl="0" w:tentative="0">
      <w:start w:val="1"/>
      <w:numFmt w:val="decimal"/>
      <w:lvlText w:val="%1."/>
      <w:lvlJc w:val="left"/>
      <w:pPr>
        <w:ind w:left="840" w:hanging="159"/>
        <w:jc w:val="left"/>
      </w:pPr>
      <w:rPr>
        <w:rFonts w:hint="default" w:ascii="Times New Roman" w:hAnsi="Times New Roman" w:eastAsia="Times New Roman" w:cs="Times New Roman"/>
        <w:b/>
        <w:bCs/>
        <w:spacing w:val="-2"/>
        <w:w w:val="99"/>
        <w:sz w:val="19"/>
        <w:szCs w:val="19"/>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1860" w:hanging="471"/>
      </w:pPr>
      <w:rPr>
        <w:rFonts w:hint="default"/>
        <w:lang w:val="zh-CN" w:eastAsia="zh-CN" w:bidi="zh-CN"/>
      </w:rPr>
    </w:lvl>
    <w:lvl w:ilvl="3" w:tentative="0">
      <w:start w:val="0"/>
      <w:numFmt w:val="bullet"/>
      <w:lvlText w:val="•"/>
      <w:lvlJc w:val="left"/>
      <w:pPr>
        <w:ind w:left="2881" w:hanging="471"/>
      </w:pPr>
      <w:rPr>
        <w:rFonts w:hint="default"/>
        <w:lang w:val="zh-CN" w:eastAsia="zh-CN" w:bidi="zh-CN"/>
      </w:rPr>
    </w:lvl>
    <w:lvl w:ilvl="4" w:tentative="0">
      <w:start w:val="0"/>
      <w:numFmt w:val="bullet"/>
      <w:lvlText w:val="•"/>
      <w:lvlJc w:val="left"/>
      <w:pPr>
        <w:ind w:left="3902" w:hanging="471"/>
      </w:pPr>
      <w:rPr>
        <w:rFonts w:hint="default"/>
        <w:lang w:val="zh-CN" w:eastAsia="zh-CN" w:bidi="zh-CN"/>
      </w:rPr>
    </w:lvl>
    <w:lvl w:ilvl="5" w:tentative="0">
      <w:start w:val="0"/>
      <w:numFmt w:val="bullet"/>
      <w:lvlText w:val="•"/>
      <w:lvlJc w:val="left"/>
      <w:pPr>
        <w:ind w:left="4923" w:hanging="471"/>
      </w:pPr>
      <w:rPr>
        <w:rFonts w:hint="default"/>
        <w:lang w:val="zh-CN" w:eastAsia="zh-CN" w:bidi="zh-CN"/>
      </w:rPr>
    </w:lvl>
    <w:lvl w:ilvl="6" w:tentative="0">
      <w:start w:val="0"/>
      <w:numFmt w:val="bullet"/>
      <w:lvlText w:val="•"/>
      <w:lvlJc w:val="left"/>
      <w:pPr>
        <w:ind w:left="5943" w:hanging="471"/>
      </w:pPr>
      <w:rPr>
        <w:rFonts w:hint="default"/>
        <w:lang w:val="zh-CN" w:eastAsia="zh-CN" w:bidi="zh-CN"/>
      </w:rPr>
    </w:lvl>
    <w:lvl w:ilvl="7" w:tentative="0">
      <w:start w:val="0"/>
      <w:numFmt w:val="bullet"/>
      <w:lvlText w:val="•"/>
      <w:lvlJc w:val="left"/>
      <w:pPr>
        <w:ind w:left="6964" w:hanging="471"/>
      </w:pPr>
      <w:rPr>
        <w:rFonts w:hint="default"/>
        <w:lang w:val="zh-CN" w:eastAsia="zh-CN" w:bidi="zh-CN"/>
      </w:rPr>
    </w:lvl>
    <w:lvl w:ilvl="8" w:tentative="0">
      <w:start w:val="0"/>
      <w:numFmt w:val="bullet"/>
      <w:lvlText w:val="•"/>
      <w:lvlJc w:val="left"/>
      <w:pPr>
        <w:ind w:left="7985" w:hanging="471"/>
      </w:pPr>
      <w:rPr>
        <w:rFonts w:hint="default"/>
        <w:lang w:val="zh-CN" w:eastAsia="zh-CN" w:bidi="zh-CN"/>
      </w:rPr>
    </w:lvl>
  </w:abstractNum>
  <w:abstractNum w:abstractNumId="14">
    <w:nsid w:val="CF14442D"/>
    <w:multiLevelType w:val="singleLevel"/>
    <w:tmpl w:val="CF14442D"/>
    <w:lvl w:ilvl="0" w:tentative="0">
      <w:start w:val="1"/>
      <w:numFmt w:val="decimal"/>
      <w:suff w:val="nothing"/>
      <w:lvlText w:val="%1、"/>
      <w:lvlJc w:val="left"/>
      <w:pPr>
        <w:ind w:left="843" w:leftChars="0" w:firstLine="0" w:firstLineChars="0"/>
      </w:pPr>
    </w:lvl>
  </w:abstractNum>
  <w:abstractNum w:abstractNumId="15">
    <w:nsid w:val="D7F9FE59"/>
    <w:multiLevelType w:val="multilevel"/>
    <w:tmpl w:val="D7F9FE59"/>
    <w:lvl w:ilvl="0" w:tentative="0">
      <w:start w:val="1"/>
      <w:numFmt w:val="decimal"/>
      <w:lvlText w:val="（%1）"/>
      <w:lvlJc w:val="left"/>
      <w:pPr>
        <w:ind w:left="681" w:hanging="525"/>
        <w:jc w:val="left"/>
      </w:pPr>
      <w:rPr>
        <w:rFonts w:hint="default" w:ascii="宋体" w:hAnsi="宋体" w:eastAsia="宋体" w:cs="宋体"/>
        <w:spacing w:val="-34"/>
        <w:w w:val="99"/>
        <w:sz w:val="19"/>
        <w:szCs w:val="19"/>
        <w:lang w:val="zh-CN" w:eastAsia="zh-CN" w:bidi="zh-CN"/>
      </w:rPr>
    </w:lvl>
    <w:lvl w:ilvl="1" w:tentative="0">
      <w:start w:val="0"/>
      <w:numFmt w:val="bullet"/>
      <w:lvlText w:val="•"/>
      <w:lvlJc w:val="left"/>
      <w:pPr>
        <w:ind w:left="1614" w:hanging="525"/>
      </w:pPr>
      <w:rPr>
        <w:rFonts w:hint="default"/>
        <w:lang w:val="zh-CN" w:eastAsia="zh-CN" w:bidi="zh-CN"/>
      </w:rPr>
    </w:lvl>
    <w:lvl w:ilvl="2" w:tentative="0">
      <w:start w:val="0"/>
      <w:numFmt w:val="bullet"/>
      <w:lvlText w:val="•"/>
      <w:lvlJc w:val="left"/>
      <w:pPr>
        <w:ind w:left="2549" w:hanging="525"/>
      </w:pPr>
      <w:rPr>
        <w:rFonts w:hint="default"/>
        <w:lang w:val="zh-CN" w:eastAsia="zh-CN" w:bidi="zh-CN"/>
      </w:rPr>
    </w:lvl>
    <w:lvl w:ilvl="3" w:tentative="0">
      <w:start w:val="0"/>
      <w:numFmt w:val="bullet"/>
      <w:lvlText w:val="•"/>
      <w:lvlJc w:val="left"/>
      <w:pPr>
        <w:ind w:left="3484" w:hanging="525"/>
      </w:pPr>
      <w:rPr>
        <w:rFonts w:hint="default"/>
        <w:lang w:val="zh-CN" w:eastAsia="zh-CN" w:bidi="zh-CN"/>
      </w:rPr>
    </w:lvl>
    <w:lvl w:ilvl="4" w:tentative="0">
      <w:start w:val="0"/>
      <w:numFmt w:val="bullet"/>
      <w:lvlText w:val="•"/>
      <w:lvlJc w:val="left"/>
      <w:pPr>
        <w:ind w:left="4418" w:hanging="525"/>
      </w:pPr>
      <w:rPr>
        <w:rFonts w:hint="default"/>
        <w:lang w:val="zh-CN" w:eastAsia="zh-CN" w:bidi="zh-CN"/>
      </w:rPr>
    </w:lvl>
    <w:lvl w:ilvl="5" w:tentative="0">
      <w:start w:val="0"/>
      <w:numFmt w:val="bullet"/>
      <w:lvlText w:val="•"/>
      <w:lvlJc w:val="left"/>
      <w:pPr>
        <w:ind w:left="5353" w:hanging="525"/>
      </w:pPr>
      <w:rPr>
        <w:rFonts w:hint="default"/>
        <w:lang w:val="zh-CN" w:eastAsia="zh-CN" w:bidi="zh-CN"/>
      </w:rPr>
    </w:lvl>
    <w:lvl w:ilvl="6" w:tentative="0">
      <w:start w:val="0"/>
      <w:numFmt w:val="bullet"/>
      <w:lvlText w:val="•"/>
      <w:lvlJc w:val="left"/>
      <w:pPr>
        <w:ind w:left="6288" w:hanging="525"/>
      </w:pPr>
      <w:rPr>
        <w:rFonts w:hint="default"/>
        <w:lang w:val="zh-CN" w:eastAsia="zh-CN" w:bidi="zh-CN"/>
      </w:rPr>
    </w:lvl>
    <w:lvl w:ilvl="7" w:tentative="0">
      <w:start w:val="0"/>
      <w:numFmt w:val="bullet"/>
      <w:lvlText w:val="•"/>
      <w:lvlJc w:val="left"/>
      <w:pPr>
        <w:ind w:left="7222" w:hanging="525"/>
      </w:pPr>
      <w:rPr>
        <w:rFonts w:hint="default"/>
        <w:lang w:val="zh-CN" w:eastAsia="zh-CN" w:bidi="zh-CN"/>
      </w:rPr>
    </w:lvl>
    <w:lvl w:ilvl="8" w:tentative="0">
      <w:start w:val="0"/>
      <w:numFmt w:val="bullet"/>
      <w:lvlText w:val="•"/>
      <w:lvlJc w:val="left"/>
      <w:pPr>
        <w:ind w:left="8157" w:hanging="525"/>
      </w:pPr>
      <w:rPr>
        <w:rFonts w:hint="default"/>
        <w:lang w:val="zh-CN" w:eastAsia="zh-CN" w:bidi="zh-CN"/>
      </w:rPr>
    </w:lvl>
  </w:abstractNum>
  <w:abstractNum w:abstractNumId="16">
    <w:nsid w:val="DCBA6B53"/>
    <w:multiLevelType w:val="multilevel"/>
    <w:tmpl w:val="DCBA6B53"/>
    <w:lvl w:ilvl="0" w:tentative="0">
      <w:start w:val="30"/>
      <w:numFmt w:val="decimal"/>
      <w:lvlText w:val="%1"/>
      <w:lvlJc w:val="left"/>
      <w:pPr>
        <w:ind w:left="681" w:hanging="423"/>
        <w:jc w:val="left"/>
      </w:pPr>
      <w:rPr>
        <w:rFonts w:hint="default"/>
        <w:lang w:val="zh-CN" w:eastAsia="zh-CN" w:bidi="zh-CN"/>
      </w:rPr>
    </w:lvl>
    <w:lvl w:ilvl="1" w:tentative="0">
      <w:start w:val="1"/>
      <w:numFmt w:val="decimal"/>
      <w:lvlText w:val="%1.%2"/>
      <w:lvlJc w:val="left"/>
      <w:pPr>
        <w:ind w:left="681" w:hanging="423"/>
        <w:jc w:val="left"/>
      </w:pPr>
      <w:rPr>
        <w:rFonts w:hint="default"/>
        <w:b/>
        <w:bCs/>
        <w:spacing w:val="0"/>
        <w:w w:val="99"/>
        <w:lang w:val="zh-CN" w:eastAsia="zh-CN" w:bidi="zh-CN"/>
      </w:rPr>
    </w:lvl>
    <w:lvl w:ilvl="2" w:tentative="0">
      <w:start w:val="0"/>
      <w:numFmt w:val="bullet"/>
      <w:lvlText w:val="•"/>
      <w:lvlJc w:val="left"/>
      <w:pPr>
        <w:ind w:left="2549" w:hanging="423"/>
      </w:pPr>
      <w:rPr>
        <w:rFonts w:hint="default"/>
        <w:lang w:val="zh-CN" w:eastAsia="zh-CN" w:bidi="zh-CN"/>
      </w:rPr>
    </w:lvl>
    <w:lvl w:ilvl="3" w:tentative="0">
      <w:start w:val="0"/>
      <w:numFmt w:val="bullet"/>
      <w:lvlText w:val="•"/>
      <w:lvlJc w:val="left"/>
      <w:pPr>
        <w:ind w:left="3484" w:hanging="423"/>
      </w:pPr>
      <w:rPr>
        <w:rFonts w:hint="default"/>
        <w:lang w:val="zh-CN" w:eastAsia="zh-CN" w:bidi="zh-CN"/>
      </w:rPr>
    </w:lvl>
    <w:lvl w:ilvl="4" w:tentative="0">
      <w:start w:val="0"/>
      <w:numFmt w:val="bullet"/>
      <w:lvlText w:val="•"/>
      <w:lvlJc w:val="left"/>
      <w:pPr>
        <w:ind w:left="4418" w:hanging="423"/>
      </w:pPr>
      <w:rPr>
        <w:rFonts w:hint="default"/>
        <w:lang w:val="zh-CN" w:eastAsia="zh-CN" w:bidi="zh-CN"/>
      </w:rPr>
    </w:lvl>
    <w:lvl w:ilvl="5" w:tentative="0">
      <w:start w:val="0"/>
      <w:numFmt w:val="bullet"/>
      <w:lvlText w:val="•"/>
      <w:lvlJc w:val="left"/>
      <w:pPr>
        <w:ind w:left="5353" w:hanging="423"/>
      </w:pPr>
      <w:rPr>
        <w:rFonts w:hint="default"/>
        <w:lang w:val="zh-CN" w:eastAsia="zh-CN" w:bidi="zh-CN"/>
      </w:rPr>
    </w:lvl>
    <w:lvl w:ilvl="6" w:tentative="0">
      <w:start w:val="0"/>
      <w:numFmt w:val="bullet"/>
      <w:lvlText w:val="•"/>
      <w:lvlJc w:val="left"/>
      <w:pPr>
        <w:ind w:left="6288" w:hanging="423"/>
      </w:pPr>
      <w:rPr>
        <w:rFonts w:hint="default"/>
        <w:lang w:val="zh-CN" w:eastAsia="zh-CN" w:bidi="zh-CN"/>
      </w:rPr>
    </w:lvl>
    <w:lvl w:ilvl="7" w:tentative="0">
      <w:start w:val="0"/>
      <w:numFmt w:val="bullet"/>
      <w:lvlText w:val="•"/>
      <w:lvlJc w:val="left"/>
      <w:pPr>
        <w:ind w:left="7222" w:hanging="423"/>
      </w:pPr>
      <w:rPr>
        <w:rFonts w:hint="default"/>
        <w:lang w:val="zh-CN" w:eastAsia="zh-CN" w:bidi="zh-CN"/>
      </w:rPr>
    </w:lvl>
    <w:lvl w:ilvl="8" w:tentative="0">
      <w:start w:val="0"/>
      <w:numFmt w:val="bullet"/>
      <w:lvlText w:val="•"/>
      <w:lvlJc w:val="left"/>
      <w:pPr>
        <w:ind w:left="8157" w:hanging="423"/>
      </w:pPr>
      <w:rPr>
        <w:rFonts w:hint="default"/>
        <w:lang w:val="zh-CN" w:eastAsia="zh-CN" w:bidi="zh-CN"/>
      </w:rPr>
    </w:lvl>
  </w:abstractNum>
  <w:abstractNum w:abstractNumId="17">
    <w:nsid w:val="E54DFA8F"/>
    <w:multiLevelType w:val="singleLevel"/>
    <w:tmpl w:val="E54DFA8F"/>
    <w:lvl w:ilvl="0" w:tentative="0">
      <w:start w:val="1"/>
      <w:numFmt w:val="decimal"/>
      <w:lvlText w:val="%1."/>
      <w:lvlJc w:val="left"/>
      <w:pPr>
        <w:tabs>
          <w:tab w:val="left" w:pos="312"/>
        </w:tabs>
      </w:pPr>
    </w:lvl>
  </w:abstractNum>
  <w:abstractNum w:abstractNumId="18">
    <w:nsid w:val="ED12BA2F"/>
    <w:multiLevelType w:val="singleLevel"/>
    <w:tmpl w:val="ED12BA2F"/>
    <w:lvl w:ilvl="0" w:tentative="0">
      <w:start w:val="5"/>
      <w:numFmt w:val="chineseCounting"/>
      <w:suff w:val="nothing"/>
      <w:lvlText w:val="%1、"/>
      <w:lvlJc w:val="left"/>
      <w:pPr>
        <w:ind w:left="840" w:leftChars="0" w:firstLine="0" w:firstLineChars="0"/>
      </w:pPr>
      <w:rPr>
        <w:rFonts w:hint="eastAsia"/>
      </w:rPr>
    </w:lvl>
  </w:abstractNum>
  <w:abstractNum w:abstractNumId="19">
    <w:nsid w:val="F4B5D9F5"/>
    <w:multiLevelType w:val="multilevel"/>
    <w:tmpl w:val="F4B5D9F5"/>
    <w:lvl w:ilvl="0" w:tentative="0">
      <w:start w:val="25"/>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20">
    <w:nsid w:val="0053208E"/>
    <w:multiLevelType w:val="multilevel"/>
    <w:tmpl w:val="0053208E"/>
    <w:lvl w:ilvl="0" w:tentative="0">
      <w:start w:val="1"/>
      <w:numFmt w:val="decimal"/>
      <w:lvlText w:val="%1."/>
      <w:lvlJc w:val="left"/>
      <w:pPr>
        <w:ind w:left="1049" w:hanging="159"/>
        <w:jc w:val="left"/>
      </w:pPr>
      <w:rPr>
        <w:rFonts w:hint="default" w:ascii="Times New Roman" w:hAnsi="Times New Roman" w:eastAsia="Times New Roman" w:cs="Times New Roman"/>
        <w:b/>
        <w:bCs/>
        <w:spacing w:val="0"/>
        <w:w w:val="99"/>
        <w:sz w:val="19"/>
        <w:szCs w:val="19"/>
        <w:lang w:val="zh-CN" w:eastAsia="zh-CN" w:bidi="zh-CN"/>
      </w:rPr>
    </w:lvl>
    <w:lvl w:ilvl="1" w:tentative="0">
      <w:start w:val="0"/>
      <w:numFmt w:val="bullet"/>
      <w:lvlText w:val="•"/>
      <w:lvlJc w:val="left"/>
      <w:pPr>
        <w:ind w:left="1938" w:hanging="159"/>
      </w:pPr>
      <w:rPr>
        <w:rFonts w:hint="default"/>
        <w:lang w:val="zh-CN" w:eastAsia="zh-CN" w:bidi="zh-CN"/>
      </w:rPr>
    </w:lvl>
    <w:lvl w:ilvl="2" w:tentative="0">
      <w:start w:val="0"/>
      <w:numFmt w:val="bullet"/>
      <w:lvlText w:val="•"/>
      <w:lvlJc w:val="left"/>
      <w:pPr>
        <w:ind w:left="2837" w:hanging="159"/>
      </w:pPr>
      <w:rPr>
        <w:rFonts w:hint="default"/>
        <w:lang w:val="zh-CN" w:eastAsia="zh-CN" w:bidi="zh-CN"/>
      </w:rPr>
    </w:lvl>
    <w:lvl w:ilvl="3" w:tentative="0">
      <w:start w:val="0"/>
      <w:numFmt w:val="bullet"/>
      <w:lvlText w:val="•"/>
      <w:lvlJc w:val="left"/>
      <w:pPr>
        <w:ind w:left="3736" w:hanging="159"/>
      </w:pPr>
      <w:rPr>
        <w:rFonts w:hint="default"/>
        <w:lang w:val="zh-CN" w:eastAsia="zh-CN" w:bidi="zh-CN"/>
      </w:rPr>
    </w:lvl>
    <w:lvl w:ilvl="4" w:tentative="0">
      <w:start w:val="0"/>
      <w:numFmt w:val="bullet"/>
      <w:lvlText w:val="•"/>
      <w:lvlJc w:val="left"/>
      <w:pPr>
        <w:ind w:left="4634" w:hanging="159"/>
      </w:pPr>
      <w:rPr>
        <w:rFonts w:hint="default"/>
        <w:lang w:val="zh-CN" w:eastAsia="zh-CN" w:bidi="zh-CN"/>
      </w:rPr>
    </w:lvl>
    <w:lvl w:ilvl="5" w:tentative="0">
      <w:start w:val="0"/>
      <w:numFmt w:val="bullet"/>
      <w:lvlText w:val="•"/>
      <w:lvlJc w:val="left"/>
      <w:pPr>
        <w:ind w:left="5533" w:hanging="159"/>
      </w:pPr>
      <w:rPr>
        <w:rFonts w:hint="default"/>
        <w:lang w:val="zh-CN" w:eastAsia="zh-CN" w:bidi="zh-CN"/>
      </w:rPr>
    </w:lvl>
    <w:lvl w:ilvl="6" w:tentative="0">
      <w:start w:val="0"/>
      <w:numFmt w:val="bullet"/>
      <w:lvlText w:val="•"/>
      <w:lvlJc w:val="left"/>
      <w:pPr>
        <w:ind w:left="6432" w:hanging="159"/>
      </w:pPr>
      <w:rPr>
        <w:rFonts w:hint="default"/>
        <w:lang w:val="zh-CN" w:eastAsia="zh-CN" w:bidi="zh-CN"/>
      </w:rPr>
    </w:lvl>
    <w:lvl w:ilvl="7" w:tentative="0">
      <w:start w:val="0"/>
      <w:numFmt w:val="bullet"/>
      <w:lvlText w:val="•"/>
      <w:lvlJc w:val="left"/>
      <w:pPr>
        <w:ind w:left="7330" w:hanging="159"/>
      </w:pPr>
      <w:rPr>
        <w:rFonts w:hint="default"/>
        <w:lang w:val="zh-CN" w:eastAsia="zh-CN" w:bidi="zh-CN"/>
      </w:rPr>
    </w:lvl>
    <w:lvl w:ilvl="8" w:tentative="0">
      <w:start w:val="0"/>
      <w:numFmt w:val="bullet"/>
      <w:lvlText w:val="•"/>
      <w:lvlJc w:val="left"/>
      <w:pPr>
        <w:ind w:left="8229" w:hanging="159"/>
      </w:pPr>
      <w:rPr>
        <w:rFonts w:hint="default"/>
        <w:lang w:val="zh-CN" w:eastAsia="zh-CN" w:bidi="zh-CN"/>
      </w:rPr>
    </w:lvl>
  </w:abstractNum>
  <w:abstractNum w:abstractNumId="21">
    <w:nsid w:val="0248C179"/>
    <w:multiLevelType w:val="multilevel"/>
    <w:tmpl w:val="0248C179"/>
    <w:lvl w:ilvl="0" w:tentative="0">
      <w:start w:val="1"/>
      <w:numFmt w:val="decimal"/>
      <w:lvlText w:val="（%1）"/>
      <w:lvlJc w:val="left"/>
      <w:pPr>
        <w:ind w:left="1626"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460" w:hanging="525"/>
      </w:pPr>
      <w:rPr>
        <w:rFonts w:hint="default"/>
        <w:lang w:val="zh-CN" w:eastAsia="zh-CN" w:bidi="zh-CN"/>
      </w:rPr>
    </w:lvl>
    <w:lvl w:ilvl="2" w:tentative="0">
      <w:start w:val="0"/>
      <w:numFmt w:val="bullet"/>
      <w:lvlText w:val="•"/>
      <w:lvlJc w:val="left"/>
      <w:pPr>
        <w:ind w:left="3301" w:hanging="525"/>
      </w:pPr>
      <w:rPr>
        <w:rFonts w:hint="default"/>
        <w:lang w:val="zh-CN" w:eastAsia="zh-CN" w:bidi="zh-CN"/>
      </w:rPr>
    </w:lvl>
    <w:lvl w:ilvl="3" w:tentative="0">
      <w:start w:val="0"/>
      <w:numFmt w:val="bullet"/>
      <w:lvlText w:val="•"/>
      <w:lvlJc w:val="left"/>
      <w:pPr>
        <w:ind w:left="4142" w:hanging="525"/>
      </w:pPr>
      <w:rPr>
        <w:rFonts w:hint="default"/>
        <w:lang w:val="zh-CN" w:eastAsia="zh-CN" w:bidi="zh-CN"/>
      </w:rPr>
    </w:lvl>
    <w:lvl w:ilvl="4" w:tentative="0">
      <w:start w:val="0"/>
      <w:numFmt w:val="bullet"/>
      <w:lvlText w:val="•"/>
      <w:lvlJc w:val="left"/>
      <w:pPr>
        <w:ind w:left="4982" w:hanging="525"/>
      </w:pPr>
      <w:rPr>
        <w:rFonts w:hint="default"/>
        <w:lang w:val="zh-CN" w:eastAsia="zh-CN" w:bidi="zh-CN"/>
      </w:rPr>
    </w:lvl>
    <w:lvl w:ilvl="5" w:tentative="0">
      <w:start w:val="0"/>
      <w:numFmt w:val="bullet"/>
      <w:lvlText w:val="•"/>
      <w:lvlJc w:val="left"/>
      <w:pPr>
        <w:ind w:left="5823" w:hanging="525"/>
      </w:pPr>
      <w:rPr>
        <w:rFonts w:hint="default"/>
        <w:lang w:val="zh-CN" w:eastAsia="zh-CN" w:bidi="zh-CN"/>
      </w:rPr>
    </w:lvl>
    <w:lvl w:ilvl="6" w:tentative="0">
      <w:start w:val="0"/>
      <w:numFmt w:val="bullet"/>
      <w:lvlText w:val="•"/>
      <w:lvlJc w:val="left"/>
      <w:pPr>
        <w:ind w:left="6664" w:hanging="525"/>
      </w:pPr>
      <w:rPr>
        <w:rFonts w:hint="default"/>
        <w:lang w:val="zh-CN" w:eastAsia="zh-CN" w:bidi="zh-CN"/>
      </w:rPr>
    </w:lvl>
    <w:lvl w:ilvl="7" w:tentative="0">
      <w:start w:val="0"/>
      <w:numFmt w:val="bullet"/>
      <w:lvlText w:val="•"/>
      <w:lvlJc w:val="left"/>
      <w:pPr>
        <w:ind w:left="7504" w:hanging="525"/>
      </w:pPr>
      <w:rPr>
        <w:rFonts w:hint="default"/>
        <w:lang w:val="zh-CN" w:eastAsia="zh-CN" w:bidi="zh-CN"/>
      </w:rPr>
    </w:lvl>
    <w:lvl w:ilvl="8" w:tentative="0">
      <w:start w:val="0"/>
      <w:numFmt w:val="bullet"/>
      <w:lvlText w:val="•"/>
      <w:lvlJc w:val="left"/>
      <w:pPr>
        <w:ind w:left="8345" w:hanging="525"/>
      </w:pPr>
      <w:rPr>
        <w:rFonts w:hint="default"/>
        <w:lang w:val="zh-CN" w:eastAsia="zh-CN" w:bidi="zh-CN"/>
      </w:rPr>
    </w:lvl>
  </w:abstractNum>
  <w:abstractNum w:abstractNumId="22">
    <w:nsid w:val="03D62ECE"/>
    <w:multiLevelType w:val="multilevel"/>
    <w:tmpl w:val="03D62ECE"/>
    <w:lvl w:ilvl="0" w:tentative="0">
      <w:start w:val="8"/>
      <w:numFmt w:val="decimal"/>
      <w:lvlText w:val="%1"/>
      <w:lvlJc w:val="left"/>
      <w:pPr>
        <w:ind w:left="1101" w:hanging="368"/>
        <w:jc w:val="left"/>
      </w:pPr>
      <w:rPr>
        <w:rFonts w:hint="default"/>
        <w:lang w:val="zh-CN" w:eastAsia="zh-CN" w:bidi="zh-CN"/>
      </w:rPr>
    </w:lvl>
    <w:lvl w:ilvl="1" w:tentative="0">
      <w:start w:val="1"/>
      <w:numFmt w:val="decimal"/>
      <w:lvlText w:val="%1.%2"/>
      <w:lvlJc w:val="left"/>
      <w:pPr>
        <w:ind w:left="1101" w:hanging="368"/>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885" w:hanging="368"/>
      </w:pPr>
      <w:rPr>
        <w:rFonts w:hint="default"/>
        <w:lang w:val="zh-CN" w:eastAsia="zh-CN" w:bidi="zh-CN"/>
      </w:rPr>
    </w:lvl>
    <w:lvl w:ilvl="3" w:tentative="0">
      <w:start w:val="0"/>
      <w:numFmt w:val="bullet"/>
      <w:lvlText w:val="•"/>
      <w:lvlJc w:val="left"/>
      <w:pPr>
        <w:ind w:left="3778" w:hanging="368"/>
      </w:pPr>
      <w:rPr>
        <w:rFonts w:hint="default"/>
        <w:lang w:val="zh-CN" w:eastAsia="zh-CN" w:bidi="zh-CN"/>
      </w:rPr>
    </w:lvl>
    <w:lvl w:ilvl="4" w:tentative="0">
      <w:start w:val="0"/>
      <w:numFmt w:val="bullet"/>
      <w:lvlText w:val="•"/>
      <w:lvlJc w:val="left"/>
      <w:pPr>
        <w:ind w:left="4670" w:hanging="368"/>
      </w:pPr>
      <w:rPr>
        <w:rFonts w:hint="default"/>
        <w:lang w:val="zh-CN" w:eastAsia="zh-CN" w:bidi="zh-CN"/>
      </w:rPr>
    </w:lvl>
    <w:lvl w:ilvl="5" w:tentative="0">
      <w:start w:val="0"/>
      <w:numFmt w:val="bullet"/>
      <w:lvlText w:val="•"/>
      <w:lvlJc w:val="left"/>
      <w:pPr>
        <w:ind w:left="5563" w:hanging="368"/>
      </w:pPr>
      <w:rPr>
        <w:rFonts w:hint="default"/>
        <w:lang w:val="zh-CN" w:eastAsia="zh-CN" w:bidi="zh-CN"/>
      </w:rPr>
    </w:lvl>
    <w:lvl w:ilvl="6" w:tentative="0">
      <w:start w:val="0"/>
      <w:numFmt w:val="bullet"/>
      <w:lvlText w:val="•"/>
      <w:lvlJc w:val="left"/>
      <w:pPr>
        <w:ind w:left="6456" w:hanging="368"/>
      </w:pPr>
      <w:rPr>
        <w:rFonts w:hint="default"/>
        <w:lang w:val="zh-CN" w:eastAsia="zh-CN" w:bidi="zh-CN"/>
      </w:rPr>
    </w:lvl>
    <w:lvl w:ilvl="7" w:tentative="0">
      <w:start w:val="0"/>
      <w:numFmt w:val="bullet"/>
      <w:lvlText w:val="•"/>
      <w:lvlJc w:val="left"/>
      <w:pPr>
        <w:ind w:left="7348" w:hanging="368"/>
      </w:pPr>
      <w:rPr>
        <w:rFonts w:hint="default"/>
        <w:lang w:val="zh-CN" w:eastAsia="zh-CN" w:bidi="zh-CN"/>
      </w:rPr>
    </w:lvl>
    <w:lvl w:ilvl="8" w:tentative="0">
      <w:start w:val="0"/>
      <w:numFmt w:val="bullet"/>
      <w:lvlText w:val="•"/>
      <w:lvlJc w:val="left"/>
      <w:pPr>
        <w:ind w:left="8241" w:hanging="368"/>
      </w:pPr>
      <w:rPr>
        <w:rFonts w:hint="default"/>
        <w:lang w:val="zh-CN" w:eastAsia="zh-CN" w:bidi="zh-CN"/>
      </w:rPr>
    </w:lvl>
  </w:abstractNum>
  <w:abstractNum w:abstractNumId="23">
    <w:nsid w:val="0A0D418A"/>
    <w:multiLevelType w:val="singleLevel"/>
    <w:tmpl w:val="0A0D418A"/>
    <w:lvl w:ilvl="0" w:tentative="0">
      <w:start w:val="1"/>
      <w:numFmt w:val="decimal"/>
      <w:suff w:val="nothing"/>
      <w:lvlText w:val="%1、"/>
      <w:lvlJc w:val="left"/>
    </w:lvl>
  </w:abstractNum>
  <w:abstractNum w:abstractNumId="24">
    <w:nsid w:val="0E640482"/>
    <w:multiLevelType w:val="multilevel"/>
    <w:tmpl w:val="0E640482"/>
    <w:lvl w:ilvl="0" w:tentative="0">
      <w:start w:val="1"/>
      <w:numFmt w:val="decimal"/>
      <w:lvlText w:val="（%1）"/>
      <w:lvlJc w:val="left"/>
      <w:pPr>
        <w:ind w:left="1520"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370" w:hanging="525"/>
      </w:pPr>
      <w:rPr>
        <w:rFonts w:hint="default"/>
        <w:lang w:val="zh-CN" w:eastAsia="zh-CN" w:bidi="zh-CN"/>
      </w:rPr>
    </w:lvl>
    <w:lvl w:ilvl="2" w:tentative="0">
      <w:start w:val="0"/>
      <w:numFmt w:val="bullet"/>
      <w:lvlText w:val="•"/>
      <w:lvlJc w:val="left"/>
      <w:pPr>
        <w:ind w:left="3221" w:hanging="525"/>
      </w:pPr>
      <w:rPr>
        <w:rFonts w:hint="default"/>
        <w:lang w:val="zh-CN" w:eastAsia="zh-CN" w:bidi="zh-CN"/>
      </w:rPr>
    </w:lvl>
    <w:lvl w:ilvl="3" w:tentative="0">
      <w:start w:val="0"/>
      <w:numFmt w:val="bullet"/>
      <w:lvlText w:val="•"/>
      <w:lvlJc w:val="left"/>
      <w:pPr>
        <w:ind w:left="4072" w:hanging="525"/>
      </w:pPr>
      <w:rPr>
        <w:rFonts w:hint="default"/>
        <w:lang w:val="zh-CN" w:eastAsia="zh-CN" w:bidi="zh-CN"/>
      </w:rPr>
    </w:lvl>
    <w:lvl w:ilvl="4" w:tentative="0">
      <w:start w:val="0"/>
      <w:numFmt w:val="bullet"/>
      <w:lvlText w:val="•"/>
      <w:lvlJc w:val="left"/>
      <w:pPr>
        <w:ind w:left="4922" w:hanging="525"/>
      </w:pPr>
      <w:rPr>
        <w:rFonts w:hint="default"/>
        <w:lang w:val="zh-CN" w:eastAsia="zh-CN" w:bidi="zh-CN"/>
      </w:rPr>
    </w:lvl>
    <w:lvl w:ilvl="5" w:tentative="0">
      <w:start w:val="0"/>
      <w:numFmt w:val="bullet"/>
      <w:lvlText w:val="•"/>
      <w:lvlJc w:val="left"/>
      <w:pPr>
        <w:ind w:left="5773" w:hanging="525"/>
      </w:pPr>
      <w:rPr>
        <w:rFonts w:hint="default"/>
        <w:lang w:val="zh-CN" w:eastAsia="zh-CN" w:bidi="zh-CN"/>
      </w:rPr>
    </w:lvl>
    <w:lvl w:ilvl="6" w:tentative="0">
      <w:start w:val="0"/>
      <w:numFmt w:val="bullet"/>
      <w:lvlText w:val="•"/>
      <w:lvlJc w:val="left"/>
      <w:pPr>
        <w:ind w:left="6624" w:hanging="525"/>
      </w:pPr>
      <w:rPr>
        <w:rFonts w:hint="default"/>
        <w:lang w:val="zh-CN" w:eastAsia="zh-CN" w:bidi="zh-CN"/>
      </w:rPr>
    </w:lvl>
    <w:lvl w:ilvl="7" w:tentative="0">
      <w:start w:val="0"/>
      <w:numFmt w:val="bullet"/>
      <w:lvlText w:val="•"/>
      <w:lvlJc w:val="left"/>
      <w:pPr>
        <w:ind w:left="7474" w:hanging="525"/>
      </w:pPr>
      <w:rPr>
        <w:rFonts w:hint="default"/>
        <w:lang w:val="zh-CN" w:eastAsia="zh-CN" w:bidi="zh-CN"/>
      </w:rPr>
    </w:lvl>
    <w:lvl w:ilvl="8" w:tentative="0">
      <w:start w:val="0"/>
      <w:numFmt w:val="bullet"/>
      <w:lvlText w:val="•"/>
      <w:lvlJc w:val="left"/>
      <w:pPr>
        <w:ind w:left="8325" w:hanging="525"/>
      </w:pPr>
      <w:rPr>
        <w:rFonts w:hint="default"/>
        <w:lang w:val="zh-CN" w:eastAsia="zh-CN" w:bidi="zh-CN"/>
      </w:rPr>
    </w:lvl>
  </w:abstractNum>
  <w:abstractNum w:abstractNumId="25">
    <w:nsid w:val="2470EC97"/>
    <w:multiLevelType w:val="multilevel"/>
    <w:tmpl w:val="2470EC97"/>
    <w:lvl w:ilvl="0" w:tentative="0">
      <w:start w:val="29"/>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26">
    <w:nsid w:val="25B654F3"/>
    <w:multiLevelType w:val="multilevel"/>
    <w:tmpl w:val="25B654F3"/>
    <w:lvl w:ilvl="0" w:tentative="0">
      <w:start w:val="1"/>
      <w:numFmt w:val="decimal"/>
      <w:lvlText w:val="%1）"/>
      <w:lvlJc w:val="left"/>
      <w:pPr>
        <w:ind w:left="1416" w:hanging="315"/>
        <w:jc w:val="left"/>
      </w:pPr>
      <w:rPr>
        <w:rFonts w:hint="default" w:ascii="Times New Roman" w:hAnsi="Times New Roman" w:eastAsia="Times New Roman" w:cs="Times New Roman"/>
        <w:spacing w:val="-2"/>
        <w:w w:val="99"/>
        <w:sz w:val="19"/>
        <w:szCs w:val="19"/>
        <w:lang w:val="zh-CN" w:eastAsia="zh-CN" w:bidi="zh-CN"/>
      </w:rPr>
    </w:lvl>
    <w:lvl w:ilvl="1" w:tentative="0">
      <w:start w:val="0"/>
      <w:numFmt w:val="bullet"/>
      <w:lvlText w:val="•"/>
      <w:lvlJc w:val="left"/>
      <w:pPr>
        <w:ind w:left="2280" w:hanging="315"/>
      </w:pPr>
      <w:rPr>
        <w:rFonts w:hint="default"/>
        <w:lang w:val="zh-CN" w:eastAsia="zh-CN" w:bidi="zh-CN"/>
      </w:rPr>
    </w:lvl>
    <w:lvl w:ilvl="2" w:tentative="0">
      <w:start w:val="0"/>
      <w:numFmt w:val="bullet"/>
      <w:lvlText w:val="•"/>
      <w:lvlJc w:val="left"/>
      <w:pPr>
        <w:ind w:left="3141" w:hanging="315"/>
      </w:pPr>
      <w:rPr>
        <w:rFonts w:hint="default"/>
        <w:lang w:val="zh-CN" w:eastAsia="zh-CN" w:bidi="zh-CN"/>
      </w:rPr>
    </w:lvl>
    <w:lvl w:ilvl="3" w:tentative="0">
      <w:start w:val="0"/>
      <w:numFmt w:val="bullet"/>
      <w:lvlText w:val="•"/>
      <w:lvlJc w:val="left"/>
      <w:pPr>
        <w:ind w:left="4002" w:hanging="315"/>
      </w:pPr>
      <w:rPr>
        <w:rFonts w:hint="default"/>
        <w:lang w:val="zh-CN" w:eastAsia="zh-CN" w:bidi="zh-CN"/>
      </w:rPr>
    </w:lvl>
    <w:lvl w:ilvl="4" w:tentative="0">
      <w:start w:val="0"/>
      <w:numFmt w:val="bullet"/>
      <w:lvlText w:val="•"/>
      <w:lvlJc w:val="left"/>
      <w:pPr>
        <w:ind w:left="4862" w:hanging="315"/>
      </w:pPr>
      <w:rPr>
        <w:rFonts w:hint="default"/>
        <w:lang w:val="zh-CN" w:eastAsia="zh-CN" w:bidi="zh-CN"/>
      </w:rPr>
    </w:lvl>
    <w:lvl w:ilvl="5" w:tentative="0">
      <w:start w:val="0"/>
      <w:numFmt w:val="bullet"/>
      <w:lvlText w:val="•"/>
      <w:lvlJc w:val="left"/>
      <w:pPr>
        <w:ind w:left="5723" w:hanging="315"/>
      </w:pPr>
      <w:rPr>
        <w:rFonts w:hint="default"/>
        <w:lang w:val="zh-CN" w:eastAsia="zh-CN" w:bidi="zh-CN"/>
      </w:rPr>
    </w:lvl>
    <w:lvl w:ilvl="6" w:tentative="0">
      <w:start w:val="0"/>
      <w:numFmt w:val="bullet"/>
      <w:lvlText w:val="•"/>
      <w:lvlJc w:val="left"/>
      <w:pPr>
        <w:ind w:left="6584" w:hanging="315"/>
      </w:pPr>
      <w:rPr>
        <w:rFonts w:hint="default"/>
        <w:lang w:val="zh-CN" w:eastAsia="zh-CN" w:bidi="zh-CN"/>
      </w:rPr>
    </w:lvl>
    <w:lvl w:ilvl="7" w:tentative="0">
      <w:start w:val="0"/>
      <w:numFmt w:val="bullet"/>
      <w:lvlText w:val="•"/>
      <w:lvlJc w:val="left"/>
      <w:pPr>
        <w:ind w:left="7444" w:hanging="315"/>
      </w:pPr>
      <w:rPr>
        <w:rFonts w:hint="default"/>
        <w:lang w:val="zh-CN" w:eastAsia="zh-CN" w:bidi="zh-CN"/>
      </w:rPr>
    </w:lvl>
    <w:lvl w:ilvl="8" w:tentative="0">
      <w:start w:val="0"/>
      <w:numFmt w:val="bullet"/>
      <w:lvlText w:val="•"/>
      <w:lvlJc w:val="left"/>
      <w:pPr>
        <w:ind w:left="8305" w:hanging="315"/>
      </w:pPr>
      <w:rPr>
        <w:rFonts w:hint="default"/>
        <w:lang w:val="zh-CN" w:eastAsia="zh-CN" w:bidi="zh-CN"/>
      </w:rPr>
    </w:lvl>
  </w:abstractNum>
  <w:abstractNum w:abstractNumId="27">
    <w:nsid w:val="2A8F537B"/>
    <w:multiLevelType w:val="multilevel"/>
    <w:tmpl w:val="2A8F537B"/>
    <w:lvl w:ilvl="0" w:tentative="0">
      <w:start w:val="18"/>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28">
    <w:nsid w:val="43CF7FDF"/>
    <w:multiLevelType w:val="singleLevel"/>
    <w:tmpl w:val="43CF7FDF"/>
    <w:lvl w:ilvl="0" w:tentative="0">
      <w:start w:val="2"/>
      <w:numFmt w:val="chineseCounting"/>
      <w:suff w:val="space"/>
      <w:lvlText w:val="第%1部分"/>
      <w:lvlJc w:val="left"/>
      <w:rPr>
        <w:rFonts w:hint="eastAsia"/>
      </w:rPr>
    </w:lvl>
  </w:abstractNum>
  <w:abstractNum w:abstractNumId="29">
    <w:nsid w:val="460E3590"/>
    <w:multiLevelType w:val="singleLevel"/>
    <w:tmpl w:val="460E3590"/>
    <w:lvl w:ilvl="0" w:tentative="0">
      <w:start w:val="1"/>
      <w:numFmt w:val="chineseCounting"/>
      <w:suff w:val="nothing"/>
      <w:lvlText w:val="%1、"/>
      <w:lvlJc w:val="left"/>
      <w:rPr>
        <w:rFonts w:hint="eastAsia"/>
      </w:rPr>
    </w:lvl>
  </w:abstractNum>
  <w:abstractNum w:abstractNumId="30">
    <w:nsid w:val="46A08BB8"/>
    <w:multiLevelType w:val="multilevel"/>
    <w:tmpl w:val="46A08BB8"/>
    <w:lvl w:ilvl="0" w:tentative="0">
      <w:start w:val="33"/>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31">
    <w:nsid w:val="4C1BAE26"/>
    <w:multiLevelType w:val="multilevel"/>
    <w:tmpl w:val="4C1BAE26"/>
    <w:lvl w:ilvl="0" w:tentative="0">
      <w:start w:val="1"/>
      <w:numFmt w:val="decimal"/>
      <w:lvlText w:val="（%1）"/>
      <w:lvlJc w:val="left"/>
      <w:pPr>
        <w:ind w:left="681" w:hanging="525"/>
        <w:jc w:val="left"/>
      </w:pPr>
      <w:rPr>
        <w:rFonts w:hint="default" w:ascii="宋体" w:hAnsi="宋体" w:eastAsia="宋体" w:cs="宋体"/>
        <w:spacing w:val="-51"/>
        <w:w w:val="99"/>
        <w:sz w:val="19"/>
        <w:szCs w:val="19"/>
        <w:lang w:val="zh-CN" w:eastAsia="zh-CN" w:bidi="zh-CN"/>
      </w:rPr>
    </w:lvl>
    <w:lvl w:ilvl="1" w:tentative="0">
      <w:start w:val="0"/>
      <w:numFmt w:val="bullet"/>
      <w:lvlText w:val="•"/>
      <w:lvlJc w:val="left"/>
      <w:pPr>
        <w:ind w:left="1614" w:hanging="525"/>
      </w:pPr>
      <w:rPr>
        <w:rFonts w:hint="default"/>
        <w:lang w:val="zh-CN" w:eastAsia="zh-CN" w:bidi="zh-CN"/>
      </w:rPr>
    </w:lvl>
    <w:lvl w:ilvl="2" w:tentative="0">
      <w:start w:val="0"/>
      <w:numFmt w:val="bullet"/>
      <w:lvlText w:val="•"/>
      <w:lvlJc w:val="left"/>
      <w:pPr>
        <w:ind w:left="2549" w:hanging="525"/>
      </w:pPr>
      <w:rPr>
        <w:rFonts w:hint="default"/>
        <w:lang w:val="zh-CN" w:eastAsia="zh-CN" w:bidi="zh-CN"/>
      </w:rPr>
    </w:lvl>
    <w:lvl w:ilvl="3" w:tentative="0">
      <w:start w:val="0"/>
      <w:numFmt w:val="bullet"/>
      <w:lvlText w:val="•"/>
      <w:lvlJc w:val="left"/>
      <w:pPr>
        <w:ind w:left="3484" w:hanging="525"/>
      </w:pPr>
      <w:rPr>
        <w:rFonts w:hint="default"/>
        <w:lang w:val="zh-CN" w:eastAsia="zh-CN" w:bidi="zh-CN"/>
      </w:rPr>
    </w:lvl>
    <w:lvl w:ilvl="4" w:tentative="0">
      <w:start w:val="0"/>
      <w:numFmt w:val="bullet"/>
      <w:lvlText w:val="•"/>
      <w:lvlJc w:val="left"/>
      <w:pPr>
        <w:ind w:left="4418" w:hanging="525"/>
      </w:pPr>
      <w:rPr>
        <w:rFonts w:hint="default"/>
        <w:lang w:val="zh-CN" w:eastAsia="zh-CN" w:bidi="zh-CN"/>
      </w:rPr>
    </w:lvl>
    <w:lvl w:ilvl="5" w:tentative="0">
      <w:start w:val="0"/>
      <w:numFmt w:val="bullet"/>
      <w:lvlText w:val="•"/>
      <w:lvlJc w:val="left"/>
      <w:pPr>
        <w:ind w:left="5353" w:hanging="525"/>
      </w:pPr>
      <w:rPr>
        <w:rFonts w:hint="default"/>
        <w:lang w:val="zh-CN" w:eastAsia="zh-CN" w:bidi="zh-CN"/>
      </w:rPr>
    </w:lvl>
    <w:lvl w:ilvl="6" w:tentative="0">
      <w:start w:val="0"/>
      <w:numFmt w:val="bullet"/>
      <w:lvlText w:val="•"/>
      <w:lvlJc w:val="left"/>
      <w:pPr>
        <w:ind w:left="6288" w:hanging="525"/>
      </w:pPr>
      <w:rPr>
        <w:rFonts w:hint="default"/>
        <w:lang w:val="zh-CN" w:eastAsia="zh-CN" w:bidi="zh-CN"/>
      </w:rPr>
    </w:lvl>
    <w:lvl w:ilvl="7" w:tentative="0">
      <w:start w:val="0"/>
      <w:numFmt w:val="bullet"/>
      <w:lvlText w:val="•"/>
      <w:lvlJc w:val="left"/>
      <w:pPr>
        <w:ind w:left="7222" w:hanging="525"/>
      </w:pPr>
      <w:rPr>
        <w:rFonts w:hint="default"/>
        <w:lang w:val="zh-CN" w:eastAsia="zh-CN" w:bidi="zh-CN"/>
      </w:rPr>
    </w:lvl>
    <w:lvl w:ilvl="8" w:tentative="0">
      <w:start w:val="0"/>
      <w:numFmt w:val="bullet"/>
      <w:lvlText w:val="•"/>
      <w:lvlJc w:val="left"/>
      <w:pPr>
        <w:ind w:left="8157" w:hanging="525"/>
      </w:pPr>
      <w:rPr>
        <w:rFonts w:hint="default"/>
        <w:lang w:val="zh-CN" w:eastAsia="zh-CN" w:bidi="zh-CN"/>
      </w:rPr>
    </w:lvl>
  </w:abstractNum>
  <w:abstractNum w:abstractNumId="32">
    <w:nsid w:val="4D4DC07F"/>
    <w:multiLevelType w:val="multilevel"/>
    <w:tmpl w:val="4D4DC07F"/>
    <w:lvl w:ilvl="0" w:tentative="0">
      <w:start w:val="24"/>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33">
    <w:nsid w:val="5495EA17"/>
    <w:multiLevelType w:val="singleLevel"/>
    <w:tmpl w:val="5495EA17"/>
    <w:lvl w:ilvl="0" w:tentative="0">
      <w:start w:val="1"/>
      <w:numFmt w:val="decimal"/>
      <w:suff w:val="nothing"/>
      <w:lvlText w:val="%1、"/>
      <w:lvlJc w:val="left"/>
      <w:pPr>
        <w:ind w:left="945" w:leftChars="0" w:firstLine="0" w:firstLineChars="0"/>
      </w:pPr>
    </w:lvl>
  </w:abstractNum>
  <w:abstractNum w:abstractNumId="34">
    <w:nsid w:val="59ADCABA"/>
    <w:multiLevelType w:val="multilevel"/>
    <w:tmpl w:val="59ADCABA"/>
    <w:lvl w:ilvl="0" w:tentative="0">
      <w:start w:val="1"/>
      <w:numFmt w:val="decimal"/>
      <w:lvlText w:val="（%1）"/>
      <w:lvlJc w:val="left"/>
      <w:pPr>
        <w:ind w:left="632"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152" w:hanging="525"/>
      </w:pPr>
      <w:rPr>
        <w:rFonts w:hint="default"/>
        <w:lang w:val="zh-CN" w:eastAsia="zh-CN" w:bidi="zh-CN"/>
      </w:rPr>
    </w:lvl>
    <w:lvl w:ilvl="2" w:tentative="0">
      <w:start w:val="0"/>
      <w:numFmt w:val="bullet"/>
      <w:lvlText w:val="•"/>
      <w:lvlJc w:val="left"/>
      <w:pPr>
        <w:ind w:left="1665" w:hanging="525"/>
      </w:pPr>
      <w:rPr>
        <w:rFonts w:hint="default"/>
        <w:lang w:val="zh-CN" w:eastAsia="zh-CN" w:bidi="zh-CN"/>
      </w:rPr>
    </w:lvl>
    <w:lvl w:ilvl="3" w:tentative="0">
      <w:start w:val="0"/>
      <w:numFmt w:val="bullet"/>
      <w:lvlText w:val="•"/>
      <w:lvlJc w:val="left"/>
      <w:pPr>
        <w:ind w:left="2178" w:hanging="525"/>
      </w:pPr>
      <w:rPr>
        <w:rFonts w:hint="default"/>
        <w:lang w:val="zh-CN" w:eastAsia="zh-CN" w:bidi="zh-CN"/>
      </w:rPr>
    </w:lvl>
    <w:lvl w:ilvl="4" w:tentative="0">
      <w:start w:val="0"/>
      <w:numFmt w:val="bullet"/>
      <w:lvlText w:val="•"/>
      <w:lvlJc w:val="left"/>
      <w:pPr>
        <w:ind w:left="2691" w:hanging="525"/>
      </w:pPr>
      <w:rPr>
        <w:rFonts w:hint="default"/>
        <w:lang w:val="zh-CN" w:eastAsia="zh-CN" w:bidi="zh-CN"/>
      </w:rPr>
    </w:lvl>
    <w:lvl w:ilvl="5" w:tentative="0">
      <w:start w:val="0"/>
      <w:numFmt w:val="bullet"/>
      <w:lvlText w:val="•"/>
      <w:lvlJc w:val="left"/>
      <w:pPr>
        <w:ind w:left="3204" w:hanging="525"/>
      </w:pPr>
      <w:rPr>
        <w:rFonts w:hint="default"/>
        <w:lang w:val="zh-CN" w:eastAsia="zh-CN" w:bidi="zh-CN"/>
      </w:rPr>
    </w:lvl>
    <w:lvl w:ilvl="6" w:tentative="0">
      <w:start w:val="0"/>
      <w:numFmt w:val="bullet"/>
      <w:lvlText w:val="•"/>
      <w:lvlJc w:val="left"/>
      <w:pPr>
        <w:ind w:left="3717" w:hanging="525"/>
      </w:pPr>
      <w:rPr>
        <w:rFonts w:hint="default"/>
        <w:lang w:val="zh-CN" w:eastAsia="zh-CN" w:bidi="zh-CN"/>
      </w:rPr>
    </w:lvl>
    <w:lvl w:ilvl="7" w:tentative="0">
      <w:start w:val="0"/>
      <w:numFmt w:val="bullet"/>
      <w:lvlText w:val="•"/>
      <w:lvlJc w:val="left"/>
      <w:pPr>
        <w:ind w:left="4230" w:hanging="525"/>
      </w:pPr>
      <w:rPr>
        <w:rFonts w:hint="default"/>
        <w:lang w:val="zh-CN" w:eastAsia="zh-CN" w:bidi="zh-CN"/>
      </w:rPr>
    </w:lvl>
    <w:lvl w:ilvl="8" w:tentative="0">
      <w:start w:val="0"/>
      <w:numFmt w:val="bullet"/>
      <w:lvlText w:val="•"/>
      <w:lvlJc w:val="left"/>
      <w:pPr>
        <w:ind w:left="4743" w:hanging="525"/>
      </w:pPr>
      <w:rPr>
        <w:rFonts w:hint="default"/>
        <w:lang w:val="zh-CN" w:eastAsia="zh-CN" w:bidi="zh-CN"/>
      </w:rPr>
    </w:lvl>
  </w:abstractNum>
  <w:abstractNum w:abstractNumId="35">
    <w:nsid w:val="5A241D34"/>
    <w:multiLevelType w:val="multilevel"/>
    <w:tmpl w:val="5A241D34"/>
    <w:lvl w:ilvl="0" w:tentative="0">
      <w:start w:val="21"/>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36">
    <w:nsid w:val="60382F6E"/>
    <w:multiLevelType w:val="multilevel"/>
    <w:tmpl w:val="60382F6E"/>
    <w:lvl w:ilvl="0" w:tentative="0">
      <w:start w:val="1"/>
      <w:numFmt w:val="decimal"/>
      <w:lvlText w:val="（%1）"/>
      <w:lvlJc w:val="left"/>
      <w:pPr>
        <w:ind w:left="1520"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370" w:hanging="525"/>
      </w:pPr>
      <w:rPr>
        <w:rFonts w:hint="default"/>
        <w:lang w:val="zh-CN" w:eastAsia="zh-CN" w:bidi="zh-CN"/>
      </w:rPr>
    </w:lvl>
    <w:lvl w:ilvl="2" w:tentative="0">
      <w:start w:val="0"/>
      <w:numFmt w:val="bullet"/>
      <w:lvlText w:val="•"/>
      <w:lvlJc w:val="left"/>
      <w:pPr>
        <w:ind w:left="3221" w:hanging="525"/>
      </w:pPr>
      <w:rPr>
        <w:rFonts w:hint="default"/>
        <w:lang w:val="zh-CN" w:eastAsia="zh-CN" w:bidi="zh-CN"/>
      </w:rPr>
    </w:lvl>
    <w:lvl w:ilvl="3" w:tentative="0">
      <w:start w:val="0"/>
      <w:numFmt w:val="bullet"/>
      <w:lvlText w:val="•"/>
      <w:lvlJc w:val="left"/>
      <w:pPr>
        <w:ind w:left="4072" w:hanging="525"/>
      </w:pPr>
      <w:rPr>
        <w:rFonts w:hint="default"/>
        <w:lang w:val="zh-CN" w:eastAsia="zh-CN" w:bidi="zh-CN"/>
      </w:rPr>
    </w:lvl>
    <w:lvl w:ilvl="4" w:tentative="0">
      <w:start w:val="0"/>
      <w:numFmt w:val="bullet"/>
      <w:lvlText w:val="•"/>
      <w:lvlJc w:val="left"/>
      <w:pPr>
        <w:ind w:left="4922" w:hanging="525"/>
      </w:pPr>
      <w:rPr>
        <w:rFonts w:hint="default"/>
        <w:lang w:val="zh-CN" w:eastAsia="zh-CN" w:bidi="zh-CN"/>
      </w:rPr>
    </w:lvl>
    <w:lvl w:ilvl="5" w:tentative="0">
      <w:start w:val="0"/>
      <w:numFmt w:val="bullet"/>
      <w:lvlText w:val="•"/>
      <w:lvlJc w:val="left"/>
      <w:pPr>
        <w:ind w:left="5773" w:hanging="525"/>
      </w:pPr>
      <w:rPr>
        <w:rFonts w:hint="default"/>
        <w:lang w:val="zh-CN" w:eastAsia="zh-CN" w:bidi="zh-CN"/>
      </w:rPr>
    </w:lvl>
    <w:lvl w:ilvl="6" w:tentative="0">
      <w:start w:val="0"/>
      <w:numFmt w:val="bullet"/>
      <w:lvlText w:val="•"/>
      <w:lvlJc w:val="left"/>
      <w:pPr>
        <w:ind w:left="6624" w:hanging="525"/>
      </w:pPr>
      <w:rPr>
        <w:rFonts w:hint="default"/>
        <w:lang w:val="zh-CN" w:eastAsia="zh-CN" w:bidi="zh-CN"/>
      </w:rPr>
    </w:lvl>
    <w:lvl w:ilvl="7" w:tentative="0">
      <w:start w:val="0"/>
      <w:numFmt w:val="bullet"/>
      <w:lvlText w:val="•"/>
      <w:lvlJc w:val="left"/>
      <w:pPr>
        <w:ind w:left="7474" w:hanging="525"/>
      </w:pPr>
      <w:rPr>
        <w:rFonts w:hint="default"/>
        <w:lang w:val="zh-CN" w:eastAsia="zh-CN" w:bidi="zh-CN"/>
      </w:rPr>
    </w:lvl>
    <w:lvl w:ilvl="8" w:tentative="0">
      <w:start w:val="0"/>
      <w:numFmt w:val="bullet"/>
      <w:lvlText w:val="•"/>
      <w:lvlJc w:val="left"/>
      <w:pPr>
        <w:ind w:left="8325" w:hanging="525"/>
      </w:pPr>
      <w:rPr>
        <w:rFonts w:hint="default"/>
        <w:lang w:val="zh-CN" w:eastAsia="zh-CN" w:bidi="zh-CN"/>
      </w:rPr>
    </w:lvl>
  </w:abstractNum>
  <w:abstractNum w:abstractNumId="37">
    <w:nsid w:val="6738F9D2"/>
    <w:multiLevelType w:val="singleLevel"/>
    <w:tmpl w:val="6738F9D2"/>
    <w:lvl w:ilvl="0" w:tentative="0">
      <w:start w:val="1"/>
      <w:numFmt w:val="decimal"/>
      <w:suff w:val="nothing"/>
      <w:lvlText w:val="%1、"/>
      <w:lvlJc w:val="left"/>
    </w:lvl>
  </w:abstractNum>
  <w:abstractNum w:abstractNumId="38">
    <w:nsid w:val="6C06EA6E"/>
    <w:multiLevelType w:val="singleLevel"/>
    <w:tmpl w:val="6C06EA6E"/>
    <w:lvl w:ilvl="0" w:tentative="0">
      <w:start w:val="5"/>
      <w:numFmt w:val="chineseCounting"/>
      <w:suff w:val="nothing"/>
      <w:lvlText w:val="%1、"/>
      <w:lvlJc w:val="left"/>
      <w:rPr>
        <w:rFonts w:hint="eastAsia"/>
      </w:rPr>
    </w:lvl>
  </w:abstractNum>
  <w:abstractNum w:abstractNumId="39">
    <w:nsid w:val="72183CF9"/>
    <w:multiLevelType w:val="multilevel"/>
    <w:tmpl w:val="72183CF9"/>
    <w:lvl w:ilvl="0" w:tentative="0">
      <w:start w:val="16"/>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40">
    <w:nsid w:val="7313FF2F"/>
    <w:multiLevelType w:val="singleLevel"/>
    <w:tmpl w:val="7313FF2F"/>
    <w:lvl w:ilvl="0" w:tentative="0">
      <w:start w:val="1"/>
      <w:numFmt w:val="chineseCounting"/>
      <w:suff w:val="nothing"/>
      <w:lvlText w:val="%1、"/>
      <w:lvlJc w:val="left"/>
      <w:rPr>
        <w:rFonts w:hint="eastAsia"/>
      </w:rPr>
    </w:lvl>
  </w:abstractNum>
  <w:abstractNum w:abstractNumId="41">
    <w:nsid w:val="77ECEA79"/>
    <w:multiLevelType w:val="multilevel"/>
    <w:tmpl w:val="77ECEA79"/>
    <w:lvl w:ilvl="0" w:tentative="0">
      <w:start w:val="35"/>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abstractNum w:abstractNumId="42">
    <w:nsid w:val="7C246926"/>
    <w:multiLevelType w:val="multilevel"/>
    <w:tmpl w:val="7C246926"/>
    <w:lvl w:ilvl="0" w:tentative="0">
      <w:start w:val="34"/>
      <w:numFmt w:val="decimal"/>
      <w:lvlText w:val="%1"/>
      <w:lvlJc w:val="left"/>
      <w:pPr>
        <w:ind w:left="681" w:hanging="471"/>
        <w:jc w:val="left"/>
      </w:pPr>
      <w:rPr>
        <w:rFonts w:hint="default"/>
        <w:lang w:val="zh-CN" w:eastAsia="zh-CN" w:bidi="zh-CN"/>
      </w:rPr>
    </w:lvl>
    <w:lvl w:ilvl="1" w:tentative="0">
      <w:start w:val="1"/>
      <w:numFmt w:val="decimal"/>
      <w:lvlText w:val="%1.%2"/>
      <w:lvlJc w:val="left"/>
      <w:pPr>
        <w:ind w:left="681" w:hanging="471"/>
        <w:jc w:val="left"/>
      </w:pPr>
      <w:rPr>
        <w:rFonts w:hint="default" w:ascii="Times New Roman" w:hAnsi="Times New Roman" w:eastAsia="Times New Roman" w:cs="Times New Roman"/>
        <w:spacing w:val="0"/>
        <w:w w:val="99"/>
        <w:sz w:val="21"/>
        <w:szCs w:val="21"/>
        <w:lang w:val="zh-CN" w:eastAsia="zh-CN" w:bidi="zh-CN"/>
      </w:rPr>
    </w:lvl>
    <w:lvl w:ilvl="2" w:tentative="0">
      <w:start w:val="0"/>
      <w:numFmt w:val="bullet"/>
      <w:lvlText w:val="•"/>
      <w:lvlJc w:val="left"/>
      <w:pPr>
        <w:ind w:left="2549" w:hanging="471"/>
      </w:pPr>
      <w:rPr>
        <w:rFonts w:hint="default"/>
        <w:lang w:val="zh-CN" w:eastAsia="zh-CN" w:bidi="zh-CN"/>
      </w:rPr>
    </w:lvl>
    <w:lvl w:ilvl="3" w:tentative="0">
      <w:start w:val="0"/>
      <w:numFmt w:val="bullet"/>
      <w:lvlText w:val="•"/>
      <w:lvlJc w:val="left"/>
      <w:pPr>
        <w:ind w:left="3484" w:hanging="471"/>
      </w:pPr>
      <w:rPr>
        <w:rFonts w:hint="default"/>
        <w:lang w:val="zh-CN" w:eastAsia="zh-CN" w:bidi="zh-CN"/>
      </w:rPr>
    </w:lvl>
    <w:lvl w:ilvl="4" w:tentative="0">
      <w:start w:val="0"/>
      <w:numFmt w:val="bullet"/>
      <w:lvlText w:val="•"/>
      <w:lvlJc w:val="left"/>
      <w:pPr>
        <w:ind w:left="4418" w:hanging="471"/>
      </w:pPr>
      <w:rPr>
        <w:rFonts w:hint="default"/>
        <w:lang w:val="zh-CN" w:eastAsia="zh-CN" w:bidi="zh-CN"/>
      </w:rPr>
    </w:lvl>
    <w:lvl w:ilvl="5" w:tentative="0">
      <w:start w:val="0"/>
      <w:numFmt w:val="bullet"/>
      <w:lvlText w:val="•"/>
      <w:lvlJc w:val="left"/>
      <w:pPr>
        <w:ind w:left="5353" w:hanging="471"/>
      </w:pPr>
      <w:rPr>
        <w:rFonts w:hint="default"/>
        <w:lang w:val="zh-CN" w:eastAsia="zh-CN" w:bidi="zh-CN"/>
      </w:rPr>
    </w:lvl>
    <w:lvl w:ilvl="6" w:tentative="0">
      <w:start w:val="0"/>
      <w:numFmt w:val="bullet"/>
      <w:lvlText w:val="•"/>
      <w:lvlJc w:val="left"/>
      <w:pPr>
        <w:ind w:left="6288" w:hanging="471"/>
      </w:pPr>
      <w:rPr>
        <w:rFonts w:hint="default"/>
        <w:lang w:val="zh-CN" w:eastAsia="zh-CN" w:bidi="zh-CN"/>
      </w:rPr>
    </w:lvl>
    <w:lvl w:ilvl="7" w:tentative="0">
      <w:start w:val="0"/>
      <w:numFmt w:val="bullet"/>
      <w:lvlText w:val="•"/>
      <w:lvlJc w:val="left"/>
      <w:pPr>
        <w:ind w:left="7222" w:hanging="471"/>
      </w:pPr>
      <w:rPr>
        <w:rFonts w:hint="default"/>
        <w:lang w:val="zh-CN" w:eastAsia="zh-CN" w:bidi="zh-CN"/>
      </w:rPr>
    </w:lvl>
    <w:lvl w:ilvl="8" w:tentative="0">
      <w:start w:val="0"/>
      <w:numFmt w:val="bullet"/>
      <w:lvlText w:val="•"/>
      <w:lvlJc w:val="left"/>
      <w:pPr>
        <w:ind w:left="8157" w:hanging="471"/>
      </w:pPr>
      <w:rPr>
        <w:rFonts w:hint="default"/>
        <w:lang w:val="zh-CN" w:eastAsia="zh-CN" w:bidi="zh-CN"/>
      </w:rPr>
    </w:lvl>
  </w:abstractNum>
  <w:num w:numId="1">
    <w:abstractNumId w:val="20"/>
  </w:num>
  <w:num w:numId="2">
    <w:abstractNumId w:val="13"/>
  </w:num>
  <w:num w:numId="3">
    <w:abstractNumId w:val="34"/>
  </w:num>
  <w:num w:numId="4">
    <w:abstractNumId w:val="10"/>
  </w:num>
  <w:num w:numId="5">
    <w:abstractNumId w:val="8"/>
  </w:num>
  <w:num w:numId="6">
    <w:abstractNumId w:val="22"/>
  </w:num>
  <w:num w:numId="7">
    <w:abstractNumId w:val="26"/>
  </w:num>
  <w:num w:numId="8">
    <w:abstractNumId w:val="39"/>
  </w:num>
  <w:num w:numId="9">
    <w:abstractNumId w:val="21"/>
  </w:num>
  <w:num w:numId="10">
    <w:abstractNumId w:val="1"/>
  </w:num>
  <w:num w:numId="11">
    <w:abstractNumId w:val="27"/>
  </w:num>
  <w:num w:numId="12">
    <w:abstractNumId w:val="35"/>
  </w:num>
  <w:num w:numId="13">
    <w:abstractNumId w:val="11"/>
  </w:num>
  <w:num w:numId="14">
    <w:abstractNumId w:val="32"/>
  </w:num>
  <w:num w:numId="15">
    <w:abstractNumId w:val="19"/>
  </w:num>
  <w:num w:numId="16">
    <w:abstractNumId w:val="25"/>
  </w:num>
  <w:num w:numId="17">
    <w:abstractNumId w:val="16"/>
  </w:num>
  <w:num w:numId="18">
    <w:abstractNumId w:val="15"/>
  </w:num>
  <w:num w:numId="19">
    <w:abstractNumId w:val="5"/>
  </w:num>
  <w:num w:numId="20">
    <w:abstractNumId w:val="31"/>
  </w:num>
  <w:num w:numId="21">
    <w:abstractNumId w:val="36"/>
  </w:num>
  <w:num w:numId="22">
    <w:abstractNumId w:val="24"/>
  </w:num>
  <w:num w:numId="23">
    <w:abstractNumId w:val="30"/>
  </w:num>
  <w:num w:numId="24">
    <w:abstractNumId w:val="6"/>
  </w:num>
  <w:num w:numId="25">
    <w:abstractNumId w:val="42"/>
  </w:num>
  <w:num w:numId="26">
    <w:abstractNumId w:val="41"/>
  </w:num>
  <w:num w:numId="27">
    <w:abstractNumId w:val="9"/>
  </w:num>
  <w:num w:numId="28">
    <w:abstractNumId w:val="7"/>
  </w:num>
  <w:num w:numId="29">
    <w:abstractNumId w:val="2"/>
  </w:num>
  <w:num w:numId="30">
    <w:abstractNumId w:val="38"/>
  </w:num>
  <w:num w:numId="31">
    <w:abstractNumId w:val="17"/>
  </w:num>
  <w:num w:numId="32">
    <w:abstractNumId w:val="28"/>
  </w:num>
  <w:num w:numId="33">
    <w:abstractNumId w:val="3"/>
  </w:num>
  <w:num w:numId="34">
    <w:abstractNumId w:val="40"/>
  </w:num>
  <w:num w:numId="35">
    <w:abstractNumId w:val="37"/>
  </w:num>
  <w:num w:numId="36">
    <w:abstractNumId w:val="4"/>
  </w:num>
  <w:num w:numId="37">
    <w:abstractNumId w:val="33"/>
  </w:num>
  <w:num w:numId="38">
    <w:abstractNumId w:val="18"/>
  </w:num>
  <w:num w:numId="39">
    <w:abstractNumId w:val="23"/>
  </w:num>
  <w:num w:numId="40">
    <w:abstractNumId w:val="14"/>
  </w:num>
  <w:num w:numId="41">
    <w:abstractNumId w:val="12"/>
  </w:num>
  <w:num w:numId="42">
    <w:abstractNumId w:val="29"/>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407F4A"/>
    <w:rsid w:val="0A6056CE"/>
    <w:rsid w:val="0B6E775C"/>
    <w:rsid w:val="0E5854FB"/>
    <w:rsid w:val="16C9056F"/>
    <w:rsid w:val="1A8944AA"/>
    <w:rsid w:val="1DC128A5"/>
    <w:rsid w:val="228921FC"/>
    <w:rsid w:val="2CE7220D"/>
    <w:rsid w:val="34670895"/>
    <w:rsid w:val="35643E71"/>
    <w:rsid w:val="35843729"/>
    <w:rsid w:val="3C5437CA"/>
    <w:rsid w:val="46C17C56"/>
    <w:rsid w:val="46E9128B"/>
    <w:rsid w:val="482A7C48"/>
    <w:rsid w:val="557C17A9"/>
    <w:rsid w:val="64CC69C8"/>
    <w:rsid w:val="681C697F"/>
    <w:rsid w:val="6DAE1A72"/>
    <w:rsid w:val="77012E4C"/>
    <w:rsid w:val="7A8128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54"/>
      <w:ind w:left="1252"/>
      <w:outlineLvl w:val="1"/>
    </w:pPr>
    <w:rPr>
      <w:rFonts w:ascii="黑体" w:hAnsi="黑体" w:eastAsia="黑体" w:cs="黑体"/>
      <w:b/>
      <w:bCs/>
      <w:sz w:val="32"/>
      <w:szCs w:val="32"/>
      <w:lang w:val="zh-CN" w:eastAsia="zh-CN" w:bidi="zh-CN"/>
    </w:rPr>
  </w:style>
  <w:style w:type="paragraph" w:styleId="3">
    <w:name w:val="heading 2"/>
    <w:basedOn w:val="1"/>
    <w:next w:val="1"/>
    <w:qFormat/>
    <w:uiPriority w:val="1"/>
    <w:pPr>
      <w:ind w:left="658"/>
      <w:outlineLvl w:val="2"/>
    </w:pPr>
    <w:rPr>
      <w:rFonts w:ascii="宋体" w:hAnsi="宋体" w:eastAsia="宋体" w:cs="宋体"/>
      <w:sz w:val="24"/>
      <w:szCs w:val="24"/>
      <w:lang w:val="zh-CN" w:eastAsia="zh-CN" w:bidi="zh-CN"/>
    </w:rPr>
  </w:style>
  <w:style w:type="paragraph" w:styleId="4">
    <w:name w:val="heading 3"/>
    <w:basedOn w:val="1"/>
    <w:next w:val="1"/>
    <w:qFormat/>
    <w:uiPriority w:val="1"/>
    <w:pPr>
      <w:ind w:left="1517" w:hanging="265"/>
      <w:outlineLvl w:val="3"/>
    </w:pPr>
    <w:rPr>
      <w:rFonts w:ascii="黑体" w:hAnsi="黑体" w:eastAsia="黑体" w:cs="黑体"/>
      <w:b/>
      <w:bCs/>
      <w:sz w:val="21"/>
      <w:szCs w:val="21"/>
      <w:lang w:val="zh-CN" w:eastAsia="zh-CN" w:bidi="zh-CN"/>
    </w:rPr>
  </w:style>
  <w:style w:type="character" w:default="1" w:styleId="14">
    <w:name w:val="Default Paragraph Font"/>
    <w:semiHidden/>
    <w:unhideWhenUsed/>
    <w:qFormat/>
    <w:uiPriority w:val="1"/>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5">
    <w:name w:val="Body Text 3"/>
    <w:basedOn w:val="1"/>
    <w:qFormat/>
    <w:uiPriority w:val="0"/>
    <w:pPr>
      <w:spacing w:line="360" w:lineRule="auto"/>
      <w:jc w:val="center"/>
    </w:pPr>
    <w:rPr>
      <w:rFonts w:ascii="宋体" w:hAnsi="宋体"/>
      <w:bCs/>
      <w:iCs/>
      <w:szCs w:val="28"/>
    </w:rPr>
  </w:style>
  <w:style w:type="paragraph" w:styleId="6">
    <w:name w:val="Body Text"/>
    <w:basedOn w:val="1"/>
    <w:qFormat/>
    <w:uiPriority w:val="1"/>
    <w:rPr>
      <w:rFonts w:ascii="宋体" w:hAnsi="宋体" w:eastAsia="宋体" w:cs="宋体"/>
      <w:sz w:val="21"/>
      <w:szCs w:val="21"/>
      <w:lang w:val="zh-CN" w:eastAsia="zh-CN" w:bidi="zh-CN"/>
    </w:rPr>
  </w:style>
  <w:style w:type="paragraph" w:styleId="7">
    <w:name w:val="toc 3"/>
    <w:basedOn w:val="1"/>
    <w:next w:val="1"/>
    <w:qFormat/>
    <w:uiPriority w:val="1"/>
    <w:pPr>
      <w:spacing w:before="131"/>
      <w:ind w:left="884"/>
      <w:jc w:val="center"/>
    </w:pPr>
    <w:rPr>
      <w:rFonts w:ascii="宋体" w:hAnsi="宋体" w:eastAsia="宋体" w:cs="宋体"/>
      <w:sz w:val="21"/>
      <w:szCs w:val="21"/>
      <w:lang w:val="zh-CN" w:eastAsia="zh-CN" w:bidi="zh-C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1"/>
    <w:pPr>
      <w:spacing w:before="122"/>
      <w:ind w:left="681"/>
    </w:pPr>
    <w:rPr>
      <w:rFonts w:ascii="宋体" w:hAnsi="宋体" w:eastAsia="宋体" w:cs="宋体"/>
      <w:b/>
      <w:bCs/>
      <w:sz w:val="21"/>
      <w:szCs w:val="21"/>
      <w:lang w:val="zh-CN" w:eastAsia="zh-CN" w:bidi="zh-CN"/>
    </w:rPr>
  </w:style>
  <w:style w:type="paragraph" w:styleId="11">
    <w:name w:val="toc 4"/>
    <w:basedOn w:val="1"/>
    <w:next w:val="1"/>
    <w:qFormat/>
    <w:uiPriority w:val="1"/>
    <w:pPr>
      <w:spacing w:before="122"/>
      <w:ind w:left="987"/>
      <w:jc w:val="center"/>
    </w:pPr>
    <w:rPr>
      <w:rFonts w:ascii="宋体" w:hAnsi="宋体" w:eastAsia="宋体" w:cs="宋体"/>
      <w:b/>
      <w:bCs/>
      <w:sz w:val="21"/>
      <w:szCs w:val="21"/>
      <w:lang w:val="zh-CN" w:eastAsia="zh-CN" w:bidi="zh-CN"/>
    </w:rPr>
  </w:style>
  <w:style w:type="paragraph" w:styleId="12">
    <w:name w:val="toc 2"/>
    <w:basedOn w:val="1"/>
    <w:next w:val="1"/>
    <w:qFormat/>
    <w:uiPriority w:val="1"/>
    <w:pPr>
      <w:spacing w:before="122"/>
      <w:ind w:left="1049" w:hanging="159"/>
    </w:pPr>
    <w:rPr>
      <w:rFonts w:ascii="宋体" w:hAnsi="宋体" w:eastAsia="宋体" w:cs="宋体"/>
      <w:b/>
      <w:bCs/>
      <w:sz w:val="21"/>
      <w:szCs w:val="21"/>
      <w:lang w:val="zh-CN" w:eastAsia="zh-CN" w:bidi="zh-CN"/>
    </w:rPr>
  </w:style>
  <w:style w:type="paragraph" w:styleId="13">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table" w:customStyle="1" w:styleId="16">
    <w:name w:val="Table Normal"/>
    <w:semiHidden/>
    <w:unhideWhenUsed/>
    <w:qFormat/>
    <w:uiPriority w:val="2"/>
    <w:tblPr>
      <w:tblLayout w:type="fixed"/>
      <w:tblCellMar>
        <w:top w:w="0" w:type="dxa"/>
        <w:left w:w="0" w:type="dxa"/>
        <w:bottom w:w="0" w:type="dxa"/>
        <w:right w:w="0" w:type="dxa"/>
      </w:tblCellMar>
    </w:tblPr>
  </w:style>
  <w:style w:type="paragraph" w:styleId="17">
    <w:name w:val="List Paragraph"/>
    <w:basedOn w:val="1"/>
    <w:qFormat/>
    <w:uiPriority w:val="1"/>
    <w:pPr>
      <w:ind w:left="681" w:firstLine="420"/>
    </w:pPr>
    <w:rPr>
      <w:rFonts w:ascii="宋体" w:hAnsi="宋体" w:eastAsia="宋体" w:cs="宋体"/>
      <w:lang w:val="zh-CN" w:eastAsia="zh-CN" w:bidi="zh-CN"/>
    </w:rPr>
  </w:style>
  <w:style w:type="paragraph" w:customStyle="1" w:styleId="1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ScaleCrop>false</ScaleCrop>
  <LinksUpToDate>false</LinksUpToDate>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2018-08-06T01:20:00Z</dcterms:created>
  <dc:creator>zhangguoxin</dc:creator>
  <cp:lastModifiedBy>tiantan</cp:lastModifiedBy>
  <dcterms:modified xsi:type="dcterms:W3CDTF">2018-08-14T03:41:01Z</dcterms:modified>
  <dc:subject>2.0.2</dc:subject>
  <dc:title>土建示范文本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2018-08-06T00:00:00Z</vt:filetime>
  </property>
  <property fmtid="{D5CDD505-2E9C-101B-9397-08002B2CF9AE}" pid="3" name="Creator">
    <vt:lpwstr>WPS Office</vt:lpwstr>
  </property>
  <property fmtid="{D5CDD505-2E9C-101B-9397-08002B2CF9AE}" pid="4" name="LastSaved">
    <vt:filetime>2018-08-06T00:00:00Z</vt:filetime>
  </property>
  <property fmtid="{D5CDD505-2E9C-101B-9397-08002B2CF9AE}" pid="5" name="KSOProductBuildVer">
    <vt:lpwstr>2052-10.1.0.7469</vt:lpwstr>
  </property>
</Properties>
</file>