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sz w:val="48"/>
          <w:szCs w:val="48"/>
          <w:lang w:val="zh-CN"/>
        </w:rPr>
      </w:pPr>
    </w:p>
    <w:p>
      <w:pPr>
        <w:autoSpaceDE w:val="0"/>
        <w:autoSpaceDN w:val="0"/>
        <w:adjustRightInd w:val="0"/>
        <w:jc w:val="center"/>
        <w:rPr>
          <w:sz w:val="48"/>
          <w:szCs w:val="48"/>
          <w:lang w:val="zh-CN"/>
        </w:rPr>
      </w:pPr>
      <w:r>
        <w:rPr>
          <w:rFonts w:hint="eastAsia"/>
          <w:bCs/>
          <w:sz w:val="48"/>
          <w:lang w:val="zh-CN" w:eastAsia="zh-CN"/>
        </w:rPr>
        <mc:AlternateContent>
          <mc:Choice Requires="wps">
            <w:drawing>
              <wp:anchor distT="0" distB="0" distL="114300" distR="114300" simplePos="0" relativeHeight="251658240" behindDoc="0" locked="0" layoutInCell="1" allowOverlap="1">
                <wp:simplePos x="0" y="0"/>
                <wp:positionH relativeFrom="column">
                  <wp:posOffset>-101600</wp:posOffset>
                </wp:positionH>
                <wp:positionV relativeFrom="paragraph">
                  <wp:posOffset>27940</wp:posOffset>
                </wp:positionV>
                <wp:extent cx="5676265" cy="8434070"/>
                <wp:effectExtent l="4445" t="5080" r="15240" b="19050"/>
                <wp:wrapNone/>
                <wp:docPr id="4" name="流程图: 过程 4"/>
                <wp:cNvGraphicFramePr/>
                <a:graphic xmlns:a="http://schemas.openxmlformats.org/drawingml/2006/main">
                  <a:graphicData uri="http://schemas.microsoft.com/office/word/2010/wordprocessingShape">
                    <wps:wsp>
                      <wps:cNvSpPr/>
                      <wps:spPr>
                        <a:xfrm>
                          <a:off x="0" y="0"/>
                          <a:ext cx="5676265" cy="8434070"/>
                        </a:xfrm>
                        <a:prstGeom prst="flowChartProcess">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09" type="#_x0000_t109" style="position:absolute;left:0pt;margin-left:-8pt;margin-top:2.2pt;height:664.1pt;width:446.95pt;z-index:251658240;mso-width-relative:page;mso-height-relative:page;" filled="f" stroked="t" coordsize="21600,21600" o:gfxdata="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nNpNYtkAAAAKAQAADwAAAAAAAAABACAAAAAiAAAAZHJzL2Rvd25yZXYueG1sUEsB&#10;AhQAFAAAAAgAh07iQNC5AXL0AQAAvwMAAA4AAAAAAAAAAQAgAAAAKAEAAGRycy9lMm9Eb2MueG1s&#10;UEsFBgAAAAAGAAYAWQEAAI4FAAAAAA==&#10;">
                <v:fill on="f" focussize="0,0"/>
                <v:stroke color="#000000" joinstyle="miter"/>
                <v:imagedata o:title=""/>
                <o:lock v:ext="edit" aspectratio="f"/>
              </v:shape>
            </w:pict>
          </mc:Fallback>
        </mc:AlternateContent>
      </w:r>
    </w:p>
    <w:p>
      <w:pPr>
        <w:autoSpaceDE w:val="0"/>
        <w:autoSpaceDN w:val="0"/>
        <w:adjustRightInd w:val="0"/>
        <w:spacing w:line="640" w:lineRule="exact"/>
        <w:jc w:val="center"/>
        <w:rPr>
          <w:b/>
          <w:bCs/>
          <w:sz w:val="48"/>
          <w:szCs w:val="48"/>
          <w:lang w:val="zh-CN"/>
        </w:rPr>
      </w:pPr>
      <w:r>
        <w:rPr>
          <w:b/>
          <w:bCs/>
          <w:sz w:val="48"/>
          <w:szCs w:val="48"/>
          <w:lang w:val="zh-CN"/>
        </w:rPr>
        <w:t>台州市建设工程</w:t>
      </w:r>
    </w:p>
    <w:p>
      <w:pPr>
        <w:autoSpaceDE w:val="0"/>
        <w:autoSpaceDN w:val="0"/>
        <w:adjustRightInd w:val="0"/>
        <w:spacing w:line="440" w:lineRule="exact"/>
        <w:jc w:val="center"/>
        <w:rPr>
          <w:b/>
          <w:bCs/>
          <w:sz w:val="48"/>
          <w:szCs w:val="48"/>
          <w:lang w:val="zh-CN"/>
        </w:rPr>
      </w:pPr>
    </w:p>
    <w:p>
      <w:pPr>
        <w:autoSpaceDE w:val="0"/>
        <w:autoSpaceDN w:val="0"/>
        <w:adjustRightInd w:val="0"/>
        <w:jc w:val="center"/>
        <w:rPr>
          <w:b/>
          <w:bCs/>
          <w:sz w:val="72"/>
          <w:szCs w:val="72"/>
          <w:lang w:val="zh-CN"/>
        </w:rPr>
      </w:pPr>
      <w:r>
        <w:rPr>
          <w:b/>
          <w:bCs/>
          <w:sz w:val="84"/>
          <w:szCs w:val="84"/>
          <w:lang w:val="zh-CN"/>
        </w:rPr>
        <w:t>招 标 文 件</w:t>
      </w:r>
    </w:p>
    <w:p>
      <w:pPr>
        <w:tabs>
          <w:tab w:val="left" w:pos="2063"/>
        </w:tabs>
        <w:spacing w:before="156" w:beforeLines="50" w:line="520" w:lineRule="exact"/>
        <w:jc w:val="left"/>
        <w:rPr>
          <w:rFonts w:hint="eastAsia" w:eastAsia="宋体"/>
          <w:bCs/>
          <w:sz w:val="24"/>
          <w:lang w:eastAsia="zh-CN"/>
        </w:rPr>
      </w:pPr>
      <w:r>
        <w:rPr>
          <w:rFonts w:hint="eastAsia"/>
          <w:bCs/>
          <w:sz w:val="24"/>
          <w:lang w:eastAsia="zh-CN"/>
        </w:rPr>
        <w:tab/>
      </w:r>
    </w:p>
    <w:p>
      <w:pPr>
        <w:autoSpaceDE w:val="0"/>
        <w:autoSpaceDN w:val="0"/>
        <w:adjustRightInd w:val="0"/>
        <w:spacing w:line="440" w:lineRule="exact"/>
        <w:ind w:left="1148"/>
        <w:rPr>
          <w:rFonts w:hint="eastAsia"/>
          <w:b/>
          <w:bCs/>
          <w:sz w:val="28"/>
          <w:szCs w:val="28"/>
          <w:lang w:val="zh-CN"/>
        </w:rPr>
      </w:pPr>
    </w:p>
    <w:p>
      <w:pPr>
        <w:autoSpaceDE w:val="0"/>
        <w:autoSpaceDN w:val="0"/>
        <w:adjustRightInd w:val="0"/>
        <w:spacing w:line="440" w:lineRule="exact"/>
        <w:ind w:left="1148"/>
        <w:rPr>
          <w:rFonts w:hint="eastAsia"/>
          <w:b/>
          <w:bCs/>
          <w:sz w:val="28"/>
          <w:szCs w:val="28"/>
          <w:lang w:val="zh-CN"/>
        </w:rPr>
      </w:pPr>
    </w:p>
    <w:p>
      <w:pPr>
        <w:autoSpaceDE w:val="0"/>
        <w:autoSpaceDN w:val="0"/>
        <w:adjustRightInd w:val="0"/>
        <w:spacing w:line="440" w:lineRule="exact"/>
        <w:ind w:left="1148"/>
        <w:rPr>
          <w:rFonts w:hint="eastAsia"/>
          <w:b/>
          <w:bCs/>
          <w:sz w:val="28"/>
          <w:szCs w:val="28"/>
          <w:lang w:val="zh-CN"/>
        </w:rPr>
      </w:pPr>
    </w:p>
    <w:p>
      <w:pPr>
        <w:autoSpaceDE w:val="0"/>
        <w:autoSpaceDN w:val="0"/>
        <w:adjustRightInd w:val="0"/>
        <w:spacing w:line="440" w:lineRule="exact"/>
        <w:ind w:left="1148"/>
        <w:rPr>
          <w:b/>
          <w:bCs/>
          <w:sz w:val="28"/>
          <w:szCs w:val="28"/>
          <w:lang w:val="zh-CN"/>
        </w:rPr>
      </w:pPr>
    </w:p>
    <w:tbl>
      <w:tblPr>
        <w:tblStyle w:val="19"/>
        <w:tblW w:w="8300" w:type="dxa"/>
        <w:tblInd w:w="486" w:type="dxa"/>
        <w:tblLayout w:type="fixed"/>
        <w:tblCellMar>
          <w:top w:w="0" w:type="dxa"/>
          <w:left w:w="108" w:type="dxa"/>
          <w:bottom w:w="0" w:type="dxa"/>
          <w:right w:w="108" w:type="dxa"/>
        </w:tblCellMar>
      </w:tblPr>
      <w:tblGrid>
        <w:gridCol w:w="8300"/>
      </w:tblGrid>
      <w:tr>
        <w:tblPrEx>
          <w:tblLayout w:type="fixed"/>
          <w:tblCellMar>
            <w:top w:w="0" w:type="dxa"/>
            <w:left w:w="108" w:type="dxa"/>
            <w:bottom w:w="0" w:type="dxa"/>
            <w:right w:w="108" w:type="dxa"/>
          </w:tblCellMar>
        </w:tblPrEx>
        <w:trPr>
          <w:trHeight w:val="827" w:hRule="exact"/>
        </w:trPr>
        <w:tc>
          <w:tcPr>
            <w:tcW w:w="8300" w:type="dxa"/>
            <w:vAlign w:val="center"/>
          </w:tcPr>
          <w:p>
            <w:pPr>
              <w:autoSpaceDE w:val="0"/>
              <w:autoSpaceDN w:val="0"/>
              <w:adjustRightInd w:val="0"/>
              <w:spacing w:line="440" w:lineRule="exact"/>
              <w:ind w:left="1400" w:hanging="1400" w:hangingChars="500"/>
              <w:rPr>
                <w:bCs/>
                <w:sz w:val="28"/>
                <w:szCs w:val="28"/>
                <w:u w:val="single"/>
                <w:lang w:val="zh-CN"/>
              </w:rPr>
            </w:pPr>
            <w:r>
              <w:rPr>
                <w:bCs/>
                <w:sz w:val="28"/>
                <w:szCs w:val="28"/>
                <w:lang w:val="zh-CN"/>
              </w:rPr>
              <w:t>招标项目：</w:t>
            </w:r>
            <w:r>
              <w:rPr>
                <w:rFonts w:hint="eastAsia"/>
                <w:bCs/>
                <w:sz w:val="28"/>
                <w:szCs w:val="28"/>
                <w:u w:val="single"/>
                <w:lang w:eastAsia="zh-CN"/>
              </w:rPr>
              <w:t>玉环海洋经济转型升级示范区2018年度绿化养护工程 （茶山路、永清路、靖海路等）</w:t>
            </w:r>
          </w:p>
        </w:tc>
      </w:tr>
      <w:tr>
        <w:tblPrEx>
          <w:tblLayout w:type="fixed"/>
          <w:tblCellMar>
            <w:top w:w="0" w:type="dxa"/>
            <w:left w:w="108" w:type="dxa"/>
            <w:bottom w:w="0" w:type="dxa"/>
            <w:right w:w="108" w:type="dxa"/>
          </w:tblCellMar>
        </w:tblPrEx>
        <w:trPr>
          <w:trHeight w:val="734" w:hRule="exact"/>
        </w:trPr>
        <w:tc>
          <w:tcPr>
            <w:tcW w:w="8300" w:type="dxa"/>
            <w:vAlign w:val="center"/>
          </w:tcPr>
          <w:p>
            <w:pPr>
              <w:autoSpaceDE w:val="0"/>
              <w:autoSpaceDN w:val="0"/>
              <w:adjustRightInd w:val="0"/>
              <w:spacing w:line="440" w:lineRule="exact"/>
              <w:rPr>
                <w:bCs/>
                <w:sz w:val="28"/>
                <w:szCs w:val="28"/>
                <w:u w:val="single"/>
                <w:lang w:val="zh-CN"/>
              </w:rPr>
            </w:pPr>
            <w:r>
              <w:rPr>
                <w:bCs/>
                <w:sz w:val="28"/>
                <w:szCs w:val="28"/>
                <w:lang w:val="zh-CN"/>
              </w:rPr>
              <w:t>招 标 人：</w:t>
            </w:r>
            <w:r>
              <w:rPr>
                <w:rFonts w:hint="eastAsia"/>
                <w:bCs/>
                <w:sz w:val="28"/>
                <w:szCs w:val="28"/>
                <w:u w:val="single"/>
                <w:lang w:eastAsia="zh-CN"/>
              </w:rPr>
              <w:t>玉环海洋经济开发投资有限公司</w:t>
            </w:r>
            <w:r>
              <w:rPr>
                <w:bCs/>
                <w:sz w:val="28"/>
                <w:szCs w:val="28"/>
                <w:u w:val="single"/>
                <w:lang w:val="zh-CN"/>
              </w:rPr>
              <w:t>（盖章）</w:t>
            </w:r>
          </w:p>
        </w:tc>
      </w:tr>
      <w:tr>
        <w:tblPrEx>
          <w:tblLayout w:type="fixed"/>
          <w:tblCellMar>
            <w:top w:w="0" w:type="dxa"/>
            <w:left w:w="108" w:type="dxa"/>
            <w:bottom w:w="0" w:type="dxa"/>
            <w:right w:w="108" w:type="dxa"/>
          </w:tblCellMar>
        </w:tblPrEx>
        <w:trPr>
          <w:trHeight w:val="550" w:hRule="exact"/>
        </w:trPr>
        <w:tc>
          <w:tcPr>
            <w:tcW w:w="8300" w:type="dxa"/>
            <w:vAlign w:val="bottom"/>
          </w:tcPr>
          <w:p>
            <w:pPr>
              <w:spacing w:line="480" w:lineRule="auto"/>
              <w:jc w:val="both"/>
              <w:rPr>
                <w:rFonts w:ascii="宋体" w:hAnsi="宋体"/>
                <w:sz w:val="28"/>
                <w:szCs w:val="28"/>
                <w:u w:val="single"/>
                <w:lang w:val="en-US"/>
              </w:rPr>
            </w:pPr>
            <w:r>
              <w:rPr>
                <w:rFonts w:hint="eastAsia" w:ascii="宋体" w:hAnsi="宋体"/>
                <w:sz w:val="28"/>
                <w:szCs w:val="28"/>
              </w:rPr>
              <w:t>联 系</w:t>
            </w:r>
            <w:r>
              <w:rPr>
                <w:rFonts w:hint="eastAsia" w:ascii="宋体" w:hAnsi="宋体"/>
                <w:color w:val="auto"/>
                <w:sz w:val="28"/>
                <w:szCs w:val="28"/>
              </w:rPr>
              <w:t xml:space="preserve"> 人：</w:t>
            </w:r>
            <w:r>
              <w:rPr>
                <w:rFonts w:hint="eastAsia" w:ascii="宋体" w:hAnsi="宋体"/>
                <w:bCs/>
                <w:color w:val="auto"/>
                <w:sz w:val="28"/>
                <w:szCs w:val="28"/>
                <w:u w:val="single"/>
              </w:rPr>
              <w:t xml:space="preserve"> </w:t>
            </w:r>
            <w:r>
              <w:rPr>
                <w:rFonts w:hint="eastAsia" w:ascii="宋体" w:hAnsi="宋体"/>
                <w:bCs/>
                <w:color w:val="auto"/>
                <w:sz w:val="28"/>
                <w:szCs w:val="28"/>
                <w:u w:val="single"/>
                <w:lang w:val="en-US" w:eastAsia="zh-CN"/>
              </w:rPr>
              <w:t>车先生</w:t>
            </w:r>
            <w:r>
              <w:rPr>
                <w:rFonts w:hint="eastAsia" w:ascii="宋体" w:hAnsi="宋体"/>
                <w:color w:val="auto"/>
                <w:sz w:val="28"/>
                <w:szCs w:val="28"/>
              </w:rPr>
              <w:t xml:space="preserve">   联系电话：</w:t>
            </w:r>
            <w:r>
              <w:rPr>
                <w:rFonts w:hint="eastAsia" w:ascii="宋体" w:hAnsi="宋体"/>
                <w:bCs/>
                <w:color w:val="auto"/>
                <w:sz w:val="28"/>
                <w:szCs w:val="28"/>
                <w:u w:val="single"/>
              </w:rPr>
              <w:t xml:space="preserve"> 0576-80766107</w:t>
            </w:r>
            <w:r>
              <w:rPr>
                <w:rFonts w:hint="eastAsia" w:ascii="宋体" w:hAnsi="宋体"/>
                <w:bCs/>
                <w:color w:val="auto"/>
                <w:sz w:val="28"/>
                <w:szCs w:val="28"/>
                <w:u w:val="single"/>
                <w:lang w:val="en-US" w:eastAsia="zh-CN"/>
              </w:rPr>
              <w:t xml:space="preserve">  </w:t>
            </w:r>
          </w:p>
          <w:p>
            <w:pPr>
              <w:autoSpaceDE w:val="0"/>
              <w:autoSpaceDN w:val="0"/>
              <w:adjustRightInd w:val="0"/>
              <w:spacing w:line="440" w:lineRule="exact"/>
              <w:jc w:val="center"/>
              <w:rPr>
                <w:bCs/>
                <w:sz w:val="28"/>
                <w:szCs w:val="28"/>
                <w:u w:val="single"/>
                <w:lang w:val="zh-CN"/>
              </w:rPr>
            </w:pPr>
          </w:p>
        </w:tc>
      </w:tr>
      <w:tr>
        <w:tblPrEx>
          <w:tblLayout w:type="fixed"/>
          <w:tblCellMar>
            <w:top w:w="0" w:type="dxa"/>
            <w:left w:w="108" w:type="dxa"/>
            <w:bottom w:w="0" w:type="dxa"/>
            <w:right w:w="108" w:type="dxa"/>
          </w:tblCellMar>
        </w:tblPrEx>
        <w:trPr>
          <w:trHeight w:val="737" w:hRule="exact"/>
        </w:trPr>
        <w:tc>
          <w:tcPr>
            <w:tcW w:w="8300" w:type="dxa"/>
            <w:vAlign w:val="center"/>
          </w:tcPr>
          <w:p>
            <w:pPr>
              <w:autoSpaceDE w:val="0"/>
              <w:autoSpaceDN w:val="0"/>
              <w:adjustRightInd w:val="0"/>
              <w:spacing w:line="440" w:lineRule="exact"/>
              <w:rPr>
                <w:bCs/>
                <w:sz w:val="28"/>
                <w:szCs w:val="28"/>
                <w:u w:val="single"/>
                <w:lang w:val="zh-CN"/>
              </w:rPr>
            </w:pPr>
            <w:r>
              <w:rPr>
                <w:bCs/>
                <w:sz w:val="28"/>
                <w:szCs w:val="28"/>
                <w:lang w:val="zh-CN"/>
              </w:rPr>
              <w:t>招标代理机构：</w:t>
            </w:r>
            <w:r>
              <w:rPr>
                <w:rFonts w:hint="eastAsia"/>
                <w:bCs/>
                <w:sz w:val="28"/>
                <w:szCs w:val="28"/>
                <w:u w:val="single"/>
                <w:lang w:eastAsia="zh-CN"/>
              </w:rPr>
              <w:t>建经投资咨询有限公司</w:t>
            </w:r>
            <w:r>
              <w:rPr>
                <w:bCs/>
                <w:sz w:val="28"/>
                <w:szCs w:val="28"/>
                <w:u w:val="single"/>
                <w:lang w:val="zh-CN"/>
              </w:rPr>
              <w:t>（盖章）</w:t>
            </w:r>
          </w:p>
        </w:tc>
      </w:tr>
      <w:tr>
        <w:tblPrEx>
          <w:tblLayout w:type="fixed"/>
          <w:tblCellMar>
            <w:top w:w="0" w:type="dxa"/>
            <w:left w:w="108" w:type="dxa"/>
            <w:bottom w:w="0" w:type="dxa"/>
            <w:right w:w="108" w:type="dxa"/>
          </w:tblCellMar>
        </w:tblPrEx>
        <w:trPr>
          <w:trHeight w:val="737" w:hRule="exact"/>
        </w:trPr>
        <w:tc>
          <w:tcPr>
            <w:tcW w:w="8300" w:type="dxa"/>
            <w:vAlign w:val="center"/>
          </w:tcPr>
          <w:p>
            <w:pPr>
              <w:autoSpaceDE w:val="0"/>
              <w:autoSpaceDN w:val="0"/>
              <w:adjustRightInd w:val="0"/>
              <w:spacing w:line="440" w:lineRule="exact"/>
              <w:rPr>
                <w:rFonts w:hint="eastAsia" w:ascii="宋体" w:hAnsi="宋体"/>
                <w:bCs/>
                <w:sz w:val="28"/>
                <w:szCs w:val="28"/>
                <w:u w:val="single"/>
                <w:lang w:val="en-US"/>
              </w:rPr>
            </w:pPr>
            <w:r>
              <w:rPr>
                <w:rFonts w:ascii="宋体" w:hAnsi="宋体"/>
                <w:bCs/>
                <w:sz w:val="28"/>
                <w:szCs w:val="28"/>
                <w:lang w:val="zh-CN"/>
              </w:rPr>
              <w:t>代理项目负责人：</w:t>
            </w:r>
            <w:r>
              <w:rPr>
                <w:rFonts w:hint="eastAsia" w:ascii="宋体" w:hAnsi="宋体"/>
                <w:bCs/>
                <w:sz w:val="28"/>
                <w:szCs w:val="28"/>
                <w:u w:val="single"/>
                <w:lang w:val="zh-CN"/>
              </w:rPr>
              <w:t>王先生</w:t>
            </w:r>
            <w:r>
              <w:rPr>
                <w:rFonts w:hint="eastAsia" w:ascii="宋体" w:hAnsi="宋体"/>
                <w:sz w:val="28"/>
                <w:szCs w:val="28"/>
                <w:u w:val="none"/>
                <w:lang w:val="en-US" w:eastAsia="zh-CN"/>
              </w:rPr>
              <w:t xml:space="preserve"> 联系电话：</w:t>
            </w:r>
            <w:r>
              <w:rPr>
                <w:rFonts w:hint="eastAsia" w:ascii="宋体" w:hAnsi="宋体"/>
                <w:sz w:val="28"/>
                <w:szCs w:val="28"/>
                <w:u w:val="single"/>
                <w:lang w:val="en-US" w:eastAsia="zh-CN"/>
              </w:rPr>
              <w:t>18257670313</w:t>
            </w:r>
          </w:p>
        </w:tc>
      </w:tr>
    </w:tbl>
    <w:p>
      <w:pPr>
        <w:autoSpaceDE w:val="0"/>
        <w:autoSpaceDN w:val="0"/>
        <w:adjustRightInd w:val="0"/>
        <w:spacing w:line="440" w:lineRule="exact"/>
        <w:rPr>
          <w:b/>
          <w:bCs/>
          <w:sz w:val="28"/>
          <w:szCs w:val="28"/>
          <w:lang w:val="zh-CN"/>
        </w:rPr>
      </w:pPr>
    </w:p>
    <w:p>
      <w:pPr>
        <w:autoSpaceDE w:val="0"/>
        <w:autoSpaceDN w:val="0"/>
        <w:adjustRightInd w:val="0"/>
        <w:spacing w:line="440" w:lineRule="exact"/>
        <w:ind w:left="1148"/>
        <w:rPr>
          <w:b/>
          <w:bCs/>
          <w:sz w:val="28"/>
          <w:szCs w:val="28"/>
          <w:lang w:val="zh-CN"/>
        </w:rPr>
      </w:pPr>
    </w:p>
    <w:p>
      <w:pPr>
        <w:autoSpaceDE w:val="0"/>
        <w:autoSpaceDN w:val="0"/>
        <w:adjustRightInd w:val="0"/>
        <w:spacing w:line="288" w:lineRule="auto"/>
        <w:ind w:left="1148"/>
        <w:rPr>
          <w:b/>
          <w:bCs/>
          <w:sz w:val="28"/>
          <w:szCs w:val="28"/>
          <w:lang w:val="zh-CN"/>
        </w:rPr>
      </w:pPr>
    </w:p>
    <w:p>
      <w:pPr>
        <w:autoSpaceDE w:val="0"/>
        <w:autoSpaceDN w:val="0"/>
        <w:adjustRightInd w:val="0"/>
        <w:spacing w:line="360" w:lineRule="auto"/>
        <w:ind w:left="573"/>
        <w:rPr>
          <w:rFonts w:hint="eastAsia"/>
          <w:b/>
          <w:bCs/>
          <w:sz w:val="30"/>
          <w:szCs w:val="30"/>
          <w:lang w:val="zh-CN"/>
        </w:rPr>
      </w:pPr>
    </w:p>
    <w:p>
      <w:pPr>
        <w:autoSpaceDE w:val="0"/>
        <w:autoSpaceDN w:val="0"/>
        <w:adjustRightInd w:val="0"/>
        <w:spacing w:line="360" w:lineRule="auto"/>
        <w:ind w:left="573"/>
        <w:rPr>
          <w:rFonts w:hint="eastAsia"/>
          <w:b/>
          <w:bCs/>
          <w:sz w:val="30"/>
          <w:szCs w:val="30"/>
          <w:lang w:val="zh-CN"/>
        </w:rPr>
      </w:pPr>
    </w:p>
    <w:p>
      <w:pPr>
        <w:autoSpaceDE w:val="0"/>
        <w:autoSpaceDN w:val="0"/>
        <w:adjustRightInd w:val="0"/>
        <w:spacing w:line="360" w:lineRule="auto"/>
        <w:ind w:left="573" w:firstLine="280" w:firstLineChars="100"/>
        <w:rPr>
          <w:rFonts w:hint="eastAsia"/>
          <w:b/>
          <w:bCs/>
          <w:sz w:val="30"/>
          <w:szCs w:val="30"/>
          <w:lang w:val="zh-CN"/>
        </w:rPr>
      </w:pPr>
      <w:r>
        <w:rPr>
          <w:rFonts w:hint="eastAsia" w:ascii="宋体" w:hAnsi="宋体" w:eastAsia="宋体"/>
          <w:color w:val="auto"/>
          <w:sz w:val="28"/>
        </w:rPr>
        <w:t>招标监管机构：</w:t>
      </w:r>
      <w:r>
        <w:rPr>
          <w:rFonts w:hint="eastAsia" w:ascii="宋体" w:hAnsi="宋体" w:eastAsia="宋体"/>
          <w:color w:val="auto"/>
          <w:sz w:val="28"/>
          <w:lang w:eastAsia="zh-CN"/>
        </w:rPr>
        <w:t>浙江玉环经济开发区管理委员会（盖章）</w:t>
      </w:r>
    </w:p>
    <w:p>
      <w:pPr>
        <w:autoSpaceDE w:val="0"/>
        <w:autoSpaceDN w:val="0"/>
        <w:adjustRightInd w:val="0"/>
        <w:spacing w:line="440" w:lineRule="exact"/>
        <w:jc w:val="center"/>
        <w:rPr>
          <w:rFonts w:hint="eastAsia" w:ascii="宋体" w:hAnsi="宋体"/>
          <w:bCs/>
          <w:sz w:val="32"/>
          <w:szCs w:val="32"/>
          <w:lang w:val="en-US" w:eastAsia="zh-CN"/>
        </w:rPr>
      </w:pPr>
      <w:r>
        <w:rPr>
          <w:rFonts w:hint="eastAsia" w:ascii="宋体" w:hAnsi="宋体"/>
          <w:bCs/>
          <w:sz w:val="32"/>
          <w:szCs w:val="32"/>
          <w:lang w:val="en-US" w:eastAsia="zh-CN"/>
        </w:rPr>
        <w:t>2018年09月</w:t>
      </w:r>
    </w:p>
    <w:p>
      <w:pPr>
        <w:jc w:val="center"/>
        <w:rPr>
          <w:rFonts w:eastAsia="黑体"/>
          <w:b/>
          <w:sz w:val="44"/>
        </w:rPr>
      </w:pPr>
    </w:p>
    <w:p>
      <w:pPr>
        <w:jc w:val="center"/>
        <w:rPr>
          <w:rFonts w:eastAsia="黑体"/>
          <w:b/>
          <w:sz w:val="44"/>
        </w:rPr>
      </w:pPr>
    </w:p>
    <w:p>
      <w:pPr>
        <w:jc w:val="center"/>
        <w:rPr>
          <w:rFonts w:eastAsia="黑体"/>
          <w:b/>
          <w:sz w:val="44"/>
        </w:rPr>
      </w:pPr>
    </w:p>
    <w:p>
      <w:pPr>
        <w:jc w:val="center"/>
        <w:rPr>
          <w:rFonts w:eastAsia="黑体"/>
          <w:b/>
          <w:sz w:val="44"/>
        </w:rPr>
      </w:pPr>
      <w:r>
        <w:rPr>
          <w:rFonts w:eastAsia="黑体"/>
          <w:b/>
          <w:sz w:val="44"/>
        </w:rPr>
        <w:t xml:space="preserve">目 </w:t>
      </w:r>
      <w:r>
        <w:rPr>
          <w:rFonts w:hint="eastAsia" w:eastAsia="黑体"/>
          <w:b/>
          <w:sz w:val="44"/>
        </w:rPr>
        <w:t xml:space="preserve">  </w:t>
      </w:r>
      <w:r>
        <w:rPr>
          <w:rFonts w:eastAsia="黑体"/>
          <w:b/>
          <w:sz w:val="44"/>
        </w:rPr>
        <w:t xml:space="preserve"> 录</w:t>
      </w:r>
    </w:p>
    <w:p>
      <w:pPr>
        <w:pStyle w:val="11"/>
        <w:tabs>
          <w:tab w:val="right" w:leader="dot" w:pos="8480"/>
          <w:tab w:val="clear" w:pos="9232"/>
        </w:tabs>
      </w:pPr>
      <w:r>
        <w:rPr>
          <w:rStyle w:val="18"/>
          <w:rFonts w:hint="eastAsia" w:ascii="宋体" w:hAnsi="宋体" w:eastAsia="宋体" w:cs="宋体"/>
          <w:b w:val="0"/>
          <w:bCs w:val="0"/>
          <w:color w:val="auto"/>
          <w:sz w:val="21"/>
          <w:szCs w:val="21"/>
          <w:u w:val="none"/>
        </w:rPr>
        <w:t>第一章 招标公告</w:t>
      </w:r>
      <w:r>
        <w:rPr>
          <w:rStyle w:val="18"/>
          <w:rFonts w:hint="eastAsia" w:ascii="宋体" w:hAnsi="宋体" w:eastAsia="宋体" w:cs="宋体"/>
          <w:b w:val="0"/>
          <w:bCs w:val="0"/>
          <w:color w:val="auto"/>
          <w:sz w:val="21"/>
          <w:szCs w:val="21"/>
          <w:u w:val="none"/>
        </w:rPr>
        <w:tab/>
      </w:r>
      <w:r>
        <w:rPr>
          <w:rStyle w:val="18"/>
          <w:rFonts w:hint="eastAsia" w:cs="宋体"/>
          <w:b w:val="0"/>
          <w:bCs w:val="0"/>
          <w:color w:val="auto"/>
          <w:sz w:val="21"/>
          <w:szCs w:val="21"/>
          <w:u w:val="none"/>
          <w:lang w:val="en-US" w:eastAsia="zh-CN"/>
        </w:rPr>
        <w:t>3</w:t>
      </w:r>
      <w:r>
        <w:rPr>
          <w:rFonts w:hint="eastAsia" w:ascii="宋体" w:hAnsi="宋体" w:eastAsia="宋体" w:cs="宋体"/>
          <w:b w:val="0"/>
          <w:bCs w:val="0"/>
          <w:smallCaps/>
          <w:color w:val="auto"/>
          <w:sz w:val="21"/>
          <w:szCs w:val="21"/>
        </w:rPr>
        <w:fldChar w:fldCharType="begin"/>
      </w:r>
      <w:r>
        <w:rPr>
          <w:rFonts w:hint="eastAsia" w:ascii="宋体" w:hAnsi="宋体" w:eastAsia="宋体" w:cs="宋体"/>
          <w:b w:val="0"/>
          <w:bCs w:val="0"/>
          <w:smallCaps/>
          <w:color w:val="auto"/>
          <w:sz w:val="21"/>
          <w:szCs w:val="21"/>
        </w:rPr>
        <w:instrText xml:space="preserve"> TOC \o "1-2" \h \z </w:instrText>
      </w:r>
      <w:r>
        <w:rPr>
          <w:rFonts w:hint="eastAsia" w:ascii="宋体" w:hAnsi="宋体" w:eastAsia="宋体" w:cs="宋体"/>
          <w:b w:val="0"/>
          <w:bCs w:val="0"/>
          <w:smallCaps/>
          <w:color w:val="auto"/>
          <w:sz w:val="21"/>
          <w:szCs w:val="21"/>
        </w:rPr>
        <w:fldChar w:fldCharType="separate"/>
      </w:r>
    </w:p>
    <w:p>
      <w:pPr>
        <w:pStyle w:val="11"/>
        <w:tabs>
          <w:tab w:val="right" w:leader="dot" w:pos="8505"/>
          <w:tab w:val="clear" w:pos="9232"/>
        </w:tabs>
      </w:pPr>
      <w:r>
        <w:rPr>
          <w:rFonts w:hint="eastAsia" w:ascii="宋体" w:hAnsi="宋体" w:eastAsia="宋体" w:cs="宋体"/>
          <w:b w:val="0"/>
          <w:bCs w:val="0"/>
          <w:caps w:val="0"/>
          <w:smallCaps/>
          <w:color w:val="auto"/>
          <w:kern w:val="2"/>
          <w:szCs w:val="21"/>
          <w:lang w:bidi="ar-SA"/>
        </w:rPr>
        <w:fldChar w:fldCharType="begin"/>
      </w:r>
      <w:r>
        <w:rPr>
          <w:rFonts w:hint="eastAsia" w:ascii="宋体" w:hAnsi="宋体" w:eastAsia="宋体" w:cs="宋体"/>
          <w:b w:val="0"/>
          <w:bCs w:val="0"/>
          <w:caps w:val="0"/>
          <w:smallCaps/>
          <w:color w:val="auto"/>
          <w:kern w:val="2"/>
          <w:szCs w:val="21"/>
          <w:lang w:bidi="ar-SA"/>
        </w:rPr>
        <w:instrText xml:space="preserve"> HYPERLINK \l _Toc27915 </w:instrText>
      </w:r>
      <w:r>
        <w:rPr>
          <w:rFonts w:hint="eastAsia" w:ascii="宋体" w:hAnsi="宋体" w:eastAsia="宋体" w:cs="宋体"/>
          <w:b w:val="0"/>
          <w:bCs w:val="0"/>
          <w:caps w:val="0"/>
          <w:smallCaps/>
          <w:color w:val="auto"/>
          <w:kern w:val="2"/>
          <w:szCs w:val="21"/>
          <w:lang w:bidi="ar-SA"/>
        </w:rPr>
        <w:fldChar w:fldCharType="separate"/>
      </w:r>
      <w:r>
        <w:rPr>
          <w:rFonts w:ascii="Times New Roman" w:hAnsi="Times New Roman"/>
        </w:rPr>
        <w:t>投标须知前附表</w:t>
      </w:r>
      <w:r>
        <w:tab/>
      </w:r>
      <w:r>
        <w:fldChar w:fldCharType="begin"/>
      </w:r>
      <w:r>
        <w:instrText xml:space="preserve"> PAGEREF _Toc27915 </w:instrText>
      </w:r>
      <w:r>
        <w:fldChar w:fldCharType="separate"/>
      </w:r>
      <w:r>
        <w:t>5</w:t>
      </w:r>
      <w:r>
        <w:fldChar w:fldCharType="end"/>
      </w:r>
      <w:r>
        <w:rPr>
          <w:rFonts w:hint="eastAsia" w:ascii="宋体" w:hAnsi="宋体" w:eastAsia="宋体" w:cs="宋体"/>
          <w:b w:val="0"/>
          <w:bCs w:val="0"/>
          <w:caps w:val="0"/>
          <w:smallCaps/>
          <w:color w:val="auto"/>
          <w:kern w:val="2"/>
          <w:szCs w:val="21"/>
          <w:lang w:bidi="ar-SA"/>
        </w:rPr>
        <w:fldChar w:fldCharType="end"/>
      </w:r>
    </w:p>
    <w:p>
      <w:pPr>
        <w:pStyle w:val="11"/>
        <w:tabs>
          <w:tab w:val="right" w:leader="dot" w:pos="8505"/>
          <w:tab w:val="clear" w:pos="9232"/>
        </w:tabs>
      </w:pPr>
      <w:r>
        <w:rPr>
          <w:rFonts w:hint="eastAsia" w:ascii="宋体" w:hAnsi="宋体" w:eastAsia="宋体" w:cs="宋体"/>
          <w:b w:val="0"/>
          <w:bCs w:val="0"/>
          <w:caps w:val="0"/>
          <w:smallCaps/>
          <w:color w:val="auto"/>
          <w:kern w:val="2"/>
          <w:szCs w:val="21"/>
          <w:lang w:bidi="ar-SA"/>
        </w:rPr>
        <w:fldChar w:fldCharType="begin"/>
      </w:r>
      <w:r>
        <w:rPr>
          <w:rFonts w:hint="eastAsia" w:ascii="宋体" w:hAnsi="宋体" w:eastAsia="宋体" w:cs="宋体"/>
          <w:b w:val="0"/>
          <w:bCs w:val="0"/>
          <w:caps w:val="0"/>
          <w:smallCaps/>
          <w:color w:val="auto"/>
          <w:kern w:val="2"/>
          <w:szCs w:val="21"/>
          <w:lang w:bidi="ar-SA"/>
        </w:rPr>
        <w:instrText xml:space="preserve"> HYPERLINK \l _Toc16782 </w:instrText>
      </w:r>
      <w:r>
        <w:rPr>
          <w:rFonts w:hint="eastAsia" w:ascii="宋体" w:hAnsi="宋体" w:eastAsia="宋体" w:cs="宋体"/>
          <w:b w:val="0"/>
          <w:bCs w:val="0"/>
          <w:caps w:val="0"/>
          <w:smallCaps/>
          <w:color w:val="auto"/>
          <w:kern w:val="2"/>
          <w:szCs w:val="21"/>
          <w:lang w:bidi="ar-SA"/>
        </w:rPr>
        <w:fldChar w:fldCharType="separate"/>
      </w:r>
      <w:r>
        <w:rPr>
          <w:rFonts w:ascii="Times New Roman" w:hAnsi="Times New Roman"/>
        </w:rPr>
        <w:t>第</w:t>
      </w:r>
      <w:r>
        <w:rPr>
          <w:rFonts w:hint="eastAsia" w:ascii="Times New Roman" w:hAnsi="Times New Roman"/>
        </w:rPr>
        <w:t>二</w:t>
      </w:r>
      <w:r>
        <w:rPr>
          <w:rFonts w:ascii="Times New Roman" w:hAnsi="Times New Roman"/>
        </w:rPr>
        <w:t>章  投标须知</w:t>
      </w:r>
      <w:r>
        <w:tab/>
      </w:r>
      <w:r>
        <w:fldChar w:fldCharType="begin"/>
      </w:r>
      <w:r>
        <w:instrText xml:space="preserve"> PAGEREF _Toc16782 </w:instrText>
      </w:r>
      <w:r>
        <w:fldChar w:fldCharType="separate"/>
      </w:r>
      <w:r>
        <w:t>8</w:t>
      </w:r>
      <w:r>
        <w:fldChar w:fldCharType="end"/>
      </w:r>
      <w:r>
        <w:rPr>
          <w:rFonts w:hint="eastAsia" w:ascii="宋体" w:hAnsi="宋体" w:eastAsia="宋体" w:cs="宋体"/>
          <w:b w:val="0"/>
          <w:bCs w:val="0"/>
          <w:caps w:val="0"/>
          <w:smallCaps/>
          <w:color w:val="auto"/>
          <w:kern w:val="2"/>
          <w:szCs w:val="21"/>
          <w:lang w:bidi="ar-SA"/>
        </w:rPr>
        <w:fldChar w:fldCharType="end"/>
      </w:r>
    </w:p>
    <w:p>
      <w:pPr>
        <w:pStyle w:val="13"/>
        <w:tabs>
          <w:tab w:val="right" w:leader="dot" w:pos="8505"/>
          <w:tab w:val="clear" w:pos="1290"/>
          <w:tab w:val="clear" w:pos="9232"/>
        </w:tabs>
      </w:pPr>
      <w:r>
        <w:rPr>
          <w:rFonts w:hint="eastAsia" w:ascii="宋体" w:hAnsi="宋体" w:eastAsia="宋体" w:cs="宋体"/>
          <w:b w:val="0"/>
          <w:bCs w:val="0"/>
          <w:caps w:val="0"/>
          <w:smallCaps/>
          <w:color w:val="auto"/>
          <w:kern w:val="2"/>
          <w:szCs w:val="21"/>
          <w:lang w:bidi="ar-SA"/>
        </w:rPr>
        <w:fldChar w:fldCharType="begin"/>
      </w:r>
      <w:r>
        <w:rPr>
          <w:rFonts w:hint="eastAsia" w:ascii="宋体" w:hAnsi="宋体" w:eastAsia="宋体" w:cs="宋体"/>
          <w:b w:val="0"/>
          <w:bCs w:val="0"/>
          <w:caps w:val="0"/>
          <w:smallCaps/>
          <w:color w:val="auto"/>
          <w:kern w:val="2"/>
          <w:szCs w:val="21"/>
          <w:lang w:bidi="ar-SA"/>
        </w:rPr>
        <w:instrText xml:space="preserve"> HYPERLINK \l _Toc20003 </w:instrText>
      </w:r>
      <w:r>
        <w:rPr>
          <w:rFonts w:hint="eastAsia" w:ascii="宋体" w:hAnsi="宋体" w:eastAsia="宋体" w:cs="宋体"/>
          <w:b w:val="0"/>
          <w:bCs w:val="0"/>
          <w:caps w:val="0"/>
          <w:smallCaps/>
          <w:color w:val="auto"/>
          <w:kern w:val="2"/>
          <w:szCs w:val="21"/>
          <w:lang w:bidi="ar-SA"/>
        </w:rPr>
        <w:fldChar w:fldCharType="separate"/>
      </w:r>
      <w:r>
        <w:rPr>
          <w:rFonts w:hint="eastAsia" w:ascii="Times New Roman" w:hAnsi="Times New Roman" w:cs="Times New Roman"/>
        </w:rPr>
        <w:t xml:space="preserve">第一节 </w:t>
      </w:r>
      <w:r>
        <w:rPr>
          <w:rFonts w:ascii="Times New Roman" w:hAnsi="Times New Roman" w:cs="Times New Roman"/>
        </w:rPr>
        <w:t>总  则</w:t>
      </w:r>
      <w:r>
        <w:tab/>
      </w:r>
      <w:r>
        <w:fldChar w:fldCharType="begin"/>
      </w:r>
      <w:r>
        <w:instrText xml:space="preserve"> PAGEREF _Toc20003 </w:instrText>
      </w:r>
      <w:r>
        <w:fldChar w:fldCharType="separate"/>
      </w:r>
      <w:r>
        <w:t>8</w:t>
      </w:r>
      <w:r>
        <w:fldChar w:fldCharType="end"/>
      </w:r>
      <w:r>
        <w:rPr>
          <w:rFonts w:hint="eastAsia" w:ascii="宋体" w:hAnsi="宋体" w:eastAsia="宋体" w:cs="宋体"/>
          <w:b w:val="0"/>
          <w:bCs w:val="0"/>
          <w:caps w:val="0"/>
          <w:smallCaps/>
          <w:color w:val="auto"/>
          <w:kern w:val="2"/>
          <w:szCs w:val="21"/>
          <w:lang w:bidi="ar-SA"/>
        </w:rPr>
        <w:fldChar w:fldCharType="end"/>
      </w:r>
    </w:p>
    <w:p>
      <w:pPr>
        <w:pStyle w:val="13"/>
        <w:tabs>
          <w:tab w:val="right" w:leader="dot" w:pos="8505"/>
          <w:tab w:val="clear" w:pos="1290"/>
          <w:tab w:val="clear" w:pos="9232"/>
        </w:tabs>
      </w:pPr>
      <w:r>
        <w:rPr>
          <w:rFonts w:hint="eastAsia" w:ascii="宋体" w:hAnsi="宋体" w:eastAsia="宋体" w:cs="宋体"/>
          <w:b w:val="0"/>
          <w:bCs w:val="0"/>
          <w:caps w:val="0"/>
          <w:smallCaps/>
          <w:color w:val="auto"/>
          <w:kern w:val="2"/>
          <w:szCs w:val="21"/>
          <w:lang w:bidi="ar-SA"/>
        </w:rPr>
        <w:fldChar w:fldCharType="begin"/>
      </w:r>
      <w:r>
        <w:rPr>
          <w:rFonts w:hint="eastAsia" w:ascii="宋体" w:hAnsi="宋体" w:eastAsia="宋体" w:cs="宋体"/>
          <w:b w:val="0"/>
          <w:bCs w:val="0"/>
          <w:caps w:val="0"/>
          <w:smallCaps/>
          <w:color w:val="auto"/>
          <w:kern w:val="2"/>
          <w:szCs w:val="21"/>
          <w:lang w:bidi="ar-SA"/>
        </w:rPr>
        <w:instrText xml:space="preserve"> HYPERLINK \l _Toc31988 </w:instrText>
      </w:r>
      <w:r>
        <w:rPr>
          <w:rFonts w:hint="eastAsia" w:ascii="宋体" w:hAnsi="宋体" w:eastAsia="宋体" w:cs="宋体"/>
          <w:b w:val="0"/>
          <w:bCs w:val="0"/>
          <w:caps w:val="0"/>
          <w:smallCaps/>
          <w:color w:val="auto"/>
          <w:kern w:val="2"/>
          <w:szCs w:val="21"/>
          <w:lang w:bidi="ar-SA"/>
        </w:rPr>
        <w:fldChar w:fldCharType="separate"/>
      </w:r>
      <w:r>
        <w:rPr>
          <w:rFonts w:hint="eastAsia" w:ascii="Times New Roman" w:hAnsi="Times New Roman" w:cs="Times New Roman"/>
        </w:rPr>
        <w:t xml:space="preserve">第二节 </w:t>
      </w:r>
      <w:r>
        <w:rPr>
          <w:rFonts w:ascii="Times New Roman" w:hAnsi="Times New Roman" w:cs="Times New Roman"/>
        </w:rPr>
        <w:t>招标文件</w:t>
      </w:r>
      <w:r>
        <w:tab/>
      </w:r>
      <w:r>
        <w:fldChar w:fldCharType="begin"/>
      </w:r>
      <w:r>
        <w:instrText xml:space="preserve"> PAGEREF _Toc31988 </w:instrText>
      </w:r>
      <w:r>
        <w:fldChar w:fldCharType="separate"/>
      </w:r>
      <w:r>
        <w:t>9</w:t>
      </w:r>
      <w:r>
        <w:fldChar w:fldCharType="end"/>
      </w:r>
      <w:r>
        <w:rPr>
          <w:rFonts w:hint="eastAsia" w:ascii="宋体" w:hAnsi="宋体" w:eastAsia="宋体" w:cs="宋体"/>
          <w:b w:val="0"/>
          <w:bCs w:val="0"/>
          <w:caps w:val="0"/>
          <w:smallCaps/>
          <w:color w:val="auto"/>
          <w:kern w:val="2"/>
          <w:szCs w:val="21"/>
          <w:lang w:bidi="ar-SA"/>
        </w:rPr>
        <w:fldChar w:fldCharType="end"/>
      </w:r>
    </w:p>
    <w:p>
      <w:pPr>
        <w:pStyle w:val="13"/>
        <w:tabs>
          <w:tab w:val="right" w:leader="dot" w:pos="8505"/>
          <w:tab w:val="clear" w:pos="1290"/>
          <w:tab w:val="clear" w:pos="9232"/>
        </w:tabs>
      </w:pPr>
      <w:r>
        <w:rPr>
          <w:rFonts w:hint="eastAsia" w:ascii="宋体" w:hAnsi="宋体" w:eastAsia="宋体" w:cs="宋体"/>
          <w:b w:val="0"/>
          <w:bCs w:val="0"/>
          <w:caps w:val="0"/>
          <w:smallCaps/>
          <w:color w:val="auto"/>
          <w:kern w:val="2"/>
          <w:szCs w:val="21"/>
          <w:lang w:bidi="ar-SA"/>
        </w:rPr>
        <w:fldChar w:fldCharType="begin"/>
      </w:r>
      <w:r>
        <w:rPr>
          <w:rFonts w:hint="eastAsia" w:ascii="宋体" w:hAnsi="宋体" w:eastAsia="宋体" w:cs="宋体"/>
          <w:b w:val="0"/>
          <w:bCs w:val="0"/>
          <w:caps w:val="0"/>
          <w:smallCaps/>
          <w:color w:val="auto"/>
          <w:kern w:val="2"/>
          <w:szCs w:val="21"/>
          <w:lang w:bidi="ar-SA"/>
        </w:rPr>
        <w:instrText xml:space="preserve"> HYPERLINK \l _Toc23040 </w:instrText>
      </w:r>
      <w:r>
        <w:rPr>
          <w:rFonts w:hint="eastAsia" w:ascii="宋体" w:hAnsi="宋体" w:eastAsia="宋体" w:cs="宋体"/>
          <w:b w:val="0"/>
          <w:bCs w:val="0"/>
          <w:caps w:val="0"/>
          <w:smallCaps/>
          <w:color w:val="auto"/>
          <w:kern w:val="2"/>
          <w:szCs w:val="21"/>
          <w:lang w:bidi="ar-SA"/>
        </w:rPr>
        <w:fldChar w:fldCharType="separate"/>
      </w:r>
      <w:r>
        <w:rPr>
          <w:rFonts w:hint="eastAsia" w:ascii="Times New Roman" w:hAnsi="Times New Roman" w:cs="Times New Roman"/>
        </w:rPr>
        <w:t xml:space="preserve">第三节 </w:t>
      </w:r>
      <w:r>
        <w:rPr>
          <w:rFonts w:ascii="Times New Roman" w:hAnsi="Times New Roman" w:cs="Times New Roman"/>
        </w:rPr>
        <w:t>投标文件的编制</w:t>
      </w:r>
      <w:r>
        <w:tab/>
      </w:r>
      <w:r>
        <w:fldChar w:fldCharType="begin"/>
      </w:r>
      <w:r>
        <w:instrText xml:space="preserve"> PAGEREF _Toc23040 </w:instrText>
      </w:r>
      <w:r>
        <w:fldChar w:fldCharType="separate"/>
      </w:r>
      <w:r>
        <w:t>10</w:t>
      </w:r>
      <w:r>
        <w:fldChar w:fldCharType="end"/>
      </w:r>
      <w:r>
        <w:rPr>
          <w:rFonts w:hint="eastAsia" w:ascii="宋体" w:hAnsi="宋体" w:eastAsia="宋体" w:cs="宋体"/>
          <w:b w:val="0"/>
          <w:bCs w:val="0"/>
          <w:caps w:val="0"/>
          <w:smallCaps/>
          <w:color w:val="auto"/>
          <w:kern w:val="2"/>
          <w:szCs w:val="21"/>
          <w:lang w:bidi="ar-SA"/>
        </w:rPr>
        <w:fldChar w:fldCharType="end"/>
      </w:r>
    </w:p>
    <w:p>
      <w:pPr>
        <w:pStyle w:val="13"/>
        <w:tabs>
          <w:tab w:val="right" w:leader="dot" w:pos="8505"/>
          <w:tab w:val="clear" w:pos="1290"/>
          <w:tab w:val="clear" w:pos="9232"/>
        </w:tabs>
      </w:pPr>
      <w:r>
        <w:rPr>
          <w:rFonts w:hint="eastAsia" w:ascii="宋体" w:hAnsi="宋体" w:eastAsia="宋体" w:cs="宋体"/>
          <w:b w:val="0"/>
          <w:bCs w:val="0"/>
          <w:caps w:val="0"/>
          <w:smallCaps/>
          <w:color w:val="auto"/>
          <w:kern w:val="2"/>
          <w:szCs w:val="21"/>
          <w:lang w:bidi="ar-SA"/>
        </w:rPr>
        <w:fldChar w:fldCharType="begin"/>
      </w:r>
      <w:r>
        <w:rPr>
          <w:rFonts w:hint="eastAsia" w:ascii="宋体" w:hAnsi="宋体" w:eastAsia="宋体" w:cs="宋体"/>
          <w:b w:val="0"/>
          <w:bCs w:val="0"/>
          <w:caps w:val="0"/>
          <w:smallCaps/>
          <w:color w:val="auto"/>
          <w:kern w:val="2"/>
          <w:szCs w:val="21"/>
          <w:lang w:bidi="ar-SA"/>
        </w:rPr>
        <w:instrText xml:space="preserve"> HYPERLINK \l _Toc4301 </w:instrText>
      </w:r>
      <w:r>
        <w:rPr>
          <w:rFonts w:hint="eastAsia" w:ascii="宋体" w:hAnsi="宋体" w:eastAsia="宋体" w:cs="宋体"/>
          <w:b w:val="0"/>
          <w:bCs w:val="0"/>
          <w:caps w:val="0"/>
          <w:smallCaps/>
          <w:color w:val="auto"/>
          <w:kern w:val="2"/>
          <w:szCs w:val="21"/>
          <w:lang w:bidi="ar-SA"/>
        </w:rPr>
        <w:fldChar w:fldCharType="separate"/>
      </w:r>
      <w:r>
        <w:rPr>
          <w:rFonts w:hint="eastAsia" w:ascii="Times New Roman" w:hAnsi="Times New Roman" w:cs="Times New Roman"/>
        </w:rPr>
        <w:t xml:space="preserve">第四节 </w:t>
      </w:r>
      <w:r>
        <w:rPr>
          <w:rFonts w:ascii="Times New Roman" w:hAnsi="Times New Roman" w:cs="Times New Roman"/>
        </w:rPr>
        <w:t>投标文件的递交</w:t>
      </w:r>
      <w:r>
        <w:tab/>
      </w:r>
      <w:r>
        <w:fldChar w:fldCharType="begin"/>
      </w:r>
      <w:r>
        <w:instrText xml:space="preserve"> PAGEREF _Toc4301 </w:instrText>
      </w:r>
      <w:r>
        <w:fldChar w:fldCharType="separate"/>
      </w:r>
      <w:r>
        <w:t>12</w:t>
      </w:r>
      <w:r>
        <w:fldChar w:fldCharType="end"/>
      </w:r>
      <w:r>
        <w:rPr>
          <w:rFonts w:hint="eastAsia" w:ascii="宋体" w:hAnsi="宋体" w:eastAsia="宋体" w:cs="宋体"/>
          <w:b w:val="0"/>
          <w:bCs w:val="0"/>
          <w:caps w:val="0"/>
          <w:smallCaps/>
          <w:color w:val="auto"/>
          <w:kern w:val="2"/>
          <w:szCs w:val="21"/>
          <w:lang w:bidi="ar-SA"/>
        </w:rPr>
        <w:fldChar w:fldCharType="end"/>
      </w:r>
    </w:p>
    <w:p>
      <w:pPr>
        <w:pStyle w:val="13"/>
        <w:tabs>
          <w:tab w:val="right" w:leader="dot" w:pos="8505"/>
          <w:tab w:val="clear" w:pos="1290"/>
          <w:tab w:val="clear" w:pos="9232"/>
        </w:tabs>
      </w:pPr>
      <w:r>
        <w:rPr>
          <w:rFonts w:hint="eastAsia" w:ascii="宋体" w:hAnsi="宋体" w:eastAsia="宋体" w:cs="宋体"/>
          <w:b w:val="0"/>
          <w:bCs w:val="0"/>
          <w:caps w:val="0"/>
          <w:smallCaps/>
          <w:color w:val="auto"/>
          <w:kern w:val="2"/>
          <w:szCs w:val="21"/>
          <w:lang w:bidi="ar-SA"/>
        </w:rPr>
        <w:fldChar w:fldCharType="begin"/>
      </w:r>
      <w:r>
        <w:rPr>
          <w:rFonts w:hint="eastAsia" w:ascii="宋体" w:hAnsi="宋体" w:eastAsia="宋体" w:cs="宋体"/>
          <w:b w:val="0"/>
          <w:bCs w:val="0"/>
          <w:caps w:val="0"/>
          <w:smallCaps/>
          <w:color w:val="auto"/>
          <w:kern w:val="2"/>
          <w:szCs w:val="21"/>
          <w:lang w:bidi="ar-SA"/>
        </w:rPr>
        <w:instrText xml:space="preserve"> HYPERLINK \l _Toc9031 </w:instrText>
      </w:r>
      <w:r>
        <w:rPr>
          <w:rFonts w:hint="eastAsia" w:ascii="宋体" w:hAnsi="宋体" w:eastAsia="宋体" w:cs="宋体"/>
          <w:b w:val="0"/>
          <w:bCs w:val="0"/>
          <w:caps w:val="0"/>
          <w:smallCaps/>
          <w:color w:val="auto"/>
          <w:kern w:val="2"/>
          <w:szCs w:val="21"/>
          <w:lang w:bidi="ar-SA"/>
        </w:rPr>
        <w:fldChar w:fldCharType="separate"/>
      </w:r>
      <w:r>
        <w:rPr>
          <w:rFonts w:hint="eastAsia" w:ascii="Times New Roman" w:hAnsi="Times New Roman" w:cs="Times New Roman"/>
        </w:rPr>
        <w:t xml:space="preserve">第五节 </w:t>
      </w:r>
      <w:r>
        <w:rPr>
          <w:rFonts w:ascii="Times New Roman" w:hAnsi="Times New Roman" w:cs="Times New Roman"/>
        </w:rPr>
        <w:t>开   标</w:t>
      </w:r>
      <w:r>
        <w:tab/>
      </w:r>
      <w:r>
        <w:fldChar w:fldCharType="begin"/>
      </w:r>
      <w:r>
        <w:instrText xml:space="preserve"> PAGEREF _Toc9031 </w:instrText>
      </w:r>
      <w:r>
        <w:fldChar w:fldCharType="separate"/>
      </w:r>
      <w:r>
        <w:t>13</w:t>
      </w:r>
      <w:r>
        <w:fldChar w:fldCharType="end"/>
      </w:r>
      <w:r>
        <w:rPr>
          <w:rFonts w:hint="eastAsia" w:ascii="宋体" w:hAnsi="宋体" w:eastAsia="宋体" w:cs="宋体"/>
          <w:b w:val="0"/>
          <w:bCs w:val="0"/>
          <w:caps w:val="0"/>
          <w:smallCaps/>
          <w:color w:val="auto"/>
          <w:kern w:val="2"/>
          <w:szCs w:val="21"/>
          <w:lang w:bidi="ar-SA"/>
        </w:rPr>
        <w:fldChar w:fldCharType="end"/>
      </w:r>
    </w:p>
    <w:p>
      <w:pPr>
        <w:pStyle w:val="13"/>
        <w:tabs>
          <w:tab w:val="right" w:leader="dot" w:pos="8505"/>
          <w:tab w:val="clear" w:pos="1290"/>
          <w:tab w:val="clear" w:pos="9232"/>
        </w:tabs>
      </w:pPr>
      <w:r>
        <w:rPr>
          <w:rFonts w:hint="eastAsia" w:ascii="宋体" w:hAnsi="宋体" w:eastAsia="宋体" w:cs="宋体"/>
          <w:b w:val="0"/>
          <w:bCs w:val="0"/>
          <w:caps w:val="0"/>
          <w:smallCaps/>
          <w:color w:val="auto"/>
          <w:kern w:val="2"/>
          <w:szCs w:val="21"/>
          <w:lang w:bidi="ar-SA"/>
        </w:rPr>
        <w:fldChar w:fldCharType="begin"/>
      </w:r>
      <w:r>
        <w:rPr>
          <w:rFonts w:hint="eastAsia" w:ascii="宋体" w:hAnsi="宋体" w:eastAsia="宋体" w:cs="宋体"/>
          <w:b w:val="0"/>
          <w:bCs w:val="0"/>
          <w:caps w:val="0"/>
          <w:smallCaps/>
          <w:color w:val="auto"/>
          <w:kern w:val="2"/>
          <w:szCs w:val="21"/>
          <w:lang w:bidi="ar-SA"/>
        </w:rPr>
        <w:instrText xml:space="preserve"> HYPERLINK \l _Toc9517 </w:instrText>
      </w:r>
      <w:r>
        <w:rPr>
          <w:rFonts w:hint="eastAsia" w:ascii="宋体" w:hAnsi="宋体" w:eastAsia="宋体" w:cs="宋体"/>
          <w:b w:val="0"/>
          <w:bCs w:val="0"/>
          <w:caps w:val="0"/>
          <w:smallCaps/>
          <w:color w:val="auto"/>
          <w:kern w:val="2"/>
          <w:szCs w:val="21"/>
          <w:lang w:bidi="ar-SA"/>
        </w:rPr>
        <w:fldChar w:fldCharType="separate"/>
      </w:r>
      <w:r>
        <w:rPr>
          <w:rFonts w:hint="eastAsia" w:ascii="Times New Roman" w:hAnsi="Times New Roman" w:cs="Times New Roman"/>
        </w:rPr>
        <w:t xml:space="preserve">第六节 </w:t>
      </w:r>
      <w:r>
        <w:rPr>
          <w:rFonts w:ascii="Times New Roman" w:hAnsi="Times New Roman" w:cs="Times New Roman"/>
        </w:rPr>
        <w:t>评   标</w:t>
      </w:r>
      <w:r>
        <w:tab/>
      </w:r>
      <w:r>
        <w:fldChar w:fldCharType="begin"/>
      </w:r>
      <w:r>
        <w:instrText xml:space="preserve"> PAGEREF _Toc9517 </w:instrText>
      </w:r>
      <w:r>
        <w:fldChar w:fldCharType="separate"/>
      </w:r>
      <w:r>
        <w:t>13</w:t>
      </w:r>
      <w:r>
        <w:fldChar w:fldCharType="end"/>
      </w:r>
      <w:r>
        <w:rPr>
          <w:rFonts w:hint="eastAsia" w:ascii="宋体" w:hAnsi="宋体" w:eastAsia="宋体" w:cs="宋体"/>
          <w:b w:val="0"/>
          <w:bCs w:val="0"/>
          <w:caps w:val="0"/>
          <w:smallCaps/>
          <w:color w:val="auto"/>
          <w:kern w:val="2"/>
          <w:szCs w:val="21"/>
          <w:lang w:bidi="ar-SA"/>
        </w:rPr>
        <w:fldChar w:fldCharType="end"/>
      </w:r>
    </w:p>
    <w:p>
      <w:pPr>
        <w:pStyle w:val="13"/>
        <w:tabs>
          <w:tab w:val="right" w:leader="dot" w:pos="8505"/>
          <w:tab w:val="clear" w:pos="1290"/>
          <w:tab w:val="clear" w:pos="9232"/>
        </w:tabs>
      </w:pPr>
      <w:r>
        <w:rPr>
          <w:rFonts w:hint="eastAsia" w:ascii="宋体" w:hAnsi="宋体" w:eastAsia="宋体" w:cs="宋体"/>
          <w:b w:val="0"/>
          <w:bCs w:val="0"/>
          <w:caps w:val="0"/>
          <w:smallCaps/>
          <w:color w:val="auto"/>
          <w:kern w:val="2"/>
          <w:szCs w:val="21"/>
          <w:lang w:bidi="ar-SA"/>
        </w:rPr>
        <w:fldChar w:fldCharType="begin"/>
      </w:r>
      <w:r>
        <w:rPr>
          <w:rFonts w:hint="eastAsia" w:ascii="宋体" w:hAnsi="宋体" w:eastAsia="宋体" w:cs="宋体"/>
          <w:b w:val="0"/>
          <w:bCs w:val="0"/>
          <w:caps w:val="0"/>
          <w:smallCaps/>
          <w:color w:val="auto"/>
          <w:kern w:val="2"/>
          <w:szCs w:val="21"/>
          <w:lang w:bidi="ar-SA"/>
        </w:rPr>
        <w:instrText xml:space="preserve"> HYPERLINK \l _Toc6574 </w:instrText>
      </w:r>
      <w:r>
        <w:rPr>
          <w:rFonts w:hint="eastAsia" w:ascii="宋体" w:hAnsi="宋体" w:eastAsia="宋体" w:cs="宋体"/>
          <w:b w:val="0"/>
          <w:bCs w:val="0"/>
          <w:caps w:val="0"/>
          <w:smallCaps/>
          <w:color w:val="auto"/>
          <w:kern w:val="2"/>
          <w:szCs w:val="21"/>
          <w:lang w:bidi="ar-SA"/>
        </w:rPr>
        <w:fldChar w:fldCharType="separate"/>
      </w:r>
      <w:r>
        <w:rPr>
          <w:rFonts w:hint="eastAsia" w:ascii="Times New Roman" w:hAnsi="Times New Roman" w:cs="Times New Roman"/>
        </w:rPr>
        <w:t xml:space="preserve">第七节 </w:t>
      </w:r>
      <w:r>
        <w:rPr>
          <w:rFonts w:ascii="Times New Roman" w:hAnsi="Times New Roman" w:cs="Times New Roman"/>
        </w:rPr>
        <w:t>授予合同</w:t>
      </w:r>
      <w:r>
        <w:tab/>
      </w:r>
      <w:r>
        <w:fldChar w:fldCharType="begin"/>
      </w:r>
      <w:r>
        <w:instrText xml:space="preserve"> PAGEREF _Toc6574 </w:instrText>
      </w:r>
      <w:r>
        <w:fldChar w:fldCharType="separate"/>
      </w:r>
      <w:r>
        <w:t>15</w:t>
      </w:r>
      <w:r>
        <w:fldChar w:fldCharType="end"/>
      </w:r>
      <w:r>
        <w:rPr>
          <w:rFonts w:hint="eastAsia" w:ascii="宋体" w:hAnsi="宋体" w:eastAsia="宋体" w:cs="宋体"/>
          <w:b w:val="0"/>
          <w:bCs w:val="0"/>
          <w:caps w:val="0"/>
          <w:smallCaps/>
          <w:color w:val="auto"/>
          <w:kern w:val="2"/>
          <w:szCs w:val="21"/>
          <w:lang w:bidi="ar-SA"/>
        </w:rPr>
        <w:fldChar w:fldCharType="end"/>
      </w:r>
    </w:p>
    <w:p>
      <w:pPr>
        <w:pStyle w:val="13"/>
        <w:tabs>
          <w:tab w:val="right" w:leader="dot" w:pos="8505"/>
          <w:tab w:val="clear" w:pos="1290"/>
          <w:tab w:val="clear" w:pos="9232"/>
        </w:tabs>
      </w:pPr>
      <w:r>
        <w:rPr>
          <w:rFonts w:hint="eastAsia" w:ascii="宋体" w:hAnsi="宋体" w:eastAsia="宋体" w:cs="宋体"/>
          <w:b w:val="0"/>
          <w:bCs w:val="0"/>
          <w:caps w:val="0"/>
          <w:smallCaps/>
          <w:color w:val="auto"/>
          <w:kern w:val="2"/>
          <w:szCs w:val="21"/>
          <w:lang w:bidi="ar-SA"/>
        </w:rPr>
        <w:fldChar w:fldCharType="begin"/>
      </w:r>
      <w:r>
        <w:rPr>
          <w:rFonts w:hint="eastAsia" w:ascii="宋体" w:hAnsi="宋体" w:eastAsia="宋体" w:cs="宋体"/>
          <w:b w:val="0"/>
          <w:bCs w:val="0"/>
          <w:caps w:val="0"/>
          <w:smallCaps/>
          <w:color w:val="auto"/>
          <w:kern w:val="2"/>
          <w:szCs w:val="21"/>
          <w:lang w:bidi="ar-SA"/>
        </w:rPr>
        <w:instrText xml:space="preserve"> HYPERLINK \l _Toc6908 </w:instrText>
      </w:r>
      <w:r>
        <w:rPr>
          <w:rFonts w:hint="eastAsia" w:ascii="宋体" w:hAnsi="宋体" w:eastAsia="宋体" w:cs="宋体"/>
          <w:b w:val="0"/>
          <w:bCs w:val="0"/>
          <w:caps w:val="0"/>
          <w:smallCaps/>
          <w:color w:val="auto"/>
          <w:kern w:val="2"/>
          <w:szCs w:val="21"/>
          <w:lang w:bidi="ar-SA"/>
        </w:rPr>
        <w:fldChar w:fldCharType="separate"/>
      </w:r>
      <w:r>
        <w:rPr>
          <w:rFonts w:hint="eastAsia" w:ascii="Times New Roman" w:hAnsi="Times New Roman" w:cs="Times New Roman"/>
        </w:rPr>
        <w:t xml:space="preserve">第八节 </w:t>
      </w:r>
      <w:r>
        <w:rPr>
          <w:rFonts w:ascii="Times New Roman" w:hAnsi="Times New Roman" w:cs="Times New Roman"/>
        </w:rPr>
        <w:t>纪律和监督</w:t>
      </w:r>
      <w:r>
        <w:tab/>
      </w:r>
      <w:r>
        <w:fldChar w:fldCharType="begin"/>
      </w:r>
      <w:r>
        <w:instrText xml:space="preserve"> PAGEREF _Toc6908 </w:instrText>
      </w:r>
      <w:r>
        <w:fldChar w:fldCharType="separate"/>
      </w:r>
      <w:r>
        <w:t>16</w:t>
      </w:r>
      <w:r>
        <w:fldChar w:fldCharType="end"/>
      </w:r>
      <w:r>
        <w:rPr>
          <w:rFonts w:hint="eastAsia" w:ascii="宋体" w:hAnsi="宋体" w:eastAsia="宋体" w:cs="宋体"/>
          <w:b w:val="0"/>
          <w:bCs w:val="0"/>
          <w:caps w:val="0"/>
          <w:smallCaps/>
          <w:color w:val="auto"/>
          <w:kern w:val="2"/>
          <w:szCs w:val="21"/>
          <w:lang w:bidi="ar-SA"/>
        </w:rPr>
        <w:fldChar w:fldCharType="end"/>
      </w:r>
    </w:p>
    <w:p>
      <w:pPr>
        <w:pStyle w:val="11"/>
        <w:tabs>
          <w:tab w:val="right" w:leader="dot" w:pos="8505"/>
          <w:tab w:val="clear" w:pos="9232"/>
        </w:tabs>
      </w:pPr>
      <w:r>
        <w:rPr>
          <w:rFonts w:hint="eastAsia" w:ascii="宋体" w:hAnsi="宋体" w:eastAsia="宋体" w:cs="宋体"/>
          <w:b w:val="0"/>
          <w:bCs w:val="0"/>
          <w:caps w:val="0"/>
          <w:smallCaps/>
          <w:color w:val="auto"/>
          <w:kern w:val="2"/>
          <w:szCs w:val="21"/>
          <w:lang w:bidi="ar-SA"/>
        </w:rPr>
        <w:fldChar w:fldCharType="begin"/>
      </w:r>
      <w:r>
        <w:rPr>
          <w:rFonts w:hint="eastAsia" w:ascii="宋体" w:hAnsi="宋体" w:eastAsia="宋体" w:cs="宋体"/>
          <w:b w:val="0"/>
          <w:bCs w:val="0"/>
          <w:caps w:val="0"/>
          <w:smallCaps/>
          <w:color w:val="auto"/>
          <w:kern w:val="2"/>
          <w:szCs w:val="21"/>
          <w:lang w:bidi="ar-SA"/>
        </w:rPr>
        <w:instrText xml:space="preserve"> HYPERLINK \l _Toc21067 </w:instrText>
      </w:r>
      <w:r>
        <w:rPr>
          <w:rFonts w:hint="eastAsia" w:ascii="宋体" w:hAnsi="宋体" w:eastAsia="宋体" w:cs="宋体"/>
          <w:b w:val="0"/>
          <w:bCs w:val="0"/>
          <w:caps w:val="0"/>
          <w:smallCaps/>
          <w:color w:val="auto"/>
          <w:kern w:val="2"/>
          <w:szCs w:val="21"/>
          <w:lang w:bidi="ar-SA"/>
        </w:rPr>
        <w:fldChar w:fldCharType="separate"/>
      </w:r>
      <w:r>
        <w:rPr>
          <w:rFonts w:ascii="Times New Roman" w:hAnsi="Times New Roman"/>
        </w:rPr>
        <w:t>第</w:t>
      </w:r>
      <w:r>
        <w:rPr>
          <w:rFonts w:hint="eastAsia" w:ascii="Times New Roman" w:hAnsi="Times New Roman"/>
          <w:lang w:eastAsia="zh-CN"/>
        </w:rPr>
        <w:t>三</w:t>
      </w:r>
      <w:r>
        <w:rPr>
          <w:rFonts w:ascii="Times New Roman" w:hAnsi="Times New Roman"/>
        </w:rPr>
        <w:t>章 合同条款</w:t>
      </w:r>
      <w:r>
        <w:tab/>
      </w:r>
      <w:r>
        <w:rPr>
          <w:rFonts w:hint="eastAsia"/>
          <w:lang w:val="en-US" w:eastAsia="zh-CN"/>
        </w:rPr>
        <w:t>1</w:t>
      </w:r>
      <w:r>
        <w:rPr>
          <w:rFonts w:hint="eastAsia" w:ascii="宋体" w:hAnsi="宋体" w:eastAsia="宋体" w:cs="宋体"/>
          <w:b w:val="0"/>
          <w:bCs w:val="0"/>
          <w:caps w:val="0"/>
          <w:smallCaps/>
          <w:color w:val="auto"/>
          <w:kern w:val="2"/>
          <w:szCs w:val="21"/>
          <w:lang w:bidi="ar-SA"/>
        </w:rPr>
        <w:fldChar w:fldCharType="end"/>
      </w:r>
      <w:r>
        <w:rPr>
          <w:rFonts w:hint="eastAsia" w:cs="宋体"/>
          <w:b w:val="0"/>
          <w:bCs w:val="0"/>
          <w:caps w:val="0"/>
          <w:smallCaps/>
          <w:color w:val="auto"/>
          <w:kern w:val="2"/>
          <w:szCs w:val="21"/>
          <w:lang w:val="en-US" w:eastAsia="zh-CN" w:bidi="ar-SA"/>
        </w:rPr>
        <w:t>7</w:t>
      </w:r>
    </w:p>
    <w:p>
      <w:pPr>
        <w:pStyle w:val="11"/>
        <w:tabs>
          <w:tab w:val="right" w:leader="dot" w:pos="8505"/>
          <w:tab w:val="clear" w:pos="9232"/>
        </w:tabs>
      </w:pPr>
      <w:r>
        <w:rPr>
          <w:rFonts w:hint="eastAsia" w:ascii="宋体" w:hAnsi="宋体" w:eastAsia="宋体" w:cs="宋体"/>
          <w:b w:val="0"/>
          <w:bCs w:val="0"/>
          <w:caps w:val="0"/>
          <w:smallCaps/>
          <w:color w:val="auto"/>
          <w:kern w:val="2"/>
          <w:szCs w:val="21"/>
          <w:lang w:bidi="ar-SA"/>
        </w:rPr>
        <w:fldChar w:fldCharType="begin"/>
      </w:r>
      <w:r>
        <w:rPr>
          <w:rFonts w:hint="eastAsia" w:ascii="宋体" w:hAnsi="宋体" w:eastAsia="宋体" w:cs="宋体"/>
          <w:b w:val="0"/>
          <w:bCs w:val="0"/>
          <w:caps w:val="0"/>
          <w:smallCaps/>
          <w:color w:val="auto"/>
          <w:kern w:val="2"/>
          <w:szCs w:val="21"/>
          <w:lang w:bidi="ar-SA"/>
        </w:rPr>
        <w:instrText xml:space="preserve"> HYPERLINK \l _Toc26303 </w:instrText>
      </w:r>
      <w:r>
        <w:rPr>
          <w:rFonts w:hint="eastAsia" w:ascii="宋体" w:hAnsi="宋体" w:eastAsia="宋体" w:cs="宋体"/>
          <w:b w:val="0"/>
          <w:bCs w:val="0"/>
          <w:caps w:val="0"/>
          <w:smallCaps/>
          <w:color w:val="auto"/>
          <w:kern w:val="2"/>
          <w:szCs w:val="21"/>
          <w:lang w:bidi="ar-SA"/>
        </w:rPr>
        <w:fldChar w:fldCharType="separate"/>
      </w:r>
      <w:r>
        <w:rPr>
          <w:rFonts w:ascii="Times New Roman" w:hAnsi="Times New Roman"/>
        </w:rPr>
        <w:t>第四章 评标办法</w:t>
      </w:r>
      <w:r>
        <w:tab/>
      </w:r>
      <w:r>
        <w:rPr>
          <w:rFonts w:hint="eastAsia"/>
          <w:lang w:val="en-US" w:eastAsia="zh-CN"/>
        </w:rPr>
        <w:t>1</w:t>
      </w:r>
      <w:r>
        <w:rPr>
          <w:rFonts w:hint="eastAsia" w:ascii="宋体" w:hAnsi="宋体" w:eastAsia="宋体" w:cs="宋体"/>
          <w:b w:val="0"/>
          <w:bCs w:val="0"/>
          <w:caps w:val="0"/>
          <w:smallCaps/>
          <w:color w:val="auto"/>
          <w:kern w:val="2"/>
          <w:szCs w:val="21"/>
          <w:lang w:bidi="ar-SA"/>
        </w:rPr>
        <w:fldChar w:fldCharType="end"/>
      </w:r>
      <w:r>
        <w:rPr>
          <w:rFonts w:hint="eastAsia" w:cs="宋体"/>
          <w:b w:val="0"/>
          <w:bCs w:val="0"/>
          <w:caps w:val="0"/>
          <w:smallCaps/>
          <w:color w:val="auto"/>
          <w:kern w:val="2"/>
          <w:szCs w:val="21"/>
          <w:lang w:val="en-US" w:eastAsia="zh-CN" w:bidi="ar-SA"/>
        </w:rPr>
        <w:t>8</w:t>
      </w:r>
    </w:p>
    <w:p>
      <w:pPr>
        <w:pStyle w:val="11"/>
        <w:tabs>
          <w:tab w:val="right" w:leader="dot" w:pos="8505"/>
          <w:tab w:val="clear" w:pos="9232"/>
        </w:tabs>
      </w:pPr>
      <w:r>
        <w:rPr>
          <w:rFonts w:hint="eastAsia" w:ascii="宋体" w:hAnsi="宋体" w:eastAsia="宋体" w:cs="宋体"/>
          <w:b w:val="0"/>
          <w:bCs w:val="0"/>
          <w:caps w:val="0"/>
          <w:smallCaps/>
          <w:color w:val="auto"/>
          <w:kern w:val="2"/>
          <w:szCs w:val="21"/>
          <w:lang w:bidi="ar-SA"/>
        </w:rPr>
        <w:fldChar w:fldCharType="begin"/>
      </w:r>
      <w:r>
        <w:rPr>
          <w:rFonts w:hint="eastAsia" w:ascii="宋体" w:hAnsi="宋体" w:eastAsia="宋体" w:cs="宋体"/>
          <w:b w:val="0"/>
          <w:bCs w:val="0"/>
          <w:caps w:val="0"/>
          <w:smallCaps/>
          <w:color w:val="auto"/>
          <w:kern w:val="2"/>
          <w:szCs w:val="21"/>
          <w:lang w:bidi="ar-SA"/>
        </w:rPr>
        <w:instrText xml:space="preserve"> HYPERLINK \l _Toc3067 </w:instrText>
      </w:r>
      <w:r>
        <w:rPr>
          <w:rFonts w:hint="eastAsia" w:ascii="宋体" w:hAnsi="宋体" w:eastAsia="宋体" w:cs="宋体"/>
          <w:b w:val="0"/>
          <w:bCs w:val="0"/>
          <w:caps w:val="0"/>
          <w:smallCaps/>
          <w:color w:val="auto"/>
          <w:kern w:val="2"/>
          <w:szCs w:val="21"/>
          <w:lang w:bidi="ar-SA"/>
        </w:rPr>
        <w:fldChar w:fldCharType="separate"/>
      </w:r>
      <w:r>
        <w:rPr>
          <w:rFonts w:ascii="Times New Roman" w:hAnsi="Times New Roman" w:cs="Times New Roman"/>
          <w:b/>
          <w:bCs/>
          <w:szCs w:val="21"/>
        </w:rPr>
        <w:t>附件一</w:t>
      </w:r>
      <w:r>
        <w:rPr>
          <w:rFonts w:hint="eastAsia" w:ascii="Times New Roman" w:hAnsi="Times New Roman" w:cs="Times New Roman"/>
          <w:b/>
          <w:bCs/>
          <w:szCs w:val="21"/>
          <w:lang w:val="en-US" w:eastAsia="zh-CN"/>
        </w:rPr>
        <w:t>~</w:t>
      </w:r>
      <w:r>
        <w:rPr>
          <w:rFonts w:hint="eastAsia" w:ascii="宋体" w:hAnsi="宋体" w:eastAsia="宋体" w:cs="宋体"/>
          <w:b w:val="0"/>
          <w:bCs w:val="0"/>
          <w:caps w:val="0"/>
          <w:smallCaps/>
          <w:color w:val="auto"/>
          <w:kern w:val="2"/>
          <w:szCs w:val="21"/>
          <w:lang w:bidi="ar-SA"/>
        </w:rPr>
        <w:fldChar w:fldCharType="end"/>
      </w:r>
      <w:r>
        <w:rPr>
          <w:rFonts w:hint="eastAsia" w:ascii="Times New Roman" w:hAnsi="Times New Roman" w:cs="Times New Roman"/>
          <w:b/>
          <w:bCs/>
          <w:szCs w:val="21"/>
          <w:lang w:eastAsia="zh-CN"/>
        </w:rPr>
        <w:t>附件</w:t>
      </w:r>
      <w:r>
        <w:rPr>
          <w:rFonts w:hint="eastAsia" w:ascii="Times New Roman" w:hAnsi="Times New Roman" w:cs="Times New Roman"/>
          <w:b/>
          <w:bCs/>
          <w:szCs w:val="21"/>
          <w:lang w:val="en-US" w:eastAsia="zh-CN"/>
        </w:rPr>
        <w:t>十一</w:t>
      </w:r>
    </w:p>
    <w:p>
      <w:pPr>
        <w:pStyle w:val="11"/>
        <w:tabs>
          <w:tab w:val="right" w:leader="dot" w:pos="8505"/>
          <w:tab w:val="clear" w:pos="9232"/>
        </w:tabs>
      </w:pPr>
      <w:r>
        <w:rPr>
          <w:rFonts w:hint="eastAsia" w:ascii="宋体" w:hAnsi="宋体" w:eastAsia="宋体" w:cs="宋体"/>
          <w:b w:val="0"/>
          <w:bCs w:val="0"/>
          <w:caps w:val="0"/>
          <w:smallCaps/>
          <w:color w:val="auto"/>
          <w:kern w:val="2"/>
          <w:szCs w:val="21"/>
          <w:lang w:bidi="ar-SA"/>
        </w:rPr>
        <w:fldChar w:fldCharType="begin"/>
      </w:r>
      <w:r>
        <w:rPr>
          <w:rFonts w:hint="eastAsia" w:ascii="宋体" w:hAnsi="宋体" w:eastAsia="宋体" w:cs="宋体"/>
          <w:b w:val="0"/>
          <w:bCs w:val="0"/>
          <w:caps w:val="0"/>
          <w:smallCaps/>
          <w:color w:val="auto"/>
          <w:kern w:val="2"/>
          <w:szCs w:val="21"/>
          <w:lang w:bidi="ar-SA"/>
        </w:rPr>
        <w:instrText xml:space="preserve"> HYPERLINK \l _Toc13155 </w:instrText>
      </w:r>
      <w:r>
        <w:rPr>
          <w:rFonts w:hint="eastAsia" w:ascii="宋体" w:hAnsi="宋体" w:eastAsia="宋体" w:cs="宋体"/>
          <w:b w:val="0"/>
          <w:bCs w:val="0"/>
          <w:caps w:val="0"/>
          <w:smallCaps/>
          <w:color w:val="auto"/>
          <w:kern w:val="2"/>
          <w:szCs w:val="21"/>
          <w:lang w:bidi="ar-SA"/>
        </w:rPr>
        <w:fldChar w:fldCharType="separate"/>
      </w:r>
      <w:r>
        <w:rPr>
          <w:rFonts w:hint="eastAsia" w:ascii="Times New Roman" w:hAnsi="Times New Roman" w:cs="Times New Roman"/>
        </w:rPr>
        <w:t>其他附件材料</w:t>
      </w:r>
      <w:r>
        <w:tab/>
      </w:r>
      <w:r>
        <w:rPr>
          <w:rFonts w:hint="eastAsia"/>
          <w:lang w:val="en-US" w:eastAsia="zh-CN"/>
        </w:rPr>
        <w:t>4</w:t>
      </w:r>
      <w:r>
        <w:rPr>
          <w:rFonts w:hint="eastAsia" w:ascii="宋体" w:hAnsi="宋体" w:eastAsia="宋体" w:cs="宋体"/>
          <w:b w:val="0"/>
          <w:bCs w:val="0"/>
          <w:caps w:val="0"/>
          <w:smallCaps/>
          <w:color w:val="auto"/>
          <w:kern w:val="2"/>
          <w:szCs w:val="21"/>
          <w:lang w:bidi="ar-SA"/>
        </w:rPr>
        <w:fldChar w:fldCharType="end"/>
      </w:r>
      <w:r>
        <w:rPr>
          <w:rFonts w:hint="eastAsia" w:cs="宋体"/>
          <w:b w:val="0"/>
          <w:bCs w:val="0"/>
          <w:caps w:val="0"/>
          <w:smallCaps/>
          <w:color w:val="auto"/>
          <w:kern w:val="2"/>
          <w:szCs w:val="21"/>
          <w:lang w:val="en-US" w:eastAsia="zh-CN" w:bidi="ar-SA"/>
        </w:rPr>
        <w:t>3</w:t>
      </w:r>
    </w:p>
    <w:p>
      <w:pPr>
        <w:pStyle w:val="11"/>
        <w:tabs>
          <w:tab w:val="right" w:leader="dot" w:pos="8505"/>
          <w:tab w:val="clear" w:pos="9232"/>
        </w:tabs>
      </w:pPr>
      <w:r>
        <w:rPr>
          <w:rFonts w:hint="eastAsia" w:ascii="宋体" w:hAnsi="宋体" w:eastAsia="宋体" w:cs="宋体"/>
          <w:b w:val="0"/>
          <w:bCs w:val="0"/>
          <w:caps w:val="0"/>
          <w:smallCaps/>
          <w:color w:val="auto"/>
          <w:kern w:val="2"/>
          <w:szCs w:val="21"/>
          <w:lang w:bidi="ar-SA"/>
        </w:rPr>
        <w:fldChar w:fldCharType="begin"/>
      </w:r>
      <w:r>
        <w:rPr>
          <w:rFonts w:hint="eastAsia" w:ascii="宋体" w:hAnsi="宋体" w:eastAsia="宋体" w:cs="宋体"/>
          <w:b w:val="0"/>
          <w:bCs w:val="0"/>
          <w:caps w:val="0"/>
          <w:smallCaps/>
          <w:color w:val="auto"/>
          <w:kern w:val="2"/>
          <w:szCs w:val="21"/>
          <w:lang w:bidi="ar-SA"/>
        </w:rPr>
        <w:instrText xml:space="preserve"> HYPERLINK \l _Toc3325 </w:instrText>
      </w:r>
      <w:r>
        <w:rPr>
          <w:rFonts w:hint="eastAsia" w:ascii="宋体" w:hAnsi="宋体" w:eastAsia="宋体" w:cs="宋体"/>
          <w:b w:val="0"/>
          <w:bCs w:val="0"/>
          <w:caps w:val="0"/>
          <w:smallCaps/>
          <w:color w:val="auto"/>
          <w:kern w:val="2"/>
          <w:szCs w:val="21"/>
          <w:lang w:bidi="ar-SA"/>
        </w:rPr>
        <w:fldChar w:fldCharType="separate"/>
      </w:r>
      <w:r>
        <w:rPr>
          <w:rFonts w:hint="eastAsia" w:ascii="Times New Roman" w:hAnsi="Times New Roman" w:cs="Times New Roman"/>
        </w:rPr>
        <w:t>1、招标人预算书</w:t>
      </w:r>
      <w:r>
        <w:tab/>
      </w:r>
      <w:r>
        <w:rPr>
          <w:rFonts w:hint="eastAsia"/>
          <w:lang w:val="en-US" w:eastAsia="zh-CN"/>
        </w:rPr>
        <w:t>4</w:t>
      </w:r>
      <w:r>
        <w:rPr>
          <w:rFonts w:hint="eastAsia" w:ascii="宋体" w:hAnsi="宋体" w:eastAsia="宋体" w:cs="宋体"/>
          <w:b w:val="0"/>
          <w:bCs w:val="0"/>
          <w:caps w:val="0"/>
          <w:smallCaps/>
          <w:color w:val="auto"/>
          <w:kern w:val="2"/>
          <w:szCs w:val="21"/>
          <w:lang w:bidi="ar-SA"/>
        </w:rPr>
        <w:fldChar w:fldCharType="end"/>
      </w:r>
      <w:r>
        <w:rPr>
          <w:rFonts w:hint="eastAsia" w:cs="宋体"/>
          <w:b w:val="0"/>
          <w:bCs w:val="0"/>
          <w:caps w:val="0"/>
          <w:smallCaps/>
          <w:color w:val="auto"/>
          <w:kern w:val="2"/>
          <w:szCs w:val="21"/>
          <w:lang w:val="en-US" w:eastAsia="zh-CN" w:bidi="ar-SA"/>
        </w:rPr>
        <w:t>3</w:t>
      </w:r>
    </w:p>
    <w:p>
      <w:pPr>
        <w:pStyle w:val="11"/>
        <w:tabs>
          <w:tab w:val="right" w:leader="dot" w:pos="8505"/>
          <w:tab w:val="clear" w:pos="9232"/>
        </w:tabs>
      </w:pPr>
      <w:r>
        <w:rPr>
          <w:rFonts w:hint="eastAsia" w:ascii="宋体" w:hAnsi="宋体" w:eastAsia="宋体" w:cs="宋体"/>
          <w:b w:val="0"/>
          <w:bCs w:val="0"/>
          <w:caps w:val="0"/>
          <w:smallCaps/>
          <w:color w:val="auto"/>
          <w:kern w:val="2"/>
          <w:szCs w:val="21"/>
          <w:lang w:bidi="ar-SA"/>
        </w:rPr>
        <w:fldChar w:fldCharType="begin"/>
      </w:r>
      <w:r>
        <w:rPr>
          <w:rFonts w:hint="eastAsia" w:ascii="宋体" w:hAnsi="宋体" w:eastAsia="宋体" w:cs="宋体"/>
          <w:b w:val="0"/>
          <w:bCs w:val="0"/>
          <w:caps w:val="0"/>
          <w:smallCaps/>
          <w:color w:val="auto"/>
          <w:kern w:val="2"/>
          <w:szCs w:val="21"/>
          <w:lang w:bidi="ar-SA"/>
        </w:rPr>
        <w:instrText xml:space="preserve"> HYPERLINK \l _Toc19435 </w:instrText>
      </w:r>
      <w:r>
        <w:rPr>
          <w:rFonts w:hint="eastAsia" w:ascii="宋体" w:hAnsi="宋体" w:eastAsia="宋体" w:cs="宋体"/>
          <w:b w:val="0"/>
          <w:bCs w:val="0"/>
          <w:caps w:val="0"/>
          <w:smallCaps/>
          <w:color w:val="auto"/>
          <w:kern w:val="2"/>
          <w:szCs w:val="21"/>
          <w:lang w:bidi="ar-SA"/>
        </w:rPr>
        <w:fldChar w:fldCharType="separate"/>
      </w:r>
      <w:r>
        <w:rPr>
          <w:rFonts w:hint="eastAsia" w:ascii="Times New Roman" w:hAnsi="Times New Roman" w:cs="Times New Roman"/>
        </w:rPr>
        <w:t>2、</w:t>
      </w:r>
      <w:r>
        <w:rPr>
          <w:rFonts w:hint="eastAsia" w:ascii="Times New Roman" w:hAnsi="Times New Roman" w:cs="Times New Roman"/>
          <w:lang w:val="en-US" w:eastAsia="zh-CN"/>
        </w:rPr>
        <w:t>绿化养护范图表</w:t>
      </w:r>
      <w:r>
        <w:tab/>
      </w:r>
      <w:r>
        <w:rPr>
          <w:rFonts w:hint="eastAsia"/>
          <w:lang w:val="en-US" w:eastAsia="zh-CN"/>
        </w:rPr>
        <w:t>4</w:t>
      </w:r>
      <w:r>
        <w:rPr>
          <w:rFonts w:hint="eastAsia" w:ascii="宋体" w:hAnsi="宋体" w:eastAsia="宋体" w:cs="宋体"/>
          <w:b w:val="0"/>
          <w:bCs w:val="0"/>
          <w:caps w:val="0"/>
          <w:smallCaps/>
          <w:color w:val="auto"/>
          <w:kern w:val="2"/>
          <w:szCs w:val="21"/>
          <w:lang w:bidi="ar-SA"/>
        </w:rPr>
        <w:fldChar w:fldCharType="end"/>
      </w:r>
      <w:r>
        <w:rPr>
          <w:rFonts w:hint="eastAsia" w:cs="宋体"/>
          <w:b w:val="0"/>
          <w:bCs w:val="0"/>
          <w:caps w:val="0"/>
          <w:smallCaps/>
          <w:color w:val="auto"/>
          <w:kern w:val="2"/>
          <w:szCs w:val="21"/>
          <w:lang w:val="en-US" w:eastAsia="zh-CN" w:bidi="ar-SA"/>
        </w:rPr>
        <w:t>3</w:t>
      </w:r>
    </w:p>
    <w:p>
      <w:pPr>
        <w:pStyle w:val="11"/>
        <w:rPr>
          <w:rFonts w:hint="eastAsia" w:ascii="宋体" w:hAnsi="宋体" w:eastAsia="宋体" w:cs="宋体"/>
          <w:b w:val="0"/>
          <w:bCs w:val="0"/>
          <w:caps w:val="0"/>
          <w:color w:val="auto"/>
          <w:sz w:val="21"/>
          <w:szCs w:val="21"/>
        </w:rPr>
      </w:pPr>
      <w:r>
        <w:rPr>
          <w:rFonts w:hint="eastAsia" w:ascii="宋体" w:hAnsi="宋体" w:eastAsia="宋体" w:cs="宋体"/>
          <w:b w:val="0"/>
          <w:bCs w:val="0"/>
          <w:caps w:val="0"/>
          <w:smallCaps/>
          <w:color w:val="auto"/>
          <w:kern w:val="2"/>
          <w:sz w:val="21"/>
          <w:szCs w:val="21"/>
          <w:lang w:bidi="ar-SA"/>
        </w:rPr>
        <w:fldChar w:fldCharType="end"/>
      </w:r>
      <w:r>
        <w:rPr>
          <w:rFonts w:hint="eastAsia" w:ascii="宋体" w:hAnsi="宋体" w:eastAsia="宋体" w:cs="宋体"/>
          <w:b w:val="0"/>
          <w:bCs w:val="0"/>
          <w:caps w:val="0"/>
          <w:color w:val="auto"/>
          <w:sz w:val="21"/>
          <w:szCs w:val="21"/>
        </w:rPr>
        <w:t xml:space="preserve"> </w:t>
      </w:r>
    </w:p>
    <w:p>
      <w:pPr>
        <w:spacing w:line="400" w:lineRule="exact"/>
        <w:ind w:firstLine="1470" w:firstLineChars="700"/>
        <w:rPr>
          <w:rFonts w:hint="eastAsia" w:ascii="宋体" w:hAnsi="宋体" w:eastAsia="宋体" w:cs="宋体"/>
          <w:bCs/>
          <w:smallCaps/>
          <w:sz w:val="21"/>
          <w:szCs w:val="21"/>
        </w:rPr>
        <w:sectPr>
          <w:headerReference r:id="rId3" w:type="default"/>
          <w:footerReference r:id="rId4" w:type="default"/>
          <w:pgSz w:w="11906" w:h="16838"/>
          <w:pgMar w:top="1440" w:right="1800" w:bottom="1440" w:left="1800" w:header="851" w:footer="992" w:gutter="0"/>
          <w:cols w:space="720" w:num="1"/>
          <w:docGrid w:type="lines" w:linePitch="312" w:charSpace="0"/>
        </w:sectPr>
      </w:pPr>
      <w:r>
        <w:rPr>
          <w:rFonts w:hint="eastAsia" w:ascii="宋体" w:hAnsi="宋体" w:eastAsia="宋体" w:cs="宋体"/>
          <w:bCs/>
          <w:smallCaps/>
          <w:sz w:val="21"/>
          <w:szCs w:val="21"/>
        </w:rPr>
        <w:t xml:space="preserve"> </w:t>
      </w:r>
    </w:p>
    <w:p>
      <w:pPr>
        <w:pStyle w:val="2"/>
        <w:rPr>
          <w:rFonts w:ascii="Times New Roman" w:hAnsi="Times New Roman"/>
        </w:rPr>
      </w:pPr>
      <w:bookmarkStart w:id="0" w:name="_Toc23449"/>
      <w:bookmarkStart w:id="1" w:name="_Toc3389"/>
      <w:r>
        <w:rPr>
          <w:rFonts w:ascii="Times New Roman" w:hAnsi="Times New Roman"/>
        </w:rPr>
        <w:t>第一章</w:t>
      </w:r>
      <w:r>
        <w:rPr>
          <w:rFonts w:hint="eastAsia" w:ascii="Times New Roman" w:hAnsi="Times New Roman"/>
        </w:rPr>
        <w:t xml:space="preserve">  </w:t>
      </w:r>
      <w:r>
        <w:rPr>
          <w:rFonts w:ascii="Times New Roman" w:hAnsi="Times New Roman"/>
        </w:rPr>
        <w:t>招标公告</w:t>
      </w:r>
      <w:bookmarkEnd w:id="0"/>
      <w:bookmarkEnd w:id="1"/>
    </w:p>
    <w:p>
      <w:pPr>
        <w:pStyle w:val="21"/>
        <w:spacing w:before="120" w:beforeLines="50" w:after="120" w:afterLines="50" w:line="440" w:lineRule="exact"/>
        <w:rPr>
          <w:rFonts w:ascii="Times New Roman" w:hAnsi="Times New Roman"/>
          <w:sz w:val="21"/>
          <w:szCs w:val="21"/>
        </w:rPr>
      </w:pPr>
      <w:bookmarkStart w:id="2" w:name="_Toc6317"/>
      <w:bookmarkStart w:id="3" w:name="_Toc10928"/>
      <w:bookmarkStart w:id="4" w:name="_Toc7706"/>
      <w:r>
        <w:rPr>
          <w:rFonts w:ascii="Times New Roman" w:hAnsi="Times New Roman"/>
          <w:sz w:val="21"/>
          <w:szCs w:val="21"/>
        </w:rPr>
        <w:t>1.招标条件</w:t>
      </w:r>
      <w:bookmarkEnd w:id="2"/>
      <w:bookmarkEnd w:id="3"/>
      <w:bookmarkEnd w:id="4"/>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ascii="Times New Roman"/>
          <w:color w:val="auto"/>
          <w:sz w:val="21"/>
          <w:szCs w:val="21"/>
        </w:rPr>
      </w:pPr>
      <w:r>
        <w:rPr>
          <w:rFonts w:hint="eastAsia" w:ascii="Times New Roman"/>
          <w:color w:val="auto"/>
          <w:sz w:val="21"/>
          <w:szCs w:val="21"/>
          <w:lang w:val="en-US" w:eastAsia="zh-CN"/>
        </w:rPr>
        <w:t xml:space="preserve">   </w:t>
      </w:r>
      <w:r>
        <w:rPr>
          <w:rFonts w:hint="eastAsia"/>
          <w:szCs w:val="21"/>
          <w:lang w:eastAsia="zh-CN"/>
        </w:rPr>
        <w:t>本招标项目玉环海洋经济转型升级示范区2018年度绿化养护工程 （茶山路、永清路、靖海路等）已由相关部门批准建设，招标人（项目业主）为玉环海洋经济开发投资有限公司，建设资金来源自筹，委托建经投资咨询有限公司进行招标代理。项目已具备招标条件，现对本项目的绿化养护进行公开招标。</w:t>
      </w:r>
    </w:p>
    <w:p>
      <w:pPr>
        <w:pStyle w:val="21"/>
        <w:spacing w:before="120" w:beforeLines="50" w:after="120" w:afterLines="50" w:line="440" w:lineRule="exact"/>
        <w:rPr>
          <w:rFonts w:ascii="Times New Roman" w:hAnsi="Times New Roman"/>
          <w:sz w:val="21"/>
          <w:szCs w:val="21"/>
        </w:rPr>
      </w:pPr>
      <w:bookmarkStart w:id="5" w:name="_Toc10899"/>
      <w:bookmarkStart w:id="6" w:name="_Toc16871"/>
      <w:bookmarkStart w:id="7" w:name="_Toc895"/>
      <w:r>
        <w:rPr>
          <w:rFonts w:ascii="Times New Roman" w:hAnsi="Times New Roman"/>
          <w:sz w:val="21"/>
          <w:szCs w:val="21"/>
        </w:rPr>
        <w:t>2.项目概况与招标范围</w:t>
      </w:r>
      <w:bookmarkEnd w:id="5"/>
      <w:bookmarkEnd w:id="6"/>
      <w:bookmarkEnd w:id="7"/>
    </w:p>
    <w:p>
      <w:pPr>
        <w:pStyle w:val="14"/>
        <w:keepNext w:val="0"/>
        <w:keepLines w:val="0"/>
        <w:pageBreakBefore w:val="0"/>
        <w:widowControl/>
        <w:kinsoku/>
        <w:wordWrap/>
        <w:overflowPunct/>
        <w:topLinePunct w:val="0"/>
        <w:bidi w:val="0"/>
        <w:adjustRightInd/>
        <w:snapToGrid/>
        <w:spacing w:before="0" w:beforeAutospacing="0" w:after="0" w:afterAutospacing="0" w:line="360" w:lineRule="auto"/>
        <w:ind w:left="0" w:leftChars="0" w:right="0" w:rightChars="0" w:firstLine="420" w:firstLineChars="200"/>
        <w:outlineLvl w:val="9"/>
        <w:rPr>
          <w:rFonts w:ascii="Times New Roman"/>
          <w:color w:val="auto"/>
          <w:sz w:val="21"/>
          <w:szCs w:val="21"/>
        </w:rPr>
      </w:pPr>
      <w:r>
        <w:rPr>
          <w:rFonts w:ascii="Times New Roman"/>
          <w:color w:val="auto"/>
          <w:sz w:val="21"/>
          <w:szCs w:val="21"/>
        </w:rPr>
        <w:t>2.1  项目概况：</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color w:val="auto"/>
          <w:szCs w:val="21"/>
          <w:lang w:val="en-US" w:eastAsia="zh-CN"/>
        </w:rPr>
      </w:pPr>
      <w:r>
        <w:rPr>
          <w:rFonts w:hint="eastAsia" w:ascii="Times New Roman"/>
          <w:color w:val="auto"/>
          <w:sz w:val="21"/>
          <w:szCs w:val="21"/>
          <w:lang w:val="en-US" w:eastAsia="zh-CN"/>
        </w:rPr>
        <w:t>2.1.</w:t>
      </w:r>
      <w:r>
        <w:rPr>
          <w:rFonts w:hint="eastAsia"/>
          <w:color w:val="auto"/>
          <w:szCs w:val="21"/>
          <w:lang w:val="en-US" w:eastAsia="zh-CN"/>
        </w:rPr>
        <w:t>1  茶山路、靖海路、永清路、扬帆路、岁丰路、时和路、锁澜桥头入口、永清路及茶山路东侧景观绿化带，主要内容为1687株乔木及42185m2（含树池内小苗面积）绿地养护</w:t>
      </w:r>
      <w:r>
        <w:rPr>
          <w:rFonts w:hint="eastAsia"/>
          <w:color w:val="auto"/>
          <w:szCs w:val="21"/>
          <w:lang w:val="zh-CN" w:eastAsia="zh-CN"/>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color w:val="auto"/>
          <w:szCs w:val="21"/>
          <w:lang w:eastAsia="zh-CN"/>
        </w:rPr>
      </w:pPr>
      <w:r>
        <w:rPr>
          <w:rFonts w:hint="eastAsia"/>
          <w:color w:val="auto"/>
          <w:szCs w:val="21"/>
          <w:lang w:eastAsia="zh-CN"/>
        </w:rPr>
        <w:t>2.1.2  本</w:t>
      </w:r>
      <w:r>
        <w:rPr>
          <w:rFonts w:hint="eastAsia"/>
          <w:color w:val="auto"/>
          <w:szCs w:val="21"/>
          <w:lang w:val="en-US" w:eastAsia="zh-CN"/>
        </w:rPr>
        <w:t>项目</w:t>
      </w:r>
      <w:r>
        <w:rPr>
          <w:rFonts w:hint="eastAsia"/>
          <w:color w:val="auto"/>
          <w:szCs w:val="21"/>
          <w:lang w:eastAsia="zh-CN"/>
        </w:rPr>
        <w:t>招标控制</w:t>
      </w:r>
      <w:r>
        <w:rPr>
          <w:rFonts w:hint="eastAsia"/>
          <w:color w:val="auto"/>
          <w:szCs w:val="21"/>
          <w:lang w:val="en-US" w:eastAsia="zh-CN"/>
        </w:rPr>
        <w:t>价：374463元；</w:t>
      </w:r>
    </w:p>
    <w:p>
      <w:pPr>
        <w:pStyle w:val="14"/>
        <w:keepNext w:val="0"/>
        <w:keepLines w:val="0"/>
        <w:pageBreakBefore w:val="0"/>
        <w:widowControl/>
        <w:kinsoku/>
        <w:wordWrap/>
        <w:overflowPunct/>
        <w:topLinePunct w:val="0"/>
        <w:bidi w:val="0"/>
        <w:adjustRightInd/>
        <w:snapToGrid/>
        <w:spacing w:before="0" w:beforeAutospacing="0" w:after="0" w:afterAutospacing="0" w:line="360" w:lineRule="auto"/>
        <w:ind w:left="0" w:leftChars="0" w:right="0" w:rightChars="0" w:firstLine="420" w:firstLineChars="200"/>
        <w:outlineLvl w:val="9"/>
        <w:rPr>
          <w:rFonts w:ascii="Times New Roman"/>
          <w:color w:val="auto"/>
          <w:sz w:val="21"/>
          <w:szCs w:val="21"/>
        </w:rPr>
      </w:pPr>
      <w:r>
        <w:rPr>
          <w:rFonts w:ascii="Times New Roman"/>
          <w:color w:val="auto"/>
          <w:sz w:val="21"/>
          <w:szCs w:val="21"/>
        </w:rPr>
        <w:t>2.2  招标范围：</w:t>
      </w:r>
      <w:r>
        <w:rPr>
          <w:rFonts w:hint="eastAsia" w:ascii="Times New Roman"/>
          <w:color w:val="auto"/>
          <w:sz w:val="21"/>
          <w:szCs w:val="21"/>
          <w:lang w:eastAsia="zh-CN"/>
        </w:rPr>
        <w:t>招标人指定的玉环海洋经济转型升级示范区2018年度绿化养护工程</w:t>
      </w:r>
      <w:r>
        <w:rPr>
          <w:rFonts w:ascii="Times New Roman"/>
          <w:color w:val="auto"/>
          <w:sz w:val="21"/>
          <w:szCs w:val="21"/>
        </w:rPr>
        <w:t>；</w:t>
      </w:r>
    </w:p>
    <w:p>
      <w:pPr>
        <w:pStyle w:val="14"/>
        <w:keepNext w:val="0"/>
        <w:keepLines w:val="0"/>
        <w:pageBreakBefore w:val="0"/>
        <w:widowControl/>
        <w:kinsoku/>
        <w:wordWrap/>
        <w:overflowPunct/>
        <w:topLinePunct w:val="0"/>
        <w:bidi w:val="0"/>
        <w:adjustRightInd/>
        <w:snapToGrid/>
        <w:spacing w:before="0" w:beforeAutospacing="0" w:after="0" w:afterAutospacing="0" w:line="360" w:lineRule="auto"/>
        <w:ind w:left="0" w:leftChars="0" w:right="0" w:rightChars="0" w:firstLine="420" w:firstLineChars="200"/>
        <w:outlineLvl w:val="9"/>
        <w:rPr>
          <w:rFonts w:ascii="Times New Roman"/>
          <w:color w:val="auto"/>
          <w:sz w:val="21"/>
          <w:szCs w:val="21"/>
        </w:rPr>
      </w:pPr>
      <w:r>
        <w:rPr>
          <w:rFonts w:ascii="Times New Roman"/>
          <w:color w:val="auto"/>
          <w:sz w:val="21"/>
          <w:szCs w:val="21"/>
        </w:rPr>
        <w:t>2.3  本次招标分为：一个标段；</w:t>
      </w:r>
    </w:p>
    <w:p>
      <w:pPr>
        <w:pStyle w:val="14"/>
        <w:keepNext w:val="0"/>
        <w:keepLines w:val="0"/>
        <w:pageBreakBefore w:val="0"/>
        <w:widowControl/>
        <w:kinsoku/>
        <w:wordWrap/>
        <w:overflowPunct/>
        <w:topLinePunct w:val="0"/>
        <w:bidi w:val="0"/>
        <w:adjustRightInd/>
        <w:snapToGrid/>
        <w:spacing w:before="0" w:beforeAutospacing="0" w:after="0" w:afterAutospacing="0" w:line="360" w:lineRule="auto"/>
        <w:ind w:left="0" w:leftChars="0" w:right="0" w:rightChars="0" w:firstLine="420" w:firstLineChars="200"/>
        <w:outlineLvl w:val="9"/>
        <w:rPr>
          <w:rFonts w:ascii="Times New Roman"/>
          <w:color w:val="auto"/>
          <w:sz w:val="21"/>
          <w:szCs w:val="21"/>
        </w:rPr>
      </w:pPr>
      <w:r>
        <w:rPr>
          <w:rFonts w:ascii="Times New Roman"/>
          <w:color w:val="auto"/>
          <w:sz w:val="21"/>
          <w:szCs w:val="21"/>
        </w:rPr>
        <w:t xml:space="preserve">2.4  </w:t>
      </w:r>
      <w:r>
        <w:rPr>
          <w:rFonts w:hint="eastAsia" w:ascii="Times New Roman"/>
          <w:color w:val="auto"/>
          <w:sz w:val="21"/>
          <w:szCs w:val="21"/>
          <w:lang w:val="en-US" w:eastAsia="zh-CN"/>
        </w:rPr>
        <w:t>养护期</w:t>
      </w:r>
      <w:r>
        <w:rPr>
          <w:rFonts w:ascii="Times New Roman"/>
          <w:color w:val="auto"/>
          <w:sz w:val="21"/>
          <w:szCs w:val="21"/>
        </w:rPr>
        <w:t>：</w:t>
      </w:r>
      <w:r>
        <w:rPr>
          <w:rFonts w:hint="eastAsia" w:ascii="Times New Roman"/>
          <w:color w:val="auto"/>
          <w:sz w:val="21"/>
          <w:szCs w:val="21"/>
          <w:lang w:val="en-US" w:eastAsia="zh-CN"/>
        </w:rPr>
        <w:t>12个月</w:t>
      </w:r>
      <w:r>
        <w:rPr>
          <w:rFonts w:ascii="Times New Roman"/>
          <w:color w:val="auto"/>
          <w:sz w:val="21"/>
          <w:szCs w:val="21"/>
        </w:rPr>
        <w:t>；</w:t>
      </w:r>
    </w:p>
    <w:p>
      <w:pPr>
        <w:pStyle w:val="14"/>
        <w:keepNext w:val="0"/>
        <w:keepLines w:val="0"/>
        <w:pageBreakBefore w:val="0"/>
        <w:widowControl/>
        <w:kinsoku/>
        <w:wordWrap/>
        <w:overflowPunct/>
        <w:topLinePunct w:val="0"/>
        <w:bidi w:val="0"/>
        <w:adjustRightInd/>
        <w:snapToGrid/>
        <w:spacing w:before="0" w:beforeAutospacing="0" w:after="0" w:afterAutospacing="0" w:line="360" w:lineRule="auto"/>
        <w:ind w:left="0" w:leftChars="0" w:right="0" w:rightChars="0" w:firstLine="420" w:firstLineChars="200"/>
        <w:outlineLvl w:val="9"/>
        <w:rPr>
          <w:rFonts w:ascii="Times New Roman"/>
          <w:color w:val="auto"/>
          <w:sz w:val="21"/>
          <w:szCs w:val="21"/>
        </w:rPr>
      </w:pPr>
      <w:r>
        <w:rPr>
          <w:rFonts w:ascii="Times New Roman"/>
          <w:color w:val="auto"/>
          <w:sz w:val="21"/>
          <w:szCs w:val="21"/>
        </w:rPr>
        <w:t>2.5  质量标准：合格。</w:t>
      </w:r>
    </w:p>
    <w:p>
      <w:pPr>
        <w:pStyle w:val="21"/>
        <w:spacing w:before="120" w:beforeLines="50" w:after="120" w:afterLines="50" w:line="440" w:lineRule="exact"/>
        <w:rPr>
          <w:rFonts w:ascii="Times New Roman" w:hAnsi="Times New Roman"/>
          <w:color w:val="auto"/>
          <w:sz w:val="21"/>
          <w:szCs w:val="21"/>
        </w:rPr>
      </w:pPr>
      <w:bookmarkStart w:id="8" w:name="_Toc4551"/>
      <w:bookmarkStart w:id="9" w:name="_Toc16680"/>
      <w:bookmarkStart w:id="10" w:name="_Toc23009"/>
      <w:r>
        <w:rPr>
          <w:rFonts w:ascii="Times New Roman" w:hAnsi="Times New Roman"/>
          <w:color w:val="auto"/>
          <w:sz w:val="21"/>
          <w:szCs w:val="21"/>
        </w:rPr>
        <w:t>3.投标人资格要求</w:t>
      </w:r>
      <w:bookmarkEnd w:id="8"/>
      <w:bookmarkEnd w:id="9"/>
      <w:bookmarkEnd w:id="10"/>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eastAsia" w:ascii="宋体" w:hAnsi="宋体" w:eastAsia="宋体" w:cs="宋体"/>
          <w:b w:val="0"/>
          <w:i w:val="0"/>
          <w:caps w:val="0"/>
          <w:color w:val="auto"/>
          <w:spacing w:val="0"/>
          <w:sz w:val="18"/>
          <w:szCs w:val="18"/>
          <w:shd w:val="clear" w:color="auto" w:fill="FFFFFF"/>
        </w:rPr>
      </w:pPr>
      <w:r>
        <w:rPr>
          <w:rFonts w:hint="eastAsia" w:ascii="Times New Roman"/>
          <w:color w:val="auto"/>
          <w:sz w:val="21"/>
          <w:szCs w:val="21"/>
        </w:rPr>
        <w:t xml:space="preserve">3.1  </w:t>
      </w:r>
      <w:r>
        <w:rPr>
          <w:rFonts w:hint="eastAsia" w:ascii="宋体" w:hAnsi="宋体"/>
          <w:color w:val="auto"/>
          <w:kern w:val="0"/>
          <w:sz w:val="21"/>
          <w:szCs w:val="21"/>
        </w:rPr>
        <w:t>本次招标要求投标人必须具备下列条件之一：</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eastAsia" w:ascii="Times New Roman" w:hAnsi="宋体" w:eastAsia="宋体" w:cs="Times New Roman"/>
          <w:color w:val="auto"/>
          <w:kern w:val="0"/>
          <w:sz w:val="21"/>
          <w:szCs w:val="21"/>
          <w:lang w:val="en-US" w:eastAsia="zh-CN" w:bidi="ar-SA"/>
        </w:rPr>
      </w:pPr>
      <w:r>
        <w:rPr>
          <w:rFonts w:hint="eastAsia" w:ascii="Times New Roman" w:hAnsi="宋体" w:eastAsia="宋体" w:cs="Times New Roman"/>
          <w:color w:val="auto"/>
          <w:kern w:val="0"/>
          <w:sz w:val="21"/>
          <w:szCs w:val="21"/>
          <w:lang w:val="en-US" w:eastAsia="zh-CN" w:bidi="ar-SA"/>
        </w:rPr>
        <w:t>（1）</w:t>
      </w:r>
      <w:r>
        <w:rPr>
          <w:rFonts w:hint="eastAsia" w:hAnsi="宋体" w:cs="Times New Roman"/>
          <w:color w:val="auto"/>
          <w:kern w:val="0"/>
          <w:sz w:val="21"/>
          <w:szCs w:val="21"/>
          <w:lang w:val="en-US" w:eastAsia="zh-CN" w:bidi="ar-SA"/>
        </w:rPr>
        <w:t>具备独立法人资格，有</w:t>
      </w:r>
      <w:r>
        <w:rPr>
          <w:rFonts w:hint="eastAsia" w:ascii="Times New Roman" w:hAnsi="宋体" w:eastAsia="宋体" w:cs="Times New Roman"/>
          <w:color w:val="auto"/>
          <w:kern w:val="0"/>
          <w:sz w:val="21"/>
          <w:szCs w:val="21"/>
          <w:lang w:val="en-US" w:eastAsia="zh-CN" w:bidi="ar-SA"/>
        </w:rPr>
        <w:t>相应的园林绿化</w:t>
      </w:r>
      <w:r>
        <w:rPr>
          <w:rFonts w:hint="eastAsia" w:hAnsi="宋体" w:cs="Times New Roman"/>
          <w:color w:val="auto"/>
          <w:kern w:val="0"/>
          <w:sz w:val="21"/>
          <w:szCs w:val="21"/>
          <w:lang w:val="en-US" w:eastAsia="zh-CN" w:bidi="ar-SA"/>
        </w:rPr>
        <w:t>服务</w:t>
      </w:r>
      <w:r>
        <w:rPr>
          <w:rFonts w:hint="eastAsia" w:ascii="Times New Roman" w:hAnsi="宋体" w:eastAsia="宋体" w:cs="Times New Roman"/>
          <w:color w:val="auto"/>
          <w:kern w:val="0"/>
          <w:sz w:val="21"/>
          <w:szCs w:val="21"/>
          <w:lang w:val="en-US" w:eastAsia="zh-CN" w:bidi="ar-SA"/>
        </w:rPr>
        <w:t>等类似经营范围的企业。</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eastAsia" w:ascii="Times New Roman" w:hAnsi="宋体" w:eastAsia="宋体" w:cs="Times New Roman"/>
          <w:color w:val="auto"/>
          <w:kern w:val="0"/>
          <w:sz w:val="21"/>
          <w:szCs w:val="21"/>
          <w:lang w:val="en-US" w:eastAsia="zh-CN" w:bidi="ar-SA"/>
        </w:rPr>
      </w:pPr>
      <w:r>
        <w:rPr>
          <w:rFonts w:hint="eastAsia" w:ascii="Times New Roman" w:hAnsi="宋体" w:eastAsia="宋体" w:cs="Times New Roman"/>
          <w:color w:val="auto"/>
          <w:kern w:val="0"/>
          <w:sz w:val="21"/>
          <w:szCs w:val="21"/>
          <w:lang w:val="en-US" w:eastAsia="zh-CN" w:bidi="ar-SA"/>
        </w:rPr>
        <w:t>（2）具备</w:t>
      </w:r>
      <w:r>
        <w:rPr>
          <w:rFonts w:hint="eastAsia" w:hAnsi="宋体" w:cs="Times New Roman"/>
          <w:color w:val="auto"/>
          <w:kern w:val="0"/>
          <w:sz w:val="21"/>
          <w:szCs w:val="21"/>
          <w:lang w:val="en-US" w:eastAsia="zh-CN" w:bidi="ar-SA"/>
        </w:rPr>
        <w:t>城市园林绿化叁级</w:t>
      </w:r>
      <w:r>
        <w:rPr>
          <w:rFonts w:hint="eastAsia" w:ascii="Times New Roman" w:hAnsi="宋体" w:eastAsia="宋体" w:cs="Times New Roman"/>
          <w:color w:val="auto"/>
          <w:kern w:val="0"/>
          <w:sz w:val="21"/>
          <w:szCs w:val="21"/>
          <w:lang w:val="en-US" w:eastAsia="zh-CN" w:bidi="ar-SA"/>
        </w:rPr>
        <w:t>及以上资质的企业。</w:t>
      </w:r>
    </w:p>
    <w:p>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Times New Roman" w:hAnsi="宋体" w:eastAsia="宋体" w:cs="Times New Roman"/>
          <w:color w:val="auto"/>
          <w:kern w:val="0"/>
          <w:sz w:val="21"/>
          <w:szCs w:val="21"/>
          <w:lang w:val="en-US" w:eastAsia="zh-CN" w:bidi="ar-SA"/>
        </w:rPr>
      </w:pPr>
      <w:r>
        <w:rPr>
          <w:rFonts w:hint="eastAsia" w:ascii="Times New Roman" w:hAnsi="宋体" w:eastAsia="宋体" w:cs="Times New Roman"/>
          <w:color w:val="auto"/>
          <w:kern w:val="0"/>
          <w:sz w:val="21"/>
          <w:szCs w:val="21"/>
          <w:lang w:val="en-US" w:eastAsia="zh-CN" w:bidi="ar-SA"/>
        </w:rPr>
        <w:t xml:space="preserve">3.2  </w:t>
      </w:r>
      <w:r>
        <w:rPr>
          <w:rFonts w:hint="eastAsia" w:ascii="Times New Roman" w:cs="Times New Roman"/>
          <w:color w:val="auto"/>
          <w:kern w:val="0"/>
          <w:sz w:val="21"/>
          <w:szCs w:val="21"/>
          <w:lang w:val="en-US" w:eastAsia="zh-CN" w:bidi="ar-SA"/>
        </w:rPr>
        <w:t>本次招标要求投标人须具有园林绿化养护业绩或园林绿化施工业绩。</w:t>
      </w:r>
    </w:p>
    <w:p>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Times New Roman" w:hAnsi="宋体" w:eastAsia="宋体" w:cs="Times New Roman"/>
          <w:color w:val="auto"/>
          <w:kern w:val="0"/>
          <w:sz w:val="21"/>
          <w:szCs w:val="21"/>
          <w:lang w:val="en-US" w:eastAsia="zh-CN" w:bidi="ar-SA"/>
        </w:rPr>
      </w:pPr>
      <w:r>
        <w:rPr>
          <w:rFonts w:hint="eastAsia" w:ascii="Times New Roman" w:cs="Times New Roman"/>
          <w:color w:val="auto"/>
          <w:kern w:val="0"/>
          <w:sz w:val="21"/>
          <w:szCs w:val="21"/>
          <w:lang w:val="en-US" w:eastAsia="zh-CN" w:bidi="ar-SA"/>
        </w:rPr>
        <w:t xml:space="preserve">3.3  </w:t>
      </w:r>
      <w:r>
        <w:rPr>
          <w:rFonts w:hint="eastAsia" w:ascii="Times New Roman" w:hAnsi="宋体" w:eastAsia="宋体" w:cs="Times New Roman"/>
          <w:color w:val="auto"/>
          <w:kern w:val="0"/>
          <w:sz w:val="21"/>
          <w:szCs w:val="21"/>
          <w:lang w:val="en-US" w:eastAsia="zh-CN" w:bidi="ar-SA"/>
        </w:rPr>
        <w:t>本工程招标要求项目负责人具有中级</w:t>
      </w:r>
      <w:r>
        <w:rPr>
          <w:rFonts w:hint="eastAsia" w:ascii="Times New Roman" w:cs="Times New Roman"/>
          <w:color w:val="auto"/>
          <w:kern w:val="0"/>
          <w:sz w:val="21"/>
          <w:szCs w:val="21"/>
          <w:lang w:val="en-US" w:eastAsia="zh-CN" w:bidi="ar-SA"/>
        </w:rPr>
        <w:t>工程</w:t>
      </w:r>
      <w:r>
        <w:rPr>
          <w:rFonts w:hint="eastAsia" w:ascii="Times New Roman" w:hAnsi="宋体" w:eastAsia="宋体" w:cs="Times New Roman"/>
          <w:color w:val="auto"/>
          <w:kern w:val="0"/>
          <w:sz w:val="21"/>
          <w:szCs w:val="21"/>
          <w:lang w:val="en-US" w:eastAsia="zh-CN" w:bidi="ar-SA"/>
        </w:rPr>
        <w:t>师及以上职称（园林</w:t>
      </w:r>
      <w:r>
        <w:rPr>
          <w:rFonts w:hint="eastAsia" w:ascii="Times New Roman" w:cs="Times New Roman"/>
          <w:color w:val="auto"/>
          <w:kern w:val="0"/>
          <w:sz w:val="21"/>
          <w:szCs w:val="21"/>
          <w:lang w:val="en-US" w:eastAsia="zh-CN" w:bidi="ar-SA"/>
        </w:rPr>
        <w:t>、</w:t>
      </w:r>
      <w:r>
        <w:rPr>
          <w:rFonts w:hint="eastAsia" w:ascii="Times New Roman" w:hAnsi="宋体" w:eastAsia="宋体" w:cs="Times New Roman"/>
          <w:color w:val="auto"/>
          <w:kern w:val="0"/>
          <w:sz w:val="21"/>
          <w:szCs w:val="21"/>
          <w:lang w:val="en-US" w:eastAsia="zh-CN" w:bidi="ar-SA"/>
        </w:rPr>
        <w:t>绿化相关专业），在建项目不作要求。</w:t>
      </w:r>
    </w:p>
    <w:p>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ascii="Times New Roman"/>
          <w:color w:val="auto"/>
          <w:sz w:val="21"/>
          <w:szCs w:val="21"/>
        </w:rPr>
      </w:pPr>
      <w:r>
        <w:rPr>
          <w:rFonts w:ascii="Times New Roman"/>
          <w:color w:val="auto"/>
          <w:sz w:val="21"/>
          <w:szCs w:val="21"/>
        </w:rPr>
        <w:t>3.</w:t>
      </w:r>
      <w:r>
        <w:rPr>
          <w:rFonts w:hint="eastAsia" w:ascii="Times New Roman"/>
          <w:color w:val="auto"/>
          <w:sz w:val="21"/>
          <w:szCs w:val="21"/>
          <w:lang w:val="en-US" w:eastAsia="zh-CN"/>
        </w:rPr>
        <w:t>4</w:t>
      </w:r>
      <w:r>
        <w:rPr>
          <w:rFonts w:ascii="Times New Roman"/>
          <w:color w:val="auto"/>
          <w:sz w:val="21"/>
          <w:szCs w:val="21"/>
        </w:rPr>
        <w:t xml:space="preserve"> 本次招标</w:t>
      </w:r>
      <w:r>
        <w:rPr>
          <w:rFonts w:hint="eastAsia" w:ascii="Times New Roman"/>
          <w:color w:val="auto"/>
          <w:sz w:val="21"/>
          <w:szCs w:val="21"/>
          <w:lang w:eastAsia="zh-CN"/>
        </w:rPr>
        <w:t>不</w:t>
      </w:r>
      <w:r>
        <w:rPr>
          <w:rFonts w:ascii="Times New Roman"/>
          <w:color w:val="auto"/>
          <w:sz w:val="21"/>
          <w:szCs w:val="21"/>
        </w:rPr>
        <w:t>接受联合体投标。</w:t>
      </w:r>
    </w:p>
    <w:p>
      <w:pPr>
        <w:pStyle w:val="14"/>
        <w:spacing w:before="0" w:beforeAutospacing="0" w:after="0" w:afterAutospacing="0" w:line="400" w:lineRule="exact"/>
        <w:ind w:firstLine="420" w:firstLineChars="200"/>
        <w:rPr>
          <w:rFonts w:ascii="Times New Roman"/>
          <w:color w:val="auto"/>
          <w:sz w:val="21"/>
          <w:szCs w:val="21"/>
        </w:rPr>
      </w:pPr>
      <w:r>
        <w:rPr>
          <w:rFonts w:ascii="Times New Roman"/>
          <w:color w:val="auto"/>
          <w:sz w:val="21"/>
          <w:szCs w:val="21"/>
        </w:rPr>
        <w:t>本次招标实行资格后审，资格审查的具体要求见招标文件。资格后审不合格的投标人投标文件将按</w:t>
      </w:r>
      <w:r>
        <w:rPr>
          <w:rFonts w:hint="eastAsia" w:ascii="Times New Roman"/>
          <w:color w:val="auto"/>
          <w:sz w:val="21"/>
          <w:szCs w:val="21"/>
          <w:lang w:eastAsia="zh-CN"/>
        </w:rPr>
        <w:t>无效投</w:t>
      </w:r>
      <w:r>
        <w:rPr>
          <w:rFonts w:ascii="Times New Roman"/>
          <w:color w:val="auto"/>
          <w:sz w:val="21"/>
          <w:szCs w:val="21"/>
        </w:rPr>
        <w:t>标处理。</w:t>
      </w:r>
    </w:p>
    <w:p>
      <w:pPr>
        <w:pStyle w:val="21"/>
        <w:spacing w:before="120" w:beforeLines="50" w:after="120" w:afterLines="50" w:line="440" w:lineRule="exact"/>
        <w:rPr>
          <w:rFonts w:ascii="Times New Roman" w:hAnsi="Times New Roman"/>
          <w:sz w:val="21"/>
          <w:szCs w:val="21"/>
        </w:rPr>
      </w:pPr>
      <w:bookmarkStart w:id="11" w:name="_Toc12854"/>
      <w:bookmarkStart w:id="12" w:name="_Toc7645"/>
      <w:bookmarkStart w:id="13" w:name="_Toc14513"/>
      <w:r>
        <w:rPr>
          <w:rFonts w:ascii="Times New Roman" w:hAnsi="Times New Roman"/>
          <w:sz w:val="21"/>
          <w:szCs w:val="21"/>
        </w:rPr>
        <w:t>4.招标文件的获取</w:t>
      </w:r>
      <w:bookmarkEnd w:id="11"/>
      <w:bookmarkEnd w:id="12"/>
      <w:bookmarkEnd w:id="13"/>
    </w:p>
    <w:p>
      <w:pPr>
        <w:pStyle w:val="14"/>
        <w:spacing w:before="0" w:beforeAutospacing="0" w:after="0" w:afterAutospacing="0" w:line="400" w:lineRule="exact"/>
        <w:ind w:firstLine="420" w:firstLineChars="200"/>
        <w:rPr>
          <w:rFonts w:hint="eastAsia" w:ascii="Times New Roman"/>
          <w:color w:val="auto"/>
          <w:sz w:val="21"/>
          <w:szCs w:val="21"/>
        </w:rPr>
      </w:pPr>
      <w:r>
        <w:rPr>
          <w:rFonts w:hint="eastAsia" w:ascii="Times New Roman"/>
          <w:color w:val="auto"/>
          <w:sz w:val="21"/>
          <w:szCs w:val="21"/>
        </w:rPr>
        <w:t>4.1 请在玉环市公共资源交易中心（</w:t>
      </w:r>
      <w:r>
        <w:rPr>
          <w:rFonts w:hint="default" w:ascii="Times New Roman"/>
          <w:color w:val="auto"/>
          <w:sz w:val="21"/>
          <w:szCs w:val="21"/>
        </w:rPr>
        <w:t>http://www.yhjyzx.com</w:t>
      </w:r>
      <w:r>
        <w:rPr>
          <w:rFonts w:hint="eastAsia" w:ascii="Times New Roman"/>
          <w:color w:val="auto"/>
          <w:sz w:val="21"/>
          <w:szCs w:val="21"/>
        </w:rPr>
        <w:t>）网站的“乡镇平台”的公告附件处下载招标文件。</w:t>
      </w:r>
    </w:p>
    <w:p>
      <w:pPr>
        <w:pStyle w:val="14"/>
        <w:spacing w:before="0" w:beforeAutospacing="0" w:after="0" w:afterAutospacing="0" w:line="440" w:lineRule="exact"/>
        <w:ind w:firstLine="420" w:firstLineChars="200"/>
        <w:rPr>
          <w:rFonts w:ascii="Times New Roman"/>
          <w:color w:val="auto"/>
          <w:sz w:val="21"/>
          <w:szCs w:val="21"/>
        </w:rPr>
      </w:pPr>
      <w:r>
        <w:rPr>
          <w:rFonts w:ascii="Times New Roman"/>
          <w:color w:val="auto"/>
          <w:sz w:val="21"/>
          <w:szCs w:val="21"/>
        </w:rPr>
        <w:t>4.</w:t>
      </w:r>
      <w:r>
        <w:rPr>
          <w:rFonts w:hint="eastAsia" w:ascii="Times New Roman"/>
          <w:color w:val="auto"/>
          <w:sz w:val="21"/>
          <w:szCs w:val="21"/>
        </w:rPr>
        <w:t>2</w:t>
      </w:r>
      <w:r>
        <w:rPr>
          <w:rFonts w:ascii="Times New Roman"/>
          <w:color w:val="auto"/>
          <w:sz w:val="21"/>
          <w:szCs w:val="21"/>
        </w:rPr>
        <w:t xml:space="preserve">  招标人不统一组织现场踏勘和召开投标预备会，投标人视需要自行前往现场进行踏勘。</w:t>
      </w:r>
    </w:p>
    <w:p>
      <w:pPr>
        <w:pStyle w:val="21"/>
        <w:spacing w:before="120" w:beforeLines="50" w:after="120" w:afterLines="50" w:line="440" w:lineRule="exact"/>
        <w:rPr>
          <w:rFonts w:ascii="Times New Roman" w:hAnsi="Times New Roman"/>
          <w:sz w:val="21"/>
          <w:szCs w:val="21"/>
        </w:rPr>
      </w:pPr>
      <w:bookmarkStart w:id="14" w:name="_Toc15572"/>
      <w:bookmarkStart w:id="15" w:name="_Toc21699"/>
      <w:bookmarkStart w:id="16" w:name="_Toc2361"/>
      <w:r>
        <w:rPr>
          <w:rFonts w:ascii="Times New Roman" w:hAnsi="Times New Roman"/>
          <w:sz w:val="21"/>
          <w:szCs w:val="21"/>
        </w:rPr>
        <w:t>5.投标文件的递交</w:t>
      </w:r>
      <w:bookmarkEnd w:id="14"/>
      <w:bookmarkEnd w:id="15"/>
      <w:bookmarkEnd w:id="16"/>
    </w:p>
    <w:p>
      <w:pPr>
        <w:pStyle w:val="14"/>
        <w:spacing w:before="0" w:beforeAutospacing="0" w:after="0" w:afterAutospacing="0" w:line="440" w:lineRule="exact"/>
        <w:ind w:firstLine="420" w:firstLineChars="200"/>
        <w:rPr>
          <w:rFonts w:ascii="Times New Roman"/>
          <w:color w:val="auto"/>
          <w:sz w:val="21"/>
          <w:szCs w:val="21"/>
        </w:rPr>
      </w:pPr>
      <w:r>
        <w:rPr>
          <w:rFonts w:ascii="Times New Roman"/>
          <w:color w:val="auto"/>
          <w:sz w:val="21"/>
          <w:szCs w:val="21"/>
        </w:rPr>
        <w:t>5.1  投标文件递交的截止时间（投标截止时间，下同）为</w:t>
      </w:r>
      <w:r>
        <w:rPr>
          <w:rFonts w:hint="eastAsia" w:ascii="Times New Roman"/>
          <w:color w:val="auto"/>
          <w:sz w:val="21"/>
          <w:szCs w:val="21"/>
          <w:lang w:val="en-US" w:eastAsia="zh-CN"/>
        </w:rPr>
        <w:t>2018</w:t>
      </w:r>
      <w:r>
        <w:rPr>
          <w:rFonts w:ascii="Times New Roman"/>
          <w:color w:val="auto"/>
          <w:sz w:val="21"/>
          <w:szCs w:val="21"/>
        </w:rPr>
        <w:t>年</w:t>
      </w:r>
      <w:r>
        <w:rPr>
          <w:rFonts w:hint="eastAsia" w:ascii="Times New Roman"/>
          <w:color w:val="auto"/>
          <w:sz w:val="21"/>
          <w:szCs w:val="21"/>
          <w:lang w:val="en-US" w:eastAsia="zh-CN"/>
        </w:rPr>
        <w:t>9月29</w:t>
      </w:r>
      <w:r>
        <w:rPr>
          <w:rFonts w:ascii="Times New Roman"/>
          <w:color w:val="auto"/>
          <w:sz w:val="21"/>
          <w:szCs w:val="21"/>
        </w:rPr>
        <w:t>日</w:t>
      </w:r>
      <w:r>
        <w:rPr>
          <w:rFonts w:hint="eastAsia" w:ascii="Times New Roman"/>
          <w:color w:val="auto"/>
          <w:sz w:val="21"/>
          <w:szCs w:val="21"/>
          <w:lang w:val="en-US" w:eastAsia="zh-CN"/>
        </w:rPr>
        <w:t>9</w:t>
      </w:r>
      <w:r>
        <w:rPr>
          <w:rFonts w:ascii="Times New Roman"/>
          <w:color w:val="auto"/>
          <w:sz w:val="21"/>
          <w:szCs w:val="21"/>
        </w:rPr>
        <w:t>时</w:t>
      </w:r>
      <w:r>
        <w:rPr>
          <w:rFonts w:hint="eastAsia" w:ascii="Times New Roman"/>
          <w:color w:val="auto"/>
          <w:sz w:val="21"/>
          <w:szCs w:val="21"/>
          <w:lang w:val="en-US" w:eastAsia="zh-CN"/>
        </w:rPr>
        <w:t>30</w:t>
      </w:r>
      <w:r>
        <w:rPr>
          <w:rFonts w:ascii="Times New Roman"/>
          <w:color w:val="auto"/>
          <w:sz w:val="21"/>
          <w:szCs w:val="21"/>
        </w:rPr>
        <w:t>分，递交地点为</w:t>
      </w:r>
      <w:r>
        <w:rPr>
          <w:rFonts w:hint="eastAsia" w:ascii="Times New Roman"/>
          <w:color w:val="auto"/>
          <w:sz w:val="21"/>
          <w:szCs w:val="21"/>
          <w:lang w:eastAsia="zh-CN"/>
        </w:rPr>
        <w:t>玉环经济开发区办公大楼B108室</w:t>
      </w:r>
      <w:r>
        <w:rPr>
          <w:rFonts w:ascii="Times New Roman"/>
          <w:color w:val="auto"/>
          <w:sz w:val="21"/>
          <w:szCs w:val="21"/>
        </w:rPr>
        <w:t>。</w:t>
      </w:r>
    </w:p>
    <w:p>
      <w:pPr>
        <w:pStyle w:val="14"/>
        <w:spacing w:before="0" w:beforeAutospacing="0" w:after="0" w:afterAutospacing="0" w:line="440" w:lineRule="exact"/>
        <w:ind w:firstLine="420" w:firstLineChars="200"/>
        <w:rPr>
          <w:rFonts w:ascii="Times New Roman"/>
          <w:color w:val="auto"/>
          <w:sz w:val="21"/>
          <w:szCs w:val="21"/>
        </w:rPr>
      </w:pPr>
      <w:r>
        <w:rPr>
          <w:rFonts w:ascii="Times New Roman"/>
          <w:color w:val="auto"/>
          <w:sz w:val="21"/>
          <w:szCs w:val="21"/>
        </w:rPr>
        <w:t>5.2  逾期送达的或者未送达指定地点的投标文件，招标人不予受理。</w:t>
      </w:r>
    </w:p>
    <w:p>
      <w:pPr>
        <w:pStyle w:val="21"/>
        <w:spacing w:before="120" w:beforeLines="50" w:after="120" w:afterLines="50" w:line="440" w:lineRule="exact"/>
        <w:rPr>
          <w:rFonts w:ascii="Times New Roman" w:hAnsi="Times New Roman"/>
          <w:sz w:val="21"/>
          <w:szCs w:val="21"/>
        </w:rPr>
      </w:pPr>
      <w:bookmarkStart w:id="17" w:name="_Toc19675"/>
      <w:bookmarkStart w:id="18" w:name="_Toc4298"/>
      <w:bookmarkStart w:id="19" w:name="_Toc15706"/>
      <w:r>
        <w:rPr>
          <w:rFonts w:hint="eastAsia" w:ascii="Times New Roman" w:hAnsi="Times New Roman"/>
          <w:sz w:val="21"/>
          <w:szCs w:val="21"/>
        </w:rPr>
        <w:t>6</w:t>
      </w:r>
      <w:r>
        <w:rPr>
          <w:rFonts w:ascii="Times New Roman" w:hAnsi="Times New Roman"/>
          <w:sz w:val="21"/>
          <w:szCs w:val="21"/>
        </w:rPr>
        <w:t>.发布公告媒介</w:t>
      </w:r>
      <w:bookmarkEnd w:id="17"/>
      <w:bookmarkEnd w:id="18"/>
      <w:bookmarkEnd w:id="19"/>
    </w:p>
    <w:p>
      <w:pPr>
        <w:pStyle w:val="14"/>
        <w:spacing w:before="0" w:beforeAutospacing="0" w:after="0" w:afterAutospacing="0" w:line="420" w:lineRule="exact"/>
        <w:ind w:firstLine="420" w:firstLineChars="200"/>
        <w:rPr>
          <w:color w:val="auto"/>
          <w:sz w:val="21"/>
          <w:szCs w:val="21"/>
        </w:rPr>
      </w:pPr>
      <w:r>
        <w:rPr>
          <w:color w:val="auto"/>
          <w:sz w:val="21"/>
          <w:szCs w:val="21"/>
        </w:rPr>
        <w:t>本次招标公告在</w:t>
      </w:r>
      <w:r>
        <w:rPr>
          <w:rFonts w:hint="eastAsia"/>
          <w:color w:val="auto"/>
          <w:sz w:val="21"/>
          <w:szCs w:val="21"/>
          <w:lang w:eastAsia="zh-CN"/>
        </w:rPr>
        <w:t>玉环市公共资源交易中心</w:t>
      </w:r>
      <w:r>
        <w:rPr>
          <w:color w:val="auto"/>
          <w:sz w:val="21"/>
          <w:szCs w:val="21"/>
        </w:rPr>
        <w:t>乡镇平台网站上发布。</w:t>
      </w:r>
    </w:p>
    <w:p>
      <w:pPr>
        <w:pStyle w:val="21"/>
        <w:spacing w:before="120" w:beforeLines="50" w:after="120" w:afterLines="50" w:line="440" w:lineRule="exact"/>
        <w:rPr>
          <w:rFonts w:ascii="Times New Roman" w:hAnsi="Times New Roman"/>
          <w:sz w:val="21"/>
          <w:szCs w:val="21"/>
        </w:rPr>
      </w:pPr>
      <w:bookmarkStart w:id="20" w:name="_Toc11754"/>
      <w:bookmarkStart w:id="21" w:name="_Toc9198"/>
      <w:bookmarkStart w:id="22" w:name="_Toc28026"/>
      <w:r>
        <w:rPr>
          <w:rFonts w:hint="eastAsia" w:ascii="Times New Roman" w:hAnsi="Times New Roman"/>
          <w:sz w:val="21"/>
          <w:szCs w:val="21"/>
        </w:rPr>
        <w:t>7</w:t>
      </w:r>
      <w:r>
        <w:rPr>
          <w:rFonts w:ascii="Times New Roman" w:hAnsi="Times New Roman"/>
          <w:sz w:val="21"/>
          <w:szCs w:val="21"/>
        </w:rPr>
        <w:t>.联系方式</w:t>
      </w:r>
      <w:bookmarkEnd w:id="20"/>
      <w:bookmarkEnd w:id="21"/>
      <w:bookmarkEnd w:id="22"/>
    </w:p>
    <w:tbl>
      <w:tblPr>
        <w:tblStyle w:val="19"/>
        <w:tblpPr w:leftFromText="180" w:rightFromText="180" w:vertAnchor="text" w:horzAnchor="page" w:tblpX="1188" w:tblpY="356"/>
        <w:tblOverlap w:val="never"/>
        <w:tblW w:w="9940" w:type="dxa"/>
        <w:tblInd w:w="0" w:type="dxa"/>
        <w:tblLayout w:type="fixed"/>
        <w:tblCellMar>
          <w:top w:w="0" w:type="dxa"/>
          <w:left w:w="108" w:type="dxa"/>
          <w:bottom w:w="0" w:type="dxa"/>
          <w:right w:w="108" w:type="dxa"/>
        </w:tblCellMar>
      </w:tblPr>
      <w:tblGrid>
        <w:gridCol w:w="4771"/>
        <w:gridCol w:w="5169"/>
      </w:tblGrid>
      <w:tr>
        <w:tblPrEx>
          <w:tblLayout w:type="fixed"/>
          <w:tblCellMar>
            <w:top w:w="0" w:type="dxa"/>
            <w:left w:w="108" w:type="dxa"/>
            <w:bottom w:w="0" w:type="dxa"/>
            <w:right w:w="108" w:type="dxa"/>
          </w:tblCellMar>
        </w:tblPrEx>
        <w:trPr>
          <w:trHeight w:val="525" w:hRule="exact"/>
        </w:trPr>
        <w:tc>
          <w:tcPr>
            <w:tcW w:w="4771" w:type="dxa"/>
            <w:vAlign w:val="center"/>
          </w:tcPr>
          <w:p>
            <w:pPr>
              <w:spacing w:line="360" w:lineRule="exact"/>
              <w:rPr>
                <w:szCs w:val="21"/>
              </w:rPr>
            </w:pPr>
            <w:r>
              <w:rPr>
                <w:rFonts w:hAnsi="宋体"/>
                <w:szCs w:val="21"/>
              </w:rPr>
              <w:t>招</w:t>
            </w:r>
            <w:r>
              <w:rPr>
                <w:szCs w:val="21"/>
              </w:rPr>
              <w:t xml:space="preserve"> </w:t>
            </w:r>
            <w:r>
              <w:rPr>
                <w:rFonts w:hAnsi="宋体"/>
                <w:szCs w:val="21"/>
              </w:rPr>
              <w:t>标</w:t>
            </w:r>
            <w:r>
              <w:rPr>
                <w:szCs w:val="21"/>
              </w:rPr>
              <w:t xml:space="preserve"> </w:t>
            </w:r>
            <w:r>
              <w:rPr>
                <w:rFonts w:hAnsi="宋体"/>
                <w:szCs w:val="21"/>
              </w:rPr>
              <w:t>人：</w:t>
            </w:r>
            <w:r>
              <w:rPr>
                <w:rFonts w:hint="eastAsia" w:hAnsi="宋体"/>
                <w:szCs w:val="21"/>
                <w:u w:val="single"/>
                <w:lang w:eastAsia="zh-CN"/>
              </w:rPr>
              <w:t>玉环海洋经济开发投资有限公司</w:t>
            </w:r>
          </w:p>
        </w:tc>
        <w:tc>
          <w:tcPr>
            <w:tcW w:w="5169" w:type="dxa"/>
            <w:vAlign w:val="center"/>
          </w:tcPr>
          <w:p>
            <w:pPr>
              <w:spacing w:line="360" w:lineRule="exact"/>
              <w:ind w:left="-2" w:leftChars="-1"/>
              <w:rPr>
                <w:szCs w:val="21"/>
              </w:rPr>
            </w:pPr>
            <w:r>
              <w:rPr>
                <w:rFonts w:hAnsi="宋体"/>
                <w:szCs w:val="21"/>
              </w:rPr>
              <w:t>招标代理机构：</w:t>
            </w:r>
            <w:r>
              <w:rPr>
                <w:rFonts w:hint="eastAsia" w:hAnsi="宋体"/>
                <w:bCs/>
                <w:szCs w:val="21"/>
                <w:u w:val="single"/>
                <w:lang w:eastAsia="zh-CN"/>
              </w:rPr>
              <w:t>建经投资咨询有限公司</w:t>
            </w:r>
          </w:p>
        </w:tc>
      </w:tr>
      <w:tr>
        <w:tblPrEx>
          <w:tblLayout w:type="fixed"/>
          <w:tblCellMar>
            <w:top w:w="0" w:type="dxa"/>
            <w:left w:w="108" w:type="dxa"/>
            <w:bottom w:w="0" w:type="dxa"/>
            <w:right w:w="108" w:type="dxa"/>
          </w:tblCellMar>
        </w:tblPrEx>
        <w:trPr>
          <w:trHeight w:val="525" w:hRule="exact"/>
        </w:trPr>
        <w:tc>
          <w:tcPr>
            <w:tcW w:w="4771" w:type="dxa"/>
            <w:vAlign w:val="center"/>
          </w:tcPr>
          <w:p>
            <w:pPr>
              <w:spacing w:line="360" w:lineRule="exact"/>
              <w:rPr>
                <w:szCs w:val="21"/>
                <w:lang w:val="en-US"/>
              </w:rPr>
            </w:pPr>
            <w:r>
              <w:rPr>
                <w:rFonts w:hAnsi="宋体"/>
                <w:szCs w:val="21"/>
              </w:rPr>
              <w:t>联</w:t>
            </w:r>
            <w:r>
              <w:rPr>
                <w:szCs w:val="21"/>
              </w:rPr>
              <w:t xml:space="preserve"> </w:t>
            </w:r>
            <w:r>
              <w:rPr>
                <w:rFonts w:hAnsi="宋体"/>
                <w:szCs w:val="21"/>
              </w:rPr>
              <w:t>系</w:t>
            </w:r>
            <w:r>
              <w:rPr>
                <w:szCs w:val="21"/>
              </w:rPr>
              <w:t xml:space="preserve"> </w:t>
            </w:r>
            <w:r>
              <w:rPr>
                <w:rFonts w:hAnsi="宋体"/>
                <w:szCs w:val="21"/>
              </w:rPr>
              <w:t>人：</w:t>
            </w:r>
            <w:r>
              <w:rPr>
                <w:rFonts w:hint="eastAsia" w:hAnsi="宋体"/>
                <w:bCs/>
                <w:szCs w:val="21"/>
                <w:u w:val="single"/>
                <w:lang w:val="en-US" w:eastAsia="zh-CN"/>
              </w:rPr>
              <w:t xml:space="preserve"> 车先生 </w:t>
            </w:r>
          </w:p>
        </w:tc>
        <w:tc>
          <w:tcPr>
            <w:tcW w:w="5169" w:type="dxa"/>
            <w:vAlign w:val="center"/>
          </w:tcPr>
          <w:p>
            <w:pPr>
              <w:spacing w:line="360" w:lineRule="exact"/>
              <w:rPr>
                <w:szCs w:val="21"/>
              </w:rPr>
            </w:pPr>
            <w:r>
              <w:rPr>
                <w:rFonts w:hAnsi="宋体"/>
                <w:szCs w:val="21"/>
              </w:rPr>
              <w:t>联</w:t>
            </w:r>
            <w:r>
              <w:rPr>
                <w:szCs w:val="21"/>
              </w:rPr>
              <w:t xml:space="preserve"> </w:t>
            </w:r>
            <w:r>
              <w:rPr>
                <w:rFonts w:hAnsi="宋体"/>
                <w:szCs w:val="21"/>
              </w:rPr>
              <w:t>系</w:t>
            </w:r>
            <w:r>
              <w:rPr>
                <w:szCs w:val="21"/>
              </w:rPr>
              <w:t xml:space="preserve"> </w:t>
            </w:r>
            <w:r>
              <w:rPr>
                <w:rFonts w:hAnsi="宋体"/>
                <w:szCs w:val="21"/>
              </w:rPr>
              <w:t>人：</w:t>
            </w:r>
            <w:r>
              <w:rPr>
                <w:rFonts w:hint="eastAsia" w:hAnsi="宋体"/>
                <w:bCs/>
                <w:szCs w:val="21"/>
                <w:u w:val="single"/>
                <w:lang w:val="zh-CN"/>
              </w:rPr>
              <w:t>王先生</w:t>
            </w:r>
          </w:p>
        </w:tc>
      </w:tr>
      <w:tr>
        <w:tblPrEx>
          <w:tblLayout w:type="fixed"/>
          <w:tblCellMar>
            <w:top w:w="0" w:type="dxa"/>
            <w:left w:w="108" w:type="dxa"/>
            <w:bottom w:w="0" w:type="dxa"/>
            <w:right w:w="108" w:type="dxa"/>
          </w:tblCellMar>
        </w:tblPrEx>
        <w:trPr>
          <w:trHeight w:val="525" w:hRule="exact"/>
        </w:trPr>
        <w:tc>
          <w:tcPr>
            <w:tcW w:w="4771" w:type="dxa"/>
            <w:vAlign w:val="center"/>
          </w:tcPr>
          <w:p>
            <w:pPr>
              <w:spacing w:line="360" w:lineRule="exact"/>
              <w:rPr>
                <w:szCs w:val="21"/>
                <w:lang w:val="en-US"/>
              </w:rPr>
            </w:pPr>
            <w:r>
              <w:rPr>
                <w:rFonts w:hAnsi="宋体"/>
                <w:szCs w:val="21"/>
              </w:rPr>
              <w:t>电</w:t>
            </w:r>
            <w:r>
              <w:rPr>
                <w:szCs w:val="21"/>
              </w:rPr>
              <w:t xml:space="preserve">    </w:t>
            </w:r>
            <w:r>
              <w:rPr>
                <w:rFonts w:hAnsi="宋体"/>
                <w:szCs w:val="21"/>
              </w:rPr>
              <w:t>话：</w:t>
            </w:r>
            <w:r>
              <w:rPr>
                <w:rFonts w:hint="eastAsia"/>
                <w:szCs w:val="21"/>
                <w:u w:val="single"/>
                <w:lang w:val="en-US" w:eastAsia="zh-CN"/>
              </w:rPr>
              <w:t xml:space="preserve"> </w:t>
            </w:r>
            <w:r>
              <w:rPr>
                <w:rFonts w:hint="eastAsia" w:cs="宋体"/>
                <w:color w:val="auto"/>
                <w:sz w:val="21"/>
                <w:szCs w:val="21"/>
                <w:u w:val="single"/>
                <w:lang w:val="en-US" w:eastAsia="zh-CN"/>
              </w:rPr>
              <w:t>0576-80766107</w:t>
            </w:r>
            <w:r>
              <w:rPr>
                <w:rFonts w:hint="eastAsia"/>
                <w:szCs w:val="21"/>
                <w:u w:val="single"/>
                <w:lang w:val="en-US" w:eastAsia="zh-CN"/>
              </w:rPr>
              <w:t xml:space="preserve"> </w:t>
            </w:r>
          </w:p>
        </w:tc>
        <w:tc>
          <w:tcPr>
            <w:tcW w:w="5169" w:type="dxa"/>
            <w:vAlign w:val="center"/>
          </w:tcPr>
          <w:p>
            <w:pPr>
              <w:spacing w:line="360" w:lineRule="exact"/>
              <w:rPr>
                <w:szCs w:val="21"/>
                <w:lang w:val="en-US"/>
              </w:rPr>
            </w:pPr>
            <w:r>
              <w:rPr>
                <w:rFonts w:hAnsi="宋体"/>
                <w:szCs w:val="21"/>
              </w:rPr>
              <w:t>电</w:t>
            </w:r>
            <w:r>
              <w:rPr>
                <w:szCs w:val="21"/>
              </w:rPr>
              <w:t xml:space="preserve">    </w:t>
            </w:r>
            <w:r>
              <w:rPr>
                <w:rFonts w:hAnsi="宋体"/>
                <w:szCs w:val="21"/>
              </w:rPr>
              <w:t>话：</w:t>
            </w:r>
            <w:r>
              <w:rPr>
                <w:rFonts w:hint="eastAsia"/>
                <w:szCs w:val="21"/>
                <w:u w:val="single"/>
                <w:lang w:val="en-US" w:eastAsia="zh-CN"/>
              </w:rPr>
              <w:t>18257670313</w:t>
            </w:r>
          </w:p>
        </w:tc>
      </w:tr>
    </w:tbl>
    <w:p>
      <w:pPr>
        <w:spacing w:line="440" w:lineRule="exact"/>
        <w:jc w:val="center"/>
        <w:rPr>
          <w:rFonts w:eastAsia="黑体"/>
          <w:sz w:val="20"/>
          <w:u w:val="single"/>
        </w:rPr>
      </w:pPr>
    </w:p>
    <w:p>
      <w:pPr>
        <w:spacing w:line="440" w:lineRule="exact"/>
        <w:jc w:val="center"/>
        <w:rPr>
          <w:rFonts w:eastAsia="黑体"/>
          <w:sz w:val="20"/>
          <w:u w:val="single"/>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pStyle w:val="2"/>
        <w:keepNext/>
        <w:keepLines/>
        <w:pageBreakBefore/>
        <w:widowControl w:val="0"/>
        <w:kinsoku/>
        <w:wordWrap/>
        <w:overflowPunct/>
        <w:topLinePunct w:val="0"/>
        <w:autoSpaceDE/>
        <w:autoSpaceDN/>
        <w:bidi w:val="0"/>
        <w:adjustRightInd/>
        <w:snapToGrid/>
        <w:spacing w:before="654" w:beforeLines="150" w:after="654" w:afterLines="150" w:line="360" w:lineRule="exact"/>
        <w:ind w:left="0" w:leftChars="0" w:right="0" w:rightChars="0" w:firstLine="0" w:firstLineChars="0"/>
        <w:jc w:val="center"/>
        <w:textAlignment w:val="auto"/>
        <w:outlineLvl w:val="0"/>
        <w:rPr>
          <w:rFonts w:hint="eastAsia" w:ascii="Times New Roman" w:hAnsi="Times New Roman"/>
        </w:rPr>
      </w:pPr>
      <w:bookmarkStart w:id="23" w:name="_Toc27915"/>
      <w:r>
        <w:rPr>
          <w:rFonts w:ascii="Times New Roman" w:hAnsi="Times New Roman"/>
        </w:rPr>
        <w:t>投标须知前附表</w:t>
      </w:r>
      <w:bookmarkEnd w:id="23"/>
    </w:p>
    <w:tbl>
      <w:tblPr>
        <w:tblStyle w:val="19"/>
        <w:tblW w:w="9333" w:type="dxa"/>
        <w:tblInd w:w="-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861"/>
        <w:gridCol w:w="1778"/>
        <w:gridCol w:w="6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exact"/>
        </w:trPr>
        <w:tc>
          <w:tcPr>
            <w:tcW w:w="682" w:type="dxa"/>
            <w:vAlign w:val="center"/>
          </w:tcPr>
          <w:p>
            <w:pPr>
              <w:jc w:val="center"/>
              <w:rPr>
                <w:b/>
                <w:szCs w:val="21"/>
              </w:rPr>
            </w:pPr>
            <w:r>
              <w:rPr>
                <w:rFonts w:hAnsi="宋体"/>
                <w:b/>
                <w:szCs w:val="21"/>
              </w:rPr>
              <w:t>序号</w:t>
            </w:r>
          </w:p>
        </w:tc>
        <w:tc>
          <w:tcPr>
            <w:tcW w:w="861" w:type="dxa"/>
            <w:vAlign w:val="center"/>
          </w:tcPr>
          <w:p>
            <w:pPr>
              <w:jc w:val="center"/>
              <w:rPr>
                <w:b/>
                <w:szCs w:val="21"/>
              </w:rPr>
            </w:pPr>
            <w:r>
              <w:rPr>
                <w:rFonts w:hAnsi="宋体"/>
                <w:b/>
                <w:szCs w:val="21"/>
              </w:rPr>
              <w:t>条款号</w:t>
            </w:r>
          </w:p>
        </w:tc>
        <w:tc>
          <w:tcPr>
            <w:tcW w:w="1778" w:type="dxa"/>
            <w:vAlign w:val="center"/>
          </w:tcPr>
          <w:p>
            <w:pPr>
              <w:jc w:val="center"/>
              <w:rPr>
                <w:b/>
                <w:szCs w:val="21"/>
              </w:rPr>
            </w:pPr>
            <w:r>
              <w:rPr>
                <w:rFonts w:hAnsi="宋体"/>
                <w:b/>
                <w:szCs w:val="21"/>
              </w:rPr>
              <w:t>内</w:t>
            </w:r>
            <w:r>
              <w:rPr>
                <w:b/>
                <w:szCs w:val="21"/>
              </w:rPr>
              <w:t xml:space="preserve">  </w:t>
            </w:r>
            <w:r>
              <w:rPr>
                <w:rFonts w:hAnsi="宋体"/>
                <w:b/>
                <w:szCs w:val="21"/>
              </w:rPr>
              <w:t>容</w:t>
            </w:r>
          </w:p>
        </w:tc>
        <w:tc>
          <w:tcPr>
            <w:tcW w:w="6012" w:type="dxa"/>
            <w:vAlign w:val="center"/>
          </w:tcPr>
          <w:p>
            <w:pPr>
              <w:jc w:val="center"/>
              <w:rPr>
                <w:b/>
                <w:szCs w:val="21"/>
              </w:rPr>
            </w:pPr>
            <w:r>
              <w:rPr>
                <w:rFonts w:hAnsi="宋体"/>
                <w:b/>
                <w:szCs w:val="21"/>
              </w:rPr>
              <w:t>说</w:t>
            </w:r>
            <w:r>
              <w:rPr>
                <w:b/>
                <w:szCs w:val="21"/>
              </w:rPr>
              <w:t xml:space="preserve"> </w:t>
            </w:r>
            <w:r>
              <w:rPr>
                <w:rFonts w:hAnsi="宋体"/>
                <w:b/>
                <w:szCs w:val="21"/>
              </w:rPr>
              <w:t>明</w:t>
            </w:r>
            <w:r>
              <w:rPr>
                <w:b/>
                <w:szCs w:val="21"/>
              </w:rPr>
              <w:t xml:space="preserve"> </w:t>
            </w:r>
            <w:r>
              <w:rPr>
                <w:rFonts w:hAnsi="宋体"/>
                <w:b/>
                <w:szCs w:val="21"/>
              </w:rPr>
              <w:t>与</w:t>
            </w:r>
            <w:r>
              <w:rPr>
                <w:b/>
                <w:szCs w:val="21"/>
              </w:rPr>
              <w:t xml:space="preserve"> </w:t>
            </w:r>
            <w:r>
              <w:rPr>
                <w:rFonts w:hAnsi="宋体"/>
                <w:b/>
                <w:szCs w:val="21"/>
              </w:rPr>
              <w:t>要</w:t>
            </w:r>
            <w:r>
              <w:rPr>
                <w:b/>
                <w:szCs w:val="21"/>
              </w:rPr>
              <w:t xml:space="preserve"> </w:t>
            </w:r>
            <w:r>
              <w:rPr>
                <w:rFonts w:hAnsi="宋体"/>
                <w:b/>
                <w:szCs w:val="21"/>
              </w:rPr>
              <w:t>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0" w:hRule="exact"/>
        </w:trPr>
        <w:tc>
          <w:tcPr>
            <w:tcW w:w="682" w:type="dxa"/>
            <w:vAlign w:val="center"/>
          </w:tcPr>
          <w:p>
            <w:pPr>
              <w:jc w:val="center"/>
              <w:rPr>
                <w:rFonts w:hAnsi="宋体"/>
                <w:b/>
                <w:szCs w:val="21"/>
              </w:rPr>
            </w:pPr>
            <w:r>
              <w:rPr>
                <w:szCs w:val="21"/>
              </w:rPr>
              <w:t>1</w:t>
            </w:r>
          </w:p>
        </w:tc>
        <w:tc>
          <w:tcPr>
            <w:tcW w:w="861" w:type="dxa"/>
            <w:vAlign w:val="center"/>
          </w:tcPr>
          <w:p>
            <w:pPr>
              <w:jc w:val="center"/>
              <w:rPr>
                <w:rFonts w:hAnsi="宋体"/>
                <w:b/>
                <w:szCs w:val="21"/>
              </w:rPr>
            </w:pPr>
            <w:r>
              <w:rPr>
                <w:szCs w:val="21"/>
              </w:rPr>
              <w:t>1.1</w:t>
            </w:r>
          </w:p>
        </w:tc>
        <w:tc>
          <w:tcPr>
            <w:tcW w:w="1778" w:type="dxa"/>
            <w:vAlign w:val="center"/>
          </w:tcPr>
          <w:p>
            <w:pPr>
              <w:jc w:val="center"/>
              <w:rPr>
                <w:rFonts w:hAnsi="宋体"/>
                <w:b/>
                <w:szCs w:val="21"/>
              </w:rPr>
            </w:pPr>
            <w:r>
              <w:rPr>
                <w:szCs w:val="21"/>
              </w:rPr>
              <w:t>招标人</w:t>
            </w:r>
          </w:p>
        </w:tc>
        <w:tc>
          <w:tcPr>
            <w:tcW w:w="6012" w:type="dxa"/>
            <w:vAlign w:val="center"/>
          </w:tcPr>
          <w:p>
            <w:pPr>
              <w:rPr>
                <w:rFonts w:hint="eastAsia" w:ascii="宋体" w:hAnsi="宋体"/>
                <w:szCs w:val="21"/>
              </w:rPr>
            </w:pPr>
            <w:r>
              <w:rPr>
                <w:rFonts w:hint="eastAsia" w:ascii="宋体" w:hAnsi="宋体"/>
                <w:szCs w:val="21"/>
              </w:rPr>
              <w:t>名称：</w:t>
            </w:r>
            <w:r>
              <w:rPr>
                <w:rFonts w:hint="eastAsia" w:ascii="宋体" w:hAnsi="宋体"/>
                <w:szCs w:val="21"/>
                <w:lang w:eastAsia="zh-CN"/>
              </w:rPr>
              <w:t>玉环海洋经济开发投资有限公司</w:t>
            </w:r>
          </w:p>
          <w:p>
            <w:pPr>
              <w:rPr>
                <w:rFonts w:hint="eastAsia" w:ascii="宋体" w:hAnsi="宋体" w:eastAsia="宋体"/>
                <w:szCs w:val="21"/>
                <w:lang w:val="en-US" w:eastAsia="zh-CN"/>
              </w:rPr>
            </w:pPr>
            <w:r>
              <w:rPr>
                <w:rFonts w:hint="eastAsia" w:ascii="宋体" w:hAnsi="宋体"/>
                <w:szCs w:val="21"/>
              </w:rPr>
              <w:t>地址：</w:t>
            </w:r>
            <w:r>
              <w:rPr>
                <w:rFonts w:hint="eastAsia" w:ascii="宋体" w:hAnsi="宋体"/>
                <w:szCs w:val="21"/>
                <w:lang w:eastAsia="zh-CN"/>
              </w:rPr>
              <w:t>玉环经济开发区城兴路</w:t>
            </w:r>
            <w:r>
              <w:rPr>
                <w:rFonts w:hint="eastAsia" w:ascii="宋体" w:hAnsi="宋体"/>
                <w:szCs w:val="21"/>
                <w:lang w:val="en-US" w:eastAsia="zh-CN"/>
              </w:rPr>
              <w:t>10号</w:t>
            </w:r>
          </w:p>
          <w:p>
            <w:pPr>
              <w:rPr>
                <w:rFonts w:hint="eastAsia" w:ascii="宋体" w:hAnsi="宋体"/>
                <w:szCs w:val="21"/>
                <w:lang w:eastAsia="zh-CN"/>
              </w:rPr>
            </w:pPr>
            <w:r>
              <w:rPr>
                <w:rFonts w:hint="eastAsia" w:ascii="宋体" w:hAnsi="宋体"/>
                <w:szCs w:val="21"/>
              </w:rPr>
              <w:t>联系人：</w:t>
            </w:r>
            <w:r>
              <w:rPr>
                <w:rFonts w:hint="eastAsia" w:ascii="宋体" w:hAnsi="宋体"/>
                <w:szCs w:val="21"/>
                <w:lang w:val="en-US" w:eastAsia="zh-CN"/>
              </w:rPr>
              <w:t>车先生</w:t>
            </w:r>
          </w:p>
          <w:p>
            <w:pPr>
              <w:rPr>
                <w:rFonts w:hAnsi="宋体"/>
                <w:b/>
                <w:szCs w:val="21"/>
              </w:rPr>
            </w:pPr>
            <w:r>
              <w:rPr>
                <w:rFonts w:hint="eastAsia" w:ascii="宋体" w:hAnsi="宋体"/>
                <w:szCs w:val="21"/>
                <w:lang w:eastAsia="zh-CN"/>
              </w:rPr>
              <w:t>电话：</w:t>
            </w:r>
            <w:r>
              <w:rPr>
                <w:rFonts w:hint="eastAsia" w:ascii="宋体" w:hAnsi="宋体"/>
                <w:szCs w:val="21"/>
                <w:lang w:val="en-US" w:eastAsia="zh-CN"/>
              </w:rPr>
              <w:t xml:space="preserve">0576-80766107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5" w:hRule="exact"/>
        </w:trPr>
        <w:tc>
          <w:tcPr>
            <w:tcW w:w="682" w:type="dxa"/>
            <w:vAlign w:val="center"/>
          </w:tcPr>
          <w:p>
            <w:pPr>
              <w:jc w:val="center"/>
              <w:rPr>
                <w:rFonts w:hAnsi="宋体"/>
                <w:b/>
                <w:szCs w:val="21"/>
              </w:rPr>
            </w:pPr>
            <w:r>
              <w:rPr>
                <w:szCs w:val="21"/>
              </w:rPr>
              <w:t>2</w:t>
            </w:r>
          </w:p>
        </w:tc>
        <w:tc>
          <w:tcPr>
            <w:tcW w:w="861" w:type="dxa"/>
            <w:vAlign w:val="center"/>
          </w:tcPr>
          <w:p>
            <w:pPr>
              <w:jc w:val="center"/>
              <w:rPr>
                <w:rFonts w:hAnsi="宋体"/>
                <w:b/>
                <w:szCs w:val="21"/>
              </w:rPr>
            </w:pPr>
            <w:r>
              <w:rPr>
                <w:szCs w:val="21"/>
              </w:rPr>
              <w:t>1.1</w:t>
            </w:r>
          </w:p>
        </w:tc>
        <w:tc>
          <w:tcPr>
            <w:tcW w:w="1778" w:type="dxa"/>
            <w:vAlign w:val="center"/>
          </w:tcPr>
          <w:p>
            <w:pPr>
              <w:jc w:val="center"/>
              <w:rPr>
                <w:rFonts w:hAnsi="宋体"/>
                <w:b/>
                <w:szCs w:val="21"/>
              </w:rPr>
            </w:pPr>
            <w:r>
              <w:rPr>
                <w:szCs w:val="21"/>
              </w:rPr>
              <w:t>招标代理机构</w:t>
            </w:r>
          </w:p>
        </w:tc>
        <w:tc>
          <w:tcPr>
            <w:tcW w:w="6012" w:type="dxa"/>
            <w:vAlign w:val="center"/>
          </w:tcPr>
          <w:p>
            <w:pPr>
              <w:rPr>
                <w:rFonts w:ascii="宋体" w:hAnsi="宋体"/>
                <w:szCs w:val="21"/>
              </w:rPr>
            </w:pPr>
            <w:r>
              <w:rPr>
                <w:rFonts w:ascii="宋体" w:hAnsi="宋体"/>
                <w:szCs w:val="21"/>
              </w:rPr>
              <w:t>名</w:t>
            </w:r>
            <w:r>
              <w:rPr>
                <w:rFonts w:hint="eastAsia" w:ascii="宋体" w:hAnsi="宋体"/>
                <w:szCs w:val="21"/>
              </w:rPr>
              <w:t xml:space="preserve">  </w:t>
            </w:r>
            <w:r>
              <w:rPr>
                <w:rFonts w:ascii="宋体" w:hAnsi="宋体"/>
                <w:szCs w:val="21"/>
              </w:rPr>
              <w:t>称：</w:t>
            </w:r>
            <w:r>
              <w:rPr>
                <w:rFonts w:hint="eastAsia" w:ascii="宋体" w:hAnsi="宋体"/>
                <w:szCs w:val="21"/>
                <w:lang w:eastAsia="zh-CN"/>
              </w:rPr>
              <w:t>建经投资咨询有限公司</w:t>
            </w:r>
          </w:p>
          <w:p>
            <w:pPr>
              <w:rPr>
                <w:rFonts w:hint="eastAsia" w:ascii="宋体" w:hAnsi="宋体"/>
                <w:szCs w:val="21"/>
              </w:rPr>
            </w:pPr>
            <w:r>
              <w:rPr>
                <w:rFonts w:ascii="宋体" w:hAnsi="宋体"/>
                <w:szCs w:val="21"/>
              </w:rPr>
              <w:t>地</w:t>
            </w:r>
            <w:r>
              <w:rPr>
                <w:rFonts w:hint="eastAsia" w:ascii="宋体" w:hAnsi="宋体"/>
                <w:szCs w:val="21"/>
              </w:rPr>
              <w:t xml:space="preserve">  </w:t>
            </w:r>
            <w:r>
              <w:rPr>
                <w:rFonts w:ascii="宋体" w:hAnsi="宋体"/>
                <w:szCs w:val="21"/>
              </w:rPr>
              <w:t>址：</w:t>
            </w:r>
            <w:r>
              <w:rPr>
                <w:rFonts w:hint="eastAsia"/>
                <w:color w:val="auto"/>
                <w:szCs w:val="21"/>
              </w:rPr>
              <w:t>玉环市玉城街道泰兴苑117号401室（13号小区20栋）</w:t>
            </w:r>
          </w:p>
          <w:p>
            <w:pPr>
              <w:rPr>
                <w:rFonts w:hint="eastAsia" w:ascii="宋体" w:hAnsi="宋体"/>
                <w:szCs w:val="21"/>
              </w:rPr>
            </w:pPr>
            <w:r>
              <w:rPr>
                <w:rFonts w:hint="eastAsia" w:ascii="宋体" w:hAnsi="宋体"/>
                <w:szCs w:val="21"/>
              </w:rPr>
              <w:t>联系人：</w:t>
            </w:r>
            <w:r>
              <w:rPr>
                <w:rFonts w:hint="eastAsia" w:ascii="宋体" w:hAnsi="宋体"/>
                <w:szCs w:val="21"/>
                <w:lang w:val="zh-CN"/>
              </w:rPr>
              <w:t>王先生</w:t>
            </w:r>
          </w:p>
          <w:p>
            <w:pPr>
              <w:rPr>
                <w:rFonts w:hAnsi="宋体"/>
                <w:b/>
                <w:szCs w:val="21"/>
                <w:lang w:val="en-US"/>
              </w:rPr>
            </w:pPr>
            <w:r>
              <w:rPr>
                <w:rFonts w:ascii="宋体" w:hAnsi="宋体"/>
                <w:szCs w:val="21"/>
              </w:rPr>
              <w:t>电</w:t>
            </w:r>
            <w:r>
              <w:rPr>
                <w:rFonts w:hint="eastAsia" w:ascii="宋体" w:hAnsi="宋体"/>
                <w:szCs w:val="21"/>
              </w:rPr>
              <w:t xml:space="preserve">  </w:t>
            </w:r>
            <w:r>
              <w:rPr>
                <w:rFonts w:ascii="宋体" w:hAnsi="宋体"/>
                <w:szCs w:val="21"/>
              </w:rPr>
              <w:t>话：</w:t>
            </w:r>
            <w:r>
              <w:rPr>
                <w:rFonts w:hint="eastAsia" w:ascii="宋体" w:hAnsi="宋体"/>
                <w:szCs w:val="21"/>
                <w:lang w:val="en-US" w:eastAsia="zh-CN"/>
              </w:rPr>
              <w:t>18257670313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682" w:type="dxa"/>
            <w:tcBorders>
              <w:bottom w:val="single" w:color="auto" w:sz="4" w:space="0"/>
            </w:tcBorders>
            <w:vAlign w:val="center"/>
          </w:tcPr>
          <w:p>
            <w:pPr>
              <w:jc w:val="center"/>
              <w:rPr>
                <w:szCs w:val="21"/>
              </w:rPr>
            </w:pPr>
            <w:r>
              <w:rPr>
                <w:szCs w:val="21"/>
              </w:rPr>
              <w:t>3</w:t>
            </w:r>
          </w:p>
        </w:tc>
        <w:tc>
          <w:tcPr>
            <w:tcW w:w="861" w:type="dxa"/>
            <w:tcBorders>
              <w:bottom w:val="single" w:color="auto" w:sz="4" w:space="0"/>
            </w:tcBorders>
            <w:vAlign w:val="center"/>
          </w:tcPr>
          <w:p>
            <w:pPr>
              <w:jc w:val="center"/>
              <w:rPr>
                <w:szCs w:val="21"/>
              </w:rPr>
            </w:pPr>
            <w:r>
              <w:rPr>
                <w:szCs w:val="21"/>
              </w:rPr>
              <w:t>1.1</w:t>
            </w:r>
          </w:p>
        </w:tc>
        <w:tc>
          <w:tcPr>
            <w:tcW w:w="1778" w:type="dxa"/>
            <w:tcBorders>
              <w:bottom w:val="single" w:color="auto" w:sz="4" w:space="0"/>
            </w:tcBorders>
            <w:vAlign w:val="center"/>
          </w:tcPr>
          <w:p>
            <w:pPr>
              <w:jc w:val="center"/>
              <w:rPr>
                <w:szCs w:val="21"/>
              </w:rPr>
            </w:pPr>
            <w:r>
              <w:rPr>
                <w:rFonts w:hint="eastAsia" w:hAnsi="宋体"/>
                <w:szCs w:val="21"/>
                <w:lang w:val="en-US" w:eastAsia="zh-CN"/>
              </w:rPr>
              <w:t>项目</w:t>
            </w:r>
            <w:r>
              <w:rPr>
                <w:rFonts w:hAnsi="宋体"/>
                <w:szCs w:val="21"/>
              </w:rPr>
              <w:t>名称</w:t>
            </w:r>
          </w:p>
        </w:tc>
        <w:tc>
          <w:tcPr>
            <w:tcW w:w="6012" w:type="dxa"/>
            <w:tcBorders>
              <w:bottom w:val="single" w:color="auto" w:sz="4" w:space="0"/>
            </w:tcBorders>
            <w:vAlign w:val="center"/>
          </w:tcPr>
          <w:p>
            <w:pPr>
              <w:adjustRightInd w:val="0"/>
              <w:snapToGrid w:val="0"/>
              <w:rPr>
                <w:rFonts w:hint="eastAsia" w:eastAsia="宋体"/>
                <w:szCs w:val="21"/>
                <w:lang w:eastAsia="zh-CN"/>
              </w:rPr>
            </w:pPr>
            <w:r>
              <w:rPr>
                <w:rFonts w:hint="eastAsia" w:hAnsi="宋体"/>
                <w:szCs w:val="21"/>
                <w:lang w:eastAsia="zh-CN"/>
              </w:rPr>
              <w:t>玉环海洋经济转型升级示范区2018年度绿化养护工程 （茶山路、永清路、靖海路等）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682" w:type="dxa"/>
            <w:tcBorders>
              <w:bottom w:val="single" w:color="auto" w:sz="4" w:space="0"/>
            </w:tcBorders>
            <w:vAlign w:val="center"/>
          </w:tcPr>
          <w:p>
            <w:pPr>
              <w:jc w:val="center"/>
              <w:rPr>
                <w:szCs w:val="21"/>
              </w:rPr>
            </w:pPr>
            <w:r>
              <w:rPr>
                <w:szCs w:val="21"/>
              </w:rPr>
              <w:t>4</w:t>
            </w:r>
          </w:p>
        </w:tc>
        <w:tc>
          <w:tcPr>
            <w:tcW w:w="861" w:type="dxa"/>
            <w:tcBorders>
              <w:bottom w:val="single" w:color="auto" w:sz="4" w:space="0"/>
            </w:tcBorders>
            <w:vAlign w:val="center"/>
          </w:tcPr>
          <w:p>
            <w:pPr>
              <w:jc w:val="center"/>
              <w:rPr>
                <w:szCs w:val="21"/>
              </w:rPr>
            </w:pPr>
            <w:r>
              <w:rPr>
                <w:szCs w:val="21"/>
              </w:rPr>
              <w:t>1.1</w:t>
            </w:r>
          </w:p>
        </w:tc>
        <w:tc>
          <w:tcPr>
            <w:tcW w:w="1778" w:type="dxa"/>
            <w:tcBorders>
              <w:bottom w:val="single" w:color="auto" w:sz="4" w:space="0"/>
            </w:tcBorders>
            <w:vAlign w:val="center"/>
          </w:tcPr>
          <w:p>
            <w:pPr>
              <w:jc w:val="center"/>
              <w:rPr>
                <w:szCs w:val="21"/>
              </w:rPr>
            </w:pPr>
            <w:r>
              <w:rPr>
                <w:rFonts w:hAnsi="宋体"/>
                <w:szCs w:val="21"/>
              </w:rPr>
              <w:t>建设地点</w:t>
            </w:r>
          </w:p>
        </w:tc>
        <w:tc>
          <w:tcPr>
            <w:tcW w:w="6012" w:type="dxa"/>
            <w:tcBorders>
              <w:bottom w:val="single" w:color="auto" w:sz="4" w:space="0"/>
            </w:tcBorders>
            <w:vAlign w:val="center"/>
          </w:tcPr>
          <w:p>
            <w:pPr>
              <w:adjustRightInd w:val="0"/>
              <w:snapToGrid w:val="0"/>
              <w:rPr>
                <w:szCs w:val="21"/>
              </w:rPr>
            </w:pPr>
            <w:r>
              <w:rPr>
                <w:rFonts w:hint="eastAsia" w:hAnsi="宋体"/>
                <w:szCs w:val="21"/>
                <w:lang w:eastAsia="zh-CN"/>
              </w:rPr>
              <w:t>位于玉环海洋经济转型升级示范区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3" w:hRule="exact"/>
        </w:trPr>
        <w:tc>
          <w:tcPr>
            <w:tcW w:w="682" w:type="dxa"/>
            <w:tcBorders>
              <w:bottom w:val="single" w:color="auto" w:sz="4" w:space="0"/>
            </w:tcBorders>
            <w:vAlign w:val="center"/>
          </w:tcPr>
          <w:p>
            <w:pPr>
              <w:jc w:val="center"/>
              <w:rPr>
                <w:szCs w:val="21"/>
              </w:rPr>
            </w:pPr>
            <w:r>
              <w:rPr>
                <w:szCs w:val="21"/>
              </w:rPr>
              <w:t>5</w:t>
            </w:r>
          </w:p>
        </w:tc>
        <w:tc>
          <w:tcPr>
            <w:tcW w:w="861" w:type="dxa"/>
            <w:tcBorders>
              <w:bottom w:val="single" w:color="auto" w:sz="4" w:space="0"/>
            </w:tcBorders>
            <w:vAlign w:val="center"/>
          </w:tcPr>
          <w:p>
            <w:pPr>
              <w:jc w:val="center"/>
              <w:rPr>
                <w:szCs w:val="21"/>
              </w:rPr>
            </w:pPr>
            <w:r>
              <w:rPr>
                <w:szCs w:val="21"/>
              </w:rPr>
              <w:t>1.1</w:t>
            </w:r>
          </w:p>
        </w:tc>
        <w:tc>
          <w:tcPr>
            <w:tcW w:w="1778" w:type="dxa"/>
            <w:tcBorders>
              <w:bottom w:val="single" w:color="auto" w:sz="4" w:space="0"/>
            </w:tcBorders>
            <w:vAlign w:val="center"/>
          </w:tcPr>
          <w:p>
            <w:pPr>
              <w:jc w:val="center"/>
              <w:rPr>
                <w:szCs w:val="21"/>
              </w:rPr>
            </w:pPr>
            <w:r>
              <w:rPr>
                <w:rFonts w:hAnsi="宋体"/>
                <w:szCs w:val="21"/>
              </w:rPr>
              <w:t>建设规模</w:t>
            </w:r>
          </w:p>
        </w:tc>
        <w:tc>
          <w:tcPr>
            <w:tcW w:w="6012" w:type="dxa"/>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color w:val="auto"/>
                <w:szCs w:val="21"/>
                <w:lang w:val="en-US" w:eastAsia="zh-CN"/>
              </w:rPr>
            </w:pPr>
            <w:r>
              <w:rPr>
                <w:rFonts w:hint="eastAsia"/>
                <w:color w:val="auto"/>
                <w:szCs w:val="21"/>
                <w:lang w:val="zh-CN" w:eastAsia="zh-CN"/>
              </w:rPr>
              <w:t>茶山路、靖海路、永清路、扬帆路、岁丰路、时和路、锁澜桥头入口、永清路及茶山路东侧景观绿化带，主要内容为1687株乔木及42185m2（含树池内小苗面积）绿地养护</w:t>
            </w:r>
          </w:p>
          <w:p>
            <w:pPr>
              <w:rPr>
                <w:rFonts w:hint="eastAsia" w:hAnsi="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682" w:type="dxa"/>
            <w:tcBorders>
              <w:bottom w:val="single" w:color="auto" w:sz="4" w:space="0"/>
            </w:tcBorders>
            <w:vAlign w:val="center"/>
          </w:tcPr>
          <w:p>
            <w:pPr>
              <w:jc w:val="center"/>
              <w:rPr>
                <w:szCs w:val="21"/>
              </w:rPr>
            </w:pPr>
            <w:r>
              <w:rPr>
                <w:szCs w:val="21"/>
              </w:rPr>
              <w:t>6</w:t>
            </w:r>
          </w:p>
        </w:tc>
        <w:tc>
          <w:tcPr>
            <w:tcW w:w="861" w:type="dxa"/>
            <w:tcBorders>
              <w:bottom w:val="single" w:color="auto" w:sz="4" w:space="0"/>
            </w:tcBorders>
            <w:vAlign w:val="center"/>
          </w:tcPr>
          <w:p>
            <w:pPr>
              <w:jc w:val="center"/>
              <w:rPr>
                <w:szCs w:val="21"/>
              </w:rPr>
            </w:pPr>
            <w:r>
              <w:rPr>
                <w:szCs w:val="21"/>
              </w:rPr>
              <w:t>1.1</w:t>
            </w:r>
          </w:p>
        </w:tc>
        <w:tc>
          <w:tcPr>
            <w:tcW w:w="1778" w:type="dxa"/>
            <w:tcBorders>
              <w:bottom w:val="single" w:color="auto" w:sz="4" w:space="0"/>
            </w:tcBorders>
            <w:vAlign w:val="center"/>
          </w:tcPr>
          <w:p>
            <w:pPr>
              <w:jc w:val="center"/>
              <w:rPr>
                <w:rFonts w:hint="eastAsia" w:eastAsia="宋体"/>
                <w:szCs w:val="21"/>
                <w:lang w:eastAsia="zh-CN"/>
              </w:rPr>
            </w:pPr>
            <w:r>
              <w:rPr>
                <w:rFonts w:hint="eastAsia" w:hAnsi="宋体"/>
                <w:szCs w:val="21"/>
                <w:lang w:eastAsia="zh-CN"/>
              </w:rPr>
              <w:t>招标控制价</w:t>
            </w:r>
          </w:p>
        </w:tc>
        <w:tc>
          <w:tcPr>
            <w:tcW w:w="6012" w:type="dxa"/>
            <w:tcBorders>
              <w:bottom w:val="single" w:color="auto" w:sz="4" w:space="0"/>
            </w:tcBorders>
            <w:vAlign w:val="center"/>
          </w:tcPr>
          <w:p>
            <w:pPr>
              <w:adjustRightInd w:val="0"/>
              <w:snapToGrid w:val="0"/>
              <w:rPr>
                <w:rFonts w:hint="eastAsia"/>
                <w:szCs w:val="21"/>
                <w:lang w:eastAsia="zh-CN"/>
              </w:rPr>
            </w:pPr>
            <w:r>
              <w:rPr>
                <w:rFonts w:hint="eastAsia"/>
                <w:szCs w:val="21"/>
                <w:lang w:eastAsia="zh-CN"/>
              </w:rPr>
              <w:t>374463元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682" w:type="dxa"/>
            <w:tcBorders>
              <w:bottom w:val="single" w:color="auto" w:sz="4" w:space="0"/>
            </w:tcBorders>
            <w:vAlign w:val="center"/>
          </w:tcPr>
          <w:p>
            <w:pPr>
              <w:jc w:val="center"/>
              <w:rPr>
                <w:szCs w:val="21"/>
              </w:rPr>
            </w:pPr>
            <w:r>
              <w:rPr>
                <w:szCs w:val="21"/>
              </w:rPr>
              <w:t>7</w:t>
            </w:r>
          </w:p>
        </w:tc>
        <w:tc>
          <w:tcPr>
            <w:tcW w:w="861" w:type="dxa"/>
            <w:tcBorders>
              <w:bottom w:val="single" w:color="auto" w:sz="4" w:space="0"/>
            </w:tcBorders>
            <w:vAlign w:val="center"/>
          </w:tcPr>
          <w:p>
            <w:pPr>
              <w:jc w:val="center"/>
              <w:rPr>
                <w:szCs w:val="21"/>
              </w:rPr>
            </w:pPr>
            <w:r>
              <w:rPr>
                <w:szCs w:val="21"/>
              </w:rPr>
              <w:t>1.1</w:t>
            </w:r>
          </w:p>
        </w:tc>
        <w:tc>
          <w:tcPr>
            <w:tcW w:w="1778" w:type="dxa"/>
            <w:tcBorders>
              <w:bottom w:val="single" w:color="auto" w:sz="4" w:space="0"/>
            </w:tcBorders>
            <w:vAlign w:val="center"/>
          </w:tcPr>
          <w:p>
            <w:pPr>
              <w:jc w:val="center"/>
              <w:rPr>
                <w:szCs w:val="21"/>
              </w:rPr>
            </w:pPr>
            <w:r>
              <w:rPr>
                <w:rFonts w:hAnsi="宋体"/>
                <w:szCs w:val="21"/>
              </w:rPr>
              <w:t>承包方式</w:t>
            </w:r>
          </w:p>
        </w:tc>
        <w:tc>
          <w:tcPr>
            <w:tcW w:w="6012" w:type="dxa"/>
            <w:tcBorders>
              <w:bottom w:val="single" w:color="auto" w:sz="4" w:space="0"/>
            </w:tcBorders>
            <w:vAlign w:val="center"/>
          </w:tcPr>
          <w:p>
            <w:pPr>
              <w:adjustRightInd w:val="0"/>
              <w:snapToGrid w:val="0"/>
              <w:rPr>
                <w:szCs w:val="21"/>
              </w:rPr>
            </w:pPr>
            <w:r>
              <w:rPr>
                <w:rFonts w:hAnsi="宋体"/>
                <w:szCs w:val="21"/>
              </w:rPr>
              <w:t>包工包料</w:t>
            </w:r>
            <w:r>
              <w:rPr>
                <w:rFonts w:hint="eastAsia" w:hAnsi="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682" w:type="dxa"/>
            <w:tcBorders>
              <w:bottom w:val="single" w:color="auto" w:sz="4" w:space="0"/>
            </w:tcBorders>
            <w:vAlign w:val="center"/>
          </w:tcPr>
          <w:p>
            <w:pPr>
              <w:jc w:val="center"/>
              <w:rPr>
                <w:szCs w:val="21"/>
              </w:rPr>
            </w:pPr>
            <w:r>
              <w:rPr>
                <w:szCs w:val="21"/>
              </w:rPr>
              <w:t>8</w:t>
            </w:r>
          </w:p>
        </w:tc>
        <w:tc>
          <w:tcPr>
            <w:tcW w:w="861" w:type="dxa"/>
            <w:tcBorders>
              <w:bottom w:val="single" w:color="auto" w:sz="4" w:space="0"/>
            </w:tcBorders>
            <w:vAlign w:val="center"/>
          </w:tcPr>
          <w:p>
            <w:pPr>
              <w:jc w:val="center"/>
              <w:rPr>
                <w:szCs w:val="21"/>
              </w:rPr>
            </w:pPr>
            <w:r>
              <w:rPr>
                <w:szCs w:val="21"/>
              </w:rPr>
              <w:t>1.1</w:t>
            </w:r>
          </w:p>
        </w:tc>
        <w:tc>
          <w:tcPr>
            <w:tcW w:w="1778" w:type="dxa"/>
            <w:tcBorders>
              <w:bottom w:val="single" w:color="auto" w:sz="4" w:space="0"/>
            </w:tcBorders>
            <w:vAlign w:val="center"/>
          </w:tcPr>
          <w:p>
            <w:pPr>
              <w:jc w:val="center"/>
              <w:rPr>
                <w:szCs w:val="21"/>
              </w:rPr>
            </w:pPr>
            <w:r>
              <w:rPr>
                <w:rFonts w:hAnsi="宋体"/>
                <w:szCs w:val="21"/>
              </w:rPr>
              <w:t>质量标准</w:t>
            </w:r>
          </w:p>
        </w:tc>
        <w:tc>
          <w:tcPr>
            <w:tcW w:w="6012" w:type="dxa"/>
            <w:tcBorders>
              <w:bottom w:val="single" w:color="auto" w:sz="4" w:space="0"/>
            </w:tcBorders>
            <w:vAlign w:val="center"/>
          </w:tcPr>
          <w:p>
            <w:pPr>
              <w:adjustRightInd w:val="0"/>
              <w:snapToGrid w:val="0"/>
              <w:rPr>
                <w:szCs w:val="21"/>
              </w:rPr>
            </w:pPr>
            <w:r>
              <w:rPr>
                <w:rFonts w:hAnsi="宋体"/>
                <w:szCs w:val="21"/>
              </w:rPr>
              <w:t>合格</w:t>
            </w:r>
            <w:r>
              <w:rPr>
                <w:rFonts w:hint="eastAsia" w:hAnsi="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682" w:type="dxa"/>
            <w:tcBorders>
              <w:bottom w:val="single" w:color="auto" w:sz="4" w:space="0"/>
            </w:tcBorders>
            <w:vAlign w:val="center"/>
          </w:tcPr>
          <w:p>
            <w:pPr>
              <w:jc w:val="center"/>
              <w:rPr>
                <w:szCs w:val="21"/>
              </w:rPr>
            </w:pPr>
            <w:r>
              <w:rPr>
                <w:szCs w:val="21"/>
              </w:rPr>
              <w:t>9</w:t>
            </w:r>
          </w:p>
        </w:tc>
        <w:tc>
          <w:tcPr>
            <w:tcW w:w="861" w:type="dxa"/>
            <w:tcBorders>
              <w:bottom w:val="single" w:color="auto" w:sz="4" w:space="0"/>
            </w:tcBorders>
            <w:vAlign w:val="center"/>
          </w:tcPr>
          <w:p>
            <w:pPr>
              <w:jc w:val="center"/>
              <w:rPr>
                <w:szCs w:val="21"/>
              </w:rPr>
            </w:pPr>
            <w:r>
              <w:rPr>
                <w:szCs w:val="21"/>
              </w:rPr>
              <w:t>1.1</w:t>
            </w:r>
          </w:p>
        </w:tc>
        <w:tc>
          <w:tcPr>
            <w:tcW w:w="1778" w:type="dxa"/>
            <w:tcBorders>
              <w:bottom w:val="single" w:color="auto" w:sz="4" w:space="0"/>
            </w:tcBorders>
            <w:vAlign w:val="center"/>
          </w:tcPr>
          <w:p>
            <w:pPr>
              <w:jc w:val="center"/>
              <w:rPr>
                <w:rFonts w:hint="eastAsia" w:eastAsia="宋体"/>
                <w:szCs w:val="21"/>
                <w:lang w:eastAsia="zh-CN"/>
              </w:rPr>
            </w:pPr>
            <w:r>
              <w:rPr>
                <w:rFonts w:hint="eastAsia" w:hAnsi="宋体"/>
                <w:szCs w:val="21"/>
                <w:lang w:val="en-US" w:eastAsia="zh-CN"/>
              </w:rPr>
              <w:t>服务期</w:t>
            </w:r>
          </w:p>
        </w:tc>
        <w:tc>
          <w:tcPr>
            <w:tcW w:w="6012" w:type="dxa"/>
            <w:tcBorders>
              <w:bottom w:val="single" w:color="auto" w:sz="4" w:space="0"/>
            </w:tcBorders>
            <w:vAlign w:val="center"/>
          </w:tcPr>
          <w:p>
            <w:pPr>
              <w:adjustRightInd w:val="0"/>
              <w:snapToGrid w:val="0"/>
              <w:rPr>
                <w:szCs w:val="21"/>
              </w:rPr>
            </w:pPr>
            <w:r>
              <w:rPr>
                <w:rFonts w:hint="eastAsia" w:hAnsi="宋体"/>
                <w:szCs w:val="21"/>
                <w:lang w:val="en-US" w:eastAsia="zh-CN"/>
              </w:rPr>
              <w:t>12个月</w:t>
            </w:r>
            <w:r>
              <w:rPr>
                <w:rFonts w:hint="eastAsia" w:hAnsi="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682" w:type="dxa"/>
            <w:vAlign w:val="center"/>
          </w:tcPr>
          <w:p>
            <w:pPr>
              <w:jc w:val="center"/>
              <w:rPr>
                <w:szCs w:val="21"/>
              </w:rPr>
            </w:pPr>
            <w:r>
              <w:rPr>
                <w:szCs w:val="21"/>
              </w:rPr>
              <w:t>10</w:t>
            </w:r>
          </w:p>
        </w:tc>
        <w:tc>
          <w:tcPr>
            <w:tcW w:w="861" w:type="dxa"/>
            <w:vAlign w:val="center"/>
          </w:tcPr>
          <w:p>
            <w:pPr>
              <w:jc w:val="center"/>
              <w:rPr>
                <w:szCs w:val="21"/>
              </w:rPr>
            </w:pPr>
            <w:r>
              <w:rPr>
                <w:szCs w:val="21"/>
              </w:rPr>
              <w:t>2.1</w:t>
            </w:r>
          </w:p>
        </w:tc>
        <w:tc>
          <w:tcPr>
            <w:tcW w:w="1778" w:type="dxa"/>
            <w:vAlign w:val="center"/>
          </w:tcPr>
          <w:p>
            <w:pPr>
              <w:jc w:val="center"/>
              <w:rPr>
                <w:szCs w:val="21"/>
              </w:rPr>
            </w:pPr>
            <w:r>
              <w:rPr>
                <w:rFonts w:hAnsi="宋体"/>
                <w:szCs w:val="21"/>
              </w:rPr>
              <w:t>招标方式</w:t>
            </w:r>
          </w:p>
        </w:tc>
        <w:tc>
          <w:tcPr>
            <w:tcW w:w="6012" w:type="dxa"/>
            <w:vAlign w:val="center"/>
          </w:tcPr>
          <w:p>
            <w:pPr>
              <w:keepNext w:val="0"/>
              <w:keepLines w:val="0"/>
              <w:pageBreakBefore w:val="0"/>
              <w:kinsoku/>
              <w:wordWrap/>
              <w:overflowPunct/>
              <w:topLinePunct w:val="0"/>
              <w:autoSpaceDE/>
              <w:autoSpaceDN/>
              <w:bidi w:val="0"/>
              <w:spacing w:line="240" w:lineRule="auto"/>
              <w:textAlignment w:val="auto"/>
              <w:rPr>
                <w:szCs w:val="21"/>
              </w:rPr>
            </w:pPr>
            <w:r>
              <w:rPr>
                <w:rFonts w:hAnsi="宋体"/>
                <w:szCs w:val="21"/>
              </w:rPr>
              <w:t>公开招标</w:t>
            </w:r>
            <w:r>
              <w:rPr>
                <w:rFonts w:hint="eastAsia" w:hAnsi="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exact"/>
        </w:trPr>
        <w:tc>
          <w:tcPr>
            <w:tcW w:w="682" w:type="dxa"/>
            <w:tcBorders>
              <w:bottom w:val="single" w:color="auto" w:sz="4" w:space="0"/>
            </w:tcBorders>
            <w:vAlign w:val="center"/>
          </w:tcPr>
          <w:p>
            <w:pPr>
              <w:jc w:val="center"/>
              <w:rPr>
                <w:szCs w:val="21"/>
              </w:rPr>
            </w:pPr>
            <w:r>
              <w:rPr>
                <w:szCs w:val="21"/>
              </w:rPr>
              <w:t>11</w:t>
            </w:r>
          </w:p>
        </w:tc>
        <w:tc>
          <w:tcPr>
            <w:tcW w:w="861" w:type="dxa"/>
            <w:tcBorders>
              <w:bottom w:val="single" w:color="auto" w:sz="4" w:space="0"/>
            </w:tcBorders>
            <w:vAlign w:val="center"/>
          </w:tcPr>
          <w:p>
            <w:pPr>
              <w:jc w:val="center"/>
              <w:rPr>
                <w:szCs w:val="21"/>
              </w:rPr>
            </w:pPr>
            <w:r>
              <w:rPr>
                <w:szCs w:val="21"/>
              </w:rPr>
              <w:t>2.2</w:t>
            </w:r>
          </w:p>
        </w:tc>
        <w:tc>
          <w:tcPr>
            <w:tcW w:w="1778" w:type="dxa"/>
            <w:tcBorders>
              <w:bottom w:val="single" w:color="auto" w:sz="4" w:space="0"/>
            </w:tcBorders>
            <w:vAlign w:val="center"/>
          </w:tcPr>
          <w:p>
            <w:pPr>
              <w:jc w:val="center"/>
              <w:rPr>
                <w:szCs w:val="21"/>
              </w:rPr>
            </w:pPr>
            <w:r>
              <w:rPr>
                <w:rFonts w:hAnsi="宋体"/>
                <w:szCs w:val="21"/>
              </w:rPr>
              <w:t>招标范围</w:t>
            </w:r>
          </w:p>
        </w:tc>
        <w:tc>
          <w:tcPr>
            <w:tcW w:w="6012" w:type="dxa"/>
            <w:tcBorders>
              <w:bottom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auto"/>
              <w:textAlignment w:val="auto"/>
              <w:rPr>
                <w:kern w:val="21"/>
                <w:szCs w:val="21"/>
              </w:rPr>
            </w:pPr>
            <w:r>
              <w:rPr>
                <w:rFonts w:hint="eastAsia"/>
                <w:kern w:val="21"/>
                <w:szCs w:val="21"/>
              </w:rPr>
              <w:t>招标人指定的玉环海洋经济转型升级示范区2018年度绿化养护工程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682" w:type="dxa"/>
            <w:tcBorders>
              <w:bottom w:val="single" w:color="auto" w:sz="4" w:space="0"/>
            </w:tcBorders>
            <w:vAlign w:val="center"/>
          </w:tcPr>
          <w:p>
            <w:pPr>
              <w:jc w:val="center"/>
              <w:rPr>
                <w:szCs w:val="21"/>
              </w:rPr>
            </w:pPr>
            <w:r>
              <w:rPr>
                <w:szCs w:val="21"/>
              </w:rPr>
              <w:t>12</w:t>
            </w:r>
          </w:p>
        </w:tc>
        <w:tc>
          <w:tcPr>
            <w:tcW w:w="861" w:type="dxa"/>
            <w:tcBorders>
              <w:bottom w:val="single" w:color="auto" w:sz="4" w:space="0"/>
            </w:tcBorders>
            <w:vAlign w:val="center"/>
          </w:tcPr>
          <w:p>
            <w:pPr>
              <w:jc w:val="center"/>
              <w:rPr>
                <w:szCs w:val="21"/>
              </w:rPr>
            </w:pPr>
            <w:r>
              <w:rPr>
                <w:szCs w:val="21"/>
              </w:rPr>
              <w:t>3.1</w:t>
            </w:r>
          </w:p>
        </w:tc>
        <w:tc>
          <w:tcPr>
            <w:tcW w:w="1778" w:type="dxa"/>
            <w:tcBorders>
              <w:bottom w:val="single" w:color="auto" w:sz="4" w:space="0"/>
            </w:tcBorders>
            <w:vAlign w:val="center"/>
          </w:tcPr>
          <w:p>
            <w:pPr>
              <w:jc w:val="center"/>
              <w:rPr>
                <w:szCs w:val="21"/>
              </w:rPr>
            </w:pPr>
            <w:r>
              <w:rPr>
                <w:rFonts w:hAnsi="宋体"/>
                <w:szCs w:val="21"/>
              </w:rPr>
              <w:t>资金来源</w:t>
            </w:r>
          </w:p>
        </w:tc>
        <w:tc>
          <w:tcPr>
            <w:tcW w:w="6012" w:type="dxa"/>
            <w:tcBorders>
              <w:bottom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auto"/>
              <w:textAlignment w:val="auto"/>
              <w:rPr>
                <w:szCs w:val="21"/>
              </w:rPr>
            </w:pPr>
            <w:r>
              <w:rPr>
                <w:rFonts w:hAnsi="宋体"/>
                <w:szCs w:val="21"/>
              </w:rPr>
              <w:t>自筹</w:t>
            </w:r>
            <w:r>
              <w:rPr>
                <w:rFonts w:hint="eastAsia" w:hAnsi="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9" w:hRule="exact"/>
        </w:trPr>
        <w:tc>
          <w:tcPr>
            <w:tcW w:w="682" w:type="dxa"/>
            <w:tcBorders>
              <w:bottom w:val="single" w:color="auto" w:sz="4" w:space="0"/>
            </w:tcBorders>
            <w:vAlign w:val="center"/>
          </w:tcPr>
          <w:p>
            <w:pPr>
              <w:jc w:val="center"/>
              <w:rPr>
                <w:szCs w:val="21"/>
              </w:rPr>
            </w:pPr>
            <w:r>
              <w:rPr>
                <w:szCs w:val="21"/>
              </w:rPr>
              <w:t>13</w:t>
            </w:r>
          </w:p>
        </w:tc>
        <w:tc>
          <w:tcPr>
            <w:tcW w:w="861" w:type="dxa"/>
            <w:tcBorders>
              <w:bottom w:val="single" w:color="auto" w:sz="4" w:space="0"/>
            </w:tcBorders>
            <w:vAlign w:val="center"/>
          </w:tcPr>
          <w:p>
            <w:pPr>
              <w:jc w:val="center"/>
              <w:rPr>
                <w:szCs w:val="21"/>
              </w:rPr>
            </w:pPr>
            <w:r>
              <w:rPr>
                <w:szCs w:val="21"/>
              </w:rPr>
              <w:t>4.1</w:t>
            </w:r>
          </w:p>
        </w:tc>
        <w:tc>
          <w:tcPr>
            <w:tcW w:w="1778" w:type="dxa"/>
            <w:tcBorders>
              <w:bottom w:val="single" w:color="auto" w:sz="4" w:space="0"/>
            </w:tcBorders>
            <w:vAlign w:val="center"/>
          </w:tcPr>
          <w:p>
            <w:pPr>
              <w:jc w:val="center"/>
              <w:rPr>
                <w:szCs w:val="21"/>
              </w:rPr>
            </w:pPr>
            <w:r>
              <w:rPr>
                <w:rFonts w:hAnsi="宋体"/>
                <w:szCs w:val="21"/>
              </w:rPr>
              <w:t>投标人要求</w:t>
            </w:r>
          </w:p>
        </w:tc>
        <w:tc>
          <w:tcPr>
            <w:tcW w:w="6012"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0"/>
              <w:jc w:val="both"/>
              <w:textAlignment w:val="auto"/>
              <w:outlineLvl w:val="9"/>
              <w:rPr>
                <w:rFonts w:hint="eastAsia" w:ascii="宋体" w:hAnsi="宋体" w:eastAsia="宋体" w:cs="宋体"/>
                <w:b w:val="0"/>
                <w:i w:val="0"/>
                <w:caps w:val="0"/>
                <w:color w:val="auto"/>
                <w:spacing w:val="0"/>
                <w:sz w:val="18"/>
                <w:szCs w:val="18"/>
                <w:shd w:val="clear" w:color="auto" w:fill="FFFFFF"/>
              </w:rPr>
            </w:pPr>
            <w:r>
              <w:rPr>
                <w:rFonts w:hint="eastAsia"/>
                <w:color w:val="auto"/>
                <w:sz w:val="21"/>
                <w:szCs w:val="21"/>
                <w:lang w:val="en-US" w:eastAsia="zh-CN"/>
              </w:rPr>
              <w:t>1、</w:t>
            </w:r>
            <w:r>
              <w:rPr>
                <w:rFonts w:hint="eastAsia" w:ascii="宋体" w:hAnsi="宋体"/>
                <w:color w:val="auto"/>
                <w:kern w:val="0"/>
                <w:sz w:val="21"/>
                <w:szCs w:val="21"/>
              </w:rPr>
              <w:t>本次招标要求投标人必须具备下列条件之一：</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0"/>
              <w:jc w:val="both"/>
              <w:textAlignment w:val="auto"/>
              <w:outlineLvl w:val="9"/>
              <w:rPr>
                <w:rFonts w:hint="eastAsia" w:ascii="Times New Roman" w:hAnsi="宋体" w:eastAsia="宋体" w:cs="Times New Roman"/>
                <w:color w:val="auto"/>
                <w:kern w:val="0"/>
                <w:sz w:val="21"/>
                <w:szCs w:val="21"/>
                <w:lang w:val="en-US" w:eastAsia="zh-CN" w:bidi="ar-SA"/>
              </w:rPr>
            </w:pPr>
            <w:r>
              <w:rPr>
                <w:rFonts w:hint="eastAsia" w:ascii="Times New Roman" w:hAnsi="宋体" w:eastAsia="宋体" w:cs="Times New Roman"/>
                <w:color w:val="auto"/>
                <w:kern w:val="0"/>
                <w:sz w:val="21"/>
                <w:szCs w:val="21"/>
                <w:lang w:val="en-US" w:eastAsia="zh-CN" w:bidi="ar-SA"/>
              </w:rPr>
              <w:t>（1）</w:t>
            </w:r>
            <w:r>
              <w:rPr>
                <w:rFonts w:hint="eastAsia" w:hAnsi="宋体" w:cs="Times New Roman"/>
                <w:color w:val="auto"/>
                <w:kern w:val="0"/>
                <w:sz w:val="21"/>
                <w:szCs w:val="21"/>
                <w:lang w:val="en-US" w:eastAsia="zh-CN" w:bidi="ar-SA"/>
              </w:rPr>
              <w:t>具备独立法人资格，有</w:t>
            </w:r>
            <w:r>
              <w:rPr>
                <w:rFonts w:hint="eastAsia" w:ascii="Times New Roman" w:hAnsi="宋体" w:eastAsia="宋体" w:cs="Times New Roman"/>
                <w:color w:val="auto"/>
                <w:kern w:val="0"/>
                <w:sz w:val="21"/>
                <w:szCs w:val="21"/>
                <w:lang w:val="en-US" w:eastAsia="zh-CN" w:bidi="ar-SA"/>
              </w:rPr>
              <w:t>相应的园林绿化</w:t>
            </w:r>
            <w:r>
              <w:rPr>
                <w:rFonts w:hint="eastAsia" w:hAnsi="宋体" w:cs="Times New Roman"/>
                <w:color w:val="auto"/>
                <w:kern w:val="0"/>
                <w:sz w:val="21"/>
                <w:szCs w:val="21"/>
                <w:lang w:val="en-US" w:eastAsia="zh-CN" w:bidi="ar-SA"/>
              </w:rPr>
              <w:t>服务</w:t>
            </w:r>
            <w:r>
              <w:rPr>
                <w:rFonts w:hint="eastAsia" w:ascii="Times New Roman" w:hAnsi="宋体" w:eastAsia="宋体" w:cs="Times New Roman"/>
                <w:color w:val="auto"/>
                <w:kern w:val="0"/>
                <w:sz w:val="21"/>
                <w:szCs w:val="21"/>
                <w:lang w:val="en-US" w:eastAsia="zh-CN" w:bidi="ar-SA"/>
              </w:rPr>
              <w:t>等类似经营范围的企业。</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0"/>
              <w:jc w:val="both"/>
              <w:textAlignment w:val="auto"/>
              <w:outlineLvl w:val="9"/>
              <w:rPr>
                <w:rFonts w:hint="eastAsia" w:ascii="Times New Roman" w:hAnsi="宋体" w:eastAsia="宋体" w:cs="Times New Roman"/>
                <w:color w:val="auto"/>
                <w:kern w:val="0"/>
                <w:sz w:val="21"/>
                <w:szCs w:val="21"/>
                <w:lang w:val="en-US" w:eastAsia="zh-CN" w:bidi="ar-SA"/>
              </w:rPr>
            </w:pPr>
            <w:r>
              <w:rPr>
                <w:rFonts w:hint="eastAsia" w:ascii="Times New Roman" w:hAnsi="宋体" w:eastAsia="宋体" w:cs="Times New Roman"/>
                <w:color w:val="auto"/>
                <w:kern w:val="0"/>
                <w:sz w:val="21"/>
                <w:szCs w:val="21"/>
                <w:lang w:val="en-US" w:eastAsia="zh-CN" w:bidi="ar-SA"/>
              </w:rPr>
              <w:t>（2）具备</w:t>
            </w:r>
            <w:r>
              <w:rPr>
                <w:rFonts w:hint="eastAsia" w:hAnsi="宋体" w:cs="Times New Roman"/>
                <w:color w:val="auto"/>
                <w:kern w:val="0"/>
                <w:sz w:val="21"/>
                <w:szCs w:val="21"/>
                <w:lang w:val="en-US" w:eastAsia="zh-CN" w:bidi="ar-SA"/>
              </w:rPr>
              <w:t>城市园林绿化叁级</w:t>
            </w:r>
            <w:r>
              <w:rPr>
                <w:rFonts w:hint="eastAsia" w:ascii="Times New Roman" w:hAnsi="宋体" w:eastAsia="宋体" w:cs="Times New Roman"/>
                <w:color w:val="auto"/>
                <w:kern w:val="0"/>
                <w:sz w:val="21"/>
                <w:szCs w:val="21"/>
                <w:lang w:val="en-US" w:eastAsia="zh-CN" w:bidi="ar-SA"/>
              </w:rPr>
              <w:t>及以上资质的企业。</w:t>
            </w:r>
          </w:p>
          <w:p>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jc w:val="left"/>
              <w:textAlignment w:val="auto"/>
              <w:outlineLvl w:val="9"/>
              <w:rPr>
                <w:rFonts w:hint="eastAsia" w:ascii="Times New Roman" w:hAnsi="宋体" w:eastAsia="宋体" w:cs="Times New Roman"/>
                <w:color w:val="auto"/>
                <w:kern w:val="0"/>
                <w:sz w:val="21"/>
                <w:szCs w:val="21"/>
                <w:lang w:val="en-US" w:eastAsia="zh-CN" w:bidi="ar-SA"/>
              </w:rPr>
            </w:pPr>
            <w:r>
              <w:rPr>
                <w:rFonts w:hint="eastAsia" w:ascii="Times New Roman" w:hAnsi="宋体" w:eastAsia="宋体" w:cs="Times New Roman"/>
                <w:color w:val="auto"/>
                <w:kern w:val="0"/>
                <w:sz w:val="21"/>
                <w:szCs w:val="21"/>
                <w:lang w:val="en-US" w:eastAsia="zh-CN" w:bidi="ar-SA"/>
              </w:rPr>
              <w:t xml:space="preserve">2  </w:t>
            </w:r>
            <w:r>
              <w:rPr>
                <w:rFonts w:hint="eastAsia" w:ascii="Times New Roman" w:cs="Times New Roman"/>
                <w:color w:val="auto"/>
                <w:kern w:val="0"/>
                <w:sz w:val="21"/>
                <w:szCs w:val="21"/>
                <w:lang w:val="en-US" w:eastAsia="zh-CN" w:bidi="ar-SA"/>
              </w:rPr>
              <w:t>本次招标要求投标人须具有园林绿化养护业绩或园林绿化施工业绩。</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0"/>
              <w:jc w:val="both"/>
              <w:textAlignment w:val="auto"/>
              <w:outlineLvl w:val="9"/>
              <w:rPr>
                <w:rFonts w:hint="eastAsia" w:ascii="Times New Roman" w:hAnsi="宋体" w:eastAsia="宋体" w:cs="Times New Roman"/>
                <w:color w:val="auto"/>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8" w:hRule="exact"/>
        </w:trPr>
        <w:tc>
          <w:tcPr>
            <w:tcW w:w="682" w:type="dxa"/>
            <w:vAlign w:val="center"/>
          </w:tcPr>
          <w:p>
            <w:pPr>
              <w:jc w:val="center"/>
              <w:rPr>
                <w:szCs w:val="21"/>
              </w:rPr>
            </w:pPr>
            <w:r>
              <w:rPr>
                <w:szCs w:val="21"/>
              </w:rPr>
              <w:t>1</w:t>
            </w:r>
            <w:r>
              <w:rPr>
                <w:rFonts w:hint="eastAsia"/>
                <w:szCs w:val="21"/>
                <w:lang w:val="en-US" w:eastAsia="zh-CN"/>
              </w:rPr>
              <w:t>4</w:t>
            </w:r>
          </w:p>
        </w:tc>
        <w:tc>
          <w:tcPr>
            <w:tcW w:w="861" w:type="dxa"/>
            <w:vAlign w:val="center"/>
          </w:tcPr>
          <w:p>
            <w:pPr>
              <w:jc w:val="center"/>
              <w:rPr>
                <w:szCs w:val="21"/>
              </w:rPr>
            </w:pPr>
            <w:r>
              <w:rPr>
                <w:szCs w:val="21"/>
              </w:rPr>
              <w:t>4.1</w:t>
            </w:r>
          </w:p>
        </w:tc>
        <w:tc>
          <w:tcPr>
            <w:tcW w:w="1778" w:type="dxa"/>
            <w:vAlign w:val="center"/>
          </w:tcPr>
          <w:p>
            <w:pPr>
              <w:jc w:val="center"/>
              <w:rPr>
                <w:szCs w:val="21"/>
              </w:rPr>
            </w:pPr>
            <w:r>
              <w:rPr>
                <w:rFonts w:hAnsi="宋体"/>
                <w:szCs w:val="21"/>
              </w:rPr>
              <w:t>项目负责人要求</w:t>
            </w:r>
          </w:p>
        </w:tc>
        <w:tc>
          <w:tcPr>
            <w:tcW w:w="6012" w:type="dxa"/>
            <w:vAlign w:val="center"/>
          </w:tcPr>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rPr>
                <w:color w:val="auto"/>
                <w:szCs w:val="21"/>
              </w:rPr>
            </w:pPr>
            <w:r>
              <w:rPr>
                <w:rFonts w:hint="eastAsia"/>
                <w:color w:val="auto"/>
                <w:szCs w:val="21"/>
              </w:rPr>
              <w:t>本工程招标要求项目负责人具有中级工程师及以上职称（园林、绿化相关专业），在建项目不作要求。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682" w:type="dxa"/>
            <w:vAlign w:val="center"/>
          </w:tcPr>
          <w:p>
            <w:pPr>
              <w:jc w:val="center"/>
              <w:rPr>
                <w:szCs w:val="21"/>
              </w:rPr>
            </w:pPr>
            <w:r>
              <w:rPr>
                <w:szCs w:val="21"/>
              </w:rPr>
              <w:t>1</w:t>
            </w:r>
            <w:r>
              <w:rPr>
                <w:rFonts w:hint="eastAsia"/>
                <w:szCs w:val="21"/>
                <w:lang w:val="en-US" w:eastAsia="zh-CN"/>
              </w:rPr>
              <w:t>5</w:t>
            </w:r>
          </w:p>
        </w:tc>
        <w:tc>
          <w:tcPr>
            <w:tcW w:w="861" w:type="dxa"/>
            <w:vAlign w:val="center"/>
          </w:tcPr>
          <w:p>
            <w:pPr>
              <w:jc w:val="center"/>
              <w:rPr>
                <w:szCs w:val="21"/>
              </w:rPr>
            </w:pPr>
            <w:r>
              <w:rPr>
                <w:szCs w:val="21"/>
              </w:rPr>
              <w:t>4.2</w:t>
            </w:r>
          </w:p>
        </w:tc>
        <w:tc>
          <w:tcPr>
            <w:tcW w:w="1778" w:type="dxa"/>
            <w:vAlign w:val="center"/>
          </w:tcPr>
          <w:p>
            <w:pPr>
              <w:jc w:val="center"/>
              <w:rPr>
                <w:szCs w:val="21"/>
              </w:rPr>
            </w:pPr>
            <w:r>
              <w:rPr>
                <w:rFonts w:hAnsi="宋体"/>
                <w:szCs w:val="21"/>
              </w:rPr>
              <w:t>投标人确定方式</w:t>
            </w:r>
          </w:p>
        </w:tc>
        <w:tc>
          <w:tcPr>
            <w:tcW w:w="6012" w:type="dxa"/>
            <w:vAlign w:val="center"/>
          </w:tcPr>
          <w:p>
            <w:pPr>
              <w:rPr>
                <w:szCs w:val="21"/>
              </w:rPr>
            </w:pPr>
            <w:r>
              <w:rPr>
                <w:rFonts w:hAnsi="宋体"/>
                <w:szCs w:val="21"/>
              </w:rPr>
              <w:t>资格后审</w:t>
            </w:r>
            <w:r>
              <w:rPr>
                <w:rFonts w:hint="eastAsia" w:hAnsi="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682" w:type="dxa"/>
            <w:vAlign w:val="center"/>
          </w:tcPr>
          <w:p>
            <w:pPr>
              <w:jc w:val="center"/>
              <w:rPr>
                <w:rFonts w:hint="eastAsia" w:eastAsia="宋体"/>
                <w:szCs w:val="21"/>
                <w:lang w:val="en-US" w:eastAsia="zh-CN"/>
              </w:rPr>
            </w:pPr>
            <w:r>
              <w:rPr>
                <w:rFonts w:hint="eastAsia"/>
                <w:szCs w:val="21"/>
                <w:lang w:val="en-US" w:eastAsia="zh-CN"/>
              </w:rPr>
              <w:t>16</w:t>
            </w:r>
          </w:p>
        </w:tc>
        <w:tc>
          <w:tcPr>
            <w:tcW w:w="861" w:type="dxa"/>
            <w:vAlign w:val="center"/>
          </w:tcPr>
          <w:p>
            <w:pPr>
              <w:jc w:val="center"/>
              <w:rPr>
                <w:rFonts w:hint="eastAsia" w:eastAsia="宋体"/>
                <w:szCs w:val="21"/>
                <w:lang w:val="en-US" w:eastAsia="zh-CN"/>
              </w:rPr>
            </w:pPr>
            <w:r>
              <w:rPr>
                <w:rFonts w:hint="eastAsia"/>
                <w:szCs w:val="21"/>
                <w:lang w:val="en-US" w:eastAsia="zh-CN"/>
              </w:rPr>
              <w:t>4.6</w:t>
            </w:r>
          </w:p>
        </w:tc>
        <w:tc>
          <w:tcPr>
            <w:tcW w:w="1778" w:type="dxa"/>
            <w:vAlign w:val="center"/>
          </w:tcPr>
          <w:p>
            <w:pPr>
              <w:jc w:val="center"/>
              <w:rPr>
                <w:rFonts w:hAnsi="宋体"/>
                <w:szCs w:val="21"/>
              </w:rPr>
            </w:pPr>
            <w:r>
              <w:rPr>
                <w:rFonts w:hAnsi="宋体"/>
                <w:szCs w:val="21"/>
              </w:rPr>
              <w:t>是否接受联合体投标</w:t>
            </w:r>
          </w:p>
        </w:tc>
        <w:tc>
          <w:tcPr>
            <w:tcW w:w="6012" w:type="dxa"/>
            <w:vAlign w:val="center"/>
          </w:tcPr>
          <w:p>
            <w:pPr>
              <w:jc w:val="both"/>
              <w:rPr>
                <w:rFonts w:hAnsi="宋体"/>
                <w:szCs w:val="21"/>
              </w:rPr>
            </w:pPr>
            <w:r>
              <w:rPr>
                <w:rFonts w:hint="eastAsia" w:hAnsi="宋体"/>
                <w:szCs w:val="21"/>
                <w:lang w:eastAsia="zh-CN"/>
              </w:rPr>
              <w:t>不</w:t>
            </w:r>
            <w:r>
              <w:rPr>
                <w:rFonts w:hAnsi="宋体"/>
                <w:szCs w:val="21"/>
              </w:rPr>
              <w:t>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73" w:hRule="atLeast"/>
        </w:trPr>
        <w:tc>
          <w:tcPr>
            <w:tcW w:w="682" w:type="dxa"/>
            <w:vAlign w:val="center"/>
          </w:tcPr>
          <w:p>
            <w:pPr>
              <w:jc w:val="center"/>
              <w:rPr>
                <w:szCs w:val="21"/>
              </w:rPr>
            </w:pPr>
            <w:r>
              <w:rPr>
                <w:szCs w:val="21"/>
              </w:rPr>
              <w:t>17</w:t>
            </w:r>
          </w:p>
        </w:tc>
        <w:tc>
          <w:tcPr>
            <w:tcW w:w="861" w:type="dxa"/>
            <w:vAlign w:val="center"/>
          </w:tcPr>
          <w:p>
            <w:pPr>
              <w:jc w:val="center"/>
              <w:rPr>
                <w:szCs w:val="21"/>
              </w:rPr>
            </w:pPr>
            <w:r>
              <w:rPr>
                <w:szCs w:val="21"/>
              </w:rPr>
              <w:t>13.1</w:t>
            </w:r>
          </w:p>
        </w:tc>
        <w:tc>
          <w:tcPr>
            <w:tcW w:w="1778" w:type="dxa"/>
            <w:vAlign w:val="center"/>
          </w:tcPr>
          <w:p>
            <w:pPr>
              <w:rPr>
                <w:szCs w:val="21"/>
              </w:rPr>
            </w:pPr>
            <w:r>
              <w:rPr>
                <w:rFonts w:hAnsi="宋体"/>
                <w:szCs w:val="21"/>
              </w:rPr>
              <w:t>投标文件组成</w:t>
            </w:r>
          </w:p>
        </w:tc>
        <w:tc>
          <w:tcPr>
            <w:tcW w:w="6012" w:type="dxa"/>
            <w:vAlign w:val="center"/>
          </w:tcPr>
          <w:p>
            <w:pPr>
              <w:spacing w:line="300" w:lineRule="exact"/>
              <w:rPr>
                <w:szCs w:val="21"/>
              </w:rPr>
            </w:pPr>
            <w:r>
              <w:rPr>
                <w:rFonts w:hAnsi="宋体"/>
                <w:szCs w:val="21"/>
              </w:rPr>
              <w:t>投标文件由商务标组成。</w:t>
            </w:r>
          </w:p>
          <w:p>
            <w:pPr>
              <w:spacing w:line="300" w:lineRule="exact"/>
              <w:rPr>
                <w:szCs w:val="21"/>
              </w:rPr>
            </w:pPr>
            <w:r>
              <w:rPr>
                <w:szCs w:val="21"/>
              </w:rPr>
              <w:t>1</w:t>
            </w:r>
            <w:r>
              <w:rPr>
                <w:rFonts w:hAnsi="宋体"/>
                <w:szCs w:val="21"/>
              </w:rPr>
              <w:t>、商务标包括：</w:t>
            </w:r>
          </w:p>
          <w:p>
            <w:pPr>
              <w:spacing w:line="300" w:lineRule="exact"/>
              <w:rPr>
                <w:szCs w:val="21"/>
              </w:rPr>
            </w:pPr>
            <w:r>
              <w:rPr>
                <w:rFonts w:hAnsi="宋体"/>
                <w:szCs w:val="21"/>
              </w:rPr>
              <w:t>（</w:t>
            </w:r>
            <w:r>
              <w:rPr>
                <w:szCs w:val="21"/>
              </w:rPr>
              <w:t>1</w:t>
            </w:r>
            <w:r>
              <w:rPr>
                <w:rFonts w:hAnsi="宋体"/>
                <w:szCs w:val="21"/>
              </w:rPr>
              <w:t>）投标函（附件一）；</w:t>
            </w:r>
          </w:p>
          <w:p>
            <w:pPr>
              <w:spacing w:line="300" w:lineRule="exact"/>
              <w:rPr>
                <w:rFonts w:hAnsi="宋体"/>
                <w:szCs w:val="21"/>
              </w:rPr>
            </w:pPr>
            <w:r>
              <w:rPr>
                <w:rFonts w:hAnsi="宋体"/>
                <w:szCs w:val="21"/>
              </w:rPr>
              <w:t>（</w:t>
            </w:r>
            <w:r>
              <w:rPr>
                <w:rFonts w:hint="eastAsia"/>
                <w:szCs w:val="21"/>
              </w:rPr>
              <w:t>2</w:t>
            </w:r>
            <w:r>
              <w:rPr>
                <w:rFonts w:hAnsi="宋体"/>
                <w:szCs w:val="21"/>
              </w:rPr>
              <w:t>）</w:t>
            </w:r>
            <w:r>
              <w:rPr>
                <w:rFonts w:eastAsia="宋体"/>
                <w:color w:val="000000"/>
                <w:sz w:val="21"/>
                <w:szCs w:val="21"/>
              </w:rPr>
              <w:t>养护管理人员表</w:t>
            </w:r>
            <w:r>
              <w:rPr>
                <w:rFonts w:hAnsi="宋体"/>
                <w:szCs w:val="21"/>
              </w:rPr>
              <w:t>（附件</w:t>
            </w:r>
            <w:r>
              <w:rPr>
                <w:rFonts w:hint="eastAsia" w:hAnsi="宋体"/>
                <w:szCs w:val="21"/>
                <w:lang w:eastAsia="zh-CN"/>
              </w:rPr>
              <w:t>二</w:t>
            </w:r>
            <w:r>
              <w:rPr>
                <w:rFonts w:hAnsi="宋体"/>
                <w:szCs w:val="21"/>
              </w:rPr>
              <w:t>）；</w:t>
            </w:r>
          </w:p>
          <w:p>
            <w:pPr>
              <w:spacing w:line="300" w:lineRule="exact"/>
              <w:rPr>
                <w:rFonts w:hint="eastAsia"/>
                <w:color w:val="000000"/>
                <w:sz w:val="21"/>
                <w:szCs w:val="21"/>
                <w:lang w:eastAsia="zh-CN"/>
              </w:rPr>
            </w:pPr>
            <w:r>
              <w:rPr>
                <w:rFonts w:eastAsia="宋体"/>
                <w:color w:val="000000"/>
                <w:sz w:val="21"/>
                <w:szCs w:val="21"/>
              </w:rPr>
              <w:t>（</w:t>
            </w:r>
            <w:r>
              <w:rPr>
                <w:rFonts w:hint="eastAsia"/>
                <w:color w:val="000000"/>
                <w:sz w:val="21"/>
                <w:szCs w:val="21"/>
                <w:lang w:val="en-US" w:eastAsia="zh-CN"/>
              </w:rPr>
              <w:t>3</w:t>
            </w:r>
            <w:r>
              <w:rPr>
                <w:rFonts w:eastAsia="宋体"/>
                <w:color w:val="000000"/>
                <w:sz w:val="21"/>
                <w:szCs w:val="21"/>
              </w:rPr>
              <w:t>）投入养护的主要设备表（附件</w:t>
            </w:r>
            <w:r>
              <w:rPr>
                <w:rFonts w:hint="eastAsia"/>
                <w:color w:val="000000"/>
                <w:sz w:val="21"/>
                <w:szCs w:val="21"/>
                <w:lang w:eastAsia="zh-CN"/>
              </w:rPr>
              <w:t>三</w:t>
            </w:r>
            <w:r>
              <w:rPr>
                <w:rFonts w:eastAsia="宋体"/>
                <w:color w:val="000000"/>
                <w:sz w:val="21"/>
                <w:szCs w:val="21"/>
              </w:rPr>
              <w:t>）</w:t>
            </w:r>
            <w:r>
              <w:rPr>
                <w:rFonts w:hint="eastAsia"/>
                <w:color w:val="000000"/>
                <w:sz w:val="21"/>
                <w:szCs w:val="21"/>
                <w:lang w:eastAsia="zh-CN"/>
              </w:rPr>
              <w:t>；</w:t>
            </w:r>
          </w:p>
          <w:p>
            <w:pPr>
              <w:pStyle w:val="5"/>
              <w:adjustRightInd w:val="0"/>
              <w:snapToGrid w:val="0"/>
              <w:spacing w:line="288" w:lineRule="auto"/>
              <w:ind w:firstLine="0"/>
              <w:rPr>
                <w:rFonts w:hint="eastAsia"/>
                <w:color w:val="000000"/>
                <w:sz w:val="21"/>
                <w:szCs w:val="21"/>
                <w:lang w:eastAsia="zh-CN"/>
              </w:rPr>
            </w:pPr>
            <w:r>
              <w:rPr>
                <w:rFonts w:eastAsia="宋体"/>
                <w:color w:val="000000"/>
                <w:sz w:val="21"/>
                <w:szCs w:val="21"/>
              </w:rPr>
              <w:t>（</w:t>
            </w:r>
            <w:r>
              <w:rPr>
                <w:rFonts w:hint="eastAsia" w:eastAsia="宋体"/>
                <w:color w:val="000000"/>
                <w:sz w:val="21"/>
                <w:szCs w:val="21"/>
                <w:lang w:val="en-US" w:eastAsia="zh-CN"/>
              </w:rPr>
              <w:t>4</w:t>
            </w:r>
            <w:r>
              <w:rPr>
                <w:rFonts w:eastAsia="宋体"/>
                <w:color w:val="000000"/>
                <w:sz w:val="21"/>
                <w:szCs w:val="21"/>
              </w:rPr>
              <w:t>）安全作业承诺书（附件</w:t>
            </w:r>
            <w:r>
              <w:rPr>
                <w:rFonts w:hint="eastAsia" w:eastAsia="宋体"/>
                <w:color w:val="000000"/>
                <w:sz w:val="21"/>
                <w:szCs w:val="21"/>
                <w:lang w:eastAsia="zh-CN"/>
              </w:rPr>
              <w:t>四</w:t>
            </w:r>
            <w:r>
              <w:rPr>
                <w:rFonts w:eastAsia="宋体"/>
                <w:color w:val="000000"/>
                <w:sz w:val="21"/>
                <w:szCs w:val="21"/>
              </w:rPr>
              <w:t>）</w:t>
            </w:r>
          </w:p>
          <w:p>
            <w:pPr>
              <w:spacing w:line="300" w:lineRule="exact"/>
              <w:rPr>
                <w:szCs w:val="21"/>
              </w:rPr>
            </w:pPr>
            <w:r>
              <w:rPr>
                <w:rFonts w:hAnsi="宋体"/>
                <w:szCs w:val="21"/>
              </w:rPr>
              <w:t>（</w:t>
            </w:r>
            <w:r>
              <w:rPr>
                <w:rFonts w:hint="eastAsia"/>
                <w:szCs w:val="21"/>
                <w:lang w:val="en-US" w:eastAsia="zh-CN"/>
              </w:rPr>
              <w:t>5</w:t>
            </w:r>
            <w:r>
              <w:rPr>
                <w:rFonts w:hAnsi="宋体"/>
                <w:szCs w:val="21"/>
              </w:rPr>
              <w:t>）台州市建设工程诚信投标承诺书（附件</w:t>
            </w:r>
            <w:r>
              <w:rPr>
                <w:rFonts w:hint="eastAsia" w:hAnsi="宋体"/>
                <w:szCs w:val="21"/>
                <w:lang w:val="en-US" w:eastAsia="zh-CN"/>
              </w:rPr>
              <w:t>五</w:t>
            </w:r>
            <w:r>
              <w:rPr>
                <w:rFonts w:hAnsi="宋体"/>
                <w:szCs w:val="21"/>
              </w:rPr>
              <w:t>）；</w:t>
            </w:r>
          </w:p>
          <w:p>
            <w:pPr>
              <w:pStyle w:val="7"/>
              <w:spacing w:line="300" w:lineRule="exact"/>
              <w:rPr>
                <w:rFonts w:hint="eastAsia" w:ascii="Times New Roman" w:hAnsi="Times New Roman"/>
              </w:rPr>
            </w:pPr>
            <w:r>
              <w:rPr>
                <w:rFonts w:hAnsi="宋体"/>
                <w:szCs w:val="21"/>
              </w:rPr>
              <w:t>（</w:t>
            </w:r>
            <w:r>
              <w:rPr>
                <w:rFonts w:hint="eastAsia"/>
                <w:szCs w:val="21"/>
                <w:lang w:val="en-US" w:eastAsia="zh-CN"/>
              </w:rPr>
              <w:t>6</w:t>
            </w:r>
            <w:r>
              <w:rPr>
                <w:rFonts w:hAnsi="宋体"/>
                <w:szCs w:val="21"/>
              </w:rPr>
              <w:t>）</w:t>
            </w:r>
            <w:r>
              <w:rPr>
                <w:rFonts w:ascii="Times New Roman" w:hAnsi="Times New Roman"/>
              </w:rPr>
              <w:t>台州市建设工程投标人资格自查表</w:t>
            </w:r>
            <w:r>
              <w:rPr>
                <w:szCs w:val="21"/>
              </w:rPr>
              <w:t>（附件</w:t>
            </w:r>
            <w:r>
              <w:rPr>
                <w:rFonts w:hint="eastAsia"/>
                <w:szCs w:val="21"/>
                <w:lang w:val="en-US" w:eastAsia="zh-CN"/>
              </w:rPr>
              <w:t>六</w:t>
            </w:r>
            <w:r>
              <w:rPr>
                <w:szCs w:val="21"/>
              </w:rPr>
              <w:t>）</w:t>
            </w:r>
            <w:r>
              <w:rPr>
                <w:rFonts w:hint="eastAsia" w:ascii="Times New Roman" w:hAnsi="Times New Roman"/>
              </w:rPr>
              <w:t>；</w:t>
            </w:r>
          </w:p>
          <w:p>
            <w:pPr>
              <w:pStyle w:val="7"/>
              <w:spacing w:line="300" w:lineRule="exact"/>
              <w:rPr>
                <w:rFonts w:hint="eastAsia" w:ascii="Times New Roman" w:hAnsi="Times New Roman"/>
              </w:rPr>
            </w:pPr>
            <w:r>
              <w:rPr>
                <w:rFonts w:hint="eastAsia" w:ascii="Times New Roman" w:hAnsi="Times New Roman"/>
              </w:rPr>
              <w:t>（</w:t>
            </w:r>
            <w:r>
              <w:rPr>
                <w:rFonts w:hint="eastAsia" w:ascii="Times New Roman" w:hAnsi="Times New Roman"/>
                <w:lang w:val="en-US" w:eastAsia="zh-CN"/>
              </w:rPr>
              <w:t>7</w:t>
            </w:r>
            <w:r>
              <w:rPr>
                <w:rFonts w:hint="eastAsia" w:ascii="Times New Roman" w:hAnsi="Times New Roman"/>
              </w:rPr>
              <w:t>）</w:t>
            </w:r>
            <w:r>
              <w:rPr>
                <w:rFonts w:ascii="Times New Roman" w:hAnsi="Times New Roman"/>
              </w:rPr>
              <w:t>台州市建设工程投标项目负责人资格自查表</w:t>
            </w:r>
            <w:r>
              <w:rPr>
                <w:szCs w:val="21"/>
              </w:rPr>
              <w:t>（附</w:t>
            </w:r>
            <w:r>
              <w:rPr>
                <w:rFonts w:hint="eastAsia"/>
                <w:szCs w:val="21"/>
                <w:lang w:eastAsia="zh-CN"/>
              </w:rPr>
              <w:t>七</w:t>
            </w:r>
            <w:r>
              <w:rPr>
                <w:szCs w:val="21"/>
              </w:rPr>
              <w:t>）</w:t>
            </w:r>
            <w:r>
              <w:rPr>
                <w:rFonts w:hint="eastAsia" w:ascii="Times New Roman" w:hAnsi="Times New Roman"/>
              </w:rPr>
              <w:t>；</w:t>
            </w:r>
          </w:p>
          <w:p>
            <w:pPr>
              <w:spacing w:line="300" w:lineRule="exact"/>
              <w:rPr>
                <w:rFonts w:hAnsi="宋体"/>
                <w:szCs w:val="21"/>
              </w:rPr>
            </w:pPr>
            <w:r>
              <w:rPr>
                <w:rFonts w:hint="eastAsia" w:hAnsi="宋体"/>
                <w:szCs w:val="21"/>
              </w:rPr>
              <w:t>（</w:t>
            </w:r>
            <w:r>
              <w:rPr>
                <w:rFonts w:hint="eastAsia" w:hAnsi="宋体"/>
                <w:szCs w:val="21"/>
                <w:lang w:val="en-US" w:eastAsia="zh-CN"/>
              </w:rPr>
              <w:t>8</w:t>
            </w:r>
            <w:r>
              <w:rPr>
                <w:rFonts w:hint="eastAsia" w:hAnsi="宋体"/>
                <w:szCs w:val="21"/>
              </w:rPr>
              <w:t>）</w:t>
            </w:r>
            <w:r>
              <w:rPr>
                <w:rFonts w:hAnsi="宋体"/>
                <w:szCs w:val="21"/>
              </w:rPr>
              <w:t>法定代表人授权委托书（附件</w:t>
            </w:r>
            <w:r>
              <w:rPr>
                <w:rFonts w:hint="eastAsia" w:hAnsi="宋体"/>
                <w:szCs w:val="21"/>
                <w:lang w:val="en-US" w:eastAsia="zh-CN"/>
              </w:rPr>
              <w:t>八</w:t>
            </w:r>
            <w:r>
              <w:rPr>
                <w:rFonts w:hAnsi="宋体"/>
                <w:szCs w:val="21"/>
              </w:rPr>
              <w:t>）；</w:t>
            </w:r>
          </w:p>
          <w:p>
            <w:pPr>
              <w:spacing w:line="300" w:lineRule="exact"/>
              <w:rPr>
                <w:rFonts w:hint="eastAsia" w:hAnsi="宋体"/>
                <w:szCs w:val="21"/>
                <w:lang w:eastAsia="zh-CN"/>
              </w:rPr>
            </w:pPr>
            <w:r>
              <w:rPr>
                <w:rFonts w:hint="eastAsia" w:hAnsi="宋体"/>
                <w:szCs w:val="21"/>
              </w:rPr>
              <w:t>（</w:t>
            </w:r>
            <w:r>
              <w:rPr>
                <w:rFonts w:hint="eastAsia" w:hAnsi="宋体"/>
                <w:szCs w:val="21"/>
                <w:lang w:val="en-US" w:eastAsia="zh-CN"/>
              </w:rPr>
              <w:t>9</w:t>
            </w:r>
            <w:r>
              <w:rPr>
                <w:rFonts w:hint="eastAsia" w:hAnsi="宋体"/>
                <w:szCs w:val="21"/>
              </w:rPr>
              <w:t>）</w:t>
            </w:r>
            <w:r>
              <w:rPr>
                <w:rFonts w:hint="eastAsia" w:hAnsi="宋体"/>
                <w:szCs w:val="21"/>
                <w:lang w:eastAsia="zh-CN"/>
              </w:rPr>
              <w:t>营业执照副本复印件；</w:t>
            </w:r>
          </w:p>
          <w:p>
            <w:pPr>
              <w:spacing w:line="300" w:lineRule="exact"/>
              <w:rPr>
                <w:rFonts w:hint="eastAsia" w:hAnsi="宋体"/>
                <w:szCs w:val="21"/>
                <w:lang w:eastAsia="zh-CN"/>
              </w:rPr>
            </w:pPr>
            <w:r>
              <w:rPr>
                <w:rFonts w:hint="eastAsia" w:hAnsi="宋体"/>
                <w:szCs w:val="21"/>
                <w:lang w:eastAsia="zh-CN"/>
              </w:rPr>
              <w:t>（</w:t>
            </w:r>
            <w:r>
              <w:rPr>
                <w:rFonts w:hint="eastAsia" w:hAnsi="宋体"/>
                <w:szCs w:val="21"/>
                <w:lang w:val="en-US" w:eastAsia="zh-CN"/>
              </w:rPr>
              <w:t>10</w:t>
            </w:r>
            <w:r>
              <w:rPr>
                <w:rFonts w:hint="eastAsia" w:hAnsi="宋体"/>
                <w:szCs w:val="21"/>
                <w:lang w:eastAsia="zh-CN"/>
              </w:rPr>
              <w:t>）资质证书副本复印件（如有）；</w:t>
            </w:r>
          </w:p>
          <w:p>
            <w:pPr>
              <w:spacing w:line="300" w:lineRule="exact"/>
              <w:rPr>
                <w:rFonts w:hint="eastAsia" w:hAnsi="宋体"/>
                <w:szCs w:val="21"/>
                <w:lang w:eastAsia="zh-CN"/>
              </w:rPr>
            </w:pPr>
            <w:r>
              <w:rPr>
                <w:rFonts w:hint="eastAsia" w:hAnsi="宋体"/>
                <w:szCs w:val="21"/>
                <w:lang w:eastAsia="zh-CN"/>
              </w:rPr>
              <w:t>（</w:t>
            </w:r>
            <w:r>
              <w:rPr>
                <w:rFonts w:hint="eastAsia" w:hAnsi="宋体"/>
                <w:szCs w:val="21"/>
                <w:lang w:val="en-US" w:eastAsia="zh-CN"/>
              </w:rPr>
              <w:t>11</w:t>
            </w:r>
            <w:r>
              <w:rPr>
                <w:rFonts w:hint="eastAsia" w:hAnsi="宋体"/>
                <w:szCs w:val="21"/>
                <w:lang w:eastAsia="zh-CN"/>
              </w:rPr>
              <w:t>）投标人业绩合同原件及复印件；</w:t>
            </w:r>
          </w:p>
          <w:p>
            <w:pPr>
              <w:spacing w:line="300" w:lineRule="exact"/>
              <w:rPr>
                <w:rFonts w:hint="eastAsia" w:hAnsi="宋体"/>
                <w:szCs w:val="21"/>
                <w:lang w:eastAsia="zh-CN"/>
              </w:rPr>
            </w:pPr>
            <w:r>
              <w:rPr>
                <w:rFonts w:hint="eastAsia" w:hAnsi="宋体"/>
                <w:szCs w:val="21"/>
                <w:lang w:eastAsia="zh-CN"/>
              </w:rPr>
              <w:t>（</w:t>
            </w:r>
            <w:r>
              <w:rPr>
                <w:rFonts w:hint="eastAsia" w:hAnsi="宋体"/>
                <w:szCs w:val="21"/>
                <w:lang w:val="en-US" w:eastAsia="zh-CN"/>
              </w:rPr>
              <w:t>12</w:t>
            </w:r>
            <w:r>
              <w:rPr>
                <w:rFonts w:hint="eastAsia" w:hAnsi="宋体"/>
                <w:szCs w:val="21"/>
                <w:lang w:eastAsia="zh-CN"/>
              </w:rPr>
              <w:t>）项目负责人职称证书复印件；</w:t>
            </w:r>
          </w:p>
          <w:p>
            <w:pPr>
              <w:spacing w:line="300" w:lineRule="exact"/>
              <w:rPr>
                <w:rFonts w:hint="eastAsia" w:hAnsi="宋体"/>
                <w:szCs w:val="21"/>
              </w:rPr>
            </w:pPr>
            <w:r>
              <w:rPr>
                <w:rFonts w:hint="eastAsia" w:hAnsi="宋体"/>
                <w:szCs w:val="21"/>
                <w:lang w:eastAsia="zh-CN"/>
              </w:rPr>
              <w:t>（</w:t>
            </w:r>
            <w:r>
              <w:rPr>
                <w:rFonts w:hint="eastAsia" w:hAnsi="宋体"/>
                <w:szCs w:val="21"/>
                <w:lang w:val="en-US" w:eastAsia="zh-CN"/>
              </w:rPr>
              <w:t>13</w:t>
            </w:r>
            <w:r>
              <w:rPr>
                <w:rFonts w:hint="eastAsia" w:hAnsi="宋体"/>
                <w:szCs w:val="21"/>
                <w:lang w:eastAsia="zh-CN"/>
              </w:rPr>
              <w:t>）投标人认为需要的其他</w:t>
            </w:r>
            <w:r>
              <w:rPr>
                <w:rFonts w:hint="eastAsia" w:hAnsi="宋体"/>
                <w:szCs w:val="21"/>
              </w:rPr>
              <w:t>相关</w:t>
            </w:r>
            <w:r>
              <w:rPr>
                <w:rFonts w:hAnsi="宋体"/>
                <w:szCs w:val="21"/>
              </w:rPr>
              <w:t>证书材料</w:t>
            </w:r>
            <w:r>
              <w:rPr>
                <w:rFonts w:hint="eastAsia" w:hAnsi="宋体"/>
                <w:szCs w:val="21"/>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4" w:hRule="exact"/>
        </w:trPr>
        <w:tc>
          <w:tcPr>
            <w:tcW w:w="682" w:type="dxa"/>
            <w:vAlign w:val="center"/>
          </w:tcPr>
          <w:p>
            <w:pPr>
              <w:jc w:val="center"/>
              <w:rPr>
                <w:szCs w:val="21"/>
              </w:rPr>
            </w:pPr>
            <w:r>
              <w:rPr>
                <w:szCs w:val="21"/>
              </w:rPr>
              <w:t>18</w:t>
            </w:r>
          </w:p>
        </w:tc>
        <w:tc>
          <w:tcPr>
            <w:tcW w:w="861" w:type="dxa"/>
            <w:vAlign w:val="center"/>
          </w:tcPr>
          <w:p>
            <w:pPr>
              <w:jc w:val="center"/>
              <w:rPr>
                <w:szCs w:val="21"/>
              </w:rPr>
            </w:pPr>
            <w:r>
              <w:rPr>
                <w:szCs w:val="21"/>
              </w:rPr>
              <w:t>14.1</w:t>
            </w:r>
          </w:p>
        </w:tc>
        <w:tc>
          <w:tcPr>
            <w:tcW w:w="1778" w:type="dxa"/>
            <w:vAlign w:val="center"/>
          </w:tcPr>
          <w:p>
            <w:pPr>
              <w:jc w:val="center"/>
              <w:rPr>
                <w:szCs w:val="21"/>
              </w:rPr>
            </w:pPr>
            <w:r>
              <w:rPr>
                <w:rFonts w:hAnsi="宋体"/>
                <w:szCs w:val="21"/>
              </w:rPr>
              <w:t>投标文件格式</w:t>
            </w:r>
          </w:p>
        </w:tc>
        <w:tc>
          <w:tcPr>
            <w:tcW w:w="6012" w:type="dxa"/>
            <w:vAlign w:val="center"/>
          </w:tcPr>
          <w:p>
            <w:pPr>
              <w:spacing w:line="288" w:lineRule="auto"/>
              <w:ind w:right="200"/>
              <w:rPr>
                <w:szCs w:val="21"/>
              </w:rPr>
            </w:pPr>
            <w:r>
              <w:rPr>
                <w:szCs w:val="21"/>
              </w:rPr>
              <w:t>1</w:t>
            </w:r>
            <w:r>
              <w:rPr>
                <w:rFonts w:hAnsi="宋体"/>
                <w:szCs w:val="21"/>
              </w:rPr>
              <w:t>、投标人应使用招标文件中提供的附件格式。表格如不够用时，可以按同样格式扩展。</w:t>
            </w:r>
          </w:p>
          <w:p>
            <w:pPr>
              <w:spacing w:line="288" w:lineRule="auto"/>
              <w:ind w:right="200"/>
              <w:rPr>
                <w:szCs w:val="21"/>
              </w:rPr>
            </w:pPr>
            <w:r>
              <w:rPr>
                <w:szCs w:val="21"/>
              </w:rPr>
              <w:t>2</w:t>
            </w:r>
            <w:r>
              <w:rPr>
                <w:rFonts w:hAnsi="宋体"/>
                <w:szCs w:val="21"/>
              </w:rPr>
              <w:t>、投标人投标文件所用的纸张建议采用</w:t>
            </w:r>
            <w:r>
              <w:rPr>
                <w:szCs w:val="21"/>
              </w:rPr>
              <w:t>A4</w:t>
            </w:r>
            <w:r>
              <w:rPr>
                <w:rFonts w:hAnsi="宋体"/>
                <w:szCs w:val="21"/>
              </w:rPr>
              <w:t>型纸，图表可根据需要作适当扩展。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682" w:type="dxa"/>
            <w:vAlign w:val="center"/>
          </w:tcPr>
          <w:p>
            <w:pPr>
              <w:jc w:val="center"/>
              <w:rPr>
                <w:szCs w:val="21"/>
              </w:rPr>
            </w:pPr>
            <w:r>
              <w:rPr>
                <w:szCs w:val="21"/>
              </w:rPr>
              <w:t>19</w:t>
            </w:r>
          </w:p>
        </w:tc>
        <w:tc>
          <w:tcPr>
            <w:tcW w:w="861" w:type="dxa"/>
            <w:vAlign w:val="center"/>
          </w:tcPr>
          <w:p>
            <w:pPr>
              <w:jc w:val="center"/>
              <w:rPr>
                <w:szCs w:val="21"/>
              </w:rPr>
            </w:pPr>
            <w:r>
              <w:rPr>
                <w:szCs w:val="21"/>
              </w:rPr>
              <w:t>15.1</w:t>
            </w:r>
          </w:p>
        </w:tc>
        <w:tc>
          <w:tcPr>
            <w:tcW w:w="1778" w:type="dxa"/>
            <w:vAlign w:val="center"/>
          </w:tcPr>
          <w:p>
            <w:pPr>
              <w:jc w:val="center"/>
              <w:rPr>
                <w:szCs w:val="21"/>
              </w:rPr>
            </w:pPr>
            <w:r>
              <w:rPr>
                <w:rFonts w:hAnsi="宋体"/>
                <w:szCs w:val="21"/>
              </w:rPr>
              <w:t>报价方式</w:t>
            </w:r>
          </w:p>
        </w:tc>
        <w:tc>
          <w:tcPr>
            <w:tcW w:w="6012" w:type="dxa"/>
            <w:vAlign w:val="center"/>
          </w:tcPr>
          <w:p>
            <w:pPr>
              <w:rPr>
                <w:color w:val="auto"/>
                <w:szCs w:val="21"/>
              </w:rPr>
            </w:pPr>
            <w:r>
              <w:rPr>
                <w:rFonts w:eastAsia="宋体"/>
                <w:color w:val="auto"/>
                <w:sz w:val="21"/>
              </w:rPr>
              <w:t>采用养护总价承包方式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6" w:hRule="exact"/>
        </w:trPr>
        <w:tc>
          <w:tcPr>
            <w:tcW w:w="682" w:type="dxa"/>
            <w:vAlign w:val="center"/>
          </w:tcPr>
          <w:p>
            <w:pPr>
              <w:jc w:val="center"/>
              <w:rPr>
                <w:szCs w:val="21"/>
              </w:rPr>
            </w:pPr>
            <w:r>
              <w:rPr>
                <w:szCs w:val="21"/>
              </w:rPr>
              <w:t>20</w:t>
            </w:r>
          </w:p>
        </w:tc>
        <w:tc>
          <w:tcPr>
            <w:tcW w:w="861" w:type="dxa"/>
            <w:vAlign w:val="center"/>
          </w:tcPr>
          <w:p>
            <w:pPr>
              <w:jc w:val="center"/>
              <w:rPr>
                <w:szCs w:val="21"/>
              </w:rPr>
            </w:pPr>
            <w:r>
              <w:rPr>
                <w:szCs w:val="21"/>
              </w:rPr>
              <w:t>16.3</w:t>
            </w:r>
          </w:p>
        </w:tc>
        <w:tc>
          <w:tcPr>
            <w:tcW w:w="1778" w:type="dxa"/>
            <w:vAlign w:val="center"/>
          </w:tcPr>
          <w:p>
            <w:pPr>
              <w:jc w:val="center"/>
              <w:rPr>
                <w:szCs w:val="21"/>
              </w:rPr>
            </w:pPr>
            <w:r>
              <w:rPr>
                <w:rFonts w:hAnsi="宋体"/>
                <w:szCs w:val="21"/>
              </w:rPr>
              <w:t>投标报价要求</w:t>
            </w:r>
          </w:p>
        </w:tc>
        <w:tc>
          <w:tcPr>
            <w:tcW w:w="6012" w:type="dxa"/>
            <w:vAlign w:val="center"/>
          </w:tcPr>
          <w:p>
            <w:pPr>
              <w:spacing w:line="360" w:lineRule="auto"/>
              <w:rPr>
                <w:rFonts w:hint="eastAsia"/>
                <w:color w:val="auto"/>
                <w:lang w:eastAsia="zh-CN"/>
              </w:rPr>
            </w:pPr>
            <w:r>
              <w:rPr>
                <w:rFonts w:hint="eastAsia" w:hAnsi="宋体"/>
                <w:b/>
                <w:bCs/>
                <w:color w:val="auto"/>
                <w:szCs w:val="21"/>
                <w:lang w:eastAsia="zh-CN"/>
              </w:rPr>
              <w:t>招标控制价：</w:t>
            </w:r>
            <w:r>
              <w:rPr>
                <w:rFonts w:hint="eastAsia" w:cs="Times New Roman"/>
                <w:b/>
                <w:bCs/>
                <w:color w:val="auto"/>
                <w:kern w:val="2"/>
                <w:sz w:val="21"/>
                <w:szCs w:val="21"/>
                <w:u w:val="single"/>
                <w:lang w:val="en-US" w:eastAsia="zh-CN" w:bidi="ar-SA"/>
              </w:rPr>
              <w:t>374463</w:t>
            </w:r>
            <w:r>
              <w:rPr>
                <w:rFonts w:hAnsi="宋体"/>
                <w:b/>
                <w:bCs/>
                <w:color w:val="auto"/>
                <w:szCs w:val="21"/>
              </w:rPr>
              <w:t>元</w:t>
            </w:r>
            <w:r>
              <w:rPr>
                <w:rFonts w:hint="eastAsia" w:hAnsi="宋体"/>
                <w:color w:val="auto"/>
                <w:szCs w:val="21"/>
                <w:lang w:eastAsia="zh-CN"/>
              </w:rPr>
              <w:t>。</w:t>
            </w:r>
          </w:p>
          <w:p>
            <w:pPr>
              <w:pStyle w:val="7"/>
              <w:tabs>
                <w:tab w:val="clear" w:pos="574"/>
              </w:tabs>
              <w:spacing w:line="360" w:lineRule="auto"/>
              <w:rPr>
                <w:b/>
                <w:bCs w:val="0"/>
                <w:color w:val="auto"/>
                <w:szCs w:val="21"/>
              </w:rPr>
            </w:pPr>
            <w:r>
              <w:rPr>
                <w:rFonts w:hint="eastAsia"/>
                <w:b/>
                <w:bCs w:val="0"/>
                <w:color w:val="auto"/>
                <w:szCs w:val="21"/>
              </w:rPr>
              <w:t>上限价：</w:t>
            </w:r>
            <w:r>
              <w:rPr>
                <w:rFonts w:hint="eastAsia" w:ascii="Times New Roman" w:hAnsi="Times New Roman" w:cs="Times New Roman"/>
                <w:b/>
                <w:bCs/>
                <w:color w:val="auto"/>
                <w:kern w:val="2"/>
                <w:sz w:val="21"/>
                <w:szCs w:val="21"/>
                <w:u w:val="single"/>
                <w:lang w:val="en-US" w:eastAsia="zh-CN" w:bidi="ar-SA"/>
              </w:rPr>
              <w:t>344506</w:t>
            </w:r>
            <w:r>
              <w:rPr>
                <w:rFonts w:hint="eastAsia"/>
                <w:b/>
                <w:bCs w:val="0"/>
                <w:color w:val="auto"/>
                <w:szCs w:val="21"/>
              </w:rPr>
              <w:t>元</w:t>
            </w:r>
            <w:r>
              <w:rPr>
                <w:rFonts w:hint="eastAsia"/>
                <w:b/>
                <w:bCs w:val="0"/>
                <w:color w:val="auto"/>
                <w:szCs w:val="21"/>
                <w:lang w:eastAsia="zh-CN"/>
              </w:rPr>
              <w:t>【</w:t>
            </w:r>
            <w:r>
              <w:rPr>
                <w:rFonts w:hint="eastAsia"/>
                <w:b/>
                <w:bCs w:val="0"/>
                <w:color w:val="auto"/>
                <w:szCs w:val="21"/>
              </w:rPr>
              <w:t>招标控制价×</w:t>
            </w:r>
            <w:r>
              <w:rPr>
                <w:rFonts w:hint="eastAsia"/>
                <w:b/>
                <w:bCs w:val="0"/>
                <w:color w:val="auto"/>
                <w:szCs w:val="21"/>
                <w:lang w:val="en-US" w:eastAsia="zh-CN"/>
              </w:rPr>
              <w:t>92</w:t>
            </w:r>
            <w:r>
              <w:rPr>
                <w:rFonts w:hint="eastAsia"/>
                <w:b/>
                <w:bCs w:val="0"/>
                <w:color w:val="auto"/>
                <w:szCs w:val="21"/>
              </w:rPr>
              <w:t>%</w:t>
            </w:r>
            <w:r>
              <w:rPr>
                <w:rFonts w:hint="eastAsia"/>
                <w:b/>
                <w:bCs w:val="0"/>
                <w:color w:val="auto"/>
                <w:szCs w:val="21"/>
                <w:lang w:eastAsia="zh-CN"/>
              </w:rPr>
              <w:t>】</w:t>
            </w:r>
            <w:r>
              <w:rPr>
                <w:rFonts w:hint="eastAsia"/>
                <w:b/>
                <w:bCs w:val="0"/>
                <w:color w:val="auto"/>
                <w:szCs w:val="21"/>
              </w:rPr>
              <w:t>；</w:t>
            </w:r>
          </w:p>
          <w:p>
            <w:pPr>
              <w:pStyle w:val="7"/>
              <w:tabs>
                <w:tab w:val="clear" w:pos="574"/>
              </w:tabs>
              <w:spacing w:line="360" w:lineRule="auto"/>
              <w:rPr>
                <w:rFonts w:hint="eastAsia"/>
                <w:b/>
                <w:bCs w:val="0"/>
                <w:color w:val="auto"/>
              </w:rPr>
            </w:pPr>
            <w:r>
              <w:rPr>
                <w:rFonts w:hint="eastAsia"/>
                <w:b/>
                <w:bCs w:val="0"/>
                <w:color w:val="auto"/>
                <w:szCs w:val="21"/>
              </w:rPr>
              <w:t>下限价：</w:t>
            </w:r>
            <w:r>
              <w:rPr>
                <w:rFonts w:hint="eastAsia" w:ascii="Times New Roman" w:hAnsi="Times New Roman" w:cs="Times New Roman"/>
                <w:b/>
                <w:bCs/>
                <w:color w:val="auto"/>
                <w:kern w:val="2"/>
                <w:sz w:val="21"/>
                <w:szCs w:val="21"/>
                <w:u w:val="single"/>
                <w:lang w:val="en-US" w:eastAsia="zh-CN" w:bidi="ar-SA"/>
              </w:rPr>
              <w:t>318294</w:t>
            </w:r>
            <w:r>
              <w:rPr>
                <w:rFonts w:hint="eastAsia"/>
                <w:b/>
                <w:bCs w:val="0"/>
                <w:color w:val="auto"/>
                <w:szCs w:val="21"/>
              </w:rPr>
              <w:t>元</w:t>
            </w:r>
            <w:r>
              <w:rPr>
                <w:rFonts w:hint="eastAsia"/>
                <w:b/>
                <w:bCs w:val="0"/>
                <w:color w:val="auto"/>
                <w:szCs w:val="21"/>
                <w:lang w:eastAsia="zh-CN"/>
              </w:rPr>
              <w:t>【</w:t>
            </w:r>
            <w:r>
              <w:rPr>
                <w:rFonts w:hint="eastAsia"/>
                <w:b/>
                <w:bCs w:val="0"/>
                <w:color w:val="auto"/>
                <w:szCs w:val="21"/>
              </w:rPr>
              <w:t>招标控制价×</w:t>
            </w:r>
            <w:r>
              <w:rPr>
                <w:rFonts w:hint="eastAsia"/>
                <w:b/>
                <w:bCs w:val="0"/>
                <w:color w:val="auto"/>
                <w:szCs w:val="21"/>
                <w:lang w:val="en-US" w:eastAsia="zh-CN"/>
              </w:rPr>
              <w:t>85</w:t>
            </w:r>
            <w:r>
              <w:rPr>
                <w:rFonts w:hint="eastAsia"/>
                <w:b/>
                <w:bCs w:val="0"/>
                <w:color w:val="auto"/>
                <w:szCs w:val="21"/>
              </w:rPr>
              <w:t>%</w:t>
            </w:r>
            <w:r>
              <w:rPr>
                <w:rFonts w:hint="eastAsia"/>
                <w:b/>
                <w:bCs w:val="0"/>
                <w:color w:val="auto"/>
                <w:szCs w:val="21"/>
                <w:lang w:eastAsia="zh-CN"/>
              </w:rPr>
              <w:t>】</w:t>
            </w:r>
            <w:r>
              <w:rPr>
                <w:rFonts w:hint="eastAsia"/>
                <w:b/>
                <w:bCs w:val="0"/>
                <w:color w:val="auto"/>
              </w:rPr>
              <w:t>。</w:t>
            </w:r>
          </w:p>
          <w:p>
            <w:pPr>
              <w:pStyle w:val="7"/>
              <w:spacing w:line="360" w:lineRule="auto"/>
              <w:rPr>
                <w:rFonts w:ascii="Times New Roman" w:hAnsi="Times New Roman"/>
                <w:b/>
                <w:color w:val="auto"/>
                <w:szCs w:val="21"/>
              </w:rPr>
            </w:pPr>
            <w:r>
              <w:rPr>
                <w:rFonts w:hint="eastAsia"/>
                <w:b/>
                <w:color w:val="auto"/>
              </w:rPr>
              <w:t>超出上述范围作无效标处理</w:t>
            </w:r>
            <w:r>
              <w:rPr>
                <w:rFonts w:hint="eastAsia"/>
                <w:b/>
                <w:color w:val="auto"/>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exact"/>
        </w:trPr>
        <w:tc>
          <w:tcPr>
            <w:tcW w:w="682" w:type="dxa"/>
            <w:vAlign w:val="center"/>
          </w:tcPr>
          <w:p>
            <w:pPr>
              <w:jc w:val="center"/>
              <w:rPr>
                <w:szCs w:val="21"/>
              </w:rPr>
            </w:pPr>
            <w:r>
              <w:rPr>
                <w:szCs w:val="21"/>
              </w:rPr>
              <w:t>21</w:t>
            </w:r>
          </w:p>
        </w:tc>
        <w:tc>
          <w:tcPr>
            <w:tcW w:w="861" w:type="dxa"/>
            <w:vAlign w:val="center"/>
          </w:tcPr>
          <w:p>
            <w:pPr>
              <w:jc w:val="center"/>
              <w:rPr>
                <w:szCs w:val="21"/>
              </w:rPr>
            </w:pPr>
            <w:r>
              <w:rPr>
                <w:szCs w:val="21"/>
              </w:rPr>
              <w:t>17.1</w:t>
            </w:r>
          </w:p>
        </w:tc>
        <w:tc>
          <w:tcPr>
            <w:tcW w:w="1778" w:type="dxa"/>
            <w:vAlign w:val="center"/>
          </w:tcPr>
          <w:p>
            <w:pPr>
              <w:jc w:val="center"/>
              <w:rPr>
                <w:szCs w:val="21"/>
              </w:rPr>
            </w:pPr>
            <w:r>
              <w:rPr>
                <w:rFonts w:hAnsi="宋体"/>
                <w:szCs w:val="21"/>
              </w:rPr>
              <w:t>投标担保要求</w:t>
            </w:r>
          </w:p>
        </w:tc>
        <w:tc>
          <w:tcPr>
            <w:tcW w:w="6012" w:type="dxa"/>
            <w:vAlign w:val="center"/>
          </w:tcPr>
          <w:p>
            <w:pPr>
              <w:adjustRightInd w:val="0"/>
              <w:snapToGrid w:val="0"/>
              <w:spacing w:line="340" w:lineRule="exact"/>
              <w:rPr>
                <w:b/>
                <w:szCs w:val="21"/>
              </w:rPr>
            </w:pPr>
            <w:r>
              <w:rPr>
                <w:b/>
                <w:szCs w:val="21"/>
                <w:lang w:val="zh-CN"/>
              </w:rPr>
              <w:t>1</w:t>
            </w:r>
            <w:r>
              <w:rPr>
                <w:rFonts w:hAnsi="宋体"/>
                <w:b/>
                <w:szCs w:val="21"/>
              </w:rPr>
              <w:t>、担保金额：</w:t>
            </w:r>
            <w:r>
              <w:rPr>
                <w:rFonts w:hint="eastAsia" w:hAnsi="宋体"/>
                <w:b/>
                <w:szCs w:val="21"/>
                <w:u w:val="single"/>
                <w:lang w:val="en-US" w:eastAsia="zh-CN"/>
              </w:rPr>
              <w:t xml:space="preserve"> </w:t>
            </w:r>
            <w:r>
              <w:rPr>
                <w:rFonts w:hint="eastAsia"/>
                <w:b/>
                <w:szCs w:val="21"/>
                <w:u w:val="single"/>
                <w:lang w:val="en-US" w:eastAsia="zh-CN"/>
              </w:rPr>
              <w:t xml:space="preserve">1 </w:t>
            </w:r>
            <w:r>
              <w:rPr>
                <w:rFonts w:hAnsi="宋体"/>
                <w:b/>
                <w:szCs w:val="21"/>
              </w:rPr>
              <w:t>万元。</w:t>
            </w:r>
          </w:p>
          <w:p>
            <w:pPr>
              <w:adjustRightInd w:val="0"/>
              <w:snapToGrid w:val="0"/>
              <w:spacing w:line="340" w:lineRule="exact"/>
              <w:rPr>
                <w:rFonts w:hAnsi="宋体"/>
                <w:b/>
                <w:szCs w:val="21"/>
              </w:rPr>
            </w:pPr>
            <w:r>
              <w:rPr>
                <w:rFonts w:hAnsi="宋体"/>
                <w:b/>
                <w:szCs w:val="21"/>
              </w:rPr>
              <w:t>2、担保形式：现金形式。</w:t>
            </w:r>
          </w:p>
          <w:p>
            <w:pPr>
              <w:adjustRightInd w:val="0"/>
              <w:snapToGrid w:val="0"/>
              <w:spacing w:line="340" w:lineRule="exact"/>
              <w:rPr>
                <w:szCs w:val="21"/>
                <w:lang w:val="zh-CN"/>
              </w:rPr>
            </w:pPr>
            <w:r>
              <w:rPr>
                <w:rFonts w:hAnsi="宋体"/>
                <w:b/>
                <w:szCs w:val="21"/>
              </w:rPr>
              <w:t>3、担保提交地址：</w:t>
            </w:r>
            <w:r>
              <w:rPr>
                <w:rFonts w:hint="eastAsia" w:hAnsi="宋体"/>
                <w:b/>
                <w:szCs w:val="21"/>
                <w:lang w:eastAsia="zh-CN"/>
              </w:rPr>
              <w:t>玉环经济开发区办公大楼B108室</w:t>
            </w:r>
            <w:r>
              <w:rPr>
                <w:rFonts w:hint="eastAsia" w:hAnsi="宋体"/>
                <w:b/>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682" w:type="dxa"/>
            <w:vAlign w:val="center"/>
          </w:tcPr>
          <w:p>
            <w:pPr>
              <w:jc w:val="center"/>
              <w:rPr>
                <w:szCs w:val="21"/>
              </w:rPr>
            </w:pPr>
            <w:r>
              <w:rPr>
                <w:szCs w:val="21"/>
              </w:rPr>
              <w:t>22</w:t>
            </w:r>
          </w:p>
        </w:tc>
        <w:tc>
          <w:tcPr>
            <w:tcW w:w="861" w:type="dxa"/>
            <w:vAlign w:val="center"/>
          </w:tcPr>
          <w:p>
            <w:pPr>
              <w:jc w:val="center"/>
              <w:rPr>
                <w:szCs w:val="21"/>
              </w:rPr>
            </w:pPr>
            <w:r>
              <w:rPr>
                <w:szCs w:val="21"/>
              </w:rPr>
              <w:t>18.1</w:t>
            </w:r>
          </w:p>
        </w:tc>
        <w:tc>
          <w:tcPr>
            <w:tcW w:w="1778" w:type="dxa"/>
            <w:vAlign w:val="center"/>
          </w:tcPr>
          <w:p>
            <w:pPr>
              <w:jc w:val="center"/>
              <w:rPr>
                <w:szCs w:val="21"/>
              </w:rPr>
            </w:pPr>
            <w:r>
              <w:rPr>
                <w:rFonts w:hAnsi="宋体"/>
                <w:szCs w:val="21"/>
              </w:rPr>
              <w:t>投标有效期</w:t>
            </w:r>
          </w:p>
        </w:tc>
        <w:tc>
          <w:tcPr>
            <w:tcW w:w="6012" w:type="dxa"/>
            <w:vAlign w:val="center"/>
          </w:tcPr>
          <w:p>
            <w:pPr>
              <w:rPr>
                <w:szCs w:val="21"/>
              </w:rPr>
            </w:pPr>
            <w:r>
              <w:rPr>
                <w:szCs w:val="21"/>
              </w:rPr>
              <w:t>60</w:t>
            </w:r>
            <w:r>
              <w:rPr>
                <w:rFonts w:hAnsi="宋体"/>
                <w:szCs w:val="21"/>
              </w:rPr>
              <w:t>日历天（自投标截止日起计算）</w:t>
            </w:r>
            <w:r>
              <w:rPr>
                <w:rFonts w:hint="eastAsia" w:hAnsi="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682" w:type="dxa"/>
            <w:vAlign w:val="center"/>
          </w:tcPr>
          <w:p>
            <w:pPr>
              <w:jc w:val="center"/>
              <w:rPr>
                <w:szCs w:val="21"/>
              </w:rPr>
            </w:pPr>
            <w:r>
              <w:rPr>
                <w:szCs w:val="21"/>
              </w:rPr>
              <w:t>23</w:t>
            </w:r>
          </w:p>
        </w:tc>
        <w:tc>
          <w:tcPr>
            <w:tcW w:w="861" w:type="dxa"/>
            <w:vAlign w:val="center"/>
          </w:tcPr>
          <w:p>
            <w:pPr>
              <w:jc w:val="center"/>
              <w:rPr>
                <w:szCs w:val="21"/>
              </w:rPr>
            </w:pPr>
            <w:r>
              <w:rPr>
                <w:szCs w:val="21"/>
              </w:rPr>
              <w:t>19.1</w:t>
            </w:r>
          </w:p>
        </w:tc>
        <w:tc>
          <w:tcPr>
            <w:tcW w:w="1778" w:type="dxa"/>
            <w:vAlign w:val="center"/>
          </w:tcPr>
          <w:p>
            <w:pPr>
              <w:jc w:val="center"/>
              <w:rPr>
                <w:szCs w:val="21"/>
              </w:rPr>
            </w:pPr>
            <w:r>
              <w:rPr>
                <w:rFonts w:hAnsi="宋体"/>
                <w:szCs w:val="21"/>
              </w:rPr>
              <w:t>投标文件份数</w:t>
            </w:r>
          </w:p>
        </w:tc>
        <w:tc>
          <w:tcPr>
            <w:tcW w:w="6012" w:type="dxa"/>
            <w:vAlign w:val="center"/>
          </w:tcPr>
          <w:p>
            <w:pPr>
              <w:rPr>
                <w:szCs w:val="21"/>
              </w:rPr>
            </w:pPr>
            <w:r>
              <w:rPr>
                <w:rFonts w:hAnsi="宋体"/>
                <w:szCs w:val="21"/>
              </w:rPr>
              <w:t>正本一份、副本</w:t>
            </w:r>
            <w:r>
              <w:rPr>
                <w:rFonts w:hint="eastAsia" w:hAnsi="宋体"/>
                <w:szCs w:val="21"/>
                <w:lang w:eastAsia="zh-CN"/>
              </w:rPr>
              <w:t>四</w:t>
            </w:r>
            <w:r>
              <w:rPr>
                <w:rFonts w:hAnsi="宋体"/>
                <w:szCs w:val="21"/>
              </w:rPr>
              <w:t>份</w:t>
            </w:r>
            <w:r>
              <w:rPr>
                <w:rFonts w:hint="eastAsia" w:hAnsi="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trPr>
        <w:tc>
          <w:tcPr>
            <w:tcW w:w="682" w:type="dxa"/>
            <w:vAlign w:val="center"/>
          </w:tcPr>
          <w:p>
            <w:pPr>
              <w:jc w:val="center"/>
              <w:rPr>
                <w:szCs w:val="21"/>
              </w:rPr>
            </w:pPr>
            <w:r>
              <w:rPr>
                <w:szCs w:val="21"/>
              </w:rPr>
              <w:t>24</w:t>
            </w:r>
          </w:p>
        </w:tc>
        <w:tc>
          <w:tcPr>
            <w:tcW w:w="861" w:type="dxa"/>
            <w:vAlign w:val="center"/>
          </w:tcPr>
          <w:p>
            <w:pPr>
              <w:jc w:val="center"/>
              <w:rPr>
                <w:szCs w:val="21"/>
              </w:rPr>
            </w:pPr>
            <w:r>
              <w:rPr>
                <w:szCs w:val="21"/>
              </w:rPr>
              <w:t>20.3</w:t>
            </w:r>
          </w:p>
        </w:tc>
        <w:tc>
          <w:tcPr>
            <w:tcW w:w="1778" w:type="dxa"/>
            <w:vAlign w:val="center"/>
          </w:tcPr>
          <w:p>
            <w:pPr>
              <w:jc w:val="center"/>
              <w:rPr>
                <w:szCs w:val="21"/>
              </w:rPr>
            </w:pPr>
            <w:r>
              <w:rPr>
                <w:rFonts w:hAnsi="宋体"/>
                <w:szCs w:val="21"/>
              </w:rPr>
              <w:t>投标文件密封</w:t>
            </w:r>
          </w:p>
          <w:p>
            <w:pPr>
              <w:jc w:val="center"/>
              <w:rPr>
                <w:szCs w:val="21"/>
              </w:rPr>
            </w:pPr>
            <w:r>
              <w:rPr>
                <w:rFonts w:hAnsi="宋体"/>
                <w:szCs w:val="21"/>
              </w:rPr>
              <w:t>及装订</w:t>
            </w:r>
          </w:p>
        </w:tc>
        <w:tc>
          <w:tcPr>
            <w:tcW w:w="6012" w:type="dxa"/>
            <w:vAlign w:val="center"/>
          </w:tcPr>
          <w:p>
            <w:pPr>
              <w:rPr>
                <w:szCs w:val="21"/>
              </w:rPr>
            </w:pPr>
            <w:r>
              <w:t>投标文件的商务标</w:t>
            </w:r>
            <w:r>
              <w:rPr>
                <w:rFonts w:hint="eastAsia"/>
              </w:rPr>
              <w:t>必须</w:t>
            </w:r>
            <w:r>
              <w:t>单独密封</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trPr>
        <w:tc>
          <w:tcPr>
            <w:tcW w:w="682" w:type="dxa"/>
            <w:vAlign w:val="center"/>
          </w:tcPr>
          <w:p>
            <w:pPr>
              <w:jc w:val="center"/>
              <w:rPr>
                <w:szCs w:val="21"/>
              </w:rPr>
            </w:pPr>
            <w:r>
              <w:rPr>
                <w:szCs w:val="21"/>
              </w:rPr>
              <w:t>2</w:t>
            </w:r>
            <w:r>
              <w:rPr>
                <w:rFonts w:hint="eastAsia"/>
                <w:szCs w:val="21"/>
                <w:lang w:val="en-US" w:eastAsia="zh-CN"/>
              </w:rPr>
              <w:t>5</w:t>
            </w:r>
          </w:p>
        </w:tc>
        <w:tc>
          <w:tcPr>
            <w:tcW w:w="861" w:type="dxa"/>
            <w:vAlign w:val="center"/>
          </w:tcPr>
          <w:p>
            <w:pPr>
              <w:jc w:val="center"/>
              <w:rPr>
                <w:szCs w:val="21"/>
              </w:rPr>
            </w:pPr>
            <w:r>
              <w:rPr>
                <w:szCs w:val="21"/>
              </w:rPr>
              <w:t>21.1</w:t>
            </w:r>
          </w:p>
        </w:tc>
        <w:tc>
          <w:tcPr>
            <w:tcW w:w="1778" w:type="dxa"/>
            <w:vAlign w:val="center"/>
          </w:tcPr>
          <w:p>
            <w:pPr>
              <w:jc w:val="center"/>
              <w:rPr>
                <w:szCs w:val="21"/>
              </w:rPr>
            </w:pPr>
            <w:r>
              <w:rPr>
                <w:rFonts w:hAnsi="宋体"/>
                <w:szCs w:val="21"/>
              </w:rPr>
              <w:t>投标文件提交地点与开标地点</w:t>
            </w:r>
          </w:p>
        </w:tc>
        <w:tc>
          <w:tcPr>
            <w:tcW w:w="6012" w:type="dxa"/>
            <w:vAlign w:val="center"/>
          </w:tcPr>
          <w:p>
            <w:pPr>
              <w:rPr>
                <w:rFonts w:hint="eastAsia"/>
                <w:szCs w:val="21"/>
              </w:rPr>
            </w:pPr>
            <w:r>
              <w:rPr>
                <w:rFonts w:hint="eastAsia" w:hAnsi="宋体"/>
                <w:szCs w:val="21"/>
                <w:lang w:eastAsia="zh-CN"/>
              </w:rPr>
              <w:t>玉环经济开发区办公大楼B108室。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682" w:type="dxa"/>
            <w:vAlign w:val="center"/>
          </w:tcPr>
          <w:p>
            <w:pPr>
              <w:jc w:val="center"/>
              <w:rPr>
                <w:szCs w:val="21"/>
              </w:rPr>
            </w:pPr>
            <w:r>
              <w:rPr>
                <w:szCs w:val="21"/>
              </w:rPr>
              <w:t>2</w:t>
            </w:r>
            <w:r>
              <w:rPr>
                <w:rFonts w:hint="eastAsia"/>
                <w:szCs w:val="21"/>
                <w:lang w:val="en-US" w:eastAsia="zh-CN"/>
              </w:rPr>
              <w:t>6</w:t>
            </w:r>
          </w:p>
        </w:tc>
        <w:tc>
          <w:tcPr>
            <w:tcW w:w="861" w:type="dxa"/>
            <w:vAlign w:val="center"/>
          </w:tcPr>
          <w:p>
            <w:pPr>
              <w:jc w:val="center"/>
              <w:rPr>
                <w:szCs w:val="21"/>
              </w:rPr>
            </w:pPr>
            <w:r>
              <w:rPr>
                <w:szCs w:val="21"/>
              </w:rPr>
              <w:t>21.1</w:t>
            </w:r>
          </w:p>
        </w:tc>
        <w:tc>
          <w:tcPr>
            <w:tcW w:w="1778" w:type="dxa"/>
            <w:vAlign w:val="center"/>
          </w:tcPr>
          <w:p>
            <w:pPr>
              <w:jc w:val="center"/>
              <w:rPr>
                <w:szCs w:val="21"/>
              </w:rPr>
            </w:pPr>
            <w:r>
              <w:rPr>
                <w:rFonts w:hAnsi="宋体"/>
                <w:szCs w:val="21"/>
              </w:rPr>
              <w:t>投标文件提交截止时间与开标时间</w:t>
            </w:r>
          </w:p>
        </w:tc>
        <w:tc>
          <w:tcPr>
            <w:tcW w:w="6012" w:type="dxa"/>
            <w:vAlign w:val="center"/>
          </w:tcPr>
          <w:p>
            <w:pPr>
              <w:rPr>
                <w:b/>
                <w:szCs w:val="21"/>
                <w:lang w:val="zh-CN"/>
              </w:rPr>
            </w:pPr>
            <w:r>
              <w:rPr>
                <w:rFonts w:hint="eastAsia"/>
                <w:b/>
                <w:color w:val="auto"/>
                <w:kern w:val="21"/>
                <w:szCs w:val="21"/>
                <w:lang w:val="en-US" w:eastAsia="zh-CN"/>
              </w:rPr>
              <w:t>2018</w:t>
            </w:r>
            <w:r>
              <w:rPr>
                <w:rFonts w:hAnsi="宋体"/>
                <w:b/>
                <w:color w:val="auto"/>
                <w:kern w:val="21"/>
                <w:szCs w:val="21"/>
              </w:rPr>
              <w:t>年</w:t>
            </w:r>
            <w:r>
              <w:rPr>
                <w:rFonts w:hint="eastAsia"/>
                <w:b/>
                <w:color w:val="auto"/>
                <w:kern w:val="21"/>
                <w:szCs w:val="21"/>
                <w:lang w:val="en-US" w:eastAsia="zh-CN"/>
              </w:rPr>
              <w:t>9</w:t>
            </w:r>
            <w:r>
              <w:rPr>
                <w:rFonts w:hAnsi="宋体"/>
                <w:b/>
                <w:color w:val="auto"/>
                <w:kern w:val="21"/>
                <w:szCs w:val="21"/>
              </w:rPr>
              <w:t>月</w:t>
            </w:r>
            <w:r>
              <w:rPr>
                <w:rFonts w:hint="eastAsia" w:hAnsi="宋体"/>
                <w:b/>
                <w:color w:val="auto"/>
                <w:kern w:val="21"/>
                <w:szCs w:val="21"/>
                <w:lang w:val="en-US" w:eastAsia="zh-CN"/>
              </w:rPr>
              <w:t>29</w:t>
            </w:r>
            <w:r>
              <w:rPr>
                <w:rFonts w:hAnsi="宋体"/>
                <w:b/>
                <w:color w:val="auto"/>
                <w:kern w:val="21"/>
                <w:szCs w:val="21"/>
              </w:rPr>
              <w:t>日</w:t>
            </w:r>
            <w:r>
              <w:rPr>
                <w:rFonts w:hint="eastAsia"/>
                <w:b/>
                <w:color w:val="auto"/>
                <w:kern w:val="21"/>
                <w:szCs w:val="21"/>
                <w:lang w:val="en-US" w:eastAsia="zh-CN"/>
              </w:rPr>
              <w:t>9</w:t>
            </w:r>
            <w:r>
              <w:rPr>
                <w:rFonts w:hAnsi="宋体"/>
                <w:b/>
                <w:color w:val="auto"/>
                <w:kern w:val="21"/>
                <w:szCs w:val="21"/>
              </w:rPr>
              <w:t>时</w:t>
            </w:r>
            <w:r>
              <w:rPr>
                <w:rFonts w:hint="eastAsia" w:hAnsi="宋体"/>
                <w:b/>
                <w:color w:val="auto"/>
                <w:kern w:val="21"/>
                <w:szCs w:val="21"/>
                <w:lang w:val="en-US" w:eastAsia="zh-CN"/>
              </w:rPr>
              <w:t>3</w:t>
            </w:r>
            <w:r>
              <w:rPr>
                <w:rFonts w:hint="eastAsia"/>
                <w:b/>
                <w:color w:val="auto"/>
                <w:kern w:val="21"/>
                <w:szCs w:val="21"/>
                <w:lang w:val="en-US" w:eastAsia="zh-CN"/>
              </w:rPr>
              <w:t>0</w:t>
            </w:r>
            <w:r>
              <w:rPr>
                <w:rFonts w:hAnsi="宋体"/>
                <w:b/>
                <w:color w:val="auto"/>
                <w:kern w:val="21"/>
                <w:szCs w:val="21"/>
              </w:rPr>
              <w:t>分</w:t>
            </w:r>
            <w:r>
              <w:rPr>
                <w:rFonts w:hint="eastAsia" w:hAnsi="宋体"/>
                <w:b/>
                <w:color w:val="auto"/>
                <w:kern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5" w:hRule="atLeast"/>
        </w:trPr>
        <w:tc>
          <w:tcPr>
            <w:tcW w:w="682" w:type="dxa"/>
            <w:vAlign w:val="center"/>
          </w:tcPr>
          <w:p>
            <w:pPr>
              <w:jc w:val="center"/>
              <w:rPr>
                <w:rFonts w:hint="eastAsia" w:eastAsia="宋体"/>
                <w:szCs w:val="21"/>
                <w:lang w:val="en-US" w:eastAsia="zh-CN"/>
              </w:rPr>
            </w:pPr>
            <w:r>
              <w:rPr>
                <w:rFonts w:hint="eastAsia"/>
                <w:szCs w:val="21"/>
                <w:lang w:val="en-US" w:eastAsia="zh-CN"/>
              </w:rPr>
              <w:t>27</w:t>
            </w:r>
          </w:p>
        </w:tc>
        <w:tc>
          <w:tcPr>
            <w:tcW w:w="861" w:type="dxa"/>
            <w:vAlign w:val="center"/>
          </w:tcPr>
          <w:p>
            <w:pPr>
              <w:jc w:val="center"/>
              <w:rPr>
                <w:szCs w:val="21"/>
              </w:rPr>
            </w:pPr>
            <w:r>
              <w:rPr>
                <w:szCs w:val="21"/>
              </w:rPr>
              <w:t>21.2</w:t>
            </w:r>
          </w:p>
        </w:tc>
        <w:tc>
          <w:tcPr>
            <w:tcW w:w="1778" w:type="dxa"/>
            <w:vAlign w:val="center"/>
          </w:tcPr>
          <w:p>
            <w:pPr>
              <w:jc w:val="center"/>
              <w:rPr>
                <w:szCs w:val="21"/>
              </w:rPr>
            </w:pPr>
            <w:r>
              <w:rPr>
                <w:rFonts w:hAnsi="宋体"/>
                <w:szCs w:val="21"/>
              </w:rPr>
              <w:t>投标文件递交</w:t>
            </w:r>
          </w:p>
          <w:p>
            <w:pPr>
              <w:jc w:val="center"/>
              <w:rPr>
                <w:szCs w:val="21"/>
              </w:rPr>
            </w:pPr>
            <w:r>
              <w:rPr>
                <w:rFonts w:hAnsi="宋体"/>
                <w:szCs w:val="21"/>
              </w:rPr>
              <w:t>要求</w:t>
            </w:r>
          </w:p>
        </w:tc>
        <w:tc>
          <w:tcPr>
            <w:tcW w:w="6012" w:type="dxa"/>
            <w:vAlign w:val="center"/>
          </w:tcPr>
          <w:p>
            <w:pPr>
              <w:spacing w:line="260" w:lineRule="exact"/>
              <w:rPr>
                <w:rFonts w:hint="eastAsia"/>
              </w:rPr>
            </w:pPr>
            <w:r>
              <w:rPr>
                <w:rFonts w:hint="eastAsia" w:hAnsi="宋体"/>
                <w:szCs w:val="21"/>
              </w:rPr>
              <w:t>1</w:t>
            </w:r>
            <w:r>
              <w:rPr>
                <w:rFonts w:hAnsi="宋体"/>
                <w:szCs w:val="21"/>
              </w:rPr>
              <w:t>、</w:t>
            </w:r>
            <w:r>
              <w:t>投标人提交投标</w:t>
            </w:r>
            <w:r>
              <w:rPr>
                <w:rFonts w:hint="eastAsia"/>
              </w:rPr>
              <w:t>保证金；</w:t>
            </w:r>
          </w:p>
          <w:p>
            <w:pPr>
              <w:spacing w:line="260" w:lineRule="exact"/>
              <w:rPr>
                <w:rFonts w:hint="eastAsia"/>
              </w:rPr>
            </w:pPr>
            <w:r>
              <w:rPr>
                <w:rFonts w:hint="eastAsia"/>
              </w:rPr>
              <w:t>2、</w:t>
            </w:r>
            <w:r>
              <w:t>投标人提交《台州市建设工程诚信投标承诺书》（投标文件格式</w:t>
            </w:r>
            <w:r>
              <w:rPr>
                <w:rFonts w:hint="eastAsia"/>
              </w:rPr>
              <w:t>五</w:t>
            </w:r>
            <w:r>
              <w:t>）</w:t>
            </w:r>
            <w:r>
              <w:rPr>
                <w:rFonts w:hint="eastAsia"/>
              </w:rPr>
              <w:t>；</w:t>
            </w:r>
          </w:p>
          <w:p>
            <w:pPr>
              <w:spacing w:line="260" w:lineRule="exact"/>
              <w:rPr>
                <w:szCs w:val="21"/>
              </w:rPr>
            </w:pPr>
            <w:r>
              <w:rPr>
                <w:rFonts w:hint="eastAsia" w:hAnsi="宋体"/>
                <w:szCs w:val="21"/>
                <w:lang w:val="en-US" w:eastAsia="zh-CN"/>
              </w:rPr>
              <w:t>3</w:t>
            </w:r>
            <w:r>
              <w:rPr>
                <w:rFonts w:hint="eastAsia" w:hAnsi="宋体"/>
                <w:szCs w:val="21"/>
              </w:rPr>
              <w:t>、</w:t>
            </w:r>
            <w:r>
              <w:rPr>
                <w:rFonts w:hAnsi="宋体"/>
                <w:szCs w:val="21"/>
              </w:rPr>
              <w:t>投标人下列人员经招标人（招标代理机构）确认身份后再签名报到，以证明其出席开标会议：</w:t>
            </w:r>
          </w:p>
          <w:p>
            <w:pPr>
              <w:spacing w:line="260" w:lineRule="exact"/>
              <w:rPr>
                <w:rFonts w:hint="eastAsia"/>
                <w:szCs w:val="21"/>
              </w:rPr>
            </w:pPr>
            <w:r>
              <w:rPr>
                <w:rFonts w:hAnsi="宋体"/>
                <w:szCs w:val="21"/>
              </w:rPr>
              <w:t>投标人法定代表人或委托代理人应持本人有效身份证原件</w:t>
            </w:r>
            <w:r>
              <w:rPr>
                <w:rFonts w:hAnsi="宋体"/>
                <w:b/>
                <w:szCs w:val="21"/>
              </w:rPr>
              <w:t>（须为第二代身份证或第二代临时身份证）</w:t>
            </w:r>
            <w:r>
              <w:rPr>
                <w:rFonts w:hAnsi="宋体"/>
                <w:szCs w:val="21"/>
              </w:rPr>
              <w:t>和针对本工程的法定代表人授权委托书原件</w:t>
            </w:r>
            <w:r>
              <w:rPr>
                <w:rFonts w:hAnsi="宋体"/>
                <w:b/>
                <w:szCs w:val="21"/>
              </w:rPr>
              <w:t>（参考格式见附件）</w:t>
            </w:r>
            <w:r>
              <w:rPr>
                <w:rFonts w:hAnsi="宋体"/>
                <w:szCs w:val="21"/>
              </w:rPr>
              <w:t>参加开标会议。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682" w:type="dxa"/>
            <w:vAlign w:val="center"/>
          </w:tcPr>
          <w:p>
            <w:pPr>
              <w:jc w:val="center"/>
              <w:rPr>
                <w:szCs w:val="21"/>
              </w:rPr>
            </w:pPr>
            <w:r>
              <w:rPr>
                <w:szCs w:val="21"/>
              </w:rPr>
              <w:t>2</w:t>
            </w:r>
            <w:r>
              <w:rPr>
                <w:rFonts w:hint="eastAsia"/>
                <w:szCs w:val="21"/>
                <w:lang w:val="en-US" w:eastAsia="zh-CN"/>
              </w:rPr>
              <w:t>8</w:t>
            </w:r>
          </w:p>
        </w:tc>
        <w:tc>
          <w:tcPr>
            <w:tcW w:w="861" w:type="dxa"/>
            <w:vAlign w:val="center"/>
          </w:tcPr>
          <w:p>
            <w:pPr>
              <w:jc w:val="center"/>
              <w:rPr>
                <w:szCs w:val="21"/>
              </w:rPr>
            </w:pPr>
            <w:r>
              <w:rPr>
                <w:szCs w:val="21"/>
              </w:rPr>
              <w:t>24.3</w:t>
            </w:r>
          </w:p>
        </w:tc>
        <w:tc>
          <w:tcPr>
            <w:tcW w:w="1778" w:type="dxa"/>
            <w:vAlign w:val="center"/>
          </w:tcPr>
          <w:p>
            <w:pPr>
              <w:jc w:val="center"/>
              <w:rPr>
                <w:szCs w:val="21"/>
              </w:rPr>
            </w:pPr>
            <w:r>
              <w:rPr>
                <w:rFonts w:hAnsi="宋体"/>
                <w:szCs w:val="21"/>
              </w:rPr>
              <w:t>开标顺序</w:t>
            </w:r>
          </w:p>
        </w:tc>
        <w:tc>
          <w:tcPr>
            <w:tcW w:w="6012" w:type="dxa"/>
            <w:vAlign w:val="center"/>
          </w:tcPr>
          <w:p>
            <w:pPr>
              <w:rPr>
                <w:i/>
                <w:szCs w:val="21"/>
              </w:rPr>
            </w:pPr>
            <w:r>
              <w:t>先</w:t>
            </w:r>
            <w:r>
              <w:rPr>
                <w:rFonts w:hint="eastAsia"/>
              </w:rPr>
              <w:t>资格审查</w:t>
            </w:r>
            <w:r>
              <w:t>，再开商务标。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682" w:type="dxa"/>
            <w:vAlign w:val="center"/>
          </w:tcPr>
          <w:p>
            <w:pPr>
              <w:jc w:val="center"/>
              <w:rPr>
                <w:szCs w:val="21"/>
              </w:rPr>
            </w:pPr>
            <w:r>
              <w:rPr>
                <w:szCs w:val="21"/>
              </w:rPr>
              <w:t>2</w:t>
            </w:r>
            <w:r>
              <w:rPr>
                <w:rFonts w:hint="eastAsia"/>
                <w:szCs w:val="21"/>
                <w:lang w:val="en-US" w:eastAsia="zh-CN"/>
              </w:rPr>
              <w:t>9</w:t>
            </w:r>
          </w:p>
        </w:tc>
        <w:tc>
          <w:tcPr>
            <w:tcW w:w="861" w:type="dxa"/>
            <w:vAlign w:val="center"/>
          </w:tcPr>
          <w:p>
            <w:pPr>
              <w:jc w:val="center"/>
              <w:rPr>
                <w:szCs w:val="21"/>
              </w:rPr>
            </w:pPr>
            <w:r>
              <w:rPr>
                <w:szCs w:val="21"/>
              </w:rPr>
              <w:t>32.1</w:t>
            </w:r>
          </w:p>
        </w:tc>
        <w:tc>
          <w:tcPr>
            <w:tcW w:w="1778" w:type="dxa"/>
            <w:vAlign w:val="center"/>
          </w:tcPr>
          <w:p>
            <w:pPr>
              <w:jc w:val="center"/>
              <w:rPr>
                <w:szCs w:val="21"/>
              </w:rPr>
            </w:pPr>
            <w:r>
              <w:rPr>
                <w:rFonts w:hAnsi="宋体"/>
                <w:szCs w:val="21"/>
              </w:rPr>
              <w:t>评标办法</w:t>
            </w:r>
          </w:p>
        </w:tc>
        <w:tc>
          <w:tcPr>
            <w:tcW w:w="6012" w:type="dxa"/>
            <w:vAlign w:val="center"/>
          </w:tcPr>
          <w:p>
            <w:pPr>
              <w:rPr>
                <w:szCs w:val="21"/>
              </w:rPr>
            </w:pPr>
            <w:r>
              <w:rPr>
                <w:rFonts w:hint="eastAsia"/>
              </w:rPr>
              <w:t>二次平均价最接近法</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2" w:hRule="exact"/>
        </w:trPr>
        <w:tc>
          <w:tcPr>
            <w:tcW w:w="682" w:type="dxa"/>
            <w:vAlign w:val="center"/>
          </w:tcPr>
          <w:p>
            <w:pPr>
              <w:jc w:val="center"/>
              <w:rPr>
                <w:rFonts w:hint="eastAsia" w:eastAsia="宋体"/>
                <w:szCs w:val="21"/>
                <w:lang w:val="en-US" w:eastAsia="zh-CN"/>
              </w:rPr>
            </w:pPr>
            <w:r>
              <w:rPr>
                <w:rFonts w:hint="eastAsia"/>
                <w:szCs w:val="21"/>
                <w:lang w:val="en-US" w:eastAsia="zh-CN"/>
              </w:rPr>
              <w:t>30</w:t>
            </w:r>
          </w:p>
        </w:tc>
        <w:tc>
          <w:tcPr>
            <w:tcW w:w="861" w:type="dxa"/>
            <w:vAlign w:val="center"/>
          </w:tcPr>
          <w:p>
            <w:pPr>
              <w:jc w:val="center"/>
              <w:rPr>
                <w:szCs w:val="21"/>
              </w:rPr>
            </w:pPr>
            <w:r>
              <w:rPr>
                <w:szCs w:val="21"/>
              </w:rPr>
              <w:t>34.3</w:t>
            </w:r>
          </w:p>
        </w:tc>
        <w:tc>
          <w:tcPr>
            <w:tcW w:w="1778" w:type="dxa"/>
            <w:vAlign w:val="center"/>
          </w:tcPr>
          <w:p>
            <w:pPr>
              <w:jc w:val="center"/>
              <w:rPr>
                <w:szCs w:val="21"/>
              </w:rPr>
            </w:pPr>
            <w:r>
              <w:rPr>
                <w:rFonts w:hAnsi="宋体"/>
                <w:szCs w:val="21"/>
              </w:rPr>
              <w:t>工程担保</w:t>
            </w:r>
          </w:p>
        </w:tc>
        <w:tc>
          <w:tcPr>
            <w:tcW w:w="6012" w:type="dxa"/>
            <w:vAlign w:val="center"/>
          </w:tcPr>
          <w:p>
            <w:pPr>
              <w:rPr>
                <w:szCs w:val="21"/>
              </w:rPr>
            </w:pPr>
            <w:r>
              <w:rPr>
                <w:rFonts w:hAnsi="宋体"/>
                <w:szCs w:val="21"/>
                <w:lang w:val="zh-CN"/>
              </w:rPr>
              <w:t>履约担保金额为中标价的</w:t>
            </w:r>
            <w:r>
              <w:rPr>
                <w:szCs w:val="21"/>
                <w:lang w:val="zh-CN"/>
              </w:rPr>
              <w:t>10%</w:t>
            </w:r>
            <w:r>
              <w:rPr>
                <w:rFonts w:hint="eastAsia"/>
                <w:szCs w:val="21"/>
                <w:lang w:val="zh-CN" w:eastAsia="zh-CN"/>
              </w:rPr>
              <w:t>，</w:t>
            </w:r>
            <w:r>
              <w:rPr>
                <w:rFonts w:hint="eastAsia" w:ascii="宋体"/>
                <w:b/>
                <w:bCs/>
                <w:color w:val="000000"/>
                <w:sz w:val="21"/>
                <w:szCs w:val="21"/>
                <w:shd w:val="clear" w:color="auto" w:fill="FFFFFF"/>
              </w:rPr>
              <w:t>必须由投标人基本账户银行转帐</w:t>
            </w:r>
            <w:r>
              <w:rPr>
                <w:rFonts w:hint="eastAsia" w:ascii="宋体"/>
                <w:b/>
                <w:bCs/>
                <w:color w:val="000000"/>
                <w:sz w:val="21"/>
                <w:szCs w:val="21"/>
                <w:shd w:val="clear" w:color="auto" w:fill="FFFFFF"/>
                <w:lang w:eastAsia="zh-CN"/>
              </w:rPr>
              <w:t>形式</w:t>
            </w:r>
            <w:r>
              <w:rPr>
                <w:rFonts w:hint="eastAsia" w:ascii="宋体"/>
                <w:b/>
                <w:bCs/>
                <w:color w:val="000000"/>
                <w:sz w:val="21"/>
                <w:szCs w:val="21"/>
                <w:shd w:val="clear" w:color="auto" w:fill="FFFFFF"/>
              </w:rPr>
              <w:t>转入</w:t>
            </w:r>
            <w:r>
              <w:rPr>
                <w:rFonts w:hint="eastAsia" w:ascii="宋体"/>
                <w:b/>
                <w:bCs/>
                <w:color w:val="000000"/>
                <w:sz w:val="21"/>
                <w:szCs w:val="21"/>
                <w:shd w:val="clear" w:color="auto" w:fill="FFFFFF"/>
                <w:lang w:eastAsia="zh-CN"/>
              </w:rPr>
              <w:t>招标人</w:t>
            </w:r>
            <w:r>
              <w:rPr>
                <w:rFonts w:hint="eastAsia" w:ascii="宋体"/>
                <w:b/>
                <w:bCs/>
                <w:color w:val="000000"/>
                <w:sz w:val="21"/>
                <w:szCs w:val="21"/>
                <w:shd w:val="clear" w:color="auto" w:fill="FFFFFF"/>
              </w:rPr>
              <w:t>指定的账户</w:t>
            </w:r>
            <w:r>
              <w:rPr>
                <w:rFonts w:hint="eastAsia" w:ascii="宋体"/>
                <w:b/>
                <w:bCs/>
                <w:color w:val="000000"/>
                <w:sz w:val="21"/>
                <w:szCs w:val="21"/>
                <w:shd w:val="clear" w:color="auto" w:fill="FFFFFF"/>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exact"/>
        </w:trPr>
        <w:tc>
          <w:tcPr>
            <w:tcW w:w="682" w:type="dxa"/>
            <w:vAlign w:val="center"/>
          </w:tcPr>
          <w:p>
            <w:pPr>
              <w:jc w:val="center"/>
              <w:rPr>
                <w:rFonts w:hint="eastAsia"/>
                <w:szCs w:val="21"/>
                <w:lang w:val="en-US" w:eastAsia="zh-CN"/>
              </w:rPr>
            </w:pPr>
            <w:r>
              <w:rPr>
                <w:rFonts w:hint="eastAsia"/>
                <w:szCs w:val="21"/>
                <w:lang w:val="en-US" w:eastAsia="zh-CN"/>
              </w:rPr>
              <w:t>31</w:t>
            </w:r>
          </w:p>
        </w:tc>
        <w:tc>
          <w:tcPr>
            <w:tcW w:w="861" w:type="dxa"/>
            <w:vAlign w:val="center"/>
          </w:tcPr>
          <w:p>
            <w:pPr>
              <w:jc w:val="center"/>
              <w:rPr>
                <w:szCs w:val="21"/>
              </w:rPr>
            </w:pPr>
            <w:r>
              <w:rPr>
                <w:rFonts w:hint="eastAsia"/>
                <w:szCs w:val="21"/>
                <w:lang w:val="en-US" w:eastAsia="zh-CN"/>
              </w:rPr>
              <w:t>43.1</w:t>
            </w:r>
          </w:p>
        </w:tc>
        <w:tc>
          <w:tcPr>
            <w:tcW w:w="1778" w:type="dxa"/>
            <w:vAlign w:val="center"/>
          </w:tcPr>
          <w:p>
            <w:pPr>
              <w:jc w:val="center"/>
              <w:rPr>
                <w:rFonts w:hAnsi="宋体"/>
                <w:szCs w:val="21"/>
              </w:rPr>
            </w:pPr>
            <w:r>
              <w:rPr>
                <w:rFonts w:hint="eastAsia" w:hAnsi="宋体"/>
                <w:szCs w:val="21"/>
                <w:lang w:eastAsia="zh-CN"/>
              </w:rPr>
              <w:t>补充内容</w:t>
            </w:r>
          </w:p>
        </w:tc>
        <w:tc>
          <w:tcPr>
            <w:tcW w:w="6012" w:type="dxa"/>
            <w:vAlign w:val="center"/>
          </w:tcPr>
          <w:p>
            <w:pPr>
              <w:jc w:val="center"/>
              <w:rPr>
                <w:rFonts w:hAnsi="宋体"/>
                <w:szCs w:val="21"/>
                <w:lang w:val="zh-CN"/>
              </w:rPr>
            </w:pPr>
            <w:r>
              <w:rPr>
                <w:rFonts w:hint="eastAsia" w:hAnsi="宋体"/>
                <w:szCs w:val="21"/>
                <w:lang w:val="en-US" w:eastAsia="zh-CN"/>
              </w:rPr>
              <w:t>/</w:t>
            </w:r>
          </w:p>
        </w:tc>
      </w:tr>
    </w:tbl>
    <w:p>
      <w:pPr>
        <w:spacing w:line="340" w:lineRule="exact"/>
        <w:ind w:left="-105" w:leftChars="-50" w:right="-88" w:rightChars="-42" w:firstLine="422" w:firstLineChars="200"/>
        <w:rPr>
          <w:b/>
        </w:rPr>
      </w:pPr>
      <w:r>
        <w:rPr>
          <w:b/>
        </w:rPr>
        <w:t>投标人如发现招标文件及其评标办法中存在含糊不清、相互矛盾、多种含义以及歧视性不公正条款或违规违法等内容时，请自招标文件发布在交易场所（发布招标公告的媒体上）3日内根据《中华人民共和国招标投标法实施条例》的规定向招标人或招标代理机构提出书面反映，逾期不得再对招标文件的条款提出质疑。</w:t>
      </w:r>
    </w:p>
    <w:p>
      <w:pPr>
        <w:spacing w:line="360" w:lineRule="exact"/>
        <w:jc w:val="center"/>
        <w:sectPr>
          <w:headerReference r:id="rId5" w:type="first"/>
          <w:footerReference r:id="rId7" w:type="first"/>
          <w:footerReference r:id="rId6" w:type="default"/>
          <w:footnotePr>
            <w:numRestart w:val="eachPage"/>
          </w:footnotePr>
          <w:endnotePr>
            <w:numRestart w:val="eachSect"/>
          </w:endnotePr>
          <w:pgSz w:w="11907" w:h="16840"/>
          <w:pgMar w:top="1440" w:right="1417" w:bottom="1440" w:left="1701" w:header="851" w:footer="850" w:gutter="0"/>
          <w:pgNumType w:fmt="decimal"/>
          <w:cols w:space="720" w:num="1"/>
          <w:rtlGutter w:val="0"/>
          <w:docGrid w:linePitch="435" w:charSpace="0"/>
        </w:sectPr>
      </w:pPr>
    </w:p>
    <w:p>
      <w:pPr>
        <w:pStyle w:val="2"/>
        <w:rPr>
          <w:rFonts w:ascii="Times New Roman" w:hAnsi="Times New Roman"/>
        </w:rPr>
      </w:pPr>
      <w:bookmarkStart w:id="24" w:name="_Toc500209412"/>
      <w:bookmarkStart w:id="25" w:name="_Toc500208463"/>
      <w:bookmarkStart w:id="26" w:name="_Toc16782"/>
      <w:r>
        <w:rPr>
          <w:rFonts w:ascii="Times New Roman" w:hAnsi="Times New Roman"/>
        </w:rPr>
        <w:t>第</w:t>
      </w:r>
      <w:r>
        <w:rPr>
          <w:rFonts w:hint="eastAsia" w:ascii="Times New Roman" w:hAnsi="Times New Roman"/>
        </w:rPr>
        <w:t>二</w:t>
      </w:r>
      <w:r>
        <w:rPr>
          <w:rFonts w:ascii="Times New Roman" w:hAnsi="Times New Roman"/>
        </w:rPr>
        <w:t>章  投标须知</w:t>
      </w:r>
      <w:bookmarkEnd w:id="24"/>
      <w:bookmarkEnd w:id="25"/>
      <w:bookmarkEnd w:id="26"/>
    </w:p>
    <w:p>
      <w:pPr>
        <w:pStyle w:val="3"/>
        <w:tabs>
          <w:tab w:val="clear" w:pos="2159"/>
        </w:tabs>
        <w:spacing w:after="120" w:afterLines="0" w:line="240" w:lineRule="exact"/>
        <w:ind w:left="1321" w:hanging="1321"/>
        <w:rPr>
          <w:rFonts w:ascii="Times New Roman" w:hAnsi="Times New Roman" w:cs="Times New Roman"/>
        </w:rPr>
      </w:pPr>
      <w:bookmarkStart w:id="27" w:name="_Toc20003"/>
      <w:bookmarkStart w:id="28" w:name="_Toc500209413"/>
      <w:bookmarkStart w:id="29" w:name="_Toc500208464"/>
      <w:r>
        <w:rPr>
          <w:rFonts w:ascii="Times New Roman" w:hAnsi="Times New Roman" w:cs="Times New Roman"/>
        </w:rPr>
        <w:t>总  则</w:t>
      </w:r>
      <w:bookmarkEnd w:id="27"/>
      <w:bookmarkEnd w:id="28"/>
      <w:bookmarkEnd w:id="29"/>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30" w:name="_Toc155342528"/>
      <w:bookmarkStart w:id="31" w:name="_Toc169487776"/>
      <w:bookmarkStart w:id="32" w:name="_Toc500208465"/>
      <w:r>
        <w:rPr>
          <w:rFonts w:ascii="Times New Roman" w:hAnsi="Times New Roman"/>
          <w:color w:val="auto"/>
        </w:rPr>
        <w:t>工程说明</w:t>
      </w:r>
      <w:bookmarkEnd w:id="30"/>
      <w:bookmarkEnd w:id="31"/>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本招标工程项目说明详见本须知前附表第1项～第</w:t>
      </w:r>
      <w:r>
        <w:rPr>
          <w:rFonts w:hint="eastAsia" w:ascii="Times New Roman" w:hAnsi="Times New Roman"/>
          <w:lang w:val="en-US" w:eastAsia="zh-CN"/>
        </w:rPr>
        <w:t>9</w:t>
      </w:r>
      <w:r>
        <w:rPr>
          <w:rFonts w:ascii="Times New Roman" w:hAnsi="Times New Roman"/>
        </w:rPr>
        <w:t>项。</w:t>
      </w:r>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33" w:name="_Toc169487777"/>
      <w:bookmarkStart w:id="34" w:name="_Toc155342529"/>
      <w:r>
        <w:rPr>
          <w:rFonts w:ascii="Times New Roman" w:hAnsi="Times New Roman"/>
          <w:color w:val="auto"/>
        </w:rPr>
        <w:t>招标范围</w:t>
      </w:r>
      <w:bookmarkEnd w:id="32"/>
      <w:bookmarkEnd w:id="33"/>
      <w:bookmarkEnd w:id="34"/>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bookmarkStart w:id="35" w:name="_Toc500208466"/>
      <w:r>
        <w:rPr>
          <w:rFonts w:ascii="Times New Roman" w:hAnsi="Times New Roman"/>
        </w:rPr>
        <w:t>本招标工程项目的招标方式详见本须知前附表第</w:t>
      </w:r>
      <w:r>
        <w:rPr>
          <w:rFonts w:hint="eastAsia" w:ascii="Times New Roman" w:hAnsi="Times New Roman"/>
          <w:lang w:val="en-US" w:eastAsia="zh-CN"/>
        </w:rPr>
        <w:t>10</w:t>
      </w:r>
      <w:r>
        <w:rPr>
          <w:rFonts w:ascii="Times New Roman" w:hAnsi="Times New Roman"/>
        </w:rPr>
        <w:t>项。</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本招标工程项目的招标范围详见本须知前附表第</w:t>
      </w:r>
      <w:r>
        <w:rPr>
          <w:rFonts w:hint="eastAsia" w:ascii="Times New Roman" w:hAnsi="Times New Roman"/>
          <w:lang w:val="en-US" w:eastAsia="zh-CN"/>
        </w:rPr>
        <w:t>11</w:t>
      </w:r>
      <w:r>
        <w:rPr>
          <w:rFonts w:ascii="Times New Roman" w:hAnsi="Times New Roman"/>
        </w:rPr>
        <w:t>项。</w:t>
      </w:r>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36" w:name="_Toc169487778"/>
      <w:bookmarkStart w:id="37" w:name="_Toc155342530"/>
      <w:r>
        <w:rPr>
          <w:rFonts w:ascii="Times New Roman" w:hAnsi="Times New Roman"/>
          <w:color w:val="auto"/>
        </w:rPr>
        <w:t>资金来源</w:t>
      </w:r>
      <w:bookmarkEnd w:id="35"/>
      <w:bookmarkEnd w:id="36"/>
      <w:bookmarkEnd w:id="37"/>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本招标工程项目资金来源详见本须知前附表第1</w:t>
      </w:r>
      <w:r>
        <w:rPr>
          <w:rFonts w:hint="eastAsia" w:ascii="Times New Roman" w:hAnsi="Times New Roman"/>
          <w:lang w:val="en-US" w:eastAsia="zh-CN"/>
        </w:rPr>
        <w:t>2</w:t>
      </w:r>
      <w:r>
        <w:rPr>
          <w:rFonts w:ascii="Times New Roman" w:hAnsi="Times New Roman"/>
        </w:rPr>
        <w:t>项，其中部分资金用于本工程项目合同项下的合格支付。</w:t>
      </w:r>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38" w:name="_Toc155342531"/>
      <w:bookmarkStart w:id="39" w:name="_Toc169487779"/>
      <w:r>
        <w:rPr>
          <w:rFonts w:ascii="Times New Roman" w:hAnsi="Times New Roman"/>
          <w:color w:val="auto"/>
        </w:rPr>
        <w:t>投标资格</w:t>
      </w:r>
      <w:bookmarkEnd w:id="38"/>
      <w:bookmarkEnd w:id="39"/>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投标人与项目负责人资格要求详见本须知前附表第1</w:t>
      </w:r>
      <w:r>
        <w:rPr>
          <w:rFonts w:hint="eastAsia" w:ascii="Times New Roman" w:hAnsi="Times New Roman"/>
          <w:lang w:val="en-US" w:eastAsia="zh-CN"/>
        </w:rPr>
        <w:t>3</w:t>
      </w:r>
      <w:r>
        <w:rPr>
          <w:rFonts w:ascii="Times New Roman" w:hAnsi="Times New Roman"/>
        </w:rPr>
        <w:t>项和第1</w:t>
      </w:r>
      <w:r>
        <w:rPr>
          <w:rFonts w:hint="eastAsia" w:ascii="Times New Roman" w:hAnsi="Times New Roman"/>
          <w:lang w:val="en-US" w:eastAsia="zh-CN"/>
        </w:rPr>
        <w:t>4</w:t>
      </w:r>
      <w:r>
        <w:rPr>
          <w:rFonts w:ascii="Times New Roman" w:hAnsi="Times New Roman"/>
        </w:rPr>
        <w:t>项。</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ascii="Times New Roman" w:hAnsi="Times New Roman"/>
        </w:rPr>
      </w:pPr>
      <w:r>
        <w:rPr>
          <w:rFonts w:ascii="Times New Roman" w:hAnsi="Times New Roman"/>
        </w:rPr>
        <w:t>投标人确定方式详见本须知前附表第1</w:t>
      </w:r>
      <w:r>
        <w:rPr>
          <w:rFonts w:hint="eastAsia" w:ascii="Times New Roman" w:hAnsi="Times New Roman"/>
          <w:lang w:val="en-US" w:eastAsia="zh-CN"/>
        </w:rPr>
        <w:t>5</w:t>
      </w:r>
      <w:r>
        <w:rPr>
          <w:rFonts w:ascii="Times New Roman" w:hAnsi="Times New Roman"/>
        </w:rPr>
        <w:t>项。投标人应按规定取得交易席位资格。</w:t>
      </w:r>
    </w:p>
    <w:p>
      <w:pPr>
        <w:pStyle w:val="7"/>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hint="eastAsia" w:ascii="Times New Roman" w:hAnsi="Times New Roman" w:eastAsia="黑体"/>
          <w:b/>
          <w:szCs w:val="21"/>
        </w:rPr>
      </w:pPr>
      <w:r>
        <w:rPr>
          <w:rFonts w:ascii="Times New Roman" w:hAnsi="Times New Roman" w:eastAsia="黑体"/>
          <w:b/>
          <w:szCs w:val="21"/>
        </w:rPr>
        <w:t>项目负责人在建项目</w:t>
      </w:r>
      <w:r>
        <w:rPr>
          <w:rFonts w:hint="eastAsia" w:ascii="Times New Roman" w:hAnsi="Times New Roman" w:eastAsia="黑体"/>
          <w:b/>
          <w:szCs w:val="21"/>
        </w:rPr>
        <w:t>不作</w:t>
      </w:r>
      <w:r>
        <w:rPr>
          <w:rFonts w:ascii="Times New Roman" w:hAnsi="Times New Roman" w:eastAsia="黑体"/>
          <w:b/>
          <w:szCs w:val="21"/>
        </w:rPr>
        <w:t>要求</w:t>
      </w:r>
      <w:r>
        <w:rPr>
          <w:rFonts w:hint="eastAsia" w:ascii="Times New Roman" w:hAnsi="Times New Roman" w:eastAsia="黑体"/>
          <w:b/>
          <w:szCs w:val="21"/>
        </w:rPr>
        <w:t>。</w:t>
      </w:r>
    </w:p>
    <w:p>
      <w:pPr>
        <w:pStyle w:val="7"/>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ascii="Times New Roman" w:hAnsi="Times New Roman"/>
        </w:rPr>
      </w:pPr>
      <w:r>
        <w:rPr>
          <w:rFonts w:ascii="Times New Roman" w:hAnsi="Times New Roman" w:eastAsia="黑体"/>
          <w:b/>
          <w:szCs w:val="21"/>
        </w:rPr>
        <w:t>项目负责人不得同时在两个或者两个以上单位受聘或者执业（仅指项目负责人不得同时是其他单位的公务员或者事业单位在编人员，涉及到其他情形的，投标资格不受影响）。</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投标人不得存在下列情形之一：</w:t>
      </w:r>
    </w:p>
    <w:p>
      <w:pPr>
        <w:pageBreakBefore w:val="0"/>
        <w:widowControl w:val="0"/>
        <w:kinsoku/>
        <w:wordWrap/>
        <w:overflowPunct/>
        <w:topLinePunct w:val="0"/>
        <w:autoSpaceDE/>
        <w:autoSpaceDN/>
        <w:bidi w:val="0"/>
        <w:spacing w:line="360" w:lineRule="auto"/>
        <w:ind w:right="0" w:rightChars="0" w:firstLine="420" w:firstLineChars="200"/>
        <w:textAlignment w:val="auto"/>
        <w:rPr>
          <w:szCs w:val="21"/>
        </w:rPr>
      </w:pPr>
      <w:r>
        <w:rPr>
          <w:rFonts w:hAnsi="宋体"/>
          <w:szCs w:val="21"/>
        </w:rPr>
        <w:t>（</w:t>
      </w:r>
      <w:r>
        <w:rPr>
          <w:szCs w:val="21"/>
        </w:rPr>
        <w:t>1</w:t>
      </w:r>
      <w:r>
        <w:rPr>
          <w:rFonts w:hAnsi="宋体"/>
          <w:szCs w:val="21"/>
        </w:rPr>
        <w:t>）为招标人不具有独立法人资格的附属机构（单位）；</w:t>
      </w:r>
      <w:r>
        <w:rPr>
          <w:szCs w:val="21"/>
        </w:rPr>
        <w:t xml:space="preserve"> </w:t>
      </w:r>
    </w:p>
    <w:p>
      <w:pPr>
        <w:pageBreakBefore w:val="0"/>
        <w:widowControl w:val="0"/>
        <w:kinsoku/>
        <w:wordWrap/>
        <w:overflowPunct/>
        <w:topLinePunct w:val="0"/>
        <w:autoSpaceDE/>
        <w:autoSpaceDN/>
        <w:bidi w:val="0"/>
        <w:spacing w:line="360" w:lineRule="auto"/>
        <w:ind w:right="0" w:rightChars="0" w:firstLine="420" w:firstLineChars="200"/>
        <w:textAlignment w:val="auto"/>
        <w:rPr>
          <w:szCs w:val="21"/>
        </w:rPr>
      </w:pPr>
      <w:r>
        <w:rPr>
          <w:rFonts w:hAnsi="宋体"/>
          <w:szCs w:val="21"/>
        </w:rPr>
        <w:t>（</w:t>
      </w:r>
      <w:r>
        <w:rPr>
          <w:szCs w:val="21"/>
        </w:rPr>
        <w:t>2</w:t>
      </w:r>
      <w:r>
        <w:rPr>
          <w:rFonts w:hAnsi="宋体"/>
          <w:szCs w:val="21"/>
        </w:rPr>
        <w:t>）为本工程前期准备提供设计或咨询服务的，但设计施工总承包的除外；</w:t>
      </w:r>
      <w:r>
        <w:rPr>
          <w:szCs w:val="21"/>
        </w:rPr>
        <w:t xml:space="preserve"> </w:t>
      </w:r>
    </w:p>
    <w:p>
      <w:pPr>
        <w:pageBreakBefore w:val="0"/>
        <w:widowControl w:val="0"/>
        <w:kinsoku/>
        <w:wordWrap/>
        <w:overflowPunct/>
        <w:topLinePunct w:val="0"/>
        <w:autoSpaceDE/>
        <w:autoSpaceDN/>
        <w:bidi w:val="0"/>
        <w:spacing w:line="360" w:lineRule="auto"/>
        <w:ind w:right="0" w:rightChars="0" w:firstLine="420" w:firstLineChars="200"/>
        <w:textAlignment w:val="auto"/>
        <w:rPr>
          <w:szCs w:val="21"/>
        </w:rPr>
      </w:pPr>
      <w:r>
        <w:rPr>
          <w:rFonts w:hAnsi="宋体"/>
          <w:szCs w:val="21"/>
        </w:rPr>
        <w:t>（</w:t>
      </w:r>
      <w:r>
        <w:rPr>
          <w:szCs w:val="21"/>
        </w:rPr>
        <w:t>3</w:t>
      </w:r>
      <w:r>
        <w:rPr>
          <w:rFonts w:hAnsi="宋体"/>
          <w:szCs w:val="21"/>
        </w:rPr>
        <w:t>）为本工程的监理人；</w:t>
      </w:r>
    </w:p>
    <w:p>
      <w:pPr>
        <w:pageBreakBefore w:val="0"/>
        <w:widowControl w:val="0"/>
        <w:kinsoku/>
        <w:wordWrap/>
        <w:overflowPunct/>
        <w:topLinePunct w:val="0"/>
        <w:autoSpaceDE/>
        <w:autoSpaceDN/>
        <w:bidi w:val="0"/>
        <w:spacing w:line="360" w:lineRule="auto"/>
        <w:ind w:right="0" w:rightChars="0" w:firstLine="420" w:firstLineChars="200"/>
        <w:textAlignment w:val="auto"/>
        <w:rPr>
          <w:szCs w:val="21"/>
        </w:rPr>
      </w:pPr>
      <w:r>
        <w:rPr>
          <w:rFonts w:hAnsi="宋体"/>
          <w:szCs w:val="21"/>
        </w:rPr>
        <w:t>（</w:t>
      </w:r>
      <w:r>
        <w:rPr>
          <w:szCs w:val="21"/>
        </w:rPr>
        <w:t>4</w:t>
      </w:r>
      <w:r>
        <w:rPr>
          <w:rFonts w:hAnsi="宋体"/>
          <w:szCs w:val="21"/>
        </w:rPr>
        <w:t>）为本工程的代建人；</w:t>
      </w:r>
      <w:r>
        <w:rPr>
          <w:szCs w:val="21"/>
        </w:rPr>
        <w:t xml:space="preserve"> </w:t>
      </w:r>
    </w:p>
    <w:p>
      <w:pPr>
        <w:pageBreakBefore w:val="0"/>
        <w:widowControl w:val="0"/>
        <w:kinsoku/>
        <w:wordWrap/>
        <w:overflowPunct/>
        <w:topLinePunct w:val="0"/>
        <w:autoSpaceDE/>
        <w:autoSpaceDN/>
        <w:bidi w:val="0"/>
        <w:spacing w:line="360" w:lineRule="auto"/>
        <w:ind w:right="0" w:rightChars="0" w:firstLine="420" w:firstLineChars="200"/>
        <w:textAlignment w:val="auto"/>
        <w:rPr>
          <w:szCs w:val="21"/>
        </w:rPr>
      </w:pPr>
      <w:r>
        <w:rPr>
          <w:rFonts w:hAnsi="宋体"/>
          <w:szCs w:val="21"/>
        </w:rPr>
        <w:t>（</w:t>
      </w:r>
      <w:r>
        <w:rPr>
          <w:szCs w:val="21"/>
        </w:rPr>
        <w:t>5</w:t>
      </w:r>
      <w:r>
        <w:rPr>
          <w:rFonts w:hAnsi="宋体"/>
          <w:szCs w:val="21"/>
        </w:rPr>
        <w:t>）为本工程提供招标代理服务的；</w:t>
      </w:r>
      <w:r>
        <w:rPr>
          <w:szCs w:val="21"/>
        </w:rPr>
        <w:t xml:space="preserve"> </w:t>
      </w:r>
    </w:p>
    <w:p>
      <w:pPr>
        <w:pageBreakBefore w:val="0"/>
        <w:widowControl w:val="0"/>
        <w:kinsoku/>
        <w:wordWrap/>
        <w:overflowPunct/>
        <w:topLinePunct w:val="0"/>
        <w:autoSpaceDE/>
        <w:autoSpaceDN/>
        <w:bidi w:val="0"/>
        <w:spacing w:line="360" w:lineRule="auto"/>
        <w:ind w:right="0" w:rightChars="0" w:firstLine="420" w:firstLineChars="200"/>
        <w:textAlignment w:val="auto"/>
        <w:rPr>
          <w:szCs w:val="21"/>
        </w:rPr>
      </w:pPr>
      <w:r>
        <w:rPr>
          <w:rFonts w:hAnsi="宋体"/>
          <w:szCs w:val="21"/>
        </w:rPr>
        <w:t>（</w:t>
      </w:r>
      <w:r>
        <w:rPr>
          <w:szCs w:val="21"/>
        </w:rPr>
        <w:t>6</w:t>
      </w:r>
      <w:r>
        <w:rPr>
          <w:rFonts w:hAnsi="宋体"/>
          <w:szCs w:val="21"/>
        </w:rPr>
        <w:t>）与本工程的监理人或代建人或招标代理机构同为一个法定代表人的；</w:t>
      </w:r>
    </w:p>
    <w:p>
      <w:pPr>
        <w:pageBreakBefore w:val="0"/>
        <w:widowControl w:val="0"/>
        <w:kinsoku/>
        <w:wordWrap/>
        <w:overflowPunct/>
        <w:topLinePunct w:val="0"/>
        <w:autoSpaceDE/>
        <w:autoSpaceDN/>
        <w:bidi w:val="0"/>
        <w:spacing w:line="360" w:lineRule="auto"/>
        <w:ind w:right="0" w:rightChars="0" w:firstLine="420" w:firstLineChars="200"/>
        <w:textAlignment w:val="auto"/>
        <w:rPr>
          <w:szCs w:val="21"/>
        </w:rPr>
      </w:pPr>
      <w:r>
        <w:rPr>
          <w:rFonts w:hAnsi="宋体"/>
          <w:szCs w:val="21"/>
        </w:rPr>
        <w:t>（</w:t>
      </w:r>
      <w:r>
        <w:rPr>
          <w:szCs w:val="21"/>
        </w:rPr>
        <w:t>7</w:t>
      </w:r>
      <w:r>
        <w:rPr>
          <w:rFonts w:hAnsi="宋体"/>
          <w:szCs w:val="21"/>
        </w:rPr>
        <w:t>）与本工程的监理人或代建人或招标代理机构相互控股或参股的；</w:t>
      </w:r>
    </w:p>
    <w:p>
      <w:pPr>
        <w:pageBreakBefore w:val="0"/>
        <w:widowControl w:val="0"/>
        <w:kinsoku/>
        <w:wordWrap/>
        <w:overflowPunct/>
        <w:topLinePunct w:val="0"/>
        <w:autoSpaceDE/>
        <w:autoSpaceDN/>
        <w:bidi w:val="0"/>
        <w:spacing w:line="360" w:lineRule="auto"/>
        <w:ind w:right="0" w:rightChars="0" w:firstLine="420" w:firstLineChars="200"/>
        <w:textAlignment w:val="auto"/>
        <w:rPr>
          <w:szCs w:val="21"/>
        </w:rPr>
      </w:pPr>
      <w:r>
        <w:rPr>
          <w:rFonts w:hAnsi="宋体"/>
          <w:szCs w:val="21"/>
        </w:rPr>
        <w:t>（</w:t>
      </w:r>
      <w:r>
        <w:rPr>
          <w:szCs w:val="21"/>
        </w:rPr>
        <w:t>8</w:t>
      </w:r>
      <w:r>
        <w:rPr>
          <w:rFonts w:hAnsi="宋体"/>
          <w:szCs w:val="21"/>
        </w:rPr>
        <w:t>）与本工程的监理人或代建人或招标代理机构相互任职或工作的；</w:t>
      </w:r>
    </w:p>
    <w:p>
      <w:pPr>
        <w:pageBreakBefore w:val="0"/>
        <w:widowControl w:val="0"/>
        <w:kinsoku/>
        <w:wordWrap/>
        <w:overflowPunct/>
        <w:topLinePunct w:val="0"/>
        <w:autoSpaceDE/>
        <w:autoSpaceDN/>
        <w:bidi w:val="0"/>
        <w:spacing w:line="360" w:lineRule="auto"/>
        <w:ind w:right="0" w:rightChars="0" w:firstLine="420" w:firstLineChars="200"/>
        <w:textAlignment w:val="auto"/>
        <w:rPr>
          <w:szCs w:val="21"/>
        </w:rPr>
      </w:pPr>
      <w:r>
        <w:rPr>
          <w:rFonts w:hAnsi="宋体"/>
          <w:szCs w:val="21"/>
        </w:rPr>
        <w:t>（</w:t>
      </w:r>
      <w:r>
        <w:rPr>
          <w:szCs w:val="21"/>
        </w:rPr>
        <w:t>9</w:t>
      </w:r>
      <w:r>
        <w:rPr>
          <w:rFonts w:hAnsi="宋体"/>
          <w:szCs w:val="21"/>
        </w:rPr>
        <w:t>）被责令停业的；</w:t>
      </w:r>
      <w:r>
        <w:rPr>
          <w:szCs w:val="21"/>
        </w:rPr>
        <w:t xml:space="preserve"> </w:t>
      </w:r>
    </w:p>
    <w:p>
      <w:pPr>
        <w:pageBreakBefore w:val="0"/>
        <w:widowControl w:val="0"/>
        <w:kinsoku/>
        <w:wordWrap/>
        <w:overflowPunct/>
        <w:topLinePunct w:val="0"/>
        <w:autoSpaceDE/>
        <w:autoSpaceDN/>
        <w:bidi w:val="0"/>
        <w:spacing w:line="360" w:lineRule="auto"/>
        <w:ind w:right="0" w:rightChars="0" w:firstLine="420" w:firstLineChars="200"/>
        <w:textAlignment w:val="auto"/>
        <w:rPr>
          <w:szCs w:val="21"/>
        </w:rPr>
      </w:pPr>
      <w:r>
        <w:rPr>
          <w:rFonts w:hAnsi="宋体"/>
          <w:szCs w:val="21"/>
        </w:rPr>
        <w:t>（</w:t>
      </w:r>
      <w:r>
        <w:rPr>
          <w:szCs w:val="21"/>
        </w:rPr>
        <w:t>10</w:t>
      </w:r>
      <w:r>
        <w:rPr>
          <w:rFonts w:hAnsi="宋体"/>
          <w:szCs w:val="21"/>
        </w:rPr>
        <w:t>）被暂停或取消投标资格的（包括项目负责人）；</w:t>
      </w:r>
      <w:r>
        <w:rPr>
          <w:szCs w:val="21"/>
        </w:rPr>
        <w:t xml:space="preserve"> </w:t>
      </w:r>
    </w:p>
    <w:p>
      <w:pPr>
        <w:pageBreakBefore w:val="0"/>
        <w:widowControl w:val="0"/>
        <w:kinsoku/>
        <w:wordWrap/>
        <w:overflowPunct/>
        <w:topLinePunct w:val="0"/>
        <w:autoSpaceDE/>
        <w:autoSpaceDN/>
        <w:bidi w:val="0"/>
        <w:spacing w:line="360" w:lineRule="auto"/>
        <w:ind w:right="0" w:rightChars="0" w:firstLine="420" w:firstLineChars="200"/>
        <w:textAlignment w:val="auto"/>
        <w:rPr>
          <w:szCs w:val="21"/>
        </w:rPr>
      </w:pPr>
      <w:r>
        <w:rPr>
          <w:rFonts w:hAnsi="宋体"/>
          <w:szCs w:val="21"/>
        </w:rPr>
        <w:t>（</w:t>
      </w:r>
      <w:r>
        <w:rPr>
          <w:szCs w:val="21"/>
        </w:rPr>
        <w:t>1</w:t>
      </w:r>
      <w:r>
        <w:rPr>
          <w:rFonts w:hint="eastAsia"/>
          <w:szCs w:val="21"/>
          <w:lang w:val="en-US" w:eastAsia="zh-CN"/>
        </w:rPr>
        <w:t>1</w:t>
      </w:r>
      <w:r>
        <w:rPr>
          <w:rFonts w:hAnsi="宋体"/>
          <w:szCs w:val="21"/>
        </w:rPr>
        <w:t>）根据《关于在国有投资建设工程项目招投标活动中实行行贿犯罪档案查询制度的通知》（台建规</w:t>
      </w:r>
      <w:r>
        <w:rPr>
          <w:szCs w:val="21"/>
        </w:rPr>
        <w:t>[2010]219</w:t>
      </w:r>
      <w:r>
        <w:rPr>
          <w:rFonts w:hAnsi="宋体"/>
          <w:szCs w:val="21"/>
        </w:rPr>
        <w:t>号）规定，投标人（包括法定代表人）和项目负责人其一有行贿犯罪记录的（由投标文件提交截止之日上溯</w:t>
      </w:r>
      <w:r>
        <w:rPr>
          <w:szCs w:val="21"/>
        </w:rPr>
        <w:t>3</w:t>
      </w:r>
      <w:r>
        <w:rPr>
          <w:rFonts w:hAnsi="宋体"/>
          <w:szCs w:val="21"/>
        </w:rPr>
        <w:t>年，行贿犯罪记录日期以法院判决生效日期为准）；</w:t>
      </w:r>
    </w:p>
    <w:p>
      <w:pPr>
        <w:pageBreakBefore w:val="0"/>
        <w:widowControl w:val="0"/>
        <w:kinsoku/>
        <w:wordWrap/>
        <w:overflowPunct/>
        <w:topLinePunct w:val="0"/>
        <w:autoSpaceDE/>
        <w:autoSpaceDN/>
        <w:bidi w:val="0"/>
        <w:spacing w:line="360" w:lineRule="auto"/>
        <w:ind w:right="0" w:rightChars="0" w:firstLine="420" w:firstLineChars="200"/>
        <w:textAlignment w:val="auto"/>
        <w:rPr>
          <w:rFonts w:hAnsi="宋体"/>
          <w:szCs w:val="21"/>
        </w:rPr>
      </w:pPr>
      <w:r>
        <w:rPr>
          <w:rFonts w:hint="eastAsia"/>
          <w:lang w:eastAsia="zh-CN"/>
        </w:rPr>
        <w:t>（</w:t>
      </w:r>
      <w:r>
        <w:rPr>
          <w:rFonts w:hint="eastAsia"/>
          <w:lang w:val="en-US" w:eastAsia="zh-CN"/>
        </w:rPr>
        <w:t>12）</w:t>
      </w:r>
      <w:r>
        <w:rPr>
          <w:rFonts w:hint="eastAsia"/>
        </w:rPr>
        <w:t>浙江省外企业的《省外企业进浙承接业务备案证明》超出有效期或已注销的。</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hint="eastAsia" w:ascii="Times New Roman" w:hAnsi="Times New Roman"/>
          <w:lang w:eastAsia="zh-CN"/>
        </w:rPr>
        <w:t>是否接受联合体投标</w:t>
      </w:r>
      <w:r>
        <w:rPr>
          <w:rFonts w:ascii="Times New Roman" w:hAnsi="Times New Roman"/>
        </w:rPr>
        <w:t>详见本须知前附表第</w:t>
      </w:r>
      <w:r>
        <w:rPr>
          <w:rFonts w:hint="eastAsia" w:ascii="Times New Roman" w:hAnsi="Times New Roman"/>
          <w:lang w:val="en-US" w:eastAsia="zh-CN"/>
        </w:rPr>
        <w:t>16</w:t>
      </w:r>
      <w:r>
        <w:rPr>
          <w:rFonts w:ascii="Times New Roman" w:hAnsi="Times New Roman"/>
        </w:rPr>
        <w:t>项</w:t>
      </w:r>
      <w:r>
        <w:rPr>
          <w:rFonts w:hint="eastAsia" w:ascii="Times New Roman" w:hAnsi="Times New Roman"/>
          <w:lang w:eastAsia="zh-CN"/>
        </w:rPr>
        <w:t>。</w:t>
      </w:r>
      <w:r>
        <w:rPr>
          <w:rFonts w:ascii="Times New Roman" w:hAnsi="Times New Roman"/>
        </w:rPr>
        <w:t>如投标人系联合体，则联合体的组成及联合体各方的权利、义务须符合有关法律、法规、规章的要求。</w:t>
      </w:r>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40" w:name="_Toc169487780"/>
      <w:bookmarkStart w:id="41" w:name="_Toc155342532"/>
      <w:r>
        <w:rPr>
          <w:rFonts w:ascii="Times New Roman" w:hAnsi="Times New Roman"/>
          <w:color w:val="auto"/>
        </w:rPr>
        <w:t>投标费用</w:t>
      </w:r>
      <w:bookmarkEnd w:id="40"/>
      <w:bookmarkEnd w:id="41"/>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投标人应自行承担其参加投标活动自身发生的费用。</w:t>
      </w:r>
    </w:p>
    <w:p>
      <w:pPr>
        <w:pStyle w:val="7"/>
        <w:pageBreakBefore w:val="0"/>
        <w:widowControl w:val="0"/>
        <w:numPr>
          <w:ilvl w:val="1"/>
          <w:numId w:val="3"/>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ascii="Times New Roman" w:hAnsi="Times New Roman"/>
        </w:rPr>
        <w:t>招标文件工本费为300元，在提交投标文件后收取。</w:t>
      </w:r>
      <w:r>
        <w:rPr>
          <w:rFonts w:hint="eastAsia"/>
          <w:color w:val="auto"/>
        </w:rPr>
        <w:t>中标人需支付本工程招标服务费，按</w:t>
      </w:r>
      <w:r>
        <w:rPr>
          <w:rFonts w:hint="eastAsia"/>
          <w:color w:val="auto"/>
          <w:lang w:eastAsia="zh-CN"/>
        </w:rPr>
        <w:t>人民币</w:t>
      </w:r>
      <w:r>
        <w:rPr>
          <w:rFonts w:hint="eastAsia"/>
          <w:b/>
          <w:bCs/>
          <w:color w:val="auto"/>
          <w:u w:val="single"/>
          <w:lang w:eastAsia="zh-CN"/>
        </w:rPr>
        <w:t>叁仟元整</w:t>
      </w:r>
      <w:r>
        <w:rPr>
          <w:rFonts w:hint="eastAsia"/>
          <w:color w:val="auto"/>
          <w:lang w:eastAsia="zh-CN"/>
        </w:rPr>
        <w:t>计取，在领取中标通知书前交纳</w:t>
      </w:r>
      <w:r>
        <w:rPr>
          <w:rFonts w:hint="eastAsia"/>
          <w:color w:val="auto"/>
        </w:rPr>
        <w:t>。</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42" w:name="_Toc155342533"/>
      <w:bookmarkStart w:id="43" w:name="_Toc169487781"/>
      <w:r>
        <w:rPr>
          <w:rFonts w:ascii="Times New Roman" w:hAnsi="Times New Roman"/>
          <w:color w:val="auto"/>
        </w:rPr>
        <w:t>现场条件</w:t>
      </w:r>
      <w:bookmarkEnd w:id="42"/>
      <w:bookmarkEnd w:id="43"/>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施工现场已具备施工条件。</w:t>
      </w:r>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44" w:name="_Toc155342534"/>
      <w:bookmarkStart w:id="45" w:name="_Toc169487782"/>
      <w:r>
        <w:rPr>
          <w:rFonts w:ascii="Times New Roman" w:hAnsi="Times New Roman"/>
          <w:color w:val="auto"/>
        </w:rPr>
        <w:t>踏勘现场</w:t>
      </w:r>
      <w:bookmarkEnd w:id="44"/>
      <w:bookmarkEnd w:id="45"/>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投标人可对工程施工现场和周围环境进行踏勘，以获取编制投标文件和签署合同所需的资料。踏勘现场所发生的费用由投标人自己承担。</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招标人向投标人提供的有关施工现场的资料和数据，是招标人现有的能使投标人利用的资料。招标人对投标人由此而作出的推论、理解、结论概不负责。</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除招标人向投标人提供本工程有关的情况外，投标人应通过自行调查取得与本工程施工承包可能发生的费用等有关的全部情况，包括交通、环保、治安等规定和要求。</w:t>
      </w:r>
    </w:p>
    <w:p>
      <w:pPr>
        <w:pStyle w:val="3"/>
        <w:pageBreakBefore w:val="0"/>
        <w:widowControl w:val="0"/>
        <w:tabs>
          <w:tab w:val="clear" w:pos="2159"/>
        </w:tabs>
        <w:kinsoku/>
        <w:wordWrap/>
        <w:overflowPunct/>
        <w:topLinePunct w:val="0"/>
        <w:autoSpaceDE/>
        <w:autoSpaceDN/>
        <w:bidi w:val="0"/>
        <w:spacing w:before="0" w:after="120" w:afterLines="0" w:line="360" w:lineRule="auto"/>
        <w:ind w:left="2160" w:right="0" w:rightChars="0" w:hanging="1321"/>
        <w:textAlignment w:val="auto"/>
        <w:rPr>
          <w:rFonts w:ascii="Times New Roman" w:hAnsi="Times New Roman" w:cs="Times New Roman"/>
        </w:rPr>
      </w:pPr>
      <w:bookmarkStart w:id="46" w:name="_Toc31988"/>
      <w:bookmarkStart w:id="47" w:name="_Toc500208467"/>
      <w:bookmarkStart w:id="48" w:name="_Toc500209414"/>
      <w:r>
        <w:rPr>
          <w:rFonts w:ascii="Times New Roman" w:hAnsi="Times New Roman" w:cs="Times New Roman"/>
        </w:rPr>
        <w:t>招标文件</w:t>
      </w:r>
      <w:bookmarkEnd w:id="46"/>
      <w:bookmarkEnd w:id="47"/>
      <w:bookmarkEnd w:id="48"/>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49" w:name="_Toc500208468"/>
      <w:bookmarkStart w:id="50" w:name="_Toc169487784"/>
      <w:bookmarkStart w:id="51" w:name="_Toc155342536"/>
      <w:bookmarkStart w:id="52" w:name="_Toc500208499"/>
      <w:bookmarkStart w:id="53" w:name="_Toc500209421"/>
      <w:r>
        <w:rPr>
          <w:rFonts w:ascii="Times New Roman" w:hAnsi="Times New Roman"/>
          <w:color w:val="auto"/>
        </w:rPr>
        <w:t>招标文件的组成</w:t>
      </w:r>
      <w:bookmarkEnd w:id="49"/>
      <w:bookmarkEnd w:id="50"/>
      <w:bookmarkEnd w:id="51"/>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招标文件包括下列内容：</w:t>
      </w:r>
    </w:p>
    <w:p>
      <w:pPr>
        <w:pStyle w:val="7"/>
        <w:pageBreakBefore w:val="0"/>
        <w:widowControl w:val="0"/>
        <w:numPr>
          <w:ilvl w:val="0"/>
          <w:numId w:val="4"/>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招标公告</w:t>
      </w:r>
      <w:r>
        <w:rPr>
          <w:rFonts w:hint="eastAsia" w:ascii="Times New Roman" w:hAnsi="Times New Roman"/>
          <w:lang w:eastAsia="zh-CN"/>
        </w:rPr>
        <w:t>；</w:t>
      </w:r>
    </w:p>
    <w:p>
      <w:pPr>
        <w:pStyle w:val="7"/>
        <w:pageBreakBefore w:val="0"/>
        <w:widowControl w:val="0"/>
        <w:numPr>
          <w:ilvl w:val="0"/>
          <w:numId w:val="0"/>
        </w:numPr>
        <w:kinsoku/>
        <w:wordWrap/>
        <w:overflowPunct/>
        <w:topLinePunct w:val="0"/>
        <w:autoSpaceDE/>
        <w:autoSpaceDN/>
        <w:bidi w:val="0"/>
        <w:spacing w:line="360" w:lineRule="auto"/>
        <w:ind w:right="0" w:rightChars="0"/>
        <w:textAlignment w:val="auto"/>
        <w:rPr>
          <w:rFonts w:ascii="Times New Roman" w:hAnsi="Times New Roman"/>
        </w:rPr>
      </w:pPr>
      <w:r>
        <w:rPr>
          <w:rFonts w:hint="eastAsia" w:ascii="Times New Roman" w:hAnsi="Times New Roman"/>
          <w:lang w:val="en-US" w:eastAsia="zh-CN"/>
        </w:rPr>
        <w:t xml:space="preserve">    </w:t>
      </w:r>
      <w:r>
        <w:rPr>
          <w:rFonts w:ascii="Times New Roman" w:hAnsi="Times New Roman"/>
        </w:rPr>
        <w:t>投标须知前附表</w:t>
      </w:r>
      <w:r>
        <w:rPr>
          <w:rFonts w:hint="eastAsia" w:ascii="Times New Roman" w:hAnsi="Times New Roman"/>
          <w:lang w:eastAsia="zh-CN"/>
        </w:rPr>
        <w:t>；</w:t>
      </w:r>
    </w:p>
    <w:p>
      <w:pPr>
        <w:pStyle w:val="7"/>
        <w:pageBreakBefore w:val="0"/>
        <w:widowControl w:val="0"/>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第二章 投标须知；</w:t>
      </w:r>
    </w:p>
    <w:p>
      <w:pPr>
        <w:pStyle w:val="7"/>
        <w:pageBreakBefore w:val="0"/>
        <w:widowControl w:val="0"/>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第三章 合同条款；</w:t>
      </w:r>
    </w:p>
    <w:p>
      <w:pPr>
        <w:pStyle w:val="7"/>
        <w:pageBreakBefore w:val="0"/>
        <w:widowControl w:val="0"/>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第四章 评标办法；</w:t>
      </w:r>
    </w:p>
    <w:p>
      <w:pPr>
        <w:pStyle w:val="7"/>
        <w:pageBreakBefore w:val="0"/>
        <w:widowControl w:val="0"/>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附件：</w:t>
      </w:r>
    </w:p>
    <w:p>
      <w:pPr>
        <w:pStyle w:val="7"/>
        <w:pageBreakBefore w:val="0"/>
        <w:widowControl w:val="0"/>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1、投标函；</w:t>
      </w:r>
    </w:p>
    <w:p>
      <w:pPr>
        <w:pStyle w:val="7"/>
        <w:pageBreakBefore w:val="0"/>
        <w:widowControl w:val="0"/>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2、项目负责人简历表；</w:t>
      </w:r>
    </w:p>
    <w:p>
      <w:pPr>
        <w:pStyle w:val="7"/>
        <w:pageBreakBefore w:val="0"/>
        <w:widowControl w:val="0"/>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3、主要施工机械设备表；</w:t>
      </w:r>
    </w:p>
    <w:p>
      <w:pPr>
        <w:pStyle w:val="7"/>
        <w:pageBreakBefore w:val="0"/>
        <w:widowControl w:val="0"/>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4、台州市建设工程诚信投标承诺书；</w:t>
      </w:r>
    </w:p>
    <w:p>
      <w:pPr>
        <w:pStyle w:val="7"/>
        <w:pageBreakBefore w:val="0"/>
        <w:widowControl w:val="0"/>
        <w:kinsoku/>
        <w:wordWrap/>
        <w:overflowPunct/>
        <w:topLinePunct w:val="0"/>
        <w:autoSpaceDE/>
        <w:autoSpaceDN/>
        <w:bidi w:val="0"/>
        <w:spacing w:line="360" w:lineRule="auto"/>
        <w:ind w:right="0" w:rightChars="0" w:firstLine="420" w:firstLineChars="200"/>
        <w:textAlignment w:val="auto"/>
        <w:rPr>
          <w:rFonts w:hint="eastAsia" w:ascii="Times New Roman" w:hAnsi="Times New Roman"/>
        </w:rPr>
      </w:pPr>
      <w:r>
        <w:rPr>
          <w:rFonts w:ascii="Times New Roman" w:hAnsi="Times New Roman"/>
        </w:rPr>
        <w:t>5、台州市建设工程投标人资格自查表</w:t>
      </w:r>
      <w:r>
        <w:rPr>
          <w:rFonts w:hint="eastAsia" w:ascii="Times New Roman" w:hAnsi="Times New Roman"/>
        </w:rPr>
        <w:t>；</w:t>
      </w:r>
    </w:p>
    <w:p>
      <w:pPr>
        <w:pStyle w:val="7"/>
        <w:pageBreakBefore w:val="0"/>
        <w:widowControl w:val="0"/>
        <w:kinsoku/>
        <w:wordWrap/>
        <w:overflowPunct/>
        <w:topLinePunct w:val="0"/>
        <w:autoSpaceDE/>
        <w:autoSpaceDN/>
        <w:bidi w:val="0"/>
        <w:spacing w:line="360" w:lineRule="auto"/>
        <w:ind w:right="0" w:rightChars="0" w:firstLine="420" w:firstLineChars="200"/>
        <w:textAlignment w:val="auto"/>
        <w:rPr>
          <w:rFonts w:hint="eastAsia" w:ascii="Times New Roman" w:hAnsi="Times New Roman"/>
        </w:rPr>
      </w:pPr>
      <w:r>
        <w:rPr>
          <w:rFonts w:hint="eastAsia" w:ascii="Times New Roman" w:hAnsi="Times New Roman"/>
          <w:lang w:val="en-US" w:eastAsia="zh-CN"/>
        </w:rPr>
        <w:t>6</w:t>
      </w:r>
      <w:r>
        <w:rPr>
          <w:rFonts w:hint="eastAsia" w:ascii="Times New Roman" w:hAnsi="Times New Roman"/>
        </w:rPr>
        <w:t>、</w:t>
      </w:r>
      <w:r>
        <w:rPr>
          <w:rFonts w:ascii="Times New Roman" w:hAnsi="Times New Roman"/>
        </w:rPr>
        <w:t>台州市建设工程投标项目负责人资格自查表</w:t>
      </w:r>
      <w:r>
        <w:rPr>
          <w:rFonts w:hint="eastAsia" w:ascii="Times New Roman" w:hAnsi="Times New Roman"/>
        </w:rPr>
        <w:t>；</w:t>
      </w:r>
    </w:p>
    <w:p>
      <w:pPr>
        <w:pStyle w:val="7"/>
        <w:pageBreakBefore w:val="0"/>
        <w:widowControl w:val="0"/>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hint="eastAsia" w:ascii="Times New Roman" w:hAnsi="Times New Roman"/>
        </w:rPr>
        <w:t>8</w:t>
      </w:r>
      <w:r>
        <w:rPr>
          <w:rFonts w:ascii="Times New Roman" w:hAnsi="Times New Roman"/>
        </w:rPr>
        <w:t>、法定代表人授权委托书；</w:t>
      </w:r>
    </w:p>
    <w:p>
      <w:pPr>
        <w:pStyle w:val="7"/>
        <w:pageBreakBefore w:val="0"/>
        <w:widowControl w:val="0"/>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hint="eastAsia" w:ascii="Times New Roman" w:hAnsi="Times New Roman"/>
          <w:lang w:val="en-US" w:eastAsia="zh-CN"/>
        </w:rPr>
        <w:t>8</w:t>
      </w:r>
      <w:r>
        <w:rPr>
          <w:rFonts w:ascii="Times New Roman" w:hAnsi="Times New Roman"/>
        </w:rPr>
        <w:t>、其他附件材料：</w:t>
      </w:r>
    </w:p>
    <w:p>
      <w:pPr>
        <w:pStyle w:val="7"/>
        <w:pageBreakBefore w:val="0"/>
        <w:widowControl w:val="0"/>
        <w:kinsoku/>
        <w:wordWrap/>
        <w:overflowPunct/>
        <w:topLinePunct w:val="0"/>
        <w:autoSpaceDE/>
        <w:autoSpaceDN/>
        <w:bidi w:val="0"/>
        <w:spacing w:line="360" w:lineRule="auto"/>
        <w:ind w:right="0" w:rightChars="0" w:firstLine="420" w:firstLineChars="200"/>
        <w:textAlignment w:val="auto"/>
        <w:rPr>
          <w:rFonts w:hint="eastAsia" w:ascii="Times New Roman" w:hAnsi="Times New Roman"/>
        </w:rPr>
      </w:pPr>
      <w:r>
        <w:rPr>
          <w:rFonts w:ascii="Times New Roman" w:hAnsi="Times New Roman"/>
        </w:rPr>
        <w:t>（1）施工图纸；</w:t>
      </w:r>
    </w:p>
    <w:p>
      <w:pPr>
        <w:pStyle w:val="7"/>
        <w:pageBreakBefore w:val="0"/>
        <w:widowControl w:val="0"/>
        <w:kinsoku/>
        <w:wordWrap/>
        <w:overflowPunct/>
        <w:topLinePunct w:val="0"/>
        <w:autoSpaceDE/>
        <w:autoSpaceDN/>
        <w:bidi w:val="0"/>
        <w:spacing w:line="360" w:lineRule="auto"/>
        <w:ind w:right="0" w:rightChars="0" w:firstLine="420" w:firstLineChars="200"/>
        <w:textAlignment w:val="auto"/>
        <w:rPr>
          <w:rFonts w:hint="eastAsia" w:ascii="Times New Roman" w:hAnsi="Times New Roman"/>
        </w:rPr>
      </w:pPr>
      <w:r>
        <w:rPr>
          <w:rFonts w:hint="eastAsia" w:ascii="Times New Roman" w:hAnsi="Times New Roman"/>
        </w:rPr>
        <w:t>（2）招标人预算书。</w:t>
      </w:r>
    </w:p>
    <w:p>
      <w:pPr>
        <w:pStyle w:val="7"/>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ascii="Times New Roman" w:hAnsi="Times New Roman" w:eastAsia="黑体"/>
          <w:b/>
        </w:rPr>
      </w:pPr>
      <w:r>
        <w:rPr>
          <w:rFonts w:ascii="Times New Roman" w:hAnsi="Times New Roman" w:eastAsia="黑体"/>
          <w:b/>
        </w:rPr>
        <w:t>除上款内容外，招标人在提交投标文件截止时间前，发布在交易场所（发布招标公告的媒体上）对招标文件的澄清或修改内容，均为招标文件的组成部分，对招标人和投标人起约束作用，投标人应经常浏览发布招标公告的媒体。</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投标人通过在交易场所（发布招标公告的媒体上）自行下载的方式获取招标文件及相关附件。投标人在获取招标文件后，应仔细检查招标文件的所有内容，如有残缺等问题应自招标文件发布在交易场所（发布招标公告的媒体上）3日内向招标人提出，否则，由此引起的损失由投标人自己承担。投标人同时应认真审阅招标文件中所有的事项、格式、条款和规范要求等，若投标人的投标文件没有按招标文件要求提交全部资料，或投标文件没有对招标文件做出实质性响应，其风险由投标人自行承担，并根据有关条款规定，该投标有可能被拒绝。</w:t>
      </w:r>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54" w:name="_Toc500208469"/>
      <w:bookmarkStart w:id="55" w:name="_Toc169487785"/>
      <w:bookmarkStart w:id="56" w:name="_Toc155342537"/>
      <w:r>
        <w:rPr>
          <w:rFonts w:ascii="Times New Roman" w:hAnsi="Times New Roman"/>
          <w:color w:val="auto"/>
        </w:rPr>
        <w:t>招标文件的</w:t>
      </w:r>
      <w:bookmarkEnd w:id="54"/>
      <w:r>
        <w:rPr>
          <w:rFonts w:ascii="Times New Roman" w:hAnsi="Times New Roman"/>
          <w:color w:val="auto"/>
        </w:rPr>
        <w:t>澄清</w:t>
      </w:r>
      <w:bookmarkEnd w:id="55"/>
      <w:bookmarkEnd w:id="56"/>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投标人获取招标文件后，若有问题需要澄清，应自招标文件发布在交易场所（发布招标公告的媒体上）3日内，以无记名书面形式向招标人提出，招标人的答复将发布在交易场所（发布招标公告的媒体上）。招标人及招标代理机构的任何工作人员对投标人所作的任何口头解释、介绍、答复，只能供投标人参考，对招标人无任何约束力。</w:t>
      </w:r>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57" w:name="_Toc155342538"/>
      <w:bookmarkStart w:id="58" w:name="_Toc500208470"/>
      <w:bookmarkStart w:id="59" w:name="_Toc169487786"/>
      <w:r>
        <w:rPr>
          <w:rFonts w:ascii="Times New Roman" w:hAnsi="Times New Roman"/>
          <w:color w:val="auto"/>
        </w:rPr>
        <w:t>招标文件的修改</w:t>
      </w:r>
      <w:bookmarkEnd w:id="57"/>
      <w:bookmarkEnd w:id="58"/>
      <w:bookmarkEnd w:id="59"/>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在投标截止日期前，招标人可能以补充通知的方式修改招标文件。</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招标文件的澄清、修改、补充等内容均以发布在交易场所（发布招标公告的媒体上）的内容为准。当招标文件、招标文件的澄清、修改、补充等在同一内容的表述上不一致时，以最后发出的文件为准。</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招标文件的澄清、修改、补充等内容将发布在交易场所（发布招标公告的媒体上），这些内容作为招标文件的组成部分，对投标人起约束作用。</w:t>
      </w:r>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60" w:name="_Toc155342539"/>
      <w:bookmarkStart w:id="61" w:name="_Toc169487787"/>
      <w:r>
        <w:rPr>
          <w:rFonts w:ascii="Times New Roman" w:hAnsi="Times New Roman"/>
          <w:color w:val="auto"/>
        </w:rPr>
        <w:t>招标文件的备案</w:t>
      </w:r>
      <w:bookmarkEnd w:id="60"/>
      <w:bookmarkEnd w:id="61"/>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本招标文件（包括澄清、修改、补充文件、答复等）未经招标监管机构备案的一律无效。</w:t>
      </w:r>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62" w:name="_Toc155342540"/>
      <w:bookmarkStart w:id="63" w:name="_Toc169487788"/>
      <w:r>
        <w:rPr>
          <w:rFonts w:ascii="Times New Roman" w:hAnsi="Times New Roman"/>
          <w:color w:val="auto"/>
        </w:rPr>
        <w:t>招标文件的解释权</w:t>
      </w:r>
      <w:bookmarkEnd w:id="62"/>
      <w:bookmarkEnd w:id="63"/>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本招标文件（包括澄清、修改、补充文件、答复等）的解释权属招标人。</w:t>
      </w:r>
    </w:p>
    <w:p>
      <w:pPr>
        <w:pStyle w:val="3"/>
        <w:pageBreakBefore w:val="0"/>
        <w:widowControl w:val="0"/>
        <w:tabs>
          <w:tab w:val="clear" w:pos="2159"/>
        </w:tabs>
        <w:kinsoku/>
        <w:wordWrap/>
        <w:overflowPunct/>
        <w:topLinePunct w:val="0"/>
        <w:autoSpaceDE/>
        <w:autoSpaceDN/>
        <w:bidi w:val="0"/>
        <w:spacing w:before="0" w:after="120" w:afterLines="0" w:line="360" w:lineRule="auto"/>
        <w:ind w:left="2160" w:right="0" w:rightChars="0" w:hanging="1321"/>
        <w:textAlignment w:val="auto"/>
        <w:rPr>
          <w:rFonts w:ascii="Times New Roman" w:hAnsi="Times New Roman" w:cs="Times New Roman"/>
        </w:rPr>
      </w:pPr>
      <w:bookmarkStart w:id="64" w:name="_Toc23040"/>
      <w:bookmarkStart w:id="65" w:name="_Toc500209416"/>
      <w:bookmarkStart w:id="66" w:name="_Toc500208475"/>
      <w:r>
        <w:rPr>
          <w:rFonts w:ascii="Times New Roman" w:hAnsi="Times New Roman" w:cs="Times New Roman"/>
        </w:rPr>
        <w:t>投标文件的编制</w:t>
      </w:r>
      <w:bookmarkEnd w:id="64"/>
      <w:bookmarkEnd w:id="65"/>
      <w:bookmarkEnd w:id="66"/>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67" w:name="_Toc155342542"/>
      <w:bookmarkStart w:id="68" w:name="_Toc169487790"/>
      <w:bookmarkStart w:id="69" w:name="_Toc500208476"/>
      <w:bookmarkStart w:id="70" w:name="_Toc69095786"/>
      <w:bookmarkStart w:id="71" w:name="_Toc500208477"/>
      <w:r>
        <w:rPr>
          <w:rFonts w:ascii="Times New Roman" w:hAnsi="Times New Roman"/>
          <w:color w:val="auto"/>
        </w:rPr>
        <w:t>投标文件的组成</w:t>
      </w:r>
      <w:bookmarkEnd w:id="67"/>
      <w:bookmarkEnd w:id="68"/>
      <w:bookmarkEnd w:id="69"/>
      <w:bookmarkEnd w:id="70"/>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本招标工程项目的投标文件组成详见本须知前附表第1</w:t>
      </w:r>
      <w:r>
        <w:rPr>
          <w:rFonts w:hint="eastAsia" w:ascii="Times New Roman" w:hAnsi="Times New Roman"/>
          <w:lang w:val="en-US" w:eastAsia="zh-CN"/>
        </w:rPr>
        <w:t>7</w:t>
      </w:r>
      <w:r>
        <w:rPr>
          <w:rFonts w:ascii="Times New Roman" w:hAnsi="Times New Roman"/>
        </w:rPr>
        <w:t>项。</w:t>
      </w:r>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72" w:name="_Toc169487791"/>
      <w:bookmarkStart w:id="73" w:name="_Toc155342544"/>
      <w:r>
        <w:rPr>
          <w:rFonts w:ascii="Times New Roman" w:hAnsi="Times New Roman"/>
          <w:color w:val="auto"/>
        </w:rPr>
        <w:t>投标文件的格式</w:t>
      </w:r>
      <w:bookmarkEnd w:id="72"/>
      <w:bookmarkEnd w:id="73"/>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本招标工程项目的投标文件格式要求详见本须知前附表第1</w:t>
      </w:r>
      <w:r>
        <w:rPr>
          <w:rFonts w:hint="eastAsia" w:ascii="Times New Roman" w:hAnsi="Times New Roman"/>
          <w:lang w:val="en-US" w:eastAsia="zh-CN"/>
        </w:rPr>
        <w:t>8</w:t>
      </w:r>
      <w:r>
        <w:rPr>
          <w:rFonts w:ascii="Times New Roman" w:hAnsi="Times New Roman"/>
        </w:rPr>
        <w:t>项。</w:t>
      </w:r>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74" w:name="_Toc155342545"/>
      <w:bookmarkStart w:id="75" w:name="_Toc169487792"/>
      <w:r>
        <w:rPr>
          <w:rFonts w:ascii="Times New Roman" w:hAnsi="Times New Roman"/>
          <w:color w:val="auto"/>
        </w:rPr>
        <w:t>投标报价组成</w:t>
      </w:r>
      <w:bookmarkEnd w:id="74"/>
      <w:bookmarkEnd w:id="75"/>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报价方式：本工程项目报价方式详见本须知前附表第</w:t>
      </w:r>
      <w:r>
        <w:rPr>
          <w:rFonts w:hint="eastAsia" w:ascii="Times New Roman" w:hAnsi="Times New Roman"/>
          <w:lang w:val="en-US" w:eastAsia="zh-CN"/>
        </w:rPr>
        <w:t>19</w:t>
      </w:r>
      <w:r>
        <w:rPr>
          <w:rFonts w:ascii="Times New Roman" w:hAnsi="Times New Roman"/>
        </w:rPr>
        <w:t>项。</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投标总报价应是招标文件所确定的招标范围内全部工作内容的价格表现。其应包括人工费、药剂费、水、电费、机具费、材料费、设施维护费（包括破损后的更新）及综合抗灾费、税金</w:t>
      </w:r>
      <w:r>
        <w:rPr>
          <w:rFonts w:hint="eastAsia" w:ascii="Times New Roman" w:hAnsi="Times New Roman"/>
        </w:rPr>
        <w:t>、</w:t>
      </w:r>
      <w:r>
        <w:rPr>
          <w:rFonts w:ascii="Times New Roman" w:hAnsi="Times New Roman"/>
        </w:rPr>
        <w:t>工伤保险费</w:t>
      </w:r>
      <w:r>
        <w:rPr>
          <w:rFonts w:hint="eastAsia" w:ascii="Times New Roman" w:hAnsi="Times New Roman"/>
        </w:rPr>
        <w:t>、风险费</w:t>
      </w:r>
      <w:r>
        <w:rPr>
          <w:rFonts w:ascii="Times New Roman" w:hAnsi="Times New Roman"/>
        </w:rPr>
        <w:t>等相关的所有费用，以及本</w:t>
      </w:r>
      <w:r>
        <w:rPr>
          <w:rFonts w:hint="eastAsia" w:ascii="Times New Roman" w:hAnsi="Times New Roman"/>
          <w:lang w:val="en-US" w:eastAsia="zh-CN"/>
        </w:rPr>
        <w:t>项目</w:t>
      </w:r>
      <w:r>
        <w:rPr>
          <w:rFonts w:ascii="Times New Roman" w:hAnsi="Times New Roman"/>
        </w:rPr>
        <w:t>实际情况和自身的综合实力，竞报投标总报价。总报价以人民币元计。</w:t>
      </w:r>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76" w:name="_Toc155342546"/>
      <w:bookmarkStart w:id="77" w:name="_Toc169487793"/>
      <w:bookmarkStart w:id="78" w:name="_Toc500208474"/>
      <w:r>
        <w:rPr>
          <w:rFonts w:ascii="Times New Roman" w:hAnsi="Times New Roman"/>
          <w:color w:val="auto"/>
        </w:rPr>
        <w:t>投标报价要求</w:t>
      </w:r>
      <w:bookmarkEnd w:id="76"/>
      <w:bookmarkEnd w:id="77"/>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投标人应根据本招标文件报价要求，结合工程施工的实际情况、市场行情、技术方案和企业的管理水平，综合分析后自主确定总报价。</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附件中除空白部分由投标人自报外，其余内容作为投标报价的共同基础</w:t>
      </w:r>
      <w:r>
        <w:rPr>
          <w:rFonts w:ascii="Times New Roman" w:hAnsi="Times New Roman" w:eastAsia="黑体"/>
          <w:b/>
          <w:bCs/>
        </w:rPr>
        <w:t>。</w:t>
      </w:r>
    </w:p>
    <w:p>
      <w:pPr>
        <w:pStyle w:val="7"/>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ascii="Times New Roman" w:hAnsi="Times New Roman" w:eastAsia="黑体"/>
          <w:b/>
        </w:rPr>
      </w:pPr>
      <w:r>
        <w:rPr>
          <w:rFonts w:ascii="Times New Roman" w:hAnsi="Times New Roman" w:eastAsia="黑体"/>
          <w:b/>
          <w:bCs/>
        </w:rPr>
        <w:t>投标人的报价要求详见</w:t>
      </w:r>
      <w:r>
        <w:rPr>
          <w:rFonts w:ascii="Times New Roman" w:hAnsi="Times New Roman" w:eastAsia="黑体"/>
          <w:b/>
        </w:rPr>
        <w:t>本须知前附表第</w:t>
      </w:r>
      <w:r>
        <w:rPr>
          <w:rFonts w:hint="eastAsia" w:ascii="Times New Roman" w:hAnsi="Times New Roman" w:eastAsia="黑体"/>
          <w:b/>
          <w:lang w:val="en-US" w:eastAsia="zh-CN"/>
        </w:rPr>
        <w:t>20</w:t>
      </w:r>
      <w:r>
        <w:rPr>
          <w:rFonts w:ascii="Times New Roman" w:hAnsi="Times New Roman" w:eastAsia="黑体"/>
          <w:b/>
        </w:rPr>
        <w:t>项，未</w:t>
      </w:r>
      <w:r>
        <w:rPr>
          <w:rFonts w:ascii="Times New Roman" w:hAnsi="Times New Roman" w:eastAsia="黑体"/>
          <w:b/>
          <w:bCs/>
        </w:rPr>
        <w:t>按要求报价的，作无效标处理</w:t>
      </w:r>
      <w:r>
        <w:rPr>
          <w:rFonts w:ascii="Times New Roman" w:hAnsi="Times New Roman" w:eastAsia="黑体"/>
          <w:b/>
        </w:rPr>
        <w:t>。</w:t>
      </w:r>
    </w:p>
    <w:bookmarkEnd w:id="78"/>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79" w:name="_Toc155342547"/>
      <w:bookmarkStart w:id="80" w:name="_Toc169487794"/>
      <w:r>
        <w:rPr>
          <w:rFonts w:ascii="Times New Roman" w:hAnsi="Times New Roman"/>
          <w:color w:val="auto"/>
        </w:rPr>
        <w:t>投标</w:t>
      </w:r>
      <w:bookmarkEnd w:id="71"/>
      <w:r>
        <w:rPr>
          <w:rFonts w:ascii="Times New Roman" w:hAnsi="Times New Roman"/>
          <w:color w:val="auto"/>
        </w:rPr>
        <w:t>担保</w:t>
      </w:r>
      <w:bookmarkEnd w:id="79"/>
      <w:bookmarkEnd w:id="80"/>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投标人按本须知前附表第</w:t>
      </w:r>
      <w:r>
        <w:rPr>
          <w:rFonts w:hint="eastAsia" w:ascii="Times New Roman" w:hAnsi="Times New Roman"/>
          <w:lang w:val="en-US" w:eastAsia="zh-CN"/>
        </w:rPr>
        <w:t>21</w:t>
      </w:r>
      <w:r>
        <w:rPr>
          <w:rFonts w:ascii="Times New Roman" w:hAnsi="Times New Roman"/>
        </w:rPr>
        <w:t>项规定提交投标担保。</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对于未能按要求提交投标担保的，招标人将视为不响应投标而予以拒绝。</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投标担保按以下方式退还：</w:t>
      </w:r>
    </w:p>
    <w:p>
      <w:pPr>
        <w:pStyle w:val="7"/>
        <w:pageBreakBefore w:val="0"/>
        <w:widowControl w:val="0"/>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（1）</w:t>
      </w:r>
      <w:r>
        <w:rPr>
          <w:szCs w:val="21"/>
        </w:rPr>
        <w:t>中标人凭《建设工程中标通知书》</w:t>
      </w:r>
      <w:r>
        <w:rPr>
          <w:rFonts w:hint="eastAsia"/>
          <w:szCs w:val="21"/>
        </w:rPr>
        <w:t>、施工合同原件及本单位出具的收款收据</w:t>
      </w:r>
      <w:r>
        <w:rPr>
          <w:szCs w:val="21"/>
        </w:rPr>
        <w:t>退还；</w:t>
      </w:r>
    </w:p>
    <w:p>
      <w:pPr>
        <w:pStyle w:val="7"/>
        <w:pageBreakBefore w:val="0"/>
        <w:widowControl w:val="0"/>
        <w:tabs>
          <w:tab w:val="clear" w:pos="574"/>
        </w:tabs>
        <w:kinsoku/>
        <w:wordWrap/>
        <w:overflowPunct/>
        <w:topLinePunct w:val="0"/>
        <w:autoSpaceDE/>
        <w:autoSpaceDN/>
        <w:bidi w:val="0"/>
        <w:spacing w:line="360" w:lineRule="auto"/>
        <w:ind w:left="-4" w:leftChars="-2" w:right="0" w:rightChars="0" w:firstLine="420" w:firstLineChars="200"/>
        <w:textAlignment w:val="auto"/>
        <w:rPr>
          <w:rFonts w:hint="eastAsia"/>
        </w:rPr>
      </w:pPr>
      <w:r>
        <w:rPr>
          <w:rFonts w:hint="eastAsia"/>
        </w:rPr>
        <w:t>（2）其余投标人（含无效标的）在开标结束后退还；</w:t>
      </w:r>
    </w:p>
    <w:p>
      <w:pPr>
        <w:pStyle w:val="7"/>
        <w:pageBreakBefore w:val="0"/>
        <w:widowControl w:val="0"/>
        <w:tabs>
          <w:tab w:val="clear" w:pos="574"/>
        </w:tabs>
        <w:kinsoku/>
        <w:wordWrap/>
        <w:overflowPunct/>
        <w:topLinePunct w:val="0"/>
        <w:autoSpaceDE/>
        <w:autoSpaceDN/>
        <w:bidi w:val="0"/>
        <w:spacing w:line="360" w:lineRule="auto"/>
        <w:ind w:left="-4" w:leftChars="-2" w:right="0" w:rightChars="0" w:firstLine="420" w:firstLineChars="200"/>
        <w:textAlignment w:val="auto"/>
        <w:rPr>
          <w:rFonts w:ascii="Times New Roman" w:hAnsi="Times New Roman"/>
        </w:rPr>
      </w:pPr>
      <w:r>
        <w:rPr>
          <w:rFonts w:hint="eastAsia"/>
        </w:rPr>
        <w:t>（3）投标担保不计息。</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投标人有下列情形的，招标人对投标人的投标担保按下列相应规定进行处理：</w:t>
      </w:r>
    </w:p>
    <w:p>
      <w:pPr>
        <w:pStyle w:val="7"/>
        <w:pageBreakBefore w:val="0"/>
        <w:widowControl w:val="0"/>
        <w:kinsoku/>
        <w:wordWrap/>
        <w:overflowPunct/>
        <w:topLinePunct w:val="0"/>
        <w:autoSpaceDE/>
        <w:autoSpaceDN/>
        <w:bidi w:val="0"/>
        <w:spacing w:line="360" w:lineRule="auto"/>
        <w:ind w:left="-4" w:leftChars="-2" w:right="0" w:rightChars="0" w:firstLine="420" w:firstLineChars="200"/>
        <w:textAlignment w:val="auto"/>
        <w:rPr>
          <w:rFonts w:hint="eastAsia" w:ascii="Times New Roman" w:hAnsi="Times New Roman"/>
        </w:rPr>
      </w:pPr>
      <w:r>
        <w:rPr>
          <w:rFonts w:hint="eastAsia" w:ascii="Times New Roman" w:hAnsi="Times New Roman"/>
        </w:rPr>
        <w:t>（1）</w:t>
      </w:r>
      <w:r>
        <w:rPr>
          <w:rFonts w:ascii="Times New Roman" w:hAnsi="Times New Roman"/>
        </w:rPr>
        <w:t>投标人违反《台州市建设工程诚信投标承诺书》承诺内容进行虚假瞒报，在评标过程中发现并以无效标处理的，对其投标担保总金额的10%～20%不予退还；在评标结束后被查实的，对其投标担保总金额的30%～40%不予退还；涉及中标候选人的，对其投标担保总金额的50%～60%不予退还；</w:t>
      </w:r>
    </w:p>
    <w:p>
      <w:pPr>
        <w:pStyle w:val="7"/>
        <w:pageBreakBefore w:val="0"/>
        <w:widowControl w:val="0"/>
        <w:kinsoku/>
        <w:wordWrap/>
        <w:overflowPunct/>
        <w:topLinePunct w:val="0"/>
        <w:autoSpaceDE/>
        <w:autoSpaceDN/>
        <w:bidi w:val="0"/>
        <w:spacing w:line="360" w:lineRule="auto"/>
        <w:ind w:left="-4" w:leftChars="-2" w:right="0" w:rightChars="0" w:firstLine="420" w:firstLineChars="200"/>
        <w:textAlignment w:val="auto"/>
        <w:rPr>
          <w:rFonts w:ascii="Times New Roman" w:hAnsi="Times New Roman"/>
        </w:rPr>
      </w:pPr>
      <w:r>
        <w:rPr>
          <w:rFonts w:hint="eastAsia" w:ascii="Times New Roman" w:hAnsi="Times New Roman"/>
        </w:rPr>
        <w:t>（2）</w:t>
      </w:r>
      <w:r>
        <w:rPr>
          <w:rFonts w:ascii="Times New Roman" w:hAnsi="Times New Roman"/>
        </w:rPr>
        <w:t xml:space="preserve">投标人存在串通投标或弄虚作假违法行为，在评标过程中发现并以无效标处理的，对其投标担保总金额的70%～80%不予退还；在评标结束后发现并被查实的，对其投标担保全部不予退还； </w:t>
      </w:r>
    </w:p>
    <w:p>
      <w:pPr>
        <w:pStyle w:val="7"/>
        <w:pageBreakBefore w:val="0"/>
        <w:widowControl w:val="0"/>
        <w:kinsoku/>
        <w:wordWrap/>
        <w:overflowPunct/>
        <w:topLinePunct w:val="0"/>
        <w:autoSpaceDE/>
        <w:autoSpaceDN/>
        <w:bidi w:val="0"/>
        <w:spacing w:line="360" w:lineRule="auto"/>
        <w:ind w:left="-4" w:leftChars="-2" w:right="0" w:rightChars="0" w:firstLine="420" w:firstLineChars="200"/>
        <w:textAlignment w:val="auto"/>
        <w:rPr>
          <w:rFonts w:ascii="Times New Roman" w:hAnsi="Times New Roman"/>
        </w:rPr>
      </w:pPr>
      <w:r>
        <w:rPr>
          <w:rFonts w:hint="eastAsia" w:ascii="Times New Roman" w:hAnsi="Times New Roman"/>
        </w:rPr>
        <w:t>（3）</w:t>
      </w:r>
      <w:r>
        <w:rPr>
          <w:rFonts w:ascii="Times New Roman" w:hAnsi="Times New Roman"/>
        </w:rPr>
        <w:t>投标人放弃中标候选人或中标资格的（包括中标人无正当理由不与招标人订立合同；在签订合同时向招标人提出附加条件；不按照招标文件要求提交履约担保），对其投标担保全部不予退还；对招标人造成的经济损失（包括报价的差额损失）超过投标担保总金额的，应对超过部分予以赔偿</w:t>
      </w:r>
      <w:r>
        <w:rPr>
          <w:rFonts w:hint="eastAsia" w:ascii="Times New Roman" w:hAnsi="Times New Roman"/>
          <w:lang w:eastAsia="zh-CN"/>
        </w:rPr>
        <w:t>。</w:t>
      </w:r>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81" w:name="_Toc155342548"/>
      <w:bookmarkStart w:id="82" w:name="_Toc169487795"/>
      <w:bookmarkStart w:id="83" w:name="_Toc500208478"/>
      <w:r>
        <w:rPr>
          <w:rFonts w:ascii="Times New Roman" w:hAnsi="Times New Roman"/>
          <w:color w:val="auto"/>
        </w:rPr>
        <w:t>投标有效期</w:t>
      </w:r>
      <w:bookmarkEnd w:id="81"/>
      <w:bookmarkEnd w:id="82"/>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投标有效期详见本须知前附表第</w:t>
      </w:r>
      <w:r>
        <w:rPr>
          <w:rFonts w:hint="eastAsia" w:ascii="Times New Roman" w:hAnsi="Times New Roman"/>
          <w:lang w:val="en-US" w:eastAsia="zh-CN"/>
        </w:rPr>
        <w:t>22</w:t>
      </w:r>
      <w:r>
        <w:rPr>
          <w:rFonts w:ascii="Times New Roman" w:hAnsi="Times New Roman"/>
        </w:rPr>
        <w:t>项，在此期限内，凡符合本招标文件要求的投标文件均保持有效。</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在特殊的情况下，招标人在原定投标有效期内，可以根据需要以书面形式向投标人提出延长投标有效期的要求，对此要求投标人须以书面形式予以答复。投标人可以拒绝招标人这种要求，而不被没收投标担保。同意延长投标有效期的投标人既不能要求也不允许修改其投标文件，但需要相应的延长投标担保的有效期，在延长的投标有效期内，本须知第17条关于投标担保的退还与没收的规定仍然适用。</w:t>
      </w:r>
    </w:p>
    <w:bookmarkEnd w:id="83"/>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84" w:name="_Toc155342549"/>
      <w:bookmarkStart w:id="85" w:name="_Toc500208479"/>
      <w:bookmarkStart w:id="86" w:name="_Toc169487796"/>
      <w:r>
        <w:rPr>
          <w:rFonts w:ascii="Times New Roman" w:hAnsi="Times New Roman"/>
          <w:color w:val="auto"/>
        </w:rPr>
        <w:t>投标文件的份数和签署</w:t>
      </w:r>
      <w:bookmarkEnd w:id="84"/>
      <w:bookmarkEnd w:id="85"/>
      <w:bookmarkEnd w:id="86"/>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投标人按本须知前附表第2</w:t>
      </w:r>
      <w:r>
        <w:rPr>
          <w:rFonts w:hint="eastAsia" w:ascii="Times New Roman" w:hAnsi="Times New Roman"/>
          <w:lang w:val="en-US" w:eastAsia="zh-CN"/>
        </w:rPr>
        <w:t>3</w:t>
      </w:r>
      <w:r>
        <w:rPr>
          <w:rFonts w:ascii="Times New Roman" w:hAnsi="Times New Roman"/>
        </w:rPr>
        <w:t>项规定的份数递交投标文件。</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bCs/>
        </w:rPr>
      </w:pPr>
      <w:r>
        <w:rPr>
          <w:rFonts w:ascii="Times New Roman" w:hAnsi="Times New Roman"/>
          <w:bCs/>
        </w:rPr>
        <w:t>招标文件附件中注明由投标人法定代表人亲自签署或印鉴、并加盖法人单位公章的，投标人均应按要求签章。</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当正本与副本不一致时，以正本为准。如未注明正副本的，由评标委员会或工作人员随机抽签确定一本作为正本。</w:t>
      </w:r>
    </w:p>
    <w:p>
      <w:pPr>
        <w:pStyle w:val="3"/>
        <w:pageBreakBefore w:val="0"/>
        <w:widowControl w:val="0"/>
        <w:tabs>
          <w:tab w:val="clear" w:pos="2159"/>
        </w:tabs>
        <w:kinsoku/>
        <w:wordWrap/>
        <w:overflowPunct/>
        <w:topLinePunct w:val="0"/>
        <w:autoSpaceDE/>
        <w:autoSpaceDN/>
        <w:bidi w:val="0"/>
        <w:spacing w:before="0" w:after="120" w:afterLines="0" w:line="360" w:lineRule="auto"/>
        <w:ind w:left="2160" w:right="0" w:rightChars="0" w:hanging="1321"/>
        <w:textAlignment w:val="auto"/>
        <w:rPr>
          <w:rFonts w:ascii="Times New Roman" w:hAnsi="Times New Roman" w:cs="Times New Roman"/>
        </w:rPr>
      </w:pPr>
      <w:bookmarkStart w:id="87" w:name="_Toc4301"/>
      <w:bookmarkStart w:id="88" w:name="_Toc500208480"/>
      <w:bookmarkStart w:id="89" w:name="_Toc500209417"/>
      <w:r>
        <w:rPr>
          <w:rFonts w:ascii="Times New Roman" w:hAnsi="Times New Roman" w:cs="Times New Roman"/>
        </w:rPr>
        <w:t>投标文件的递交</w:t>
      </w:r>
      <w:bookmarkEnd w:id="87"/>
      <w:bookmarkEnd w:id="88"/>
      <w:bookmarkEnd w:id="89"/>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90" w:name="_Toc500208481"/>
      <w:bookmarkStart w:id="91" w:name="_Toc155342551"/>
      <w:bookmarkStart w:id="92" w:name="_Toc169487798"/>
      <w:r>
        <w:rPr>
          <w:rFonts w:ascii="Times New Roman" w:hAnsi="Times New Roman"/>
          <w:color w:val="auto"/>
        </w:rPr>
        <w:t>投标文件的装订、密封与标志</w:t>
      </w:r>
      <w:bookmarkEnd w:id="90"/>
      <w:bookmarkEnd w:id="91"/>
      <w:bookmarkEnd w:id="92"/>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投标人应将投标文件按规定密封，并注明项目（标段）名称、投标人名称及标函名称。</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密封袋封口处加盖单位公章或法人代表或委托代理人印章或签字。</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bCs/>
        </w:rPr>
      </w:pPr>
      <w:r>
        <w:rPr>
          <w:rFonts w:ascii="Times New Roman" w:hAnsi="Times New Roman"/>
          <w:bCs/>
        </w:rPr>
        <w:t>投标文件的密封及装订要求详见本须知前附表第2</w:t>
      </w:r>
      <w:r>
        <w:rPr>
          <w:rFonts w:hint="eastAsia" w:ascii="Times New Roman" w:hAnsi="Times New Roman"/>
          <w:bCs/>
          <w:lang w:val="en-US" w:eastAsia="zh-CN"/>
        </w:rPr>
        <w:t>4</w:t>
      </w:r>
      <w:r>
        <w:rPr>
          <w:rFonts w:ascii="Times New Roman" w:hAnsi="Times New Roman"/>
          <w:bCs/>
        </w:rPr>
        <w:t>项。</w:t>
      </w:r>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93" w:name="_Toc169487799"/>
      <w:bookmarkStart w:id="94" w:name="_Toc155342552"/>
      <w:bookmarkStart w:id="95" w:name="_Toc500208482"/>
      <w:r>
        <w:rPr>
          <w:rFonts w:ascii="Times New Roman" w:hAnsi="Times New Roman"/>
          <w:color w:val="auto"/>
        </w:rPr>
        <w:t>投标文件的递交</w:t>
      </w:r>
      <w:bookmarkEnd w:id="93"/>
      <w:bookmarkEnd w:id="94"/>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投标人应按本须知前附表第2</w:t>
      </w:r>
      <w:r>
        <w:rPr>
          <w:rFonts w:hint="eastAsia" w:ascii="Times New Roman" w:hAnsi="Times New Roman"/>
          <w:lang w:val="en-US" w:eastAsia="zh-CN"/>
        </w:rPr>
        <w:t>5</w:t>
      </w:r>
      <w:r>
        <w:rPr>
          <w:rFonts w:ascii="Times New Roman" w:hAnsi="Times New Roman"/>
        </w:rPr>
        <w:t>项规定的地点，在本须知前附表第2</w:t>
      </w:r>
      <w:r>
        <w:rPr>
          <w:rFonts w:hint="eastAsia" w:ascii="Times New Roman" w:hAnsi="Times New Roman"/>
          <w:lang w:val="en-US" w:eastAsia="zh-CN"/>
        </w:rPr>
        <w:t>6</w:t>
      </w:r>
      <w:r>
        <w:rPr>
          <w:rFonts w:ascii="Times New Roman" w:hAnsi="Times New Roman"/>
        </w:rPr>
        <w:t>项规定的截止时间前提交投标文件。</w:t>
      </w:r>
    </w:p>
    <w:p>
      <w:pPr>
        <w:pStyle w:val="7"/>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ascii="Times New Roman" w:hAnsi="Times New Roman" w:eastAsia="黑体"/>
          <w:b/>
        </w:rPr>
      </w:pPr>
      <w:r>
        <w:rPr>
          <w:rFonts w:ascii="Times New Roman" w:hAnsi="Times New Roman" w:eastAsia="黑体"/>
          <w:b/>
        </w:rPr>
        <w:t>投标人提交投标文件时需同时满足本须知前附表第2</w:t>
      </w:r>
      <w:r>
        <w:rPr>
          <w:rFonts w:hint="eastAsia" w:ascii="Times New Roman" w:hAnsi="Times New Roman" w:eastAsia="黑体"/>
          <w:b/>
          <w:lang w:val="en-US" w:eastAsia="zh-CN"/>
        </w:rPr>
        <w:t>7</w:t>
      </w:r>
      <w:r>
        <w:rPr>
          <w:rFonts w:ascii="Times New Roman" w:hAnsi="Times New Roman" w:eastAsia="黑体"/>
          <w:b/>
        </w:rPr>
        <w:t>项要求，否则该投标文件予以拒收。</w:t>
      </w:r>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96" w:name="_Toc155342553"/>
      <w:bookmarkStart w:id="97" w:name="_Toc169487800"/>
      <w:r>
        <w:rPr>
          <w:rFonts w:ascii="Times New Roman" w:hAnsi="Times New Roman"/>
          <w:color w:val="auto"/>
        </w:rPr>
        <w:t>投标截止期</w:t>
      </w:r>
      <w:bookmarkEnd w:id="95"/>
      <w:bookmarkEnd w:id="96"/>
      <w:bookmarkEnd w:id="97"/>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投标文件的截止时间详见本须知前附表第2</w:t>
      </w:r>
      <w:r>
        <w:rPr>
          <w:rFonts w:hint="eastAsia" w:ascii="Times New Roman" w:hAnsi="Times New Roman"/>
          <w:lang w:val="en-US" w:eastAsia="zh-CN"/>
        </w:rPr>
        <w:t>6</w:t>
      </w:r>
      <w:r>
        <w:rPr>
          <w:rFonts w:ascii="Times New Roman" w:hAnsi="Times New Roman"/>
        </w:rPr>
        <w:t>项。</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招标人可以补充通知的方式，酌情延长提交投标文件的截止时间。在此情况下，投标人的所有权利和义务以及投标人受制约的截止时间，均以延长后新的投标截止时间为准。</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到投标截止时间止，招标人收到的投标文件少于3个的，招标人将依法重新组织招标。</w:t>
      </w:r>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98" w:name="_Toc155342554"/>
      <w:bookmarkStart w:id="99" w:name="_Toc500208483"/>
      <w:bookmarkStart w:id="100" w:name="_Toc169487801"/>
      <w:r>
        <w:rPr>
          <w:rFonts w:ascii="Times New Roman" w:hAnsi="Times New Roman"/>
          <w:color w:val="auto"/>
        </w:rPr>
        <w:t>投标文件的补充、修改与撤回</w:t>
      </w:r>
      <w:bookmarkEnd w:id="98"/>
      <w:bookmarkEnd w:id="99"/>
      <w:bookmarkEnd w:id="100"/>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投标人在提交投标文件以后，在规定的投标截止时间之前，可以书面形式补充修改或撤回已提交的投标文件，并以书面形式通知招标人。补充、修改的内容为投标文件的组成部分。</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投标人对投标文件的补充、修改，应按本节有关投标文件规定密封、标记和提交，并在投标文件密封袋上清楚标明“补充、修改”或“撤回”字样。</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在投标截止时间之后，投标人不得补充、修改投标文件。</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在投标截止时间至投标有效期满之前，投标人不得撤回其投标文件，否则其投标担保将被没收。</w:t>
      </w:r>
    </w:p>
    <w:p>
      <w:pPr>
        <w:pStyle w:val="3"/>
        <w:pageBreakBefore w:val="0"/>
        <w:widowControl w:val="0"/>
        <w:tabs>
          <w:tab w:val="clear" w:pos="2159"/>
        </w:tabs>
        <w:kinsoku/>
        <w:wordWrap/>
        <w:overflowPunct/>
        <w:topLinePunct w:val="0"/>
        <w:autoSpaceDE/>
        <w:autoSpaceDN/>
        <w:bidi w:val="0"/>
        <w:spacing w:before="0" w:after="120" w:afterLines="0" w:line="360" w:lineRule="auto"/>
        <w:ind w:left="2160" w:right="0" w:rightChars="0" w:hanging="1321"/>
        <w:textAlignment w:val="auto"/>
        <w:rPr>
          <w:rFonts w:ascii="Times New Roman" w:hAnsi="Times New Roman" w:cs="Times New Roman"/>
        </w:rPr>
      </w:pPr>
      <w:bookmarkStart w:id="101" w:name="_Toc500209418"/>
      <w:bookmarkStart w:id="102" w:name="_Toc9031"/>
      <w:bookmarkStart w:id="103" w:name="_Toc500208484"/>
      <w:r>
        <w:rPr>
          <w:rFonts w:ascii="Times New Roman" w:hAnsi="Times New Roman" w:cs="Times New Roman"/>
        </w:rPr>
        <w:t>开   标</w:t>
      </w:r>
      <w:bookmarkEnd w:id="101"/>
      <w:bookmarkEnd w:id="102"/>
      <w:bookmarkEnd w:id="103"/>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104" w:name="_Toc500208485"/>
      <w:bookmarkStart w:id="105" w:name="_Toc155342556"/>
      <w:bookmarkStart w:id="106" w:name="_Toc169487803"/>
      <w:r>
        <w:rPr>
          <w:rFonts w:ascii="Times New Roman" w:hAnsi="Times New Roman"/>
          <w:color w:val="auto"/>
        </w:rPr>
        <w:t>开标</w:t>
      </w:r>
      <w:bookmarkEnd w:id="104"/>
      <w:bookmarkEnd w:id="105"/>
      <w:bookmarkEnd w:id="106"/>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招标人将于投标截止期的同一时间按本须知前附表第2</w:t>
      </w:r>
      <w:r>
        <w:rPr>
          <w:rFonts w:hint="eastAsia" w:ascii="Times New Roman" w:hAnsi="Times New Roman"/>
          <w:lang w:val="en-US" w:eastAsia="zh-CN"/>
        </w:rPr>
        <w:t>5</w:t>
      </w:r>
      <w:r>
        <w:rPr>
          <w:rFonts w:ascii="Times New Roman" w:hAnsi="Times New Roman"/>
        </w:rPr>
        <w:t>项所规定的地点公开举行开标会议。</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开标会议由招标人组织并主持。</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开标顺序</w:t>
      </w:r>
      <w:r>
        <w:rPr>
          <w:rFonts w:ascii="Times New Roman" w:hAnsi="Times New Roman"/>
          <w:bCs/>
        </w:rPr>
        <w:t>详见本须知前附表第2</w:t>
      </w:r>
      <w:r>
        <w:rPr>
          <w:rFonts w:hint="eastAsia" w:ascii="Times New Roman" w:hAnsi="Times New Roman"/>
          <w:bCs/>
          <w:lang w:val="en-US" w:eastAsia="zh-CN"/>
        </w:rPr>
        <w:t>8</w:t>
      </w:r>
      <w:r>
        <w:rPr>
          <w:rFonts w:ascii="Times New Roman" w:hAnsi="Times New Roman"/>
          <w:bCs/>
        </w:rPr>
        <w:t>项。</w:t>
      </w:r>
      <w:r>
        <w:rPr>
          <w:rFonts w:ascii="Times New Roman" w:hAnsi="Times New Roman"/>
        </w:rPr>
        <w:t xml:space="preserve"> </w:t>
      </w:r>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107" w:name="_Toc155342557"/>
      <w:bookmarkStart w:id="108" w:name="_Toc169487804"/>
      <w:r>
        <w:rPr>
          <w:rFonts w:ascii="Times New Roman" w:hAnsi="Times New Roman"/>
          <w:color w:val="auto"/>
        </w:rPr>
        <w:t>投标文件公布</w:t>
      </w:r>
      <w:bookmarkEnd w:id="107"/>
      <w:bookmarkEnd w:id="108"/>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由投标人或其推选的代表检查投标文件的密封情况，未按本招标文件要求密封的投标文件则退还投标人，经确认无误后，由有关工作人员当众拆封，宣读投标承诺的主要内容。</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招标人将对开标过程进行记录，以存档备查。</w:t>
      </w:r>
    </w:p>
    <w:p>
      <w:pPr>
        <w:pStyle w:val="3"/>
        <w:pageBreakBefore w:val="0"/>
        <w:widowControl w:val="0"/>
        <w:tabs>
          <w:tab w:val="clear" w:pos="2159"/>
        </w:tabs>
        <w:kinsoku/>
        <w:wordWrap/>
        <w:overflowPunct/>
        <w:topLinePunct w:val="0"/>
        <w:autoSpaceDE/>
        <w:autoSpaceDN/>
        <w:bidi w:val="0"/>
        <w:spacing w:before="0" w:after="120" w:afterLines="0" w:line="360" w:lineRule="auto"/>
        <w:ind w:left="2160" w:right="0" w:rightChars="0" w:hanging="1321"/>
        <w:textAlignment w:val="auto"/>
        <w:rPr>
          <w:rFonts w:ascii="Times New Roman" w:hAnsi="Times New Roman" w:cs="Times New Roman"/>
        </w:rPr>
      </w:pPr>
      <w:bookmarkStart w:id="109" w:name="_Toc500208488"/>
      <w:bookmarkStart w:id="110" w:name="_Toc9517"/>
      <w:bookmarkStart w:id="111" w:name="_Toc500209419"/>
      <w:bookmarkStart w:id="112" w:name="_Toc500209420"/>
      <w:bookmarkStart w:id="113" w:name="_Toc500208495"/>
      <w:r>
        <w:rPr>
          <w:rFonts w:ascii="Times New Roman" w:hAnsi="Times New Roman" w:cs="Times New Roman"/>
        </w:rPr>
        <w:t>评   标</w:t>
      </w:r>
      <w:bookmarkEnd w:id="109"/>
      <w:bookmarkEnd w:id="110"/>
      <w:bookmarkEnd w:id="111"/>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114" w:name="_Toc155342559"/>
      <w:bookmarkStart w:id="115" w:name="_Toc500208489"/>
      <w:bookmarkStart w:id="116" w:name="_Toc169487806"/>
      <w:r>
        <w:rPr>
          <w:rFonts w:ascii="Times New Roman" w:hAnsi="Times New Roman"/>
          <w:color w:val="auto"/>
        </w:rPr>
        <w:t>评标会议</w:t>
      </w:r>
      <w:bookmarkEnd w:id="114"/>
      <w:bookmarkEnd w:id="115"/>
      <w:bookmarkEnd w:id="116"/>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评标委员会由招标人依法组建，负责评标活动。</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开标结束后，开始评标，评标采用保密方式进行。</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评标委员会在评标前须签订《台州市建设工程公正评标承诺书》。</w:t>
      </w:r>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117" w:name="_Toc155342560"/>
      <w:bookmarkStart w:id="118" w:name="_Toc169487807"/>
      <w:r>
        <w:rPr>
          <w:rFonts w:ascii="Times New Roman" w:hAnsi="Times New Roman"/>
          <w:color w:val="auto"/>
        </w:rPr>
        <w:t>评标过程的保密</w:t>
      </w:r>
      <w:bookmarkEnd w:id="117"/>
      <w:bookmarkEnd w:id="118"/>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开标后，直至授予中标人合同为止，凡属于对投标文件的审查、澄清、评价和比较的有关资料以及中标候选人的推荐情况，与评标有关的其他任何情况均严格保密。</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在投标文件的评审和比较、中标候选人推荐以及授予合同的过程中，投标人向招标人和评标委员会施加影响的任何行为，都将会导致其投标被拒绝。</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中标人确定后，招标人不对未中标人就评标过程以及未能中标原因作出任何解释。未中标人不得向评标委员会组成人员或其他有关人员索问评标过程的情况和材料。</w:t>
      </w:r>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119" w:name="_Toc169487808"/>
      <w:bookmarkStart w:id="120" w:name="_Toc155342561"/>
      <w:r>
        <w:rPr>
          <w:rFonts w:ascii="Times New Roman" w:hAnsi="Times New Roman"/>
          <w:color w:val="auto"/>
        </w:rPr>
        <w:t>投标文件符合性鉴定</w:t>
      </w:r>
      <w:bookmarkEnd w:id="119"/>
      <w:bookmarkEnd w:id="120"/>
    </w:p>
    <w:p>
      <w:pPr>
        <w:pStyle w:val="7"/>
        <w:pageBreakBefore w:val="0"/>
        <w:widowControl w:val="0"/>
        <w:numPr>
          <w:ilvl w:val="1"/>
          <w:numId w:val="2"/>
        </w:numPr>
        <w:kinsoku/>
        <w:wordWrap/>
        <w:overflowPunct/>
        <w:topLinePunct w:val="0"/>
        <w:autoSpaceDE/>
        <w:autoSpaceDN/>
        <w:bidi w:val="0"/>
        <w:spacing w:line="360" w:lineRule="auto"/>
        <w:ind w:left="149" w:right="0" w:rightChars="0" w:firstLine="420" w:firstLineChars="200"/>
        <w:textAlignment w:val="auto"/>
        <w:rPr>
          <w:rFonts w:ascii="Times New Roman" w:hAnsi="Times New Roman"/>
        </w:rPr>
      </w:pPr>
      <w:r>
        <w:rPr>
          <w:rFonts w:ascii="Times New Roman" w:hAnsi="Times New Roman"/>
        </w:rPr>
        <w:t>评标委员会将首先评定每份投标文件是否在实质上响应了招标文件的要求。所谓实质上响应，是指投标文件应与招标文件的所有实质性条款、条件和要求相符，无显著差异或保留。实质性内容包括投标函是否按招标文件要求编制，总报价、质量、</w:t>
      </w:r>
      <w:r>
        <w:rPr>
          <w:rFonts w:hint="eastAsia" w:ascii="Times New Roman" w:hAnsi="Times New Roman"/>
          <w:lang w:val="en-US" w:eastAsia="zh-CN"/>
        </w:rPr>
        <w:t>服务期</w:t>
      </w:r>
      <w:r>
        <w:rPr>
          <w:rFonts w:ascii="Times New Roman" w:hAnsi="Times New Roman"/>
        </w:rPr>
        <w:t>、投标资格等实质内容的承诺是否响应招标文件要求等。投标文件是否响应招标文件实质性内容由评标委员会界定。</w:t>
      </w:r>
    </w:p>
    <w:p>
      <w:pPr>
        <w:pStyle w:val="7"/>
        <w:pageBreakBefore w:val="0"/>
        <w:widowControl w:val="0"/>
        <w:numPr>
          <w:ilvl w:val="1"/>
          <w:numId w:val="2"/>
        </w:numPr>
        <w:kinsoku/>
        <w:wordWrap/>
        <w:overflowPunct/>
        <w:topLinePunct w:val="0"/>
        <w:autoSpaceDE/>
        <w:autoSpaceDN/>
        <w:bidi w:val="0"/>
        <w:spacing w:line="360" w:lineRule="auto"/>
        <w:ind w:left="149" w:right="0" w:rightChars="0" w:firstLine="420" w:firstLineChars="200"/>
        <w:textAlignment w:val="auto"/>
        <w:rPr>
          <w:rFonts w:ascii="Times New Roman" w:hAnsi="Times New Roman"/>
        </w:rPr>
      </w:pPr>
      <w:r>
        <w:rPr>
          <w:rFonts w:ascii="Times New Roman" w:hAnsi="Times New Roman"/>
        </w:rPr>
        <w:t>如果投标文件实质上不响应招标文件各项要求，评标委员会将予以拒绝，并且不允许投标人通过修改或撤消其不符合要求的差异或保留，使之成为具有响应性的投标。</w:t>
      </w:r>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121" w:name="_Toc155342562"/>
      <w:bookmarkStart w:id="122" w:name="_Toc169487809"/>
      <w:r>
        <w:rPr>
          <w:rFonts w:ascii="Times New Roman" w:hAnsi="Times New Roman"/>
          <w:color w:val="auto"/>
        </w:rPr>
        <w:t>投标文件的澄清</w:t>
      </w:r>
      <w:bookmarkEnd w:id="121"/>
      <w:bookmarkEnd w:id="122"/>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评标委员会可以书面方式要求投标人对其投标文件中细微偏差作必要的澄清、说明或者补正。细微偏差是指投标文件在实质上响应招标文件要求，但在个别地方存在漏项或者提供了不完整的技术信息和数据等情况，并且补正这些遗漏或者不完整不会对其他投标人造成不公平的结果。细微偏差不影响投标文件的有效性。澄清、说明或者补正应以书面方式进行并不得超出投标文件的范围或者改变投标文件的实质性内容。但根据本节错误的修正的规定，凡属于评标委员会在评标中发现的算术错误进行核实的修改不在此列。</w:t>
      </w:r>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评审过程中，评标委员会可能以书面形式通知投标人要求投标人就投标文件中的内容进行</w:t>
      </w:r>
      <w:r>
        <w:rPr>
          <w:rFonts w:ascii="Times New Roman" w:hAnsi="Times New Roman"/>
          <w:szCs w:val="21"/>
        </w:rPr>
        <w:t>澄清或说明</w:t>
      </w:r>
      <w:r>
        <w:rPr>
          <w:rFonts w:ascii="Times New Roman" w:hAnsi="Times New Roman"/>
        </w:rPr>
        <w:t>。投标人应在接到询标通知后30分钟内作出答复，若在规定时间内未作出答复的，</w:t>
      </w:r>
      <w:r>
        <w:rPr>
          <w:rFonts w:ascii="Times New Roman" w:hAnsi="Times New Roman"/>
          <w:szCs w:val="21"/>
        </w:rPr>
        <w:t>可视作拒绝或放弃澄清或说明。</w:t>
      </w:r>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123" w:name="_Toc155342563"/>
      <w:bookmarkStart w:id="124" w:name="_Toc169487810"/>
      <w:r>
        <w:rPr>
          <w:rFonts w:ascii="Times New Roman" w:hAnsi="Times New Roman"/>
          <w:color w:val="auto"/>
        </w:rPr>
        <w:t>投标文件的评审</w:t>
      </w:r>
      <w:bookmarkEnd w:id="123"/>
      <w:bookmarkEnd w:id="124"/>
    </w:p>
    <w:p>
      <w:pPr>
        <w:pStyle w:val="7"/>
        <w:pageBreakBefore w:val="0"/>
        <w:widowControl w:val="0"/>
        <w:kinsoku/>
        <w:wordWrap/>
        <w:overflowPunct/>
        <w:topLinePunct w:val="0"/>
        <w:autoSpaceDE/>
        <w:autoSpaceDN/>
        <w:bidi w:val="0"/>
        <w:adjustRightInd w:val="0"/>
        <w:snapToGrid w:val="0"/>
        <w:spacing w:line="360" w:lineRule="auto"/>
        <w:ind w:right="0" w:rightChars="0" w:firstLine="422" w:firstLineChars="200"/>
        <w:textAlignment w:val="auto"/>
        <w:rPr>
          <w:rFonts w:ascii="Times New Roman" w:hAnsi="Times New Roman" w:eastAsia="黑体"/>
          <w:b/>
        </w:rPr>
      </w:pPr>
      <w:r>
        <w:rPr>
          <w:rFonts w:ascii="Times New Roman" w:hAnsi="Times New Roman" w:eastAsia="黑体"/>
          <w:b/>
          <w:bCs/>
        </w:rPr>
        <w:t>30.1</w:t>
      </w:r>
      <w:r>
        <w:rPr>
          <w:rFonts w:ascii="Times New Roman" w:hAnsi="Times New Roman" w:eastAsia="黑体"/>
          <w:b/>
        </w:rPr>
        <w:t>评标委员会在评标过程中发现投标人的投标文件存在以下情形之一的，应当向投标人质询，如投标人拒绝说明或不能合理说明理由的，则评标委员会应认定该投标人有串通投标的嫌疑，其投标文件按无效标处理：</w:t>
      </w:r>
    </w:p>
    <w:p>
      <w:pPr>
        <w:pStyle w:val="5"/>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eastAsia="宋体"/>
          <w:sz w:val="21"/>
        </w:rPr>
      </w:pPr>
      <w:r>
        <w:rPr>
          <w:rFonts w:eastAsia="宋体"/>
          <w:sz w:val="21"/>
        </w:rPr>
        <w:t>（1）投标文件内容存在错漏之处一致或异常雷同现象；</w:t>
      </w:r>
    </w:p>
    <w:p>
      <w:pPr>
        <w:pStyle w:val="5"/>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eastAsia="宋体"/>
          <w:sz w:val="21"/>
        </w:rPr>
      </w:pPr>
      <w:r>
        <w:rPr>
          <w:rFonts w:eastAsia="宋体"/>
          <w:sz w:val="21"/>
        </w:rPr>
        <w:t>（2）投标文件中载明的项目管理班子系有同一人担任；</w:t>
      </w:r>
    </w:p>
    <w:p>
      <w:pPr>
        <w:pStyle w:val="5"/>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eastAsia="宋体"/>
          <w:sz w:val="21"/>
        </w:rPr>
      </w:pPr>
      <w:r>
        <w:rPr>
          <w:rFonts w:eastAsia="宋体"/>
          <w:sz w:val="21"/>
        </w:rPr>
        <w:t>（3）投标文件由同一台电脑编制或同一附属设备打印；</w:t>
      </w:r>
    </w:p>
    <w:p>
      <w:pPr>
        <w:pStyle w:val="5"/>
        <w:pageBreakBefore w:val="0"/>
        <w:widowControl w:val="0"/>
        <w:kinsoku/>
        <w:wordWrap/>
        <w:overflowPunct/>
        <w:topLinePunct w:val="0"/>
        <w:autoSpaceDE/>
        <w:autoSpaceDN/>
        <w:bidi w:val="0"/>
        <w:spacing w:line="360" w:lineRule="auto"/>
        <w:ind w:right="0" w:rightChars="0" w:firstLine="315" w:firstLineChars="150"/>
        <w:textAlignment w:val="auto"/>
        <w:rPr>
          <w:rFonts w:eastAsia="宋体"/>
          <w:sz w:val="21"/>
        </w:rPr>
      </w:pPr>
      <w:r>
        <w:rPr>
          <w:rFonts w:eastAsia="宋体"/>
          <w:sz w:val="21"/>
        </w:rPr>
        <w:t>（4）涉嫌故意拉高或压低投标报价；</w:t>
      </w:r>
    </w:p>
    <w:p>
      <w:pPr>
        <w:pStyle w:val="5"/>
        <w:pageBreakBefore w:val="0"/>
        <w:widowControl w:val="0"/>
        <w:kinsoku/>
        <w:wordWrap/>
        <w:overflowPunct/>
        <w:topLinePunct w:val="0"/>
        <w:autoSpaceDE/>
        <w:autoSpaceDN/>
        <w:bidi w:val="0"/>
        <w:spacing w:line="360" w:lineRule="auto"/>
        <w:ind w:right="0" w:rightChars="0" w:firstLine="315" w:firstLineChars="150"/>
        <w:textAlignment w:val="auto"/>
        <w:rPr>
          <w:rFonts w:eastAsia="宋体"/>
          <w:sz w:val="21"/>
        </w:rPr>
      </w:pPr>
      <w:r>
        <w:rPr>
          <w:rFonts w:eastAsia="宋体"/>
          <w:sz w:val="21"/>
        </w:rPr>
        <w:t>（5）招标人（或招标代理机构）泄露投标人名称、数量或联系方式等应当保密的事项；</w:t>
      </w:r>
    </w:p>
    <w:p>
      <w:pPr>
        <w:pStyle w:val="5"/>
        <w:pageBreakBefore w:val="0"/>
        <w:widowControl w:val="0"/>
        <w:kinsoku/>
        <w:wordWrap/>
        <w:overflowPunct/>
        <w:topLinePunct w:val="0"/>
        <w:autoSpaceDE/>
        <w:autoSpaceDN/>
        <w:bidi w:val="0"/>
        <w:spacing w:line="360" w:lineRule="auto"/>
        <w:ind w:right="0" w:rightChars="0" w:firstLine="315" w:firstLineChars="150"/>
        <w:textAlignment w:val="auto"/>
        <w:rPr>
          <w:rFonts w:eastAsia="宋体"/>
          <w:sz w:val="21"/>
        </w:rPr>
      </w:pPr>
      <w:r>
        <w:rPr>
          <w:rFonts w:eastAsia="宋体"/>
          <w:sz w:val="21"/>
        </w:rPr>
        <w:t>（6）不同投标人的投标文件由同一单位（或个人）编制或提供投标咨询服务；</w:t>
      </w:r>
    </w:p>
    <w:p>
      <w:pPr>
        <w:pStyle w:val="5"/>
        <w:pageBreakBefore w:val="0"/>
        <w:widowControl w:val="0"/>
        <w:kinsoku/>
        <w:wordWrap/>
        <w:overflowPunct/>
        <w:topLinePunct w:val="0"/>
        <w:autoSpaceDE/>
        <w:autoSpaceDN/>
        <w:bidi w:val="0"/>
        <w:spacing w:line="360" w:lineRule="auto"/>
        <w:ind w:right="0" w:rightChars="0" w:firstLine="315" w:firstLineChars="150"/>
        <w:textAlignment w:val="auto"/>
        <w:rPr>
          <w:rFonts w:eastAsia="宋体"/>
          <w:sz w:val="21"/>
        </w:rPr>
      </w:pPr>
      <w:r>
        <w:rPr>
          <w:rFonts w:eastAsia="宋体"/>
          <w:sz w:val="21"/>
        </w:rPr>
        <w:t>（7）投标人的投标报价与招标人预算书出现非正常一致，或者报价细目呈明显规律性变化。</w:t>
      </w:r>
    </w:p>
    <w:p>
      <w:pPr>
        <w:pStyle w:val="5"/>
        <w:pageBreakBefore w:val="0"/>
        <w:widowControl w:val="0"/>
        <w:kinsoku/>
        <w:wordWrap/>
        <w:overflowPunct/>
        <w:topLinePunct w:val="0"/>
        <w:autoSpaceDE/>
        <w:autoSpaceDN/>
        <w:bidi w:val="0"/>
        <w:spacing w:line="360" w:lineRule="auto"/>
        <w:ind w:right="0" w:rightChars="0"/>
        <w:textAlignment w:val="auto"/>
        <w:rPr>
          <w:rFonts w:eastAsia="黑体"/>
          <w:b/>
        </w:rPr>
      </w:pPr>
      <w:r>
        <w:rPr>
          <w:rFonts w:eastAsia="黑体"/>
          <w:b/>
          <w:sz w:val="21"/>
        </w:rPr>
        <w:t>30.2投标文件有下列情形之一的，由评标委员会初审后按无效标处理：</w:t>
      </w:r>
    </w:p>
    <w:p>
      <w:pPr>
        <w:pStyle w:val="5"/>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eastAsia="宋体"/>
          <w:sz w:val="21"/>
        </w:rPr>
      </w:pPr>
      <w:r>
        <w:rPr>
          <w:rFonts w:eastAsia="宋体"/>
          <w:sz w:val="21"/>
        </w:rPr>
        <w:t>（1）投标人递交两份或多份内容不同的投标文件，或在一份投标文件中对同一招标项目报有两个或多个报价，且未声明哪一个有效，按招标文件规定提交备选投标方案的除外；</w:t>
      </w:r>
    </w:p>
    <w:p>
      <w:pPr>
        <w:pStyle w:val="5"/>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eastAsia="宋体"/>
          <w:sz w:val="21"/>
        </w:rPr>
      </w:pPr>
      <w:r>
        <w:rPr>
          <w:rFonts w:eastAsia="宋体"/>
          <w:sz w:val="21"/>
        </w:rPr>
        <w:t>（2）投标文件未按招标文件签署条款要求签章的；</w:t>
      </w:r>
    </w:p>
    <w:p>
      <w:pPr>
        <w:pStyle w:val="5"/>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eastAsia="宋体"/>
          <w:sz w:val="21"/>
        </w:rPr>
      </w:pPr>
      <w:r>
        <w:rPr>
          <w:rFonts w:eastAsia="宋体"/>
          <w:sz w:val="21"/>
        </w:rPr>
        <w:t>（3）投标文件份数不符合招标文件前附表要求的；</w:t>
      </w:r>
    </w:p>
    <w:p>
      <w:pPr>
        <w:pStyle w:val="5"/>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eastAsia="宋体"/>
          <w:sz w:val="21"/>
        </w:rPr>
      </w:pPr>
      <w:r>
        <w:rPr>
          <w:rFonts w:eastAsia="宋体"/>
          <w:sz w:val="21"/>
        </w:rPr>
        <w:t>（4）投标文件组成不符合招标文件要求的；</w:t>
      </w:r>
    </w:p>
    <w:p>
      <w:pPr>
        <w:pStyle w:val="5"/>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eastAsia="宋体"/>
          <w:sz w:val="21"/>
        </w:rPr>
      </w:pPr>
      <w:r>
        <w:rPr>
          <w:rFonts w:eastAsia="宋体"/>
          <w:sz w:val="21"/>
        </w:rPr>
        <w:t>（5）联合体投标未附联合体各方共同投标协议的；</w:t>
      </w:r>
    </w:p>
    <w:p>
      <w:pPr>
        <w:pStyle w:val="5"/>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eastAsia="宋体"/>
          <w:sz w:val="21"/>
        </w:rPr>
      </w:pPr>
      <w:r>
        <w:rPr>
          <w:rFonts w:eastAsia="宋体"/>
          <w:sz w:val="21"/>
        </w:rPr>
        <w:t>（6）投标资格不符合招标文件要求的；</w:t>
      </w:r>
    </w:p>
    <w:p>
      <w:pPr>
        <w:pStyle w:val="5"/>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eastAsia="宋体"/>
          <w:sz w:val="21"/>
        </w:rPr>
      </w:pPr>
      <w:r>
        <w:rPr>
          <w:rFonts w:eastAsia="宋体"/>
          <w:sz w:val="21"/>
        </w:rPr>
        <w:t>（7）法律法规规定无效标的。</w:t>
      </w:r>
    </w:p>
    <w:p>
      <w:pPr>
        <w:pStyle w:val="5"/>
        <w:pageBreakBefore w:val="0"/>
        <w:widowControl w:val="0"/>
        <w:kinsoku/>
        <w:wordWrap/>
        <w:overflowPunct/>
        <w:topLinePunct w:val="0"/>
        <w:autoSpaceDE/>
        <w:autoSpaceDN/>
        <w:bidi w:val="0"/>
        <w:spacing w:line="360" w:lineRule="auto"/>
        <w:ind w:left="-4" w:leftChars="-2" w:right="0" w:rightChars="0" w:firstLine="422" w:firstLineChars="200"/>
        <w:textAlignment w:val="auto"/>
        <w:rPr>
          <w:rFonts w:eastAsia="黑体"/>
          <w:b/>
          <w:sz w:val="21"/>
        </w:rPr>
      </w:pPr>
      <w:r>
        <w:rPr>
          <w:rFonts w:eastAsia="黑体"/>
          <w:b/>
          <w:bCs/>
          <w:sz w:val="21"/>
        </w:rPr>
        <w:t>30.3</w:t>
      </w:r>
      <w:r>
        <w:rPr>
          <w:rFonts w:eastAsia="黑体"/>
          <w:b/>
          <w:sz w:val="21"/>
        </w:rPr>
        <w:t>投标文件有下列情形之一的，由评标委员会进行实质性评审后按无效标处理：</w:t>
      </w:r>
    </w:p>
    <w:p>
      <w:pPr>
        <w:pStyle w:val="5"/>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eastAsia="宋体"/>
          <w:sz w:val="21"/>
        </w:rPr>
      </w:pPr>
      <w:r>
        <w:rPr>
          <w:rFonts w:eastAsia="宋体"/>
          <w:sz w:val="21"/>
        </w:rPr>
        <w:t>（1）投标承诺的总报价、</w:t>
      </w:r>
      <w:r>
        <w:rPr>
          <w:rFonts w:hint="eastAsia" w:eastAsia="宋体"/>
          <w:sz w:val="21"/>
          <w:lang w:eastAsia="zh-CN"/>
        </w:rPr>
        <w:t>服务期</w:t>
      </w:r>
      <w:r>
        <w:rPr>
          <w:rFonts w:eastAsia="宋体"/>
          <w:sz w:val="21"/>
        </w:rPr>
        <w:t>、质量不符合招标文件前附表要求的；</w:t>
      </w:r>
    </w:p>
    <w:p>
      <w:pPr>
        <w:pStyle w:val="5"/>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eastAsia="宋体"/>
          <w:sz w:val="21"/>
        </w:rPr>
      </w:pPr>
      <w:r>
        <w:rPr>
          <w:rFonts w:eastAsia="宋体"/>
          <w:sz w:val="21"/>
        </w:rPr>
        <w:t>（2）招标文件报价要求中规定作无效标的；</w:t>
      </w:r>
    </w:p>
    <w:p>
      <w:pPr>
        <w:pStyle w:val="5"/>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eastAsia="宋体"/>
          <w:sz w:val="21"/>
        </w:rPr>
      </w:pPr>
      <w:r>
        <w:rPr>
          <w:rFonts w:eastAsia="宋体"/>
          <w:sz w:val="21"/>
        </w:rPr>
        <w:t>（3）违反招标文件其他实质性条款规定的。</w:t>
      </w:r>
    </w:p>
    <w:p>
      <w:pPr>
        <w:pStyle w:val="5"/>
        <w:pageBreakBefore w:val="0"/>
        <w:widowControl w:val="0"/>
        <w:kinsoku/>
        <w:wordWrap/>
        <w:overflowPunct/>
        <w:topLinePunct w:val="0"/>
        <w:autoSpaceDE/>
        <w:autoSpaceDN/>
        <w:bidi w:val="0"/>
        <w:spacing w:line="360" w:lineRule="auto"/>
        <w:ind w:left="-4" w:leftChars="-2" w:right="0" w:rightChars="0" w:firstLine="422" w:firstLineChars="200"/>
        <w:textAlignment w:val="auto"/>
        <w:rPr>
          <w:rFonts w:eastAsia="黑体"/>
          <w:b/>
          <w:sz w:val="21"/>
          <w:szCs w:val="21"/>
        </w:rPr>
      </w:pPr>
      <w:r>
        <w:rPr>
          <w:rFonts w:eastAsia="黑体"/>
          <w:b/>
          <w:bCs/>
          <w:sz w:val="21"/>
        </w:rPr>
        <w:t>30.4</w:t>
      </w:r>
      <w:r>
        <w:rPr>
          <w:rFonts w:eastAsia="黑体"/>
          <w:b/>
          <w:sz w:val="21"/>
        </w:rPr>
        <w:t>投标文件有下列情形之一的，</w:t>
      </w:r>
      <w:r>
        <w:rPr>
          <w:rFonts w:eastAsia="黑体"/>
          <w:b/>
          <w:sz w:val="21"/>
          <w:szCs w:val="21"/>
        </w:rPr>
        <w:t>经评标委员会详细评审后认定该投标文件对招标文件要求存在重大偏离的，则该投标文件按无效标处理：</w:t>
      </w:r>
    </w:p>
    <w:p>
      <w:pPr>
        <w:pStyle w:val="5"/>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eastAsia="宋体"/>
          <w:sz w:val="21"/>
        </w:rPr>
      </w:pPr>
      <w:r>
        <w:rPr>
          <w:rFonts w:eastAsia="宋体"/>
          <w:sz w:val="21"/>
        </w:rPr>
        <w:t>（1）商务标评审中规定作无效标的；</w:t>
      </w:r>
    </w:p>
    <w:p>
      <w:pPr>
        <w:pStyle w:val="5"/>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eastAsia="宋体"/>
          <w:sz w:val="21"/>
        </w:rPr>
      </w:pPr>
      <w:r>
        <w:rPr>
          <w:rFonts w:eastAsia="宋体"/>
          <w:sz w:val="21"/>
        </w:rPr>
        <w:t>（2）招标文件中其他内容明确规定作无效标的。</w:t>
      </w:r>
    </w:p>
    <w:p>
      <w:pPr>
        <w:pStyle w:val="7"/>
        <w:pageBreakBefore w:val="0"/>
        <w:widowControl w:val="0"/>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eastAsia="黑体"/>
          <w:bCs/>
        </w:rPr>
        <w:t>30.5</w:t>
      </w:r>
      <w:r>
        <w:rPr>
          <w:rFonts w:ascii="Times New Roman" w:hAnsi="Times New Roman"/>
        </w:rPr>
        <w:t>如有效标不足三家使得投标明显缺乏竞争的，评标委员会可以否决全部投标。所有投标被否决的，则本次招标失败，重新组织招标。</w:t>
      </w:r>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125" w:name="_Toc155342564"/>
      <w:bookmarkStart w:id="126" w:name="_Toc169487811"/>
      <w:r>
        <w:rPr>
          <w:rFonts w:ascii="Times New Roman" w:hAnsi="Times New Roman"/>
          <w:color w:val="auto"/>
        </w:rPr>
        <w:t>商务标的修正</w:t>
      </w:r>
      <w:bookmarkEnd w:id="125"/>
      <w:bookmarkEnd w:id="126"/>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评标委员会对确定为实质上响应招标文件要求的投标文件进行复核：投标函中投标总报价大写与小写不一致的，以大写为准。</w:t>
      </w:r>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127" w:name="_Toc155342565"/>
      <w:bookmarkStart w:id="128" w:name="_Toc169487812"/>
      <w:r>
        <w:rPr>
          <w:rFonts w:ascii="Times New Roman" w:hAnsi="Times New Roman"/>
          <w:color w:val="auto"/>
        </w:rPr>
        <w:t>评标办法</w:t>
      </w:r>
      <w:bookmarkEnd w:id="127"/>
      <w:bookmarkEnd w:id="128"/>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r>
        <w:rPr>
          <w:rFonts w:ascii="Times New Roman" w:hAnsi="Times New Roman"/>
        </w:rPr>
        <w:t>本工</w:t>
      </w:r>
      <w:r>
        <w:rPr>
          <w:rFonts w:ascii="Times New Roman" w:hAnsi="Times New Roman"/>
          <w:spacing w:val="-2"/>
        </w:rPr>
        <w:t>程项目采用的评标办法见本须知前附表第2</w:t>
      </w:r>
      <w:r>
        <w:rPr>
          <w:rFonts w:hint="eastAsia" w:ascii="Times New Roman" w:hAnsi="Times New Roman"/>
          <w:spacing w:val="-2"/>
          <w:lang w:val="en-US" w:eastAsia="zh-CN"/>
        </w:rPr>
        <w:t>9</w:t>
      </w:r>
      <w:r>
        <w:rPr>
          <w:rFonts w:ascii="Times New Roman" w:hAnsi="Times New Roman"/>
          <w:spacing w:val="-2"/>
        </w:rPr>
        <w:t>项，具体内容详见本招标文件第</w:t>
      </w:r>
      <w:r>
        <w:rPr>
          <w:rFonts w:ascii="Times New Roman" w:hAnsi="Times New Roman"/>
        </w:rPr>
        <w:t>三章。</w:t>
      </w:r>
    </w:p>
    <w:p>
      <w:pPr>
        <w:pStyle w:val="3"/>
        <w:pageBreakBefore w:val="0"/>
        <w:widowControl w:val="0"/>
        <w:tabs>
          <w:tab w:val="clear" w:pos="2159"/>
        </w:tabs>
        <w:kinsoku/>
        <w:wordWrap/>
        <w:overflowPunct/>
        <w:topLinePunct w:val="0"/>
        <w:autoSpaceDE/>
        <w:autoSpaceDN/>
        <w:bidi w:val="0"/>
        <w:spacing w:before="0" w:after="120" w:afterLines="0" w:line="360" w:lineRule="auto"/>
        <w:ind w:left="2160" w:right="0" w:rightChars="0" w:hanging="1321"/>
        <w:textAlignment w:val="auto"/>
        <w:rPr>
          <w:rFonts w:ascii="Times New Roman" w:hAnsi="Times New Roman" w:cs="Times New Roman"/>
        </w:rPr>
      </w:pPr>
      <w:bookmarkStart w:id="129" w:name="_Toc6574"/>
      <w:r>
        <w:rPr>
          <w:rFonts w:ascii="Times New Roman" w:hAnsi="Times New Roman" w:cs="Times New Roman"/>
        </w:rPr>
        <w:t>授予合同</w:t>
      </w:r>
      <w:bookmarkEnd w:id="112"/>
      <w:bookmarkEnd w:id="113"/>
      <w:bookmarkEnd w:id="129"/>
    </w:p>
    <w:p>
      <w:pPr>
        <w:pStyle w:val="4"/>
        <w:pageBreakBefore w:val="0"/>
        <w:widowControl w:val="0"/>
        <w:kinsoku/>
        <w:wordWrap/>
        <w:overflowPunct/>
        <w:topLinePunct w:val="0"/>
        <w:autoSpaceDE/>
        <w:autoSpaceDN/>
        <w:bidi w:val="0"/>
        <w:spacing w:before="0" w:line="360" w:lineRule="auto"/>
        <w:ind w:left="573" w:right="0" w:rightChars="0"/>
        <w:textAlignment w:val="auto"/>
        <w:rPr>
          <w:rFonts w:ascii="Times New Roman" w:hAnsi="Times New Roman"/>
          <w:color w:val="auto"/>
        </w:rPr>
      </w:pPr>
      <w:bookmarkStart w:id="130" w:name="_Toc169487814"/>
      <w:bookmarkStart w:id="131" w:name="_Toc155342567"/>
      <w:bookmarkStart w:id="132" w:name="_Toc500208496"/>
      <w:r>
        <w:rPr>
          <w:rFonts w:ascii="Times New Roman" w:hAnsi="Times New Roman"/>
          <w:color w:val="auto"/>
        </w:rPr>
        <w:t>中标候选人公示</w:t>
      </w:r>
      <w:bookmarkEnd w:id="130"/>
      <w:bookmarkEnd w:id="131"/>
    </w:p>
    <w:p>
      <w:pPr>
        <w:pStyle w:val="7"/>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ascii="Times New Roman" w:hAnsi="Times New Roman"/>
        </w:rPr>
      </w:pPr>
      <w:bookmarkStart w:id="133" w:name="_Toc169487815"/>
      <w:bookmarkStart w:id="134" w:name="_Toc155342568"/>
      <w:r>
        <w:rPr>
          <w:rFonts w:ascii="Times New Roman" w:hAnsi="Times New Roman"/>
        </w:rPr>
        <w:t>招标人应当将评标委员会推荐的中标候选人在交易场所（发布招标公告的媒体上）进行公示，公示期不得少于3个工作日。招标人同时应当将被废除的投标人及废标原因进行公示。公示期间，招标人（招标代理机构）应按照《关于在国有投资建设工程项目招投标活动中实行行贿犯罪档案查询制度的通知》（台建规[2010]219号）规定，对中标候选人有无行贿犯罪记录进行查询。</w:t>
      </w:r>
    </w:p>
    <w:p>
      <w:pPr>
        <w:pStyle w:val="7"/>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ascii="Times New Roman" w:hAnsi="Times New Roman"/>
        </w:rPr>
      </w:pPr>
      <w:r>
        <w:rPr>
          <w:rFonts w:ascii="Times New Roman" w:hAnsi="Times New Roman"/>
        </w:rPr>
        <w:t>公示期间，投标人对中标候选人资格有异议的，可向招标人（招标代理机构）提出（附相关有效证明材料），招标人（招标代理机构）应给予答复。投标人对答复不服或认为招标人（招标代理机构）有违反有关规定及其他弄虚作假情形的，可在接到答复之日起3日内向招标监管机构书面申请核查，并提交相关材料。</w:t>
      </w:r>
    </w:p>
    <w:p>
      <w:pPr>
        <w:pStyle w:val="7"/>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ascii="Times New Roman" w:hAnsi="Times New Roman"/>
        </w:rPr>
      </w:pPr>
      <w:r>
        <w:rPr>
          <w:rFonts w:ascii="Times New Roman" w:hAnsi="Times New Roman"/>
        </w:rPr>
        <w:t>涉及中标候选人投标资格等情形的，招标人（招标代理机构）可以书面形式要求其进行澄清或说明。中标候选人应自收到书面通知之日起3日内进行澄清或说明。</w:t>
      </w:r>
    </w:p>
    <w:p>
      <w:pPr>
        <w:pStyle w:val="7"/>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ascii="Times New Roman" w:hAnsi="Times New Roman"/>
        </w:rPr>
      </w:pPr>
      <w:r>
        <w:rPr>
          <w:rFonts w:ascii="Times New Roman" w:hAnsi="Times New Roman"/>
        </w:rPr>
        <w:t>中标候选人有以下情形之一的，其资格无效：</w:t>
      </w:r>
    </w:p>
    <w:p>
      <w:pPr>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pPr>
      <w:r>
        <w:t>（1）投标资格不符合本章第4条规定的；</w:t>
      </w:r>
    </w:p>
    <w:p>
      <w:pPr>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pPr>
      <w:r>
        <w:t>（2）投标人提供虚假材料骗取投标资格的；</w:t>
      </w:r>
    </w:p>
    <w:p>
      <w:pPr>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pPr>
      <w:r>
        <w:t>（3）按本章第30项规定应作无效标处理的；</w:t>
      </w:r>
    </w:p>
    <w:p>
      <w:pPr>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pPr>
      <w:r>
        <w:t>（4）拒绝按本章第33.3款规定进行说明或不能合理说明理由的；</w:t>
      </w:r>
    </w:p>
    <w:p>
      <w:pPr>
        <w:pStyle w:val="5"/>
        <w:pageBreakBefore w:val="0"/>
        <w:widowControl w:val="0"/>
        <w:kinsoku/>
        <w:wordWrap/>
        <w:overflowPunct/>
        <w:topLinePunct w:val="0"/>
        <w:autoSpaceDE/>
        <w:autoSpaceDN/>
        <w:bidi w:val="0"/>
        <w:adjustRightInd/>
        <w:snapToGrid/>
        <w:spacing w:line="360" w:lineRule="auto"/>
        <w:ind w:right="0" w:rightChars="0"/>
        <w:textAlignment w:val="auto"/>
        <w:rPr>
          <w:rFonts w:ascii="Times New Roman" w:hAnsi="Times New Roman"/>
        </w:rPr>
      </w:pPr>
      <w:r>
        <w:rPr>
          <w:rFonts w:eastAsia="宋体"/>
          <w:sz w:val="21"/>
        </w:rPr>
        <w:t>（5）法律法规规定作无效标处理的其它情形。</w:t>
      </w:r>
      <w:bookmarkEnd w:id="132"/>
      <w:bookmarkEnd w:id="133"/>
      <w:bookmarkEnd w:id="134"/>
      <w:bookmarkStart w:id="135" w:name="_Toc169487816"/>
      <w:bookmarkStart w:id="136" w:name="_Toc500208498"/>
    </w:p>
    <w:bookmarkEnd w:id="135"/>
    <w:p>
      <w:pPr>
        <w:pStyle w:val="4"/>
        <w:numPr>
          <w:ilvl w:val="0"/>
          <w:numId w:val="0"/>
        </w:numPr>
        <w:spacing w:line="360" w:lineRule="auto"/>
        <w:ind w:leftChars="0" w:firstLine="422" w:firstLineChars="200"/>
      </w:pPr>
      <w:bookmarkStart w:id="137" w:name="_Toc169487817"/>
      <w:bookmarkStart w:id="138" w:name="_Toc155342569"/>
      <w:r>
        <w:rPr>
          <w:rFonts w:hint="eastAsia"/>
          <w:lang w:val="en-US" w:eastAsia="zh-CN"/>
        </w:rPr>
        <w:t>34..</w:t>
      </w:r>
      <w:r>
        <w:t>中标通知书</w:t>
      </w:r>
    </w:p>
    <w:p>
      <w:pPr>
        <w:pStyle w:val="7"/>
        <w:numPr>
          <w:ilvl w:val="0"/>
          <w:numId w:val="0"/>
        </w:numPr>
        <w:spacing w:line="360" w:lineRule="auto"/>
        <w:ind w:leftChars="0" w:firstLine="420" w:firstLineChars="200"/>
        <w:rPr>
          <w:rFonts w:ascii="Times New Roman" w:hAnsi="Times New Roman"/>
          <w:color w:val="000000"/>
          <w:szCs w:val="32"/>
        </w:rPr>
      </w:pPr>
      <w:r>
        <w:rPr>
          <w:rFonts w:hint="eastAsia" w:ascii="Times New Roman" w:hAnsi="Times New Roman"/>
          <w:color w:val="000000"/>
          <w:szCs w:val="32"/>
          <w:lang w:val="en-US" w:eastAsia="zh-CN"/>
        </w:rPr>
        <w:t>34.1</w:t>
      </w:r>
      <w:r>
        <w:rPr>
          <w:rFonts w:ascii="Times New Roman" w:hAnsi="Times New Roman"/>
          <w:color w:val="000000"/>
          <w:szCs w:val="32"/>
        </w:rPr>
        <w:t>招标人应当确定第一中标候选人为中标人。第一中标候选人放弃中标，或者因不可抗力提出不能履行合同，或者因其他情形造成其资格无效的，本次招标失败，重新组织招标。</w:t>
      </w:r>
    </w:p>
    <w:p>
      <w:pPr>
        <w:pStyle w:val="7"/>
        <w:numPr>
          <w:ilvl w:val="0"/>
          <w:numId w:val="0"/>
        </w:numPr>
        <w:spacing w:line="360" w:lineRule="auto"/>
        <w:ind w:leftChars="0" w:firstLine="420" w:firstLineChars="200"/>
        <w:rPr>
          <w:rFonts w:ascii="Times New Roman" w:hAnsi="Times New Roman"/>
          <w:color w:val="000000"/>
          <w:szCs w:val="32"/>
        </w:rPr>
      </w:pPr>
      <w:r>
        <w:rPr>
          <w:rFonts w:hint="eastAsia" w:ascii="Times New Roman" w:hAnsi="Times New Roman"/>
          <w:color w:val="000000"/>
          <w:szCs w:val="32"/>
          <w:lang w:val="en-US" w:eastAsia="zh-CN"/>
        </w:rPr>
        <w:t>34.2</w:t>
      </w:r>
      <w:r>
        <w:rPr>
          <w:rFonts w:ascii="Times New Roman" w:hAnsi="Times New Roman"/>
          <w:color w:val="000000"/>
          <w:szCs w:val="32"/>
        </w:rPr>
        <w:t>中标人确定后，招标人应当向中标人发出《建设工程中标通知书》。</w:t>
      </w:r>
    </w:p>
    <w:p>
      <w:pPr>
        <w:pStyle w:val="7"/>
        <w:numPr>
          <w:ilvl w:val="0"/>
          <w:numId w:val="0"/>
        </w:numPr>
        <w:spacing w:line="360" w:lineRule="auto"/>
        <w:ind w:leftChars="0" w:firstLine="420" w:firstLineChars="200"/>
        <w:rPr>
          <w:rFonts w:ascii="Times New Roman" w:hAnsi="Times New Roman"/>
          <w:color w:val="000000"/>
          <w:szCs w:val="32"/>
        </w:rPr>
      </w:pPr>
      <w:r>
        <w:rPr>
          <w:rFonts w:hint="eastAsia" w:ascii="Times New Roman" w:hAnsi="Times New Roman"/>
          <w:color w:val="000000"/>
          <w:szCs w:val="32"/>
          <w:lang w:val="en-US" w:eastAsia="zh-CN"/>
        </w:rPr>
        <w:t>34.3</w:t>
      </w:r>
      <w:r>
        <w:rPr>
          <w:rFonts w:ascii="Times New Roman" w:hAnsi="Times New Roman"/>
          <w:color w:val="000000"/>
          <w:szCs w:val="32"/>
        </w:rPr>
        <w:t xml:space="preserve"> 《建设工程中标通知书》对招标人和中标人具有法律约束力。《建设工程中标通知书》发出后，如中标人违反法律法规规定而中标无效的， 应承担相应的法律责任，本次招标失败，应重新组织招标。</w:t>
      </w:r>
    </w:p>
    <w:p>
      <w:pPr>
        <w:pStyle w:val="4"/>
        <w:pageBreakBefore w:val="0"/>
        <w:widowControl w:val="0"/>
        <w:numPr>
          <w:ilvl w:val="0"/>
          <w:numId w:val="0"/>
        </w:numPr>
        <w:kinsoku/>
        <w:wordWrap/>
        <w:overflowPunct/>
        <w:topLinePunct w:val="0"/>
        <w:autoSpaceDE/>
        <w:autoSpaceDN/>
        <w:bidi w:val="0"/>
        <w:adjustRightInd/>
        <w:snapToGrid/>
        <w:spacing w:before="0" w:line="360" w:lineRule="auto"/>
        <w:ind w:left="573" w:leftChars="0" w:right="0" w:rightChars="0"/>
        <w:textAlignment w:val="auto"/>
      </w:pPr>
      <w:r>
        <w:rPr>
          <w:rFonts w:hint="eastAsia" w:ascii="Times New Roman" w:hAnsi="Times New Roman"/>
          <w:color w:val="auto"/>
          <w:lang w:val="en-US" w:eastAsia="zh-CN"/>
        </w:rPr>
        <w:t>35.</w:t>
      </w:r>
      <w:r>
        <w:rPr>
          <w:rFonts w:ascii="Times New Roman" w:hAnsi="Times New Roman"/>
          <w:color w:val="auto"/>
        </w:rPr>
        <w:t>合同签订</w:t>
      </w:r>
      <w:bookmarkEnd w:id="137"/>
      <w:bookmarkEnd w:id="138"/>
    </w:p>
    <w:p>
      <w:pPr>
        <w:pStyle w:val="7"/>
        <w:pageBreakBefore w:val="0"/>
        <w:widowControl w:val="0"/>
        <w:tabs>
          <w:tab w:val="clear" w:pos="574"/>
        </w:tabs>
        <w:kinsoku/>
        <w:wordWrap/>
        <w:overflowPunct/>
        <w:topLinePunct w:val="0"/>
        <w:autoSpaceDE/>
        <w:autoSpaceDN/>
        <w:bidi w:val="0"/>
        <w:adjustRightInd/>
        <w:snapToGrid/>
        <w:spacing w:line="360" w:lineRule="auto"/>
        <w:ind w:right="0" w:rightChars="0" w:firstLine="420" w:firstLineChars="200"/>
        <w:textAlignment w:val="auto"/>
        <w:rPr>
          <w:rFonts w:hint="eastAsia"/>
          <w:szCs w:val="32"/>
        </w:rPr>
      </w:pPr>
      <w:r>
        <w:rPr>
          <w:rFonts w:hint="eastAsia"/>
          <w:szCs w:val="32"/>
          <w:lang w:val="en-US" w:eastAsia="zh-CN"/>
        </w:rPr>
        <w:t>35.1</w:t>
      </w:r>
      <w:r>
        <w:rPr>
          <w:rFonts w:hint="eastAsia"/>
          <w:szCs w:val="32"/>
        </w:rPr>
        <w:t>自《建设工程中标通知书》发出之日起30日内，招标人应当与中标人按照本招标文件和中标人的投标文件订立书面合同。招标人与中标人不得再行订立背离合同实质性内容的其他协议。</w:t>
      </w:r>
    </w:p>
    <w:p>
      <w:pPr>
        <w:pStyle w:val="7"/>
        <w:pageBreakBefore w:val="0"/>
        <w:widowControl w:val="0"/>
        <w:tabs>
          <w:tab w:val="clear" w:pos="574"/>
        </w:tabs>
        <w:kinsoku/>
        <w:wordWrap/>
        <w:overflowPunct/>
        <w:topLinePunct w:val="0"/>
        <w:autoSpaceDE/>
        <w:autoSpaceDN/>
        <w:bidi w:val="0"/>
        <w:adjustRightInd/>
        <w:snapToGrid/>
        <w:spacing w:line="360" w:lineRule="auto"/>
        <w:ind w:right="0" w:rightChars="0" w:firstLine="420" w:firstLineChars="200"/>
        <w:textAlignment w:val="auto"/>
        <w:rPr>
          <w:rFonts w:hint="eastAsia"/>
          <w:szCs w:val="32"/>
        </w:rPr>
      </w:pPr>
      <w:r>
        <w:rPr>
          <w:rFonts w:hint="eastAsia"/>
          <w:szCs w:val="32"/>
          <w:lang w:val="en-US" w:eastAsia="zh-CN"/>
        </w:rPr>
        <w:t>35.2</w:t>
      </w:r>
      <w:r>
        <w:rPr>
          <w:rFonts w:hint="eastAsia"/>
          <w:szCs w:val="32"/>
        </w:rPr>
        <w:t>招标人与中标人须根据国家、省、市建设工程施工合同管理的规定及招标文件、投标文件，草签施工合同，待合同管理部门审查后正式签订。</w:t>
      </w:r>
    </w:p>
    <w:p>
      <w:pPr>
        <w:pStyle w:val="7"/>
        <w:pageBreakBefore w:val="0"/>
        <w:widowControl w:val="0"/>
        <w:tabs>
          <w:tab w:val="clear" w:pos="574"/>
        </w:tabs>
        <w:kinsoku/>
        <w:wordWrap/>
        <w:overflowPunct/>
        <w:topLinePunct w:val="0"/>
        <w:autoSpaceDE/>
        <w:autoSpaceDN/>
        <w:bidi w:val="0"/>
        <w:adjustRightInd/>
        <w:snapToGrid/>
        <w:spacing w:line="360" w:lineRule="auto"/>
        <w:ind w:right="0" w:rightChars="0" w:firstLine="420" w:firstLineChars="200"/>
        <w:textAlignment w:val="auto"/>
        <w:rPr>
          <w:rFonts w:hint="eastAsia"/>
          <w:szCs w:val="32"/>
        </w:rPr>
      </w:pPr>
      <w:r>
        <w:rPr>
          <w:rFonts w:hint="eastAsia"/>
          <w:szCs w:val="32"/>
        </w:rPr>
        <w:t>招标人与中标人应当按照《关于在我市工程建设领域推行廉政合同的通知》（台纪[2001]19号）的要求签订《廉政合同》。</w:t>
      </w:r>
      <w:bookmarkEnd w:id="136"/>
    </w:p>
    <w:p>
      <w:pPr>
        <w:pStyle w:val="4"/>
        <w:pageBreakBefore w:val="0"/>
        <w:widowControl w:val="0"/>
        <w:numPr>
          <w:ilvl w:val="0"/>
          <w:numId w:val="0"/>
        </w:numPr>
        <w:kinsoku/>
        <w:wordWrap/>
        <w:overflowPunct/>
        <w:topLinePunct w:val="0"/>
        <w:autoSpaceDE/>
        <w:autoSpaceDN/>
        <w:bidi w:val="0"/>
        <w:adjustRightInd/>
        <w:snapToGrid/>
        <w:spacing w:before="0" w:line="360" w:lineRule="auto"/>
        <w:ind w:left="573" w:leftChars="0" w:right="0" w:rightChars="0"/>
        <w:textAlignment w:val="auto"/>
        <w:rPr>
          <w:rFonts w:ascii="Times New Roman" w:hAnsi="Times New Roman"/>
          <w:color w:val="auto"/>
        </w:rPr>
      </w:pPr>
      <w:r>
        <w:rPr>
          <w:rFonts w:hint="eastAsia" w:ascii="Times New Roman" w:hAnsi="Times New Roman"/>
          <w:color w:val="auto"/>
          <w:lang w:val="en-US" w:eastAsia="zh-CN"/>
        </w:rPr>
        <w:t>36.</w:t>
      </w:r>
      <w:r>
        <w:rPr>
          <w:rFonts w:ascii="Times New Roman" w:hAnsi="Times New Roman"/>
          <w:color w:val="auto"/>
        </w:rPr>
        <w:t>重新招标和不再招标</w:t>
      </w:r>
    </w:p>
    <w:p>
      <w:pPr>
        <w:pStyle w:val="7"/>
        <w:pageBreakBefore w:val="0"/>
        <w:widowControl w:val="0"/>
        <w:numPr>
          <w:ilvl w:val="0"/>
          <w:numId w:val="0"/>
        </w:numPr>
        <w:kinsoku/>
        <w:wordWrap/>
        <w:overflowPunct/>
        <w:topLinePunct w:val="0"/>
        <w:autoSpaceDE/>
        <w:autoSpaceDN/>
        <w:bidi w:val="0"/>
        <w:adjustRightInd/>
        <w:snapToGrid/>
        <w:spacing w:line="360" w:lineRule="auto"/>
        <w:ind w:leftChars="200" w:right="0" w:rightChars="0"/>
        <w:textAlignment w:val="auto"/>
        <w:rPr>
          <w:rFonts w:ascii="Times New Roman" w:hAnsi="Times New Roman"/>
          <w:szCs w:val="32"/>
        </w:rPr>
      </w:pPr>
      <w:r>
        <w:rPr>
          <w:rFonts w:hint="eastAsia" w:ascii="Times New Roman" w:hAnsi="Times New Roman"/>
          <w:szCs w:val="32"/>
          <w:lang w:val="en-US" w:eastAsia="zh-CN"/>
        </w:rPr>
        <w:t>36.1</w:t>
      </w:r>
      <w:r>
        <w:rPr>
          <w:rFonts w:ascii="Times New Roman" w:hAnsi="Times New Roman"/>
          <w:szCs w:val="32"/>
        </w:rPr>
        <w:t>重新招标</w:t>
      </w:r>
    </w:p>
    <w:p>
      <w:pPr>
        <w:pStyle w:val="7"/>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ascii="Times New Roman" w:hAnsi="Times New Roman"/>
          <w:szCs w:val="32"/>
        </w:rPr>
      </w:pPr>
      <w:r>
        <w:rPr>
          <w:rFonts w:ascii="Times New Roman" w:hAnsi="Times New Roman"/>
          <w:szCs w:val="32"/>
        </w:rPr>
        <w:t>有下列情形之一的，招标人将重新招标：</w:t>
      </w:r>
    </w:p>
    <w:p>
      <w:pPr>
        <w:pStyle w:val="7"/>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ascii="Times New Roman" w:hAnsi="Times New Roman"/>
          <w:szCs w:val="32"/>
        </w:rPr>
      </w:pPr>
      <w:r>
        <w:rPr>
          <w:rFonts w:ascii="Times New Roman" w:hAnsi="Times New Roman"/>
          <w:szCs w:val="32"/>
        </w:rPr>
        <w:t>（1）投标截止时间止，投标人少于3个的；</w:t>
      </w:r>
    </w:p>
    <w:p>
      <w:pPr>
        <w:pStyle w:val="7"/>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ascii="Times New Roman" w:hAnsi="Times New Roman"/>
          <w:szCs w:val="32"/>
        </w:rPr>
      </w:pPr>
      <w:r>
        <w:rPr>
          <w:rFonts w:ascii="Times New Roman" w:hAnsi="Times New Roman"/>
          <w:szCs w:val="32"/>
        </w:rPr>
        <w:t>（2）经评标委员会评审后否决所有投标的。</w:t>
      </w:r>
    </w:p>
    <w:p>
      <w:pPr>
        <w:pStyle w:val="7"/>
        <w:pageBreakBefore w:val="0"/>
        <w:widowControl w:val="0"/>
        <w:numPr>
          <w:ilvl w:val="0"/>
          <w:numId w:val="0"/>
        </w:numPr>
        <w:kinsoku/>
        <w:wordWrap/>
        <w:overflowPunct/>
        <w:topLinePunct w:val="0"/>
        <w:autoSpaceDE/>
        <w:autoSpaceDN/>
        <w:bidi w:val="0"/>
        <w:adjustRightInd/>
        <w:snapToGrid/>
        <w:spacing w:line="360" w:lineRule="auto"/>
        <w:ind w:leftChars="200" w:right="0" w:rightChars="0"/>
        <w:textAlignment w:val="auto"/>
        <w:rPr>
          <w:rFonts w:ascii="Times New Roman" w:hAnsi="Times New Roman"/>
          <w:szCs w:val="32"/>
        </w:rPr>
      </w:pPr>
      <w:r>
        <w:rPr>
          <w:rFonts w:hint="eastAsia" w:ascii="Times New Roman" w:hAnsi="Times New Roman"/>
          <w:szCs w:val="32"/>
          <w:lang w:val="en-US" w:eastAsia="zh-CN"/>
        </w:rPr>
        <w:t>36.2</w:t>
      </w:r>
      <w:r>
        <w:rPr>
          <w:rFonts w:ascii="Times New Roman" w:hAnsi="Times New Roman"/>
          <w:szCs w:val="32"/>
        </w:rPr>
        <w:t>不再招标</w:t>
      </w:r>
    </w:p>
    <w:p>
      <w:pPr>
        <w:pStyle w:val="7"/>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ascii="Times New Roman" w:hAnsi="Times New Roman"/>
          <w:szCs w:val="32"/>
        </w:rPr>
      </w:pPr>
      <w:r>
        <w:rPr>
          <w:rFonts w:ascii="Times New Roman" w:hAnsi="Times New Roman"/>
          <w:szCs w:val="32"/>
        </w:rPr>
        <w:t>重新招标后投标人仍少于3个的，报经有关行政监督部门批准后可以不再进行招标。</w:t>
      </w:r>
    </w:p>
    <w:p>
      <w:pPr>
        <w:pStyle w:val="3"/>
        <w:pageBreakBefore w:val="0"/>
        <w:widowControl w:val="0"/>
        <w:tabs>
          <w:tab w:val="clear" w:pos="2159"/>
        </w:tabs>
        <w:kinsoku/>
        <w:wordWrap/>
        <w:overflowPunct/>
        <w:topLinePunct w:val="0"/>
        <w:autoSpaceDE/>
        <w:autoSpaceDN/>
        <w:bidi w:val="0"/>
        <w:adjustRightInd/>
        <w:snapToGrid/>
        <w:spacing w:before="0" w:after="120" w:afterLines="0" w:line="360" w:lineRule="auto"/>
        <w:ind w:left="2160" w:right="0" w:rightChars="0" w:hanging="1321"/>
        <w:textAlignment w:val="auto"/>
        <w:rPr>
          <w:rFonts w:ascii="Times New Roman" w:hAnsi="Times New Roman" w:cs="Times New Roman"/>
        </w:rPr>
      </w:pPr>
      <w:bookmarkStart w:id="139" w:name="_Toc6908"/>
      <w:r>
        <w:rPr>
          <w:rFonts w:ascii="Times New Roman" w:hAnsi="Times New Roman" w:cs="Times New Roman"/>
        </w:rPr>
        <w:t>纪律和监督</w:t>
      </w:r>
      <w:bookmarkEnd w:id="139"/>
    </w:p>
    <w:p>
      <w:pPr>
        <w:pStyle w:val="4"/>
        <w:pageBreakBefore w:val="0"/>
        <w:widowControl w:val="0"/>
        <w:numPr>
          <w:ilvl w:val="0"/>
          <w:numId w:val="0"/>
        </w:numPr>
        <w:kinsoku/>
        <w:wordWrap/>
        <w:overflowPunct/>
        <w:topLinePunct w:val="0"/>
        <w:autoSpaceDE/>
        <w:autoSpaceDN/>
        <w:bidi w:val="0"/>
        <w:adjustRightInd/>
        <w:snapToGrid/>
        <w:spacing w:before="0" w:line="360" w:lineRule="auto"/>
        <w:ind w:left="573" w:leftChars="0" w:right="0" w:rightChars="0"/>
        <w:textAlignment w:val="auto"/>
        <w:rPr>
          <w:rFonts w:ascii="Times New Roman" w:hAnsi="Times New Roman"/>
          <w:color w:val="auto"/>
        </w:rPr>
      </w:pPr>
      <w:r>
        <w:rPr>
          <w:rFonts w:hint="eastAsia" w:ascii="Times New Roman" w:hAnsi="Times New Roman"/>
          <w:color w:val="auto"/>
          <w:lang w:val="en-US" w:eastAsia="zh-CN"/>
        </w:rPr>
        <w:t>38.</w:t>
      </w:r>
      <w:r>
        <w:rPr>
          <w:rFonts w:ascii="Times New Roman" w:hAnsi="Times New Roman"/>
          <w:color w:val="auto"/>
        </w:rPr>
        <w:t>对招标人的纪律要求</w:t>
      </w:r>
    </w:p>
    <w:p>
      <w:pPr>
        <w:pStyle w:val="7"/>
        <w:pageBreakBefore w:val="0"/>
        <w:widowControl w:val="0"/>
        <w:numPr>
          <w:ilvl w:val="0"/>
          <w:numId w:val="0"/>
        </w:numPr>
        <w:kinsoku/>
        <w:wordWrap/>
        <w:overflowPunct/>
        <w:topLinePunct w:val="0"/>
        <w:autoSpaceDE/>
        <w:autoSpaceDN/>
        <w:bidi w:val="0"/>
        <w:adjustRightInd/>
        <w:snapToGrid/>
        <w:spacing w:line="360" w:lineRule="auto"/>
        <w:ind w:leftChars="200" w:right="0" w:rightChars="0"/>
        <w:textAlignment w:val="auto"/>
        <w:rPr>
          <w:rFonts w:ascii="Times New Roman" w:hAnsi="Times New Roman"/>
          <w:szCs w:val="32"/>
        </w:rPr>
      </w:pPr>
      <w:r>
        <w:rPr>
          <w:rFonts w:hint="eastAsia" w:ascii="Times New Roman" w:hAnsi="Times New Roman"/>
          <w:szCs w:val="32"/>
          <w:lang w:val="en-US" w:eastAsia="zh-CN"/>
        </w:rPr>
        <w:t>38.1</w:t>
      </w:r>
      <w:r>
        <w:rPr>
          <w:rFonts w:ascii="Times New Roman" w:hAnsi="Times New Roman"/>
          <w:szCs w:val="32"/>
        </w:rPr>
        <w:t>招标人不得泄漏招标投标活动中应当保密的情况和资料，不得与投标人串通损害国家利益、社会公共利益或者他人合法权益。</w:t>
      </w:r>
    </w:p>
    <w:p>
      <w:pPr>
        <w:pStyle w:val="4"/>
        <w:pageBreakBefore w:val="0"/>
        <w:widowControl w:val="0"/>
        <w:numPr>
          <w:ilvl w:val="0"/>
          <w:numId w:val="0"/>
        </w:numPr>
        <w:kinsoku/>
        <w:wordWrap/>
        <w:overflowPunct/>
        <w:topLinePunct w:val="0"/>
        <w:autoSpaceDE/>
        <w:autoSpaceDN/>
        <w:bidi w:val="0"/>
        <w:adjustRightInd/>
        <w:snapToGrid/>
        <w:spacing w:before="0" w:line="360" w:lineRule="auto"/>
        <w:ind w:left="573" w:leftChars="0" w:right="0" w:rightChars="0"/>
        <w:textAlignment w:val="auto"/>
        <w:rPr>
          <w:rFonts w:ascii="Times New Roman" w:hAnsi="Times New Roman"/>
          <w:color w:val="auto"/>
        </w:rPr>
      </w:pPr>
      <w:r>
        <w:rPr>
          <w:rFonts w:hint="eastAsia" w:ascii="Times New Roman" w:hAnsi="Times New Roman"/>
          <w:color w:val="auto"/>
          <w:lang w:val="en-US" w:eastAsia="zh-CN"/>
        </w:rPr>
        <w:t>39.</w:t>
      </w:r>
      <w:r>
        <w:rPr>
          <w:rFonts w:ascii="Times New Roman" w:hAnsi="Times New Roman"/>
          <w:color w:val="auto"/>
        </w:rPr>
        <w:t>对投标人的纪律要求</w:t>
      </w:r>
    </w:p>
    <w:p>
      <w:pPr>
        <w:pStyle w:val="7"/>
        <w:pageBreakBefore w:val="0"/>
        <w:widowControl w:val="0"/>
        <w:numPr>
          <w:ilvl w:val="0"/>
          <w:numId w:val="0"/>
        </w:numPr>
        <w:kinsoku/>
        <w:wordWrap/>
        <w:overflowPunct/>
        <w:topLinePunct w:val="0"/>
        <w:autoSpaceDE/>
        <w:autoSpaceDN/>
        <w:bidi w:val="0"/>
        <w:adjustRightInd/>
        <w:snapToGrid/>
        <w:spacing w:line="360" w:lineRule="auto"/>
        <w:ind w:leftChars="200" w:right="0" w:rightChars="0"/>
        <w:textAlignment w:val="auto"/>
        <w:rPr>
          <w:rFonts w:ascii="Times New Roman" w:hAnsi="Times New Roman"/>
          <w:szCs w:val="32"/>
        </w:rPr>
      </w:pPr>
      <w:r>
        <w:rPr>
          <w:rFonts w:hint="eastAsia" w:ascii="Times New Roman" w:hAnsi="Times New Roman"/>
          <w:szCs w:val="32"/>
          <w:lang w:val="en-US" w:eastAsia="zh-CN"/>
        </w:rPr>
        <w:t>39.1</w:t>
      </w:r>
      <w:r>
        <w:rPr>
          <w:rFonts w:ascii="Times New Roman" w:hAnsi="Times New Roman"/>
          <w:szCs w:val="32"/>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4"/>
        <w:pageBreakBefore w:val="0"/>
        <w:widowControl w:val="0"/>
        <w:numPr>
          <w:ilvl w:val="0"/>
          <w:numId w:val="0"/>
        </w:numPr>
        <w:kinsoku/>
        <w:wordWrap/>
        <w:overflowPunct/>
        <w:topLinePunct w:val="0"/>
        <w:autoSpaceDE/>
        <w:autoSpaceDN/>
        <w:bidi w:val="0"/>
        <w:adjustRightInd/>
        <w:snapToGrid/>
        <w:spacing w:before="0" w:line="360" w:lineRule="auto"/>
        <w:ind w:left="573" w:leftChars="0" w:right="0" w:rightChars="0"/>
        <w:textAlignment w:val="auto"/>
        <w:rPr>
          <w:rFonts w:ascii="Times New Roman" w:hAnsi="Times New Roman"/>
          <w:color w:val="auto"/>
        </w:rPr>
      </w:pPr>
      <w:r>
        <w:rPr>
          <w:rFonts w:hint="eastAsia" w:ascii="Times New Roman" w:hAnsi="Times New Roman"/>
          <w:color w:val="auto"/>
          <w:lang w:val="en-US" w:eastAsia="zh-CN"/>
        </w:rPr>
        <w:t>40.</w:t>
      </w:r>
      <w:r>
        <w:rPr>
          <w:rFonts w:ascii="Times New Roman" w:hAnsi="Times New Roman"/>
          <w:color w:val="auto"/>
        </w:rPr>
        <w:t>对评标委员会成员的纪律要求</w:t>
      </w:r>
    </w:p>
    <w:p>
      <w:pPr>
        <w:pStyle w:val="7"/>
        <w:pageBreakBefore w:val="0"/>
        <w:widowControl w:val="0"/>
        <w:numPr>
          <w:ilvl w:val="0"/>
          <w:numId w:val="0"/>
        </w:numPr>
        <w:kinsoku/>
        <w:wordWrap/>
        <w:overflowPunct/>
        <w:topLinePunct w:val="0"/>
        <w:autoSpaceDE/>
        <w:autoSpaceDN/>
        <w:bidi w:val="0"/>
        <w:adjustRightInd/>
        <w:snapToGrid/>
        <w:spacing w:line="360" w:lineRule="auto"/>
        <w:ind w:leftChars="200" w:right="0" w:rightChars="0"/>
        <w:textAlignment w:val="auto"/>
        <w:rPr>
          <w:rFonts w:ascii="Times New Roman" w:hAnsi="Times New Roman"/>
          <w:szCs w:val="32"/>
        </w:rPr>
      </w:pPr>
      <w:r>
        <w:rPr>
          <w:rFonts w:hint="eastAsia" w:ascii="Times New Roman" w:hAnsi="Times New Roman"/>
          <w:szCs w:val="32"/>
          <w:lang w:val="en-US" w:eastAsia="zh-CN"/>
        </w:rPr>
        <w:t>40.1</w:t>
      </w:r>
      <w:r>
        <w:rPr>
          <w:rFonts w:ascii="Times New Roman" w:hAnsi="Times New Roman"/>
          <w:szCs w:val="32"/>
        </w:rPr>
        <w:t>评标委员会成员不得收受他人的财物或者其他好处，不得向他人透漏对投标文件的评审和比较中标候选人的推荐情况以及评标有关的其他情况。在评标活动中，评标委员会成员不得擅离职守，影响评标程序正常进行。</w:t>
      </w:r>
    </w:p>
    <w:p>
      <w:pPr>
        <w:pStyle w:val="4"/>
        <w:pageBreakBefore w:val="0"/>
        <w:widowControl w:val="0"/>
        <w:numPr>
          <w:ilvl w:val="0"/>
          <w:numId w:val="0"/>
        </w:numPr>
        <w:kinsoku/>
        <w:wordWrap/>
        <w:overflowPunct/>
        <w:topLinePunct w:val="0"/>
        <w:autoSpaceDE/>
        <w:autoSpaceDN/>
        <w:bidi w:val="0"/>
        <w:adjustRightInd/>
        <w:snapToGrid/>
        <w:spacing w:before="0" w:line="360" w:lineRule="auto"/>
        <w:ind w:left="573" w:leftChars="0" w:right="0" w:rightChars="0"/>
        <w:textAlignment w:val="auto"/>
        <w:rPr>
          <w:rFonts w:ascii="Times New Roman" w:hAnsi="Times New Roman"/>
          <w:color w:val="auto"/>
        </w:rPr>
      </w:pPr>
      <w:r>
        <w:rPr>
          <w:rFonts w:hint="eastAsia" w:ascii="Times New Roman" w:hAnsi="Times New Roman"/>
          <w:color w:val="auto"/>
          <w:lang w:val="en-US" w:eastAsia="zh-CN"/>
        </w:rPr>
        <w:t>41.</w:t>
      </w:r>
      <w:r>
        <w:rPr>
          <w:rFonts w:ascii="Times New Roman" w:hAnsi="Times New Roman"/>
          <w:color w:val="auto"/>
        </w:rPr>
        <w:t>对与评标活动有关的工作人员的纪律要求</w:t>
      </w:r>
    </w:p>
    <w:p>
      <w:pPr>
        <w:pStyle w:val="7"/>
        <w:pageBreakBefore w:val="0"/>
        <w:widowControl w:val="0"/>
        <w:numPr>
          <w:ilvl w:val="0"/>
          <w:numId w:val="0"/>
        </w:numPr>
        <w:kinsoku/>
        <w:wordWrap/>
        <w:overflowPunct/>
        <w:topLinePunct w:val="0"/>
        <w:autoSpaceDE/>
        <w:autoSpaceDN/>
        <w:bidi w:val="0"/>
        <w:adjustRightInd/>
        <w:snapToGrid/>
        <w:spacing w:line="360" w:lineRule="auto"/>
        <w:ind w:leftChars="200" w:right="0" w:rightChars="0"/>
        <w:textAlignment w:val="auto"/>
        <w:rPr>
          <w:rFonts w:ascii="Times New Roman" w:hAnsi="Times New Roman"/>
          <w:szCs w:val="32"/>
        </w:rPr>
      </w:pPr>
      <w:r>
        <w:rPr>
          <w:rFonts w:hint="eastAsia" w:ascii="Times New Roman" w:hAnsi="Times New Roman"/>
          <w:szCs w:val="32"/>
          <w:lang w:val="en-US" w:eastAsia="zh-CN"/>
        </w:rPr>
        <w:t>41.1</w:t>
      </w:r>
      <w:r>
        <w:rPr>
          <w:rFonts w:ascii="Times New Roman" w:hAnsi="Times New Roman"/>
          <w:szCs w:val="32"/>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pStyle w:val="4"/>
        <w:pageBreakBefore w:val="0"/>
        <w:widowControl w:val="0"/>
        <w:numPr>
          <w:ilvl w:val="0"/>
          <w:numId w:val="0"/>
        </w:numPr>
        <w:kinsoku/>
        <w:wordWrap/>
        <w:overflowPunct/>
        <w:topLinePunct w:val="0"/>
        <w:autoSpaceDE/>
        <w:autoSpaceDN/>
        <w:bidi w:val="0"/>
        <w:adjustRightInd/>
        <w:snapToGrid/>
        <w:spacing w:before="0" w:line="360" w:lineRule="auto"/>
        <w:ind w:left="573" w:leftChars="0" w:right="0" w:rightChars="0"/>
        <w:textAlignment w:val="auto"/>
        <w:rPr>
          <w:rFonts w:ascii="Times New Roman" w:hAnsi="Times New Roman"/>
          <w:color w:val="auto"/>
        </w:rPr>
      </w:pPr>
      <w:r>
        <w:rPr>
          <w:rFonts w:hint="eastAsia" w:ascii="Times New Roman" w:hAnsi="Times New Roman"/>
          <w:color w:val="auto"/>
          <w:lang w:val="en-US" w:eastAsia="zh-CN"/>
        </w:rPr>
        <w:t>42.</w:t>
      </w:r>
      <w:r>
        <w:rPr>
          <w:rFonts w:ascii="Times New Roman" w:hAnsi="Times New Roman"/>
          <w:color w:val="auto"/>
        </w:rPr>
        <w:t>投诉</w:t>
      </w:r>
    </w:p>
    <w:p>
      <w:pPr>
        <w:pStyle w:val="7"/>
        <w:pageBreakBefore w:val="0"/>
        <w:widowControl w:val="0"/>
        <w:numPr>
          <w:ilvl w:val="0"/>
          <w:numId w:val="0"/>
        </w:numPr>
        <w:kinsoku/>
        <w:wordWrap/>
        <w:overflowPunct/>
        <w:topLinePunct w:val="0"/>
        <w:autoSpaceDE/>
        <w:autoSpaceDN/>
        <w:bidi w:val="0"/>
        <w:adjustRightInd/>
        <w:snapToGrid/>
        <w:spacing w:line="360" w:lineRule="auto"/>
        <w:ind w:leftChars="200" w:right="0" w:rightChars="0"/>
        <w:textAlignment w:val="auto"/>
        <w:rPr>
          <w:rFonts w:ascii="Times New Roman" w:hAnsi="Times New Roman"/>
          <w:szCs w:val="32"/>
        </w:rPr>
        <w:sectPr>
          <w:footnotePr>
            <w:numRestart w:val="eachPage"/>
          </w:footnotePr>
          <w:endnotePr>
            <w:numRestart w:val="eachSect"/>
          </w:endnotePr>
          <w:pgSz w:w="11907" w:h="16840"/>
          <w:pgMar w:top="1440" w:right="1701" w:bottom="1440" w:left="1701" w:header="851" w:footer="851" w:gutter="0"/>
          <w:pgNumType w:fmt="decimal"/>
          <w:cols w:space="720" w:num="1"/>
          <w:docGrid w:linePitch="435" w:charSpace="-6554"/>
        </w:sectPr>
      </w:pPr>
      <w:r>
        <w:rPr>
          <w:rFonts w:hint="eastAsia" w:ascii="Times New Roman" w:hAnsi="Times New Roman"/>
          <w:szCs w:val="32"/>
          <w:lang w:val="en-US" w:eastAsia="zh-CN"/>
        </w:rPr>
        <w:t>42.1</w:t>
      </w:r>
      <w:r>
        <w:rPr>
          <w:rFonts w:ascii="Times New Roman" w:hAnsi="Times New Roman"/>
          <w:szCs w:val="32"/>
        </w:rPr>
        <w:t>投标人和其他利害关系人认为本次招标活动违反法律、法规和规章规定的，有权向有关行政监督部门投诉。</w:t>
      </w:r>
    </w:p>
    <w:bookmarkEnd w:id="52"/>
    <w:bookmarkEnd w:id="53"/>
    <w:p>
      <w:pPr>
        <w:pStyle w:val="2"/>
        <w:rPr>
          <w:rFonts w:ascii="Times New Roman" w:hAnsi="Times New Roman"/>
          <w:color w:val="000000"/>
        </w:rPr>
      </w:pPr>
      <w:bookmarkStart w:id="140" w:name="_Toc21067"/>
      <w:r>
        <w:rPr>
          <w:rFonts w:ascii="Times New Roman" w:hAnsi="Times New Roman"/>
        </w:rPr>
        <w:t>第</w:t>
      </w:r>
      <w:r>
        <w:rPr>
          <w:rFonts w:hint="eastAsia" w:ascii="Times New Roman" w:hAnsi="Times New Roman"/>
          <w:lang w:eastAsia="zh-CN"/>
        </w:rPr>
        <w:t>三</w:t>
      </w:r>
      <w:r>
        <w:rPr>
          <w:rFonts w:ascii="Times New Roman" w:hAnsi="Times New Roman"/>
        </w:rPr>
        <w:t xml:space="preserve">章 </w:t>
      </w:r>
      <w:bookmarkEnd w:id="140"/>
      <w:r>
        <w:rPr>
          <w:rFonts w:ascii="Times New Roman" w:hAnsi="Times New Roman"/>
          <w:color w:val="000000"/>
        </w:rPr>
        <w:t>合同条款</w:t>
      </w:r>
    </w:p>
    <w:p>
      <w:pPr>
        <w:spacing w:line="360" w:lineRule="exact"/>
        <w:ind w:firstLine="420" w:firstLineChars="200"/>
        <w:rPr>
          <w:rFonts w:eastAsia="宋体"/>
          <w:color w:val="000000"/>
          <w:sz w:val="21"/>
        </w:rPr>
      </w:pPr>
      <w:bookmarkStart w:id="141" w:name="_Toc103956897"/>
    </w:p>
    <w:p>
      <w:pPr>
        <w:spacing w:line="360" w:lineRule="auto"/>
        <w:jc w:val="center"/>
        <w:rPr>
          <w:rFonts w:eastAsia="宋体"/>
          <w:b/>
          <w:sz w:val="28"/>
          <w:szCs w:val="28"/>
        </w:rPr>
      </w:pPr>
      <w:r>
        <w:rPr>
          <w:rFonts w:eastAsia="宋体"/>
          <w:b/>
          <w:sz w:val="28"/>
          <w:szCs w:val="28"/>
        </w:rPr>
        <w:t>绿化养护承包合同书</w:t>
      </w:r>
    </w:p>
    <w:p>
      <w:pPr>
        <w:pStyle w:val="6"/>
        <w:spacing w:line="400" w:lineRule="exact"/>
        <w:ind w:firstLine="420" w:firstLineChars="200"/>
        <w:jc w:val="left"/>
        <w:rPr>
          <w:szCs w:val="21"/>
        </w:rPr>
      </w:pPr>
      <w:r>
        <w:rPr>
          <w:szCs w:val="21"/>
        </w:rPr>
        <w:t>发包人：</w:t>
      </w:r>
      <w:r>
        <w:rPr>
          <w:rFonts w:hint="eastAsia" w:ascii="Times New Roman" w:hAnsi="Times New Roman"/>
          <w:szCs w:val="21"/>
          <w:u w:val="single"/>
          <w:lang w:eastAsia="zh-CN"/>
        </w:rPr>
        <w:t>玉环海洋经济开发投资有限公司</w:t>
      </w:r>
      <w:r>
        <w:rPr>
          <w:szCs w:val="21"/>
        </w:rPr>
        <w:t>（以下简称甲方）</w:t>
      </w:r>
    </w:p>
    <w:p>
      <w:pPr>
        <w:spacing w:line="400" w:lineRule="exact"/>
        <w:ind w:firstLine="420" w:firstLineChars="200"/>
        <w:rPr>
          <w:rFonts w:eastAsia="宋体"/>
          <w:sz w:val="21"/>
          <w:szCs w:val="21"/>
        </w:rPr>
      </w:pPr>
      <w:r>
        <w:rPr>
          <w:rFonts w:eastAsia="宋体"/>
          <w:sz w:val="21"/>
          <w:szCs w:val="21"/>
        </w:rPr>
        <w:t xml:space="preserve">承包人: </w:t>
      </w:r>
      <w:r>
        <w:rPr>
          <w:rFonts w:eastAsia="宋体"/>
          <w:sz w:val="21"/>
          <w:szCs w:val="21"/>
          <w:u w:val="single"/>
        </w:rPr>
        <w:t xml:space="preserve">                                   </w:t>
      </w:r>
      <w:r>
        <w:rPr>
          <w:rFonts w:eastAsia="宋体"/>
          <w:sz w:val="21"/>
          <w:szCs w:val="21"/>
        </w:rPr>
        <w:t>（以下简称乙方）</w:t>
      </w:r>
    </w:p>
    <w:p>
      <w:pPr>
        <w:pStyle w:val="8"/>
        <w:spacing w:line="400" w:lineRule="exact"/>
        <w:ind w:firstLine="420" w:firstLineChars="200"/>
        <w:rPr>
          <w:rFonts w:eastAsia="宋体"/>
          <w:sz w:val="21"/>
          <w:szCs w:val="21"/>
        </w:rPr>
      </w:pPr>
      <w:r>
        <w:rPr>
          <w:rFonts w:hint="eastAsia" w:eastAsia="宋体"/>
          <w:sz w:val="21"/>
          <w:szCs w:val="21"/>
        </w:rPr>
        <w:t>按照公开、公平、合理择优的原则，甲方</w:t>
      </w:r>
      <w:r>
        <w:rPr>
          <w:rFonts w:eastAsia="宋体"/>
          <w:sz w:val="21"/>
          <w:szCs w:val="21"/>
        </w:rPr>
        <w:t>201</w:t>
      </w:r>
      <w:r>
        <w:rPr>
          <w:rFonts w:hint="eastAsia" w:eastAsia="宋体"/>
          <w:sz w:val="21"/>
          <w:szCs w:val="21"/>
          <w:lang w:val="en-US" w:eastAsia="zh-CN"/>
        </w:rPr>
        <w:t>8</w:t>
      </w:r>
      <w:r>
        <w:rPr>
          <w:rFonts w:eastAsia="宋体"/>
          <w:sz w:val="21"/>
          <w:szCs w:val="21"/>
        </w:rPr>
        <w:t>年</w:t>
      </w:r>
      <w:r>
        <w:rPr>
          <w:rFonts w:hint="eastAsia" w:eastAsia="宋体"/>
          <w:sz w:val="21"/>
          <w:szCs w:val="21"/>
          <w:lang w:val="en-US" w:eastAsia="zh-CN"/>
        </w:rPr>
        <w:t>9</w:t>
      </w:r>
      <w:r>
        <w:rPr>
          <w:rFonts w:eastAsia="宋体"/>
          <w:sz w:val="21"/>
          <w:szCs w:val="21"/>
        </w:rPr>
        <w:t>月</w:t>
      </w:r>
      <w:r>
        <w:rPr>
          <w:rFonts w:hint="eastAsia" w:eastAsia="宋体"/>
          <w:sz w:val="21"/>
          <w:szCs w:val="21"/>
          <w:lang w:val="en-US" w:eastAsia="zh-CN"/>
        </w:rPr>
        <w:t>29</w:t>
      </w:r>
      <w:r>
        <w:rPr>
          <w:rFonts w:eastAsia="宋体"/>
          <w:sz w:val="21"/>
          <w:szCs w:val="21"/>
        </w:rPr>
        <w:t>日</w:t>
      </w:r>
      <w:r>
        <w:rPr>
          <w:rFonts w:hint="eastAsia" w:eastAsia="宋体"/>
          <w:bCs/>
          <w:sz w:val="21"/>
          <w:szCs w:val="21"/>
          <w:u w:val="single"/>
          <w:lang w:eastAsia="zh-CN"/>
        </w:rPr>
        <w:t xml:space="preserve">玉环海洋经济转型升级示范区绿化养护工程（茶山路、永清路、靖海路等） </w:t>
      </w:r>
      <w:r>
        <w:rPr>
          <w:rFonts w:hint="eastAsia" w:eastAsia="宋体"/>
          <w:sz w:val="21"/>
          <w:szCs w:val="21"/>
        </w:rPr>
        <w:t>进行公开招标，由乙方中标本工程养护</w:t>
      </w:r>
      <w:r>
        <w:rPr>
          <w:rFonts w:eastAsia="宋体"/>
          <w:sz w:val="21"/>
          <w:szCs w:val="21"/>
        </w:rPr>
        <w:t>，现将</w:t>
      </w:r>
      <w:r>
        <w:rPr>
          <w:rFonts w:hint="eastAsia" w:eastAsia="宋体"/>
          <w:bCs/>
          <w:sz w:val="21"/>
          <w:szCs w:val="21"/>
          <w:u w:val="single"/>
          <w:lang w:eastAsia="zh-CN"/>
        </w:rPr>
        <w:t xml:space="preserve">玉环海洋经济转型升级示范区绿化养护工程（茶山路、永清路、靖海路等） </w:t>
      </w:r>
      <w:r>
        <w:rPr>
          <w:rFonts w:eastAsia="宋体"/>
          <w:sz w:val="21"/>
          <w:szCs w:val="21"/>
        </w:rPr>
        <w:t>承包给乙方</w:t>
      </w:r>
      <w:r>
        <w:rPr>
          <w:rFonts w:hint="eastAsia" w:eastAsia="宋体"/>
          <w:sz w:val="21"/>
          <w:szCs w:val="21"/>
        </w:rPr>
        <w:t>绿化养护</w:t>
      </w:r>
      <w:r>
        <w:rPr>
          <w:rFonts w:eastAsia="宋体"/>
          <w:sz w:val="21"/>
          <w:szCs w:val="21"/>
        </w:rPr>
        <w:t>，为明确双方权利与义务，特签订本合同。</w:t>
      </w:r>
    </w:p>
    <w:p>
      <w:pPr>
        <w:numPr>
          <w:ilvl w:val="0"/>
          <w:numId w:val="5"/>
        </w:numPr>
        <w:spacing w:line="400" w:lineRule="exact"/>
        <w:ind w:firstLine="420" w:firstLineChars="200"/>
        <w:rPr>
          <w:rFonts w:hint="eastAsia"/>
          <w:color w:val="auto"/>
          <w:szCs w:val="21"/>
          <w:lang w:val="en-US" w:eastAsia="zh-CN"/>
        </w:rPr>
      </w:pPr>
      <w:r>
        <w:rPr>
          <w:rFonts w:eastAsia="宋体"/>
          <w:bCs/>
          <w:sz w:val="21"/>
          <w:szCs w:val="21"/>
        </w:rPr>
        <w:t>养护地</w:t>
      </w:r>
      <w:r>
        <w:rPr>
          <w:rFonts w:eastAsia="宋体"/>
          <w:sz w:val="21"/>
          <w:szCs w:val="21"/>
        </w:rPr>
        <w:t>点：</w:t>
      </w:r>
      <w:r>
        <w:rPr>
          <w:rFonts w:hint="eastAsia" w:eastAsia="宋体"/>
          <w:sz w:val="21"/>
          <w:szCs w:val="21"/>
        </w:rPr>
        <w:t>本工程位于玉环海洋经济转型升级示范区</w:t>
      </w:r>
      <w:r>
        <w:rPr>
          <w:rFonts w:hint="eastAsia"/>
          <w:color w:val="auto"/>
          <w:szCs w:val="21"/>
          <w:lang w:val="en-US" w:eastAsia="zh-CN"/>
        </w:rPr>
        <w:t>。</w:t>
      </w:r>
    </w:p>
    <w:p>
      <w:pPr>
        <w:numPr>
          <w:ilvl w:val="0"/>
          <w:numId w:val="0"/>
        </w:numPr>
        <w:spacing w:line="400" w:lineRule="exact"/>
        <w:ind w:firstLine="420" w:firstLineChars="200"/>
        <w:rPr>
          <w:rFonts w:eastAsia="宋体"/>
          <w:sz w:val="21"/>
          <w:szCs w:val="21"/>
        </w:rPr>
      </w:pPr>
      <w:r>
        <w:rPr>
          <w:rFonts w:eastAsia="宋体"/>
          <w:color w:val="auto"/>
          <w:sz w:val="21"/>
          <w:szCs w:val="21"/>
        </w:rPr>
        <w:t>二、养护内容：</w:t>
      </w:r>
      <w:r>
        <w:rPr>
          <w:rFonts w:hint="eastAsia" w:eastAsia="宋体"/>
          <w:color w:val="auto"/>
          <w:sz w:val="21"/>
          <w:szCs w:val="21"/>
          <w:u w:val="single"/>
        </w:rPr>
        <w:t>茶山路、靖海路、永清路、扬帆路、岁丰路、时和路、锁澜桥头入口、永清路及茶山路东侧景观绿化带，主要内容为1687株乔木及42185m2（含树池内小苗面积）绿地养护</w:t>
      </w:r>
      <w:r>
        <w:rPr>
          <w:rFonts w:eastAsia="宋体"/>
          <w:sz w:val="21"/>
          <w:szCs w:val="21"/>
          <w:u w:val="single"/>
        </w:rPr>
        <w:t>。</w:t>
      </w:r>
    </w:p>
    <w:p>
      <w:pPr>
        <w:spacing w:line="400" w:lineRule="exact"/>
        <w:ind w:firstLine="420" w:firstLineChars="200"/>
        <w:rPr>
          <w:rFonts w:eastAsia="宋体"/>
          <w:sz w:val="21"/>
          <w:szCs w:val="21"/>
        </w:rPr>
      </w:pPr>
      <w:r>
        <w:rPr>
          <w:rFonts w:eastAsia="宋体"/>
          <w:sz w:val="21"/>
          <w:szCs w:val="21"/>
        </w:rPr>
        <w:t>三、合同总价：</w:t>
      </w:r>
      <w:r>
        <w:rPr>
          <w:rFonts w:hint="eastAsia"/>
          <w:sz w:val="21"/>
          <w:szCs w:val="21"/>
          <w:lang w:eastAsia="zh-CN"/>
        </w:rPr>
        <w:t>大写：</w:t>
      </w:r>
      <w:r>
        <w:rPr>
          <w:rFonts w:eastAsia="宋体"/>
          <w:sz w:val="21"/>
          <w:szCs w:val="21"/>
          <w:u w:val="single"/>
        </w:rPr>
        <w:t xml:space="preserve">              </w:t>
      </w:r>
      <w:r>
        <w:rPr>
          <w:rFonts w:eastAsia="宋体"/>
          <w:sz w:val="21"/>
          <w:szCs w:val="21"/>
        </w:rPr>
        <w:t>元。</w:t>
      </w:r>
    </w:p>
    <w:p>
      <w:pPr>
        <w:spacing w:line="400" w:lineRule="exact"/>
        <w:ind w:firstLine="420" w:firstLineChars="200"/>
        <w:rPr>
          <w:rFonts w:eastAsia="宋体"/>
          <w:sz w:val="21"/>
          <w:szCs w:val="21"/>
        </w:rPr>
      </w:pPr>
      <w:r>
        <w:rPr>
          <w:rFonts w:eastAsia="宋体"/>
          <w:sz w:val="21"/>
          <w:szCs w:val="21"/>
        </w:rPr>
        <w:t>四、</w:t>
      </w:r>
      <w:r>
        <w:rPr>
          <w:rFonts w:eastAsia="宋体"/>
          <w:bCs/>
          <w:sz w:val="21"/>
          <w:szCs w:val="21"/>
        </w:rPr>
        <w:t>养护承包</w:t>
      </w:r>
      <w:r>
        <w:rPr>
          <w:rFonts w:eastAsia="宋体"/>
          <w:sz w:val="21"/>
          <w:szCs w:val="21"/>
        </w:rPr>
        <w:t>期限：201</w:t>
      </w:r>
      <w:r>
        <w:rPr>
          <w:rFonts w:hint="eastAsia"/>
          <w:sz w:val="21"/>
          <w:szCs w:val="21"/>
          <w:lang w:val="en-US" w:eastAsia="zh-CN"/>
        </w:rPr>
        <w:t>8</w:t>
      </w:r>
      <w:r>
        <w:rPr>
          <w:rFonts w:eastAsia="宋体"/>
          <w:sz w:val="21"/>
          <w:szCs w:val="21"/>
        </w:rPr>
        <w:t>年</w:t>
      </w:r>
      <w:r>
        <w:rPr>
          <w:rFonts w:hint="eastAsia"/>
          <w:sz w:val="21"/>
          <w:szCs w:val="21"/>
          <w:lang w:val="en-US" w:eastAsia="zh-CN"/>
        </w:rPr>
        <w:t xml:space="preserve">   </w:t>
      </w:r>
      <w:r>
        <w:rPr>
          <w:rFonts w:eastAsia="宋体"/>
          <w:sz w:val="21"/>
          <w:szCs w:val="21"/>
        </w:rPr>
        <w:t>月</w:t>
      </w:r>
      <w:r>
        <w:rPr>
          <w:rFonts w:hint="eastAsia" w:eastAsia="宋体"/>
          <w:sz w:val="21"/>
          <w:szCs w:val="21"/>
        </w:rPr>
        <w:t xml:space="preserve">  </w:t>
      </w:r>
      <w:r>
        <w:rPr>
          <w:rFonts w:eastAsia="宋体"/>
          <w:sz w:val="21"/>
          <w:szCs w:val="21"/>
        </w:rPr>
        <w:t>日～201</w:t>
      </w:r>
      <w:r>
        <w:rPr>
          <w:rFonts w:hint="eastAsia"/>
          <w:sz w:val="21"/>
          <w:szCs w:val="21"/>
          <w:lang w:val="en-US" w:eastAsia="zh-CN"/>
        </w:rPr>
        <w:t>9</w:t>
      </w:r>
      <w:r>
        <w:rPr>
          <w:rFonts w:eastAsia="宋体"/>
          <w:sz w:val="21"/>
          <w:szCs w:val="21"/>
        </w:rPr>
        <w:t>年</w:t>
      </w:r>
      <w:r>
        <w:rPr>
          <w:rFonts w:hint="eastAsia" w:eastAsia="宋体"/>
          <w:sz w:val="21"/>
          <w:szCs w:val="21"/>
        </w:rPr>
        <w:t xml:space="preserve"> </w:t>
      </w:r>
      <w:r>
        <w:rPr>
          <w:rFonts w:hint="eastAsia"/>
          <w:sz w:val="21"/>
          <w:szCs w:val="21"/>
          <w:lang w:val="en-US" w:eastAsia="zh-CN"/>
        </w:rPr>
        <w:t xml:space="preserve">  </w:t>
      </w:r>
      <w:r>
        <w:rPr>
          <w:rFonts w:eastAsia="宋体"/>
          <w:sz w:val="21"/>
          <w:szCs w:val="21"/>
        </w:rPr>
        <w:t>月</w:t>
      </w:r>
      <w:r>
        <w:rPr>
          <w:rFonts w:hint="eastAsia" w:eastAsia="宋体"/>
          <w:sz w:val="21"/>
          <w:szCs w:val="21"/>
        </w:rPr>
        <w:t xml:space="preserve">  </w:t>
      </w:r>
      <w:r>
        <w:rPr>
          <w:rFonts w:eastAsia="宋体"/>
          <w:sz w:val="21"/>
          <w:szCs w:val="21"/>
        </w:rPr>
        <w:t>日。</w:t>
      </w:r>
    </w:p>
    <w:p>
      <w:pPr>
        <w:spacing w:line="400" w:lineRule="exact"/>
        <w:ind w:firstLine="420" w:firstLineChars="200"/>
        <w:rPr>
          <w:rFonts w:eastAsia="宋体"/>
          <w:sz w:val="21"/>
          <w:szCs w:val="21"/>
        </w:rPr>
      </w:pPr>
      <w:r>
        <w:rPr>
          <w:rFonts w:eastAsia="宋体"/>
          <w:sz w:val="21"/>
          <w:szCs w:val="21"/>
        </w:rPr>
        <w:t>五、</w:t>
      </w:r>
      <w:r>
        <w:rPr>
          <w:rFonts w:eastAsia="宋体"/>
          <w:bCs/>
          <w:sz w:val="21"/>
          <w:szCs w:val="21"/>
        </w:rPr>
        <w:t>养护</w:t>
      </w:r>
      <w:r>
        <w:rPr>
          <w:rFonts w:eastAsia="宋体"/>
          <w:sz w:val="21"/>
          <w:szCs w:val="21"/>
        </w:rPr>
        <w:t>要求：</w:t>
      </w:r>
    </w:p>
    <w:p>
      <w:pPr>
        <w:spacing w:line="400" w:lineRule="exact"/>
        <w:ind w:firstLine="615"/>
        <w:rPr>
          <w:rFonts w:eastAsia="宋体"/>
          <w:sz w:val="21"/>
          <w:szCs w:val="21"/>
        </w:rPr>
      </w:pPr>
      <w:r>
        <w:rPr>
          <w:rFonts w:eastAsia="宋体"/>
          <w:sz w:val="21"/>
          <w:szCs w:val="21"/>
        </w:rPr>
        <w:t>乙方要严格按照《台州市园林绿化养护管理技术规程》规定进行本区域内的园林绿化养护工作，根据《规程》抓好以下几点：</w:t>
      </w:r>
    </w:p>
    <w:p>
      <w:pPr>
        <w:spacing w:line="400" w:lineRule="exact"/>
        <w:ind w:firstLine="615"/>
        <w:rPr>
          <w:rFonts w:hint="eastAsia" w:eastAsia="宋体"/>
          <w:sz w:val="21"/>
          <w:szCs w:val="21"/>
        </w:rPr>
      </w:pPr>
      <w:r>
        <w:rPr>
          <w:rFonts w:eastAsia="宋体"/>
          <w:sz w:val="21"/>
          <w:szCs w:val="21"/>
        </w:rPr>
        <w:t>1、绿地内大树支撑良好，养护到位，成活率高，有较好的保护措施。</w:t>
      </w:r>
    </w:p>
    <w:p>
      <w:pPr>
        <w:spacing w:line="400" w:lineRule="exact"/>
        <w:ind w:firstLine="615"/>
        <w:rPr>
          <w:rFonts w:eastAsia="宋体"/>
          <w:sz w:val="21"/>
          <w:szCs w:val="21"/>
        </w:rPr>
      </w:pPr>
      <w:r>
        <w:rPr>
          <w:rFonts w:eastAsia="宋体"/>
          <w:sz w:val="21"/>
          <w:szCs w:val="21"/>
        </w:rPr>
        <w:t>2、绿地内无死株、无病株、无缺株（大树除外）。植株长势良好，生长健壮，无倾斜和倒地现象（发包人要求的除外）。草坪应保证有较好的纯度和平整度，做到无杂草、无坑洼、无病虫害、无板结、无黄土裸露现象，保证草坪长势良好。</w:t>
      </w:r>
    </w:p>
    <w:p>
      <w:pPr>
        <w:spacing w:line="400" w:lineRule="exact"/>
        <w:ind w:firstLine="615"/>
        <w:rPr>
          <w:rFonts w:hint="eastAsia" w:eastAsia="宋体"/>
          <w:sz w:val="21"/>
          <w:szCs w:val="21"/>
        </w:rPr>
      </w:pPr>
      <w:r>
        <w:rPr>
          <w:rFonts w:eastAsia="宋体"/>
          <w:sz w:val="21"/>
          <w:szCs w:val="21"/>
        </w:rPr>
        <w:t>3、本次承包期间年施肥不小于3次（肥料须为高效、低毒、低残留），其中施越冬肥一次（林地一年2次）。根据苗木品种等实际情况有针对性地选择肥料种类，保证植株生长发育的良好势头，对于草坪应根据长势喷施叶面肥。</w:t>
      </w:r>
    </w:p>
    <w:p>
      <w:pPr>
        <w:spacing w:line="400" w:lineRule="exact"/>
        <w:ind w:firstLine="615"/>
        <w:rPr>
          <w:rFonts w:hint="eastAsia" w:eastAsia="宋体"/>
          <w:b/>
          <w:color w:val="C0504D"/>
          <w:sz w:val="21"/>
          <w:szCs w:val="21"/>
        </w:rPr>
      </w:pPr>
      <w:r>
        <w:rPr>
          <w:rFonts w:hint="eastAsia" w:eastAsia="宋体"/>
          <w:sz w:val="21"/>
          <w:szCs w:val="21"/>
        </w:rPr>
        <w:t>施工单位在施肥、浇水24小时前书面通知</w:t>
      </w:r>
      <w:r>
        <w:rPr>
          <w:rFonts w:eastAsia="宋体"/>
          <w:sz w:val="21"/>
          <w:szCs w:val="21"/>
        </w:rPr>
        <w:t>发包人代表（或</w:t>
      </w:r>
      <w:r>
        <w:rPr>
          <w:rFonts w:hint="eastAsia" w:eastAsia="宋体"/>
          <w:sz w:val="21"/>
          <w:szCs w:val="21"/>
        </w:rPr>
        <w:t>监理</w:t>
      </w:r>
      <w:r>
        <w:rPr>
          <w:rFonts w:eastAsia="宋体"/>
          <w:sz w:val="21"/>
          <w:szCs w:val="21"/>
        </w:rPr>
        <w:t>）</w:t>
      </w:r>
      <w:r>
        <w:rPr>
          <w:rFonts w:hint="eastAsia" w:eastAsia="宋体"/>
          <w:sz w:val="21"/>
          <w:szCs w:val="21"/>
        </w:rPr>
        <w:t>，由</w:t>
      </w:r>
      <w:r>
        <w:rPr>
          <w:rFonts w:eastAsia="宋体"/>
          <w:sz w:val="21"/>
          <w:szCs w:val="21"/>
        </w:rPr>
        <w:t>发包人代表（或</w:t>
      </w:r>
      <w:r>
        <w:rPr>
          <w:rFonts w:hint="eastAsia" w:eastAsia="宋体"/>
          <w:sz w:val="21"/>
          <w:szCs w:val="21"/>
        </w:rPr>
        <w:t>监理</w:t>
      </w:r>
      <w:r>
        <w:rPr>
          <w:rFonts w:eastAsia="宋体"/>
          <w:sz w:val="21"/>
          <w:szCs w:val="21"/>
        </w:rPr>
        <w:t>）</w:t>
      </w:r>
      <w:r>
        <w:rPr>
          <w:rFonts w:hint="eastAsia" w:eastAsia="宋体"/>
          <w:sz w:val="21"/>
          <w:szCs w:val="21"/>
        </w:rPr>
        <w:t>负责对施工过程拍照（带有日期的照相机）、施工单位记录施肥时间、肥的名称并附上</w:t>
      </w:r>
      <w:r>
        <w:rPr>
          <w:rFonts w:eastAsia="宋体"/>
          <w:sz w:val="21"/>
          <w:szCs w:val="21"/>
        </w:rPr>
        <w:t>发包人代表（或</w:t>
      </w:r>
      <w:r>
        <w:rPr>
          <w:rFonts w:hint="eastAsia" w:eastAsia="宋体"/>
          <w:sz w:val="21"/>
          <w:szCs w:val="21"/>
        </w:rPr>
        <w:t>监理</w:t>
      </w:r>
      <w:r>
        <w:rPr>
          <w:rFonts w:eastAsia="宋体"/>
          <w:sz w:val="21"/>
          <w:szCs w:val="21"/>
        </w:rPr>
        <w:t>）</w:t>
      </w:r>
      <w:r>
        <w:rPr>
          <w:rFonts w:hint="eastAsia" w:eastAsia="宋体"/>
          <w:sz w:val="21"/>
          <w:szCs w:val="21"/>
        </w:rPr>
        <w:t>拍摄的照片等</w:t>
      </w:r>
      <w:r>
        <w:rPr>
          <w:rFonts w:eastAsia="宋体"/>
          <w:sz w:val="21"/>
          <w:szCs w:val="21"/>
        </w:rPr>
        <w:t>，</w:t>
      </w:r>
      <w:r>
        <w:rPr>
          <w:rFonts w:hint="eastAsia" w:eastAsia="宋体"/>
          <w:sz w:val="21"/>
          <w:szCs w:val="21"/>
        </w:rPr>
        <w:t>由</w:t>
      </w:r>
      <w:r>
        <w:rPr>
          <w:rFonts w:eastAsia="宋体"/>
          <w:sz w:val="21"/>
          <w:szCs w:val="21"/>
        </w:rPr>
        <w:t>发包人代表（或</w:t>
      </w:r>
      <w:r>
        <w:rPr>
          <w:rFonts w:hint="eastAsia" w:eastAsia="宋体"/>
          <w:sz w:val="21"/>
          <w:szCs w:val="21"/>
        </w:rPr>
        <w:t>监理</w:t>
      </w:r>
      <w:r>
        <w:rPr>
          <w:rFonts w:eastAsia="宋体"/>
          <w:sz w:val="21"/>
          <w:szCs w:val="21"/>
        </w:rPr>
        <w:t>）</w:t>
      </w:r>
      <w:r>
        <w:rPr>
          <w:rFonts w:hint="eastAsia" w:eastAsia="宋体"/>
          <w:sz w:val="21"/>
          <w:szCs w:val="21"/>
        </w:rPr>
        <w:t>签字留档，该施工记录作为考核条件（没有该记录视为未施肥、未浇水）。</w:t>
      </w:r>
    </w:p>
    <w:p>
      <w:pPr>
        <w:spacing w:line="400" w:lineRule="exact"/>
        <w:ind w:firstLine="615"/>
        <w:rPr>
          <w:rFonts w:eastAsia="宋体"/>
          <w:sz w:val="21"/>
          <w:szCs w:val="21"/>
        </w:rPr>
      </w:pPr>
      <w:r>
        <w:rPr>
          <w:rFonts w:eastAsia="宋体"/>
          <w:sz w:val="21"/>
          <w:szCs w:val="21"/>
        </w:rPr>
        <w:t>4、乔灌木进行定期修剪整形。乔木类要注意树形的培养，花灌木类加强造型，条栽灌木边侧和顶部均应按甲方要求进行修剪，突出立体感，草坪修剪结合实际情况适时进行，</w:t>
      </w:r>
      <w:r>
        <w:rPr>
          <w:rFonts w:eastAsia="宋体"/>
          <w:color w:val="000000"/>
          <w:sz w:val="21"/>
          <w:szCs w:val="21"/>
          <w:lang w:val="zh-CN" w:eastAsia="zh-CN"/>
        </w:rPr>
        <w:t>并做到工完场清，文明作业。造型五针松每年造型修剪一次，造型树每年造型修剪若干次。棕榈科植物每年要剥叶柄1次。</w:t>
      </w:r>
    </w:p>
    <w:p>
      <w:pPr>
        <w:spacing w:line="400" w:lineRule="exact"/>
        <w:ind w:firstLine="615"/>
        <w:rPr>
          <w:rFonts w:eastAsia="宋体"/>
          <w:sz w:val="21"/>
          <w:szCs w:val="21"/>
        </w:rPr>
      </w:pPr>
      <w:r>
        <w:rPr>
          <w:rFonts w:eastAsia="宋体"/>
          <w:sz w:val="21"/>
          <w:szCs w:val="21"/>
        </w:rPr>
        <w:t>5、保证夏季高温和冬季干旱季节不缺水，并适时进行叶面喷施，保证植物生长能够获得足够的水分。</w:t>
      </w:r>
    </w:p>
    <w:p>
      <w:pPr>
        <w:spacing w:line="400" w:lineRule="exact"/>
        <w:ind w:firstLine="615"/>
        <w:rPr>
          <w:rFonts w:eastAsia="宋体"/>
          <w:sz w:val="21"/>
          <w:szCs w:val="21"/>
        </w:rPr>
      </w:pPr>
      <w:r>
        <w:rPr>
          <w:rFonts w:eastAsia="宋体"/>
          <w:sz w:val="21"/>
          <w:szCs w:val="21"/>
        </w:rPr>
        <w:t>6、针对病虫害的生长发育特征，在各个季节做好监测工作，贯彻“以防为主，综合治理”的方针，确保全年无重大病虫害疫情发生。</w:t>
      </w:r>
    </w:p>
    <w:p>
      <w:pPr>
        <w:spacing w:line="400" w:lineRule="exact"/>
        <w:ind w:firstLine="615"/>
        <w:rPr>
          <w:rFonts w:eastAsia="宋体"/>
          <w:sz w:val="21"/>
          <w:szCs w:val="21"/>
        </w:rPr>
      </w:pPr>
      <w:r>
        <w:rPr>
          <w:rFonts w:eastAsia="宋体"/>
          <w:sz w:val="21"/>
          <w:szCs w:val="21"/>
        </w:rPr>
        <w:t>7、做好绿地内的除草工作，保证绿地内无杂草。</w:t>
      </w:r>
    </w:p>
    <w:p>
      <w:pPr>
        <w:spacing w:line="400" w:lineRule="exact"/>
        <w:ind w:firstLine="615"/>
        <w:rPr>
          <w:rFonts w:eastAsia="宋体"/>
          <w:sz w:val="21"/>
          <w:szCs w:val="21"/>
        </w:rPr>
      </w:pPr>
      <w:r>
        <w:rPr>
          <w:rFonts w:eastAsia="宋体"/>
          <w:sz w:val="21"/>
          <w:szCs w:val="21"/>
        </w:rPr>
        <w:t>8、做好养护绿地内的生活垃圾、石块及建筑垃圾等的保洁工作，要求全天候保洁，同时所需的垃圾处理堆放场由乙方自行解决。</w:t>
      </w:r>
    </w:p>
    <w:p>
      <w:pPr>
        <w:spacing w:line="400" w:lineRule="exact"/>
        <w:ind w:firstLine="615"/>
        <w:rPr>
          <w:rFonts w:eastAsia="宋体"/>
          <w:sz w:val="21"/>
          <w:szCs w:val="21"/>
        </w:rPr>
      </w:pPr>
      <w:r>
        <w:rPr>
          <w:rFonts w:eastAsia="宋体"/>
          <w:sz w:val="21"/>
          <w:szCs w:val="21"/>
        </w:rPr>
        <w:t>9、乙方每次除虫、施肥、整形修剪等管养工作前上报甲方，并经甲方批准后实施。实施后需经甲方验收认可，否则，甲方有权不予认可。</w:t>
      </w:r>
    </w:p>
    <w:p>
      <w:pPr>
        <w:spacing w:line="400" w:lineRule="exact"/>
        <w:ind w:firstLine="615"/>
        <w:rPr>
          <w:rFonts w:eastAsia="宋体"/>
          <w:sz w:val="21"/>
          <w:szCs w:val="21"/>
        </w:rPr>
      </w:pPr>
      <w:r>
        <w:rPr>
          <w:rFonts w:eastAsia="宋体"/>
          <w:sz w:val="21"/>
          <w:szCs w:val="21"/>
        </w:rPr>
        <w:t>10、台风季节和冬季要做好绿地防护措施（尤其名贵树种的冬季防护，更应予以重视），如有损失，原则要求在一天内做好恢复原状工作，特殊情况不得超过二天。</w:t>
      </w:r>
    </w:p>
    <w:p>
      <w:pPr>
        <w:spacing w:line="400" w:lineRule="exact"/>
        <w:ind w:firstLine="615"/>
        <w:rPr>
          <w:rFonts w:eastAsia="宋体"/>
          <w:sz w:val="21"/>
          <w:szCs w:val="21"/>
        </w:rPr>
      </w:pPr>
      <w:r>
        <w:rPr>
          <w:rFonts w:eastAsia="宋体"/>
          <w:sz w:val="21"/>
          <w:szCs w:val="21"/>
        </w:rPr>
        <w:t>11、树木在养护管理期间，安排日常管养巡查人员，</w:t>
      </w:r>
      <w:r>
        <w:rPr>
          <w:rFonts w:eastAsia="宋体"/>
          <w:color w:val="000000"/>
          <w:sz w:val="21"/>
          <w:szCs w:val="21"/>
          <w:lang w:val="zh-CN" w:eastAsia="zh-CN"/>
        </w:rPr>
        <w:t>做好日常养护记录，建立绿化养护技术档案。</w:t>
      </w:r>
      <w:r>
        <w:rPr>
          <w:rFonts w:eastAsia="宋体"/>
          <w:sz w:val="21"/>
          <w:szCs w:val="21"/>
        </w:rPr>
        <w:t>及时发现并阻止有损绿化生长的行为，乙方未发现的由乙方负责赔偿，因养护管理措施不当造成死株的由乙方无偿补种高一档规格的全冠苗木。因自然灾害等不可抗拒的原因造成树木长势不良的，且乙方未采取正确补救措施或未向甲方报告而造成树木损失的，将按树木价值的30%以上予以赔偿。</w:t>
      </w:r>
    </w:p>
    <w:p>
      <w:pPr>
        <w:spacing w:line="400" w:lineRule="exact"/>
        <w:ind w:firstLine="615"/>
        <w:rPr>
          <w:rFonts w:eastAsia="宋体"/>
          <w:sz w:val="21"/>
          <w:szCs w:val="21"/>
        </w:rPr>
      </w:pPr>
      <w:r>
        <w:rPr>
          <w:rFonts w:eastAsia="宋体"/>
          <w:sz w:val="21"/>
          <w:szCs w:val="21"/>
        </w:rPr>
        <w:t>12、及时完成甲方交代的其它有关养护事务，因未及时完成而造成损失的由乙方负责赔偿。</w:t>
      </w:r>
    </w:p>
    <w:p>
      <w:pPr>
        <w:spacing w:line="400" w:lineRule="exact"/>
        <w:ind w:firstLine="615"/>
        <w:rPr>
          <w:rFonts w:hint="eastAsia" w:eastAsia="宋体"/>
          <w:color w:val="000000"/>
          <w:sz w:val="21"/>
          <w:szCs w:val="21"/>
          <w:lang w:val="zh-CN" w:eastAsia="zh-CN"/>
        </w:rPr>
      </w:pPr>
      <w:r>
        <w:rPr>
          <w:rFonts w:eastAsia="宋体"/>
          <w:sz w:val="21"/>
          <w:szCs w:val="21"/>
        </w:rPr>
        <w:t>13、工人</w:t>
      </w:r>
      <w:r>
        <w:rPr>
          <w:rFonts w:eastAsia="宋体"/>
          <w:color w:val="000000"/>
          <w:sz w:val="21"/>
          <w:szCs w:val="21"/>
          <w:lang w:val="zh-CN" w:eastAsia="zh-CN"/>
        </w:rPr>
        <w:t>统一着装上岗。</w:t>
      </w:r>
    </w:p>
    <w:p>
      <w:pPr>
        <w:spacing w:line="400" w:lineRule="exact"/>
        <w:ind w:firstLine="615"/>
        <w:rPr>
          <w:rFonts w:eastAsia="宋体"/>
          <w:sz w:val="21"/>
          <w:szCs w:val="21"/>
        </w:rPr>
      </w:pPr>
      <w:r>
        <w:rPr>
          <w:rFonts w:hint="eastAsia" w:eastAsia="宋体"/>
          <w:sz w:val="21"/>
          <w:szCs w:val="21"/>
          <w:lang w:val="zh-CN" w:eastAsia="zh-CN"/>
        </w:rPr>
        <w:t>14、</w:t>
      </w:r>
      <w:r>
        <w:rPr>
          <w:rFonts w:hint="eastAsia" w:eastAsia="宋体"/>
          <w:sz w:val="21"/>
          <w:szCs w:val="21"/>
        </w:rPr>
        <w:t>该养护工程日常维护要求落实专业人员分区段定点实行日常养护, 病虫害防治与修剪等大型或技术性工作由养护公司统一安排足够养护人员根据工作要求进行实施。</w:t>
      </w:r>
    </w:p>
    <w:p>
      <w:pPr>
        <w:spacing w:line="400" w:lineRule="exact"/>
        <w:ind w:firstLine="615"/>
        <w:rPr>
          <w:rFonts w:hint="eastAsia" w:eastAsia="宋体"/>
          <w:color w:val="000000"/>
          <w:sz w:val="21"/>
          <w:szCs w:val="21"/>
          <w:lang w:val="zh-CN" w:eastAsia="zh-CN"/>
        </w:rPr>
      </w:pPr>
      <w:r>
        <w:rPr>
          <w:rFonts w:eastAsia="宋体"/>
          <w:color w:val="000000"/>
          <w:sz w:val="21"/>
          <w:szCs w:val="21"/>
          <w:lang w:val="zh-CN" w:eastAsia="zh-CN"/>
        </w:rPr>
        <w:t>1</w:t>
      </w:r>
      <w:r>
        <w:rPr>
          <w:rFonts w:hint="eastAsia" w:eastAsia="宋体"/>
          <w:color w:val="000000"/>
          <w:sz w:val="21"/>
          <w:szCs w:val="21"/>
          <w:lang w:val="zh-CN" w:eastAsia="zh-CN"/>
        </w:rPr>
        <w:t>5</w:t>
      </w:r>
      <w:r>
        <w:rPr>
          <w:rFonts w:eastAsia="宋体"/>
          <w:color w:val="000000"/>
          <w:sz w:val="21"/>
          <w:szCs w:val="21"/>
          <w:lang w:val="zh-CN" w:eastAsia="zh-CN"/>
        </w:rPr>
        <w:t>、建立做好全年养护台帐。</w:t>
      </w:r>
    </w:p>
    <w:p>
      <w:pPr>
        <w:spacing w:line="400" w:lineRule="exact"/>
        <w:ind w:firstLine="420" w:firstLineChars="200"/>
        <w:rPr>
          <w:rFonts w:eastAsia="宋体"/>
          <w:sz w:val="21"/>
          <w:szCs w:val="21"/>
        </w:rPr>
      </w:pPr>
      <w:r>
        <w:rPr>
          <w:rFonts w:eastAsia="宋体"/>
          <w:sz w:val="21"/>
          <w:szCs w:val="21"/>
        </w:rPr>
        <w:t>六、养护经费支付方式</w:t>
      </w:r>
    </w:p>
    <w:p>
      <w:pPr>
        <w:spacing w:line="400" w:lineRule="exact"/>
        <w:ind w:firstLine="615"/>
        <w:rPr>
          <w:rFonts w:hint="eastAsia" w:eastAsia="宋体"/>
          <w:color w:val="auto"/>
          <w:sz w:val="21"/>
          <w:szCs w:val="21"/>
          <w:lang w:val="en-US" w:eastAsia="zh-CN"/>
        </w:rPr>
      </w:pPr>
      <w:r>
        <w:rPr>
          <w:rFonts w:eastAsia="宋体"/>
          <w:color w:val="auto"/>
          <w:sz w:val="21"/>
          <w:szCs w:val="21"/>
        </w:rPr>
        <w:t>绿化养护经费按每</w:t>
      </w:r>
      <w:r>
        <w:rPr>
          <w:rFonts w:hint="eastAsia"/>
          <w:color w:val="auto"/>
          <w:sz w:val="21"/>
          <w:szCs w:val="21"/>
          <w:lang w:val="en-US" w:eastAsia="zh-CN"/>
        </w:rPr>
        <w:t>6</w:t>
      </w:r>
      <w:r>
        <w:rPr>
          <w:rFonts w:eastAsia="宋体"/>
          <w:color w:val="auto"/>
          <w:sz w:val="21"/>
          <w:szCs w:val="21"/>
        </w:rPr>
        <w:t>个月核拨</w:t>
      </w:r>
      <w:r>
        <w:rPr>
          <w:rFonts w:hint="eastAsia"/>
          <w:color w:val="auto"/>
          <w:sz w:val="21"/>
          <w:szCs w:val="21"/>
          <w:lang w:val="en-US" w:eastAsia="zh-CN"/>
        </w:rPr>
        <w:t>一次</w:t>
      </w:r>
      <w:r>
        <w:rPr>
          <w:rFonts w:eastAsia="宋体"/>
          <w:color w:val="auto"/>
          <w:sz w:val="21"/>
          <w:szCs w:val="21"/>
        </w:rPr>
        <w:t>。</w:t>
      </w:r>
      <w:r>
        <w:rPr>
          <w:rFonts w:hint="eastAsia"/>
          <w:color w:val="auto"/>
          <w:sz w:val="21"/>
          <w:szCs w:val="21"/>
          <w:lang w:eastAsia="zh-CN"/>
        </w:rPr>
        <w:t>（</w:t>
      </w:r>
      <w:r>
        <w:rPr>
          <w:rFonts w:hint="eastAsia"/>
          <w:color w:val="auto"/>
          <w:sz w:val="21"/>
          <w:szCs w:val="21"/>
          <w:lang w:val="en-US" w:eastAsia="zh-CN"/>
        </w:rPr>
        <w:t>根据考核结果支付），结算按实际工程量结算，具体单价及计费办法按预算造价计算办法（具体见预算书），最终总结算价按中标浮动率（中标浮动率=（中标总报价÷预算总价）×100%）浮动。</w:t>
      </w:r>
    </w:p>
    <w:p>
      <w:pPr>
        <w:spacing w:line="400" w:lineRule="exact"/>
        <w:ind w:firstLine="420" w:firstLineChars="200"/>
        <w:rPr>
          <w:rFonts w:eastAsia="宋体"/>
          <w:color w:val="auto"/>
          <w:sz w:val="21"/>
          <w:szCs w:val="21"/>
        </w:rPr>
      </w:pPr>
      <w:r>
        <w:rPr>
          <w:rFonts w:eastAsia="宋体"/>
          <w:color w:val="auto"/>
          <w:sz w:val="21"/>
          <w:szCs w:val="21"/>
        </w:rPr>
        <w:t>七、考核验收</w:t>
      </w:r>
    </w:p>
    <w:p>
      <w:pPr>
        <w:spacing w:line="400" w:lineRule="exact"/>
        <w:ind w:firstLine="420" w:firstLineChars="200"/>
        <w:rPr>
          <w:rFonts w:eastAsia="宋体"/>
          <w:color w:val="auto"/>
          <w:sz w:val="21"/>
          <w:szCs w:val="21"/>
        </w:rPr>
      </w:pPr>
      <w:r>
        <w:rPr>
          <w:rFonts w:eastAsia="宋体"/>
          <w:color w:val="auto"/>
          <w:sz w:val="21"/>
          <w:szCs w:val="21"/>
        </w:rPr>
        <w:t>在养护管理期间，甲方每二个月定期根据“玉环市日常绿化养护管理考核细则” 对乙方绿化养护情况进行检查考核。考核达不到标准要求的，按扣款标准</w:t>
      </w:r>
      <w:r>
        <w:rPr>
          <w:rFonts w:hint="eastAsia"/>
          <w:color w:val="auto"/>
          <w:sz w:val="21"/>
          <w:szCs w:val="21"/>
          <w:lang w:val="en-US" w:eastAsia="zh-CN"/>
        </w:rPr>
        <w:t>在支付绿化养护经费时</w:t>
      </w:r>
      <w:r>
        <w:rPr>
          <w:rFonts w:eastAsia="宋体"/>
          <w:color w:val="auto"/>
          <w:sz w:val="21"/>
          <w:szCs w:val="21"/>
        </w:rPr>
        <w:t>扣除相应款项，情况特别严重的</w:t>
      </w:r>
      <w:r>
        <w:rPr>
          <w:rFonts w:eastAsia="宋体"/>
          <w:b/>
          <w:bCs/>
          <w:color w:val="auto"/>
          <w:sz w:val="21"/>
          <w:szCs w:val="21"/>
        </w:rPr>
        <w:t>（如连续二次考核不合格）</w:t>
      </w:r>
      <w:r>
        <w:rPr>
          <w:rFonts w:eastAsia="宋体"/>
          <w:color w:val="auto"/>
          <w:sz w:val="21"/>
          <w:szCs w:val="21"/>
        </w:rPr>
        <w:t>，甲方有权单方终止合同，并拒付全部养护余额。</w:t>
      </w:r>
    </w:p>
    <w:p>
      <w:pPr>
        <w:spacing w:line="400" w:lineRule="exact"/>
        <w:ind w:firstLine="420" w:firstLineChars="200"/>
        <w:rPr>
          <w:rFonts w:eastAsia="宋体"/>
          <w:sz w:val="21"/>
          <w:szCs w:val="21"/>
        </w:rPr>
      </w:pPr>
      <w:r>
        <w:rPr>
          <w:rFonts w:eastAsia="宋体"/>
          <w:sz w:val="21"/>
          <w:szCs w:val="21"/>
        </w:rPr>
        <w:t>八、其他罚责</w:t>
      </w:r>
    </w:p>
    <w:p>
      <w:pPr>
        <w:spacing w:line="400" w:lineRule="exact"/>
        <w:ind w:firstLine="615"/>
        <w:rPr>
          <w:rFonts w:eastAsia="宋体"/>
          <w:sz w:val="21"/>
          <w:szCs w:val="21"/>
        </w:rPr>
      </w:pPr>
      <w:r>
        <w:rPr>
          <w:rFonts w:eastAsia="宋体"/>
          <w:sz w:val="21"/>
          <w:szCs w:val="21"/>
        </w:rPr>
        <w:t>除第七条定期全面检查以外，甲方在不定期的日常检查中，发现乙方有以下行为的，可另作单独处罚。</w:t>
      </w:r>
    </w:p>
    <w:p>
      <w:pPr>
        <w:spacing w:line="400" w:lineRule="exact"/>
        <w:ind w:firstLine="420" w:firstLineChars="200"/>
        <w:rPr>
          <w:rFonts w:eastAsia="宋体"/>
          <w:sz w:val="21"/>
          <w:szCs w:val="21"/>
        </w:rPr>
      </w:pPr>
      <w:r>
        <w:rPr>
          <w:rFonts w:eastAsia="宋体"/>
          <w:sz w:val="21"/>
          <w:szCs w:val="21"/>
        </w:rPr>
        <w:t>（一）养护公司存在因管理不力造成对名贵树种错误修剪、病虫害防治不力等严重影响树木生长、形态的行为，甲方可视影响程度处树木总价值1-10%的罚款，由此造成的死亡乙方全额赔偿。</w:t>
      </w:r>
    </w:p>
    <w:p>
      <w:pPr>
        <w:spacing w:line="400" w:lineRule="exact"/>
        <w:ind w:firstLine="420" w:firstLineChars="200"/>
        <w:rPr>
          <w:rFonts w:eastAsia="宋体"/>
          <w:sz w:val="21"/>
          <w:szCs w:val="21"/>
        </w:rPr>
      </w:pPr>
      <w:r>
        <w:rPr>
          <w:rFonts w:eastAsia="宋体"/>
          <w:sz w:val="21"/>
          <w:szCs w:val="21"/>
        </w:rPr>
        <w:t>（二）乙方存在以下行为之一的，甲方可对养护公司处以当月养护合同款0.5-2%的罚款，情节严重的可加倍处罚：</w:t>
      </w:r>
    </w:p>
    <w:p>
      <w:pPr>
        <w:spacing w:line="400" w:lineRule="exact"/>
        <w:ind w:firstLine="420" w:firstLineChars="200"/>
        <w:rPr>
          <w:rFonts w:eastAsia="宋体"/>
          <w:sz w:val="21"/>
          <w:szCs w:val="21"/>
        </w:rPr>
      </w:pPr>
      <w:r>
        <w:rPr>
          <w:rFonts w:eastAsia="宋体"/>
          <w:sz w:val="21"/>
          <w:szCs w:val="21"/>
        </w:rPr>
        <w:t>1、在半个月内的连续检查中，甲方已发现并明确指出为错误作业的仍重复出现</w:t>
      </w:r>
      <w:r>
        <w:rPr>
          <w:rFonts w:hint="eastAsia" w:eastAsia="宋体"/>
          <w:sz w:val="21"/>
          <w:szCs w:val="21"/>
        </w:rPr>
        <w:t>二</w:t>
      </w:r>
      <w:r>
        <w:rPr>
          <w:rFonts w:eastAsia="宋体"/>
          <w:sz w:val="21"/>
          <w:szCs w:val="21"/>
        </w:rPr>
        <w:t>次。</w:t>
      </w:r>
    </w:p>
    <w:p>
      <w:pPr>
        <w:spacing w:line="400" w:lineRule="exact"/>
        <w:ind w:firstLine="420" w:firstLineChars="200"/>
        <w:rPr>
          <w:rFonts w:eastAsia="宋体"/>
          <w:sz w:val="21"/>
          <w:szCs w:val="21"/>
        </w:rPr>
      </w:pPr>
      <w:r>
        <w:rPr>
          <w:rFonts w:eastAsia="宋体"/>
          <w:sz w:val="21"/>
          <w:szCs w:val="21"/>
        </w:rPr>
        <w:t>2、在半个月内的连续检查中，绿化作业垃圾连续三天未清理或清理不彻底。</w:t>
      </w:r>
    </w:p>
    <w:p>
      <w:pPr>
        <w:spacing w:line="400" w:lineRule="exact"/>
        <w:ind w:firstLine="420" w:firstLineChars="200"/>
        <w:rPr>
          <w:rFonts w:eastAsia="宋体"/>
          <w:sz w:val="21"/>
          <w:szCs w:val="21"/>
        </w:rPr>
      </w:pPr>
      <w:r>
        <w:rPr>
          <w:rFonts w:eastAsia="宋体"/>
          <w:sz w:val="21"/>
          <w:szCs w:val="21"/>
        </w:rPr>
        <w:t>3、在规定的整改时间内未完成整改项目（因不可抗力原因而无法完成的除外）。</w:t>
      </w:r>
    </w:p>
    <w:p>
      <w:pPr>
        <w:spacing w:line="400" w:lineRule="exact"/>
        <w:ind w:firstLine="420" w:firstLineChars="200"/>
        <w:rPr>
          <w:rFonts w:eastAsia="宋体"/>
          <w:sz w:val="21"/>
          <w:szCs w:val="21"/>
        </w:rPr>
      </w:pPr>
      <w:r>
        <w:rPr>
          <w:rFonts w:eastAsia="宋体"/>
          <w:sz w:val="21"/>
          <w:szCs w:val="21"/>
        </w:rPr>
        <w:t>4、因管理不到位造成区域内发生较严重病虫害疫情。</w:t>
      </w:r>
    </w:p>
    <w:p>
      <w:pPr>
        <w:spacing w:line="400" w:lineRule="exact"/>
        <w:ind w:firstLine="420" w:firstLineChars="200"/>
        <w:rPr>
          <w:rFonts w:eastAsia="宋体"/>
          <w:sz w:val="21"/>
          <w:szCs w:val="21"/>
        </w:rPr>
      </w:pPr>
      <w:r>
        <w:rPr>
          <w:rFonts w:eastAsia="宋体"/>
          <w:sz w:val="21"/>
          <w:szCs w:val="21"/>
        </w:rPr>
        <w:t>5、</w:t>
      </w:r>
      <w:r>
        <w:rPr>
          <w:rFonts w:eastAsia="宋体"/>
          <w:b/>
          <w:bCs/>
          <w:sz w:val="21"/>
          <w:szCs w:val="21"/>
        </w:rPr>
        <w:t>在省、台州市、市行业检查中，因公司管理原因被点名批评的。</w:t>
      </w:r>
    </w:p>
    <w:p>
      <w:pPr>
        <w:spacing w:line="400" w:lineRule="exact"/>
        <w:ind w:firstLine="380" w:firstLineChars="200"/>
        <w:rPr>
          <w:rFonts w:eastAsia="宋体"/>
          <w:sz w:val="21"/>
          <w:szCs w:val="21"/>
        </w:rPr>
      </w:pPr>
      <w:r>
        <w:rPr>
          <w:rFonts w:eastAsia="宋体"/>
          <w:spacing w:val="-10"/>
          <w:sz w:val="21"/>
          <w:szCs w:val="21"/>
        </w:rPr>
        <w:t>6、经查证属实存在有违职业操守而引起市民较大反响的行为。</w:t>
      </w:r>
    </w:p>
    <w:p>
      <w:pPr>
        <w:spacing w:line="400" w:lineRule="exact"/>
        <w:ind w:firstLine="420" w:firstLineChars="200"/>
        <w:rPr>
          <w:rFonts w:eastAsia="宋体"/>
          <w:sz w:val="21"/>
          <w:szCs w:val="21"/>
        </w:rPr>
      </w:pPr>
      <w:r>
        <w:rPr>
          <w:rFonts w:eastAsia="宋体"/>
          <w:sz w:val="21"/>
          <w:szCs w:val="21"/>
        </w:rPr>
        <w:t>（三）如乙方养护质量有明显下降，甲方以书面形式通知乙方五天后仍未明显改观，甲方有权雇佣第三方进行整改，而所需一切费用从该公司养护合同款中扣除。如遇台风、暴雨等紧急突发事件，而乙方未能及时采取有效措施，甲方有权雇佣第三方实施有关工作，一切费用从养护合同款中扣除。</w:t>
      </w:r>
    </w:p>
    <w:p>
      <w:pPr>
        <w:spacing w:line="400" w:lineRule="exact"/>
        <w:ind w:firstLine="420" w:firstLineChars="200"/>
        <w:rPr>
          <w:rFonts w:eastAsia="宋体"/>
          <w:sz w:val="21"/>
          <w:szCs w:val="21"/>
        </w:rPr>
      </w:pPr>
      <w:r>
        <w:rPr>
          <w:rFonts w:eastAsia="宋体"/>
          <w:sz w:val="21"/>
          <w:szCs w:val="21"/>
        </w:rPr>
        <w:t>（四）乙方存在分包或变相转包的，一经查实，甲方有权单方面终止合同，并追究相应的损失。</w:t>
      </w:r>
    </w:p>
    <w:p>
      <w:pPr>
        <w:spacing w:line="400" w:lineRule="exact"/>
        <w:ind w:firstLine="420" w:firstLineChars="200"/>
        <w:rPr>
          <w:rFonts w:eastAsia="宋体"/>
          <w:sz w:val="21"/>
          <w:szCs w:val="21"/>
        </w:rPr>
      </w:pPr>
      <w:r>
        <w:rPr>
          <w:rFonts w:eastAsia="宋体"/>
          <w:sz w:val="21"/>
          <w:szCs w:val="21"/>
        </w:rPr>
        <w:t>九、安全责任</w:t>
      </w:r>
    </w:p>
    <w:p>
      <w:pPr>
        <w:spacing w:line="400" w:lineRule="exact"/>
        <w:ind w:firstLine="420" w:firstLineChars="200"/>
        <w:rPr>
          <w:rFonts w:eastAsia="宋体"/>
          <w:sz w:val="21"/>
          <w:szCs w:val="21"/>
        </w:rPr>
      </w:pPr>
      <w:r>
        <w:rPr>
          <w:rFonts w:eastAsia="宋体"/>
          <w:sz w:val="21"/>
          <w:szCs w:val="21"/>
        </w:rPr>
        <w:t>1、乙方负责承担其派驻人员的工资、保险、劳保福利及其它一切费用，乙方任何员工因意外伤亡，甲方概不负责。</w:t>
      </w:r>
    </w:p>
    <w:p>
      <w:pPr>
        <w:spacing w:line="400" w:lineRule="exact"/>
        <w:ind w:firstLine="420" w:firstLineChars="200"/>
        <w:rPr>
          <w:rFonts w:eastAsia="宋体"/>
          <w:sz w:val="21"/>
          <w:szCs w:val="21"/>
        </w:rPr>
      </w:pPr>
      <w:r>
        <w:rPr>
          <w:rFonts w:eastAsia="宋体"/>
          <w:sz w:val="21"/>
          <w:szCs w:val="21"/>
        </w:rPr>
        <w:t>2、因乙方原因造成乙方以外任何人身伤亡事件或任何财产损坏、损失，乙方须负完全法律责任，并赔偿甲方遭受的一切损失；若乙方拒不支付上述费用时，甲方有权从支付给乙方的养护合同款项中扣除上述费用，不足之数由乙方另行支付。</w:t>
      </w:r>
    </w:p>
    <w:p>
      <w:pPr>
        <w:spacing w:line="400" w:lineRule="exact"/>
        <w:ind w:firstLine="420" w:firstLineChars="200"/>
        <w:rPr>
          <w:rFonts w:eastAsia="宋体"/>
          <w:sz w:val="21"/>
          <w:szCs w:val="21"/>
        </w:rPr>
      </w:pPr>
      <w:r>
        <w:rPr>
          <w:rFonts w:eastAsia="宋体"/>
          <w:sz w:val="21"/>
          <w:szCs w:val="21"/>
        </w:rPr>
        <w:t>3、不尽之处详见附件《安全生产责任书》</w:t>
      </w:r>
    </w:p>
    <w:p>
      <w:pPr>
        <w:spacing w:line="400" w:lineRule="exact"/>
        <w:ind w:firstLine="420" w:firstLineChars="200"/>
        <w:rPr>
          <w:rFonts w:eastAsia="宋体"/>
          <w:sz w:val="21"/>
          <w:szCs w:val="21"/>
        </w:rPr>
      </w:pPr>
      <w:r>
        <w:rPr>
          <w:rFonts w:eastAsia="宋体"/>
          <w:sz w:val="21"/>
          <w:szCs w:val="21"/>
        </w:rPr>
        <w:t>十、本合同一式四份，甲乙双方各执二份。</w:t>
      </w:r>
    </w:p>
    <w:p>
      <w:pPr>
        <w:spacing w:line="400" w:lineRule="exact"/>
        <w:ind w:firstLine="420" w:firstLineChars="200"/>
        <w:rPr>
          <w:rFonts w:eastAsia="宋体"/>
          <w:sz w:val="21"/>
          <w:szCs w:val="21"/>
        </w:rPr>
      </w:pPr>
      <w:r>
        <w:rPr>
          <w:rFonts w:eastAsia="宋体"/>
          <w:sz w:val="21"/>
          <w:szCs w:val="21"/>
        </w:rPr>
        <w:t>十一、未尽详细事项，甲、乙双方协商解决。</w:t>
      </w:r>
    </w:p>
    <w:p>
      <w:pPr>
        <w:spacing w:line="400" w:lineRule="exact"/>
        <w:ind w:firstLine="420" w:firstLineChars="200"/>
        <w:rPr>
          <w:rFonts w:eastAsia="宋体"/>
          <w:sz w:val="21"/>
          <w:szCs w:val="21"/>
        </w:rPr>
      </w:pPr>
      <w:r>
        <w:rPr>
          <w:rFonts w:eastAsia="宋体"/>
          <w:sz w:val="21"/>
          <w:szCs w:val="21"/>
        </w:rPr>
        <w:t>十二、本合同自签订之日生效。</w:t>
      </w:r>
    </w:p>
    <w:p>
      <w:pPr>
        <w:spacing w:line="400" w:lineRule="exact"/>
        <w:ind w:firstLine="420" w:firstLineChars="200"/>
        <w:rPr>
          <w:rFonts w:eastAsia="宋体"/>
          <w:sz w:val="21"/>
          <w:szCs w:val="21"/>
        </w:rPr>
      </w:pPr>
      <w:r>
        <w:rPr>
          <w:rFonts w:eastAsia="宋体"/>
          <w:sz w:val="21"/>
          <w:szCs w:val="21"/>
        </w:rPr>
        <w:t>十三、附件：</w:t>
      </w:r>
    </w:p>
    <w:p>
      <w:pPr>
        <w:spacing w:line="400" w:lineRule="exact"/>
        <w:ind w:firstLine="860" w:firstLineChars="410"/>
        <w:rPr>
          <w:rFonts w:eastAsia="宋体"/>
          <w:sz w:val="21"/>
          <w:szCs w:val="21"/>
        </w:rPr>
      </w:pPr>
      <w:r>
        <w:rPr>
          <w:rFonts w:eastAsia="宋体"/>
          <w:sz w:val="21"/>
          <w:szCs w:val="21"/>
        </w:rPr>
        <w:t>1、安全生产责任书；</w:t>
      </w:r>
    </w:p>
    <w:p>
      <w:pPr>
        <w:spacing w:line="400" w:lineRule="exact"/>
        <w:ind w:firstLine="860" w:firstLineChars="410"/>
        <w:rPr>
          <w:rFonts w:eastAsia="宋体"/>
          <w:sz w:val="21"/>
          <w:szCs w:val="21"/>
        </w:rPr>
      </w:pPr>
      <w:r>
        <w:rPr>
          <w:rFonts w:eastAsia="宋体"/>
          <w:sz w:val="21"/>
          <w:szCs w:val="21"/>
        </w:rPr>
        <w:t>2、工程建设项目廉政责任书；</w:t>
      </w:r>
    </w:p>
    <w:p>
      <w:pPr>
        <w:spacing w:line="400" w:lineRule="exact"/>
        <w:ind w:firstLine="860" w:firstLineChars="410"/>
        <w:rPr>
          <w:rFonts w:eastAsia="宋体"/>
          <w:bCs/>
          <w:sz w:val="21"/>
          <w:szCs w:val="21"/>
        </w:rPr>
      </w:pPr>
      <w:r>
        <w:rPr>
          <w:rFonts w:eastAsia="宋体"/>
          <w:bCs/>
          <w:sz w:val="21"/>
          <w:szCs w:val="21"/>
        </w:rPr>
        <w:t>3、</w:t>
      </w:r>
      <w:r>
        <w:rPr>
          <w:rFonts w:hint="eastAsia" w:eastAsia="宋体"/>
          <w:sz w:val="21"/>
          <w:szCs w:val="21"/>
        </w:rPr>
        <w:t>绿化</w:t>
      </w:r>
      <w:r>
        <w:rPr>
          <w:rFonts w:hint="eastAsia" w:eastAsia="宋体"/>
          <w:sz w:val="21"/>
          <w:szCs w:val="21"/>
          <w:lang w:eastAsia="zh-CN"/>
        </w:rPr>
        <w:t>养护项目</w:t>
      </w:r>
      <w:r>
        <w:rPr>
          <w:rFonts w:hint="eastAsia" w:eastAsia="宋体"/>
          <w:sz w:val="21"/>
          <w:szCs w:val="21"/>
        </w:rPr>
        <w:t>工作与考核要求</w:t>
      </w:r>
      <w:r>
        <w:rPr>
          <w:rFonts w:eastAsia="宋体"/>
          <w:sz w:val="21"/>
          <w:szCs w:val="21"/>
        </w:rPr>
        <w:t>；</w:t>
      </w:r>
    </w:p>
    <w:p>
      <w:pPr>
        <w:spacing w:line="400" w:lineRule="exact"/>
        <w:ind w:firstLine="860" w:firstLineChars="410"/>
        <w:rPr>
          <w:rFonts w:hint="eastAsia" w:eastAsia="宋体"/>
          <w:bCs/>
          <w:sz w:val="21"/>
          <w:szCs w:val="21"/>
        </w:rPr>
      </w:pPr>
      <w:r>
        <w:rPr>
          <w:rFonts w:eastAsia="宋体"/>
          <w:bCs/>
          <w:sz w:val="21"/>
          <w:szCs w:val="21"/>
        </w:rPr>
        <w:t>4、</w:t>
      </w:r>
      <w:r>
        <w:rPr>
          <w:rFonts w:hint="eastAsia" w:eastAsia="宋体"/>
          <w:bCs/>
          <w:sz w:val="21"/>
          <w:szCs w:val="21"/>
        </w:rPr>
        <w:t>绿化养护管理评分表</w:t>
      </w:r>
      <w:r>
        <w:rPr>
          <w:rFonts w:eastAsia="宋体"/>
          <w:bCs/>
          <w:sz w:val="21"/>
          <w:szCs w:val="21"/>
        </w:rPr>
        <w:t>；</w:t>
      </w:r>
    </w:p>
    <w:p>
      <w:pPr>
        <w:spacing w:line="400" w:lineRule="exact"/>
        <w:ind w:firstLine="860" w:firstLineChars="410"/>
        <w:rPr>
          <w:rFonts w:hint="eastAsia" w:eastAsia="宋体"/>
          <w:bCs/>
          <w:sz w:val="21"/>
          <w:szCs w:val="21"/>
        </w:rPr>
      </w:pPr>
      <w:r>
        <w:rPr>
          <w:rFonts w:eastAsia="宋体"/>
          <w:sz w:val="21"/>
          <w:szCs w:val="21"/>
        </w:rPr>
        <w:t>5、</w:t>
      </w:r>
      <w:r>
        <w:rPr>
          <w:rFonts w:hint="eastAsia" w:eastAsia="宋体"/>
          <w:bCs/>
          <w:sz w:val="21"/>
          <w:szCs w:val="21"/>
        </w:rPr>
        <w:t>玉环市日常绿化养护管理考核细则。</w:t>
      </w:r>
    </w:p>
    <w:p>
      <w:pPr>
        <w:spacing w:line="400" w:lineRule="exact"/>
        <w:ind w:firstLine="420" w:firstLineChars="200"/>
        <w:rPr>
          <w:rFonts w:eastAsia="宋体"/>
          <w:sz w:val="21"/>
          <w:szCs w:val="21"/>
        </w:rPr>
      </w:pPr>
      <w:r>
        <w:rPr>
          <w:rFonts w:eastAsia="宋体"/>
          <w:sz w:val="21"/>
          <w:szCs w:val="21"/>
        </w:rPr>
        <w:t>十四、补充条款：招标标件、投标文件均为合同组成部分。</w:t>
      </w:r>
    </w:p>
    <w:p>
      <w:pPr>
        <w:spacing w:line="400" w:lineRule="exact"/>
        <w:ind w:firstLine="860" w:firstLineChars="410"/>
        <w:rPr>
          <w:rFonts w:eastAsia="宋体"/>
          <w:sz w:val="21"/>
          <w:szCs w:val="21"/>
        </w:rPr>
      </w:pPr>
      <w:r>
        <w:rPr>
          <w:rFonts w:eastAsia="宋体"/>
          <w:sz w:val="21"/>
          <w:szCs w:val="21"/>
        </w:rPr>
        <w:t>甲方：（盖章）                          乙方：（盖章）</w:t>
      </w:r>
    </w:p>
    <w:p>
      <w:pPr>
        <w:spacing w:line="400" w:lineRule="exact"/>
        <w:ind w:firstLine="860" w:firstLineChars="410"/>
        <w:rPr>
          <w:rFonts w:eastAsia="宋体"/>
          <w:sz w:val="21"/>
          <w:szCs w:val="21"/>
        </w:rPr>
      </w:pPr>
      <w:r>
        <w:rPr>
          <w:rFonts w:eastAsia="宋体"/>
          <w:sz w:val="21"/>
          <w:szCs w:val="21"/>
        </w:rPr>
        <w:t>单位全称：                             单位全称：</w:t>
      </w:r>
    </w:p>
    <w:p>
      <w:pPr>
        <w:spacing w:line="400" w:lineRule="exact"/>
        <w:ind w:firstLine="860" w:firstLineChars="410"/>
        <w:rPr>
          <w:rFonts w:eastAsia="宋体"/>
          <w:sz w:val="21"/>
          <w:szCs w:val="21"/>
        </w:rPr>
      </w:pPr>
      <w:r>
        <w:rPr>
          <w:rFonts w:eastAsia="宋体"/>
          <w:sz w:val="21"/>
          <w:szCs w:val="21"/>
        </w:rPr>
        <w:t>法人代表：                             法人代表：</w:t>
      </w:r>
    </w:p>
    <w:p>
      <w:pPr>
        <w:spacing w:line="400" w:lineRule="exact"/>
        <w:ind w:firstLine="860" w:firstLineChars="410"/>
        <w:rPr>
          <w:rFonts w:eastAsia="宋体"/>
          <w:sz w:val="21"/>
          <w:szCs w:val="21"/>
        </w:rPr>
      </w:pPr>
      <w:r>
        <w:rPr>
          <w:rFonts w:eastAsia="宋体"/>
          <w:sz w:val="21"/>
          <w:szCs w:val="21"/>
        </w:rPr>
        <w:t xml:space="preserve">联系人：                               联系人：     </w:t>
      </w:r>
    </w:p>
    <w:p>
      <w:pPr>
        <w:spacing w:line="400" w:lineRule="exact"/>
        <w:ind w:firstLine="860" w:firstLineChars="410"/>
        <w:rPr>
          <w:rFonts w:eastAsia="宋体"/>
          <w:sz w:val="21"/>
          <w:szCs w:val="21"/>
        </w:rPr>
      </w:pPr>
      <w:r>
        <w:rPr>
          <w:rFonts w:eastAsia="宋体"/>
          <w:sz w:val="21"/>
          <w:szCs w:val="21"/>
        </w:rPr>
        <w:t>签署日期：                             签署日期：</w:t>
      </w:r>
      <w:bookmarkEnd w:id="141"/>
      <w:bookmarkStart w:id="142" w:name="_Toc239477934"/>
    </w:p>
    <w:p>
      <w:pPr>
        <w:keepNext w:val="0"/>
        <w:keepLines w:val="0"/>
        <w:pageBreakBefore/>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imes New Roman" w:hAnsi="Times New Roman"/>
          <w:b/>
          <w:bCs/>
          <w:lang w:val="en-US" w:eastAsia="zh-CN"/>
        </w:rPr>
      </w:pPr>
      <w:bookmarkStart w:id="143" w:name="_Toc304386046"/>
      <w:bookmarkStart w:id="144" w:name="_Toc278872207"/>
      <w:bookmarkStart w:id="145" w:name="_Toc273342372"/>
      <w:r>
        <w:rPr>
          <w:rFonts w:hint="eastAsia" w:ascii="Times New Roman" w:hAnsi="Times New Roman"/>
          <w:b/>
          <w:bCs/>
          <w:lang w:val="en-US" w:eastAsia="zh-CN"/>
        </w:rPr>
        <w:t>附件1：</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imes New Roman" w:hAnsi="Times New Roman"/>
          <w:b/>
          <w:bCs/>
        </w:rPr>
      </w:pPr>
      <w:r>
        <w:rPr>
          <w:rFonts w:ascii="Times New Roman" w:hAnsi="Times New Roman"/>
          <w:b/>
          <w:bCs/>
        </w:rPr>
        <w:t>安全生产责任书</w:t>
      </w:r>
    </w:p>
    <w:p>
      <w:pPr>
        <w:spacing w:line="340" w:lineRule="exact"/>
        <w:ind w:firstLine="420" w:firstLineChars="200"/>
        <w:rPr>
          <w:rFonts w:eastAsia="宋体"/>
          <w:sz w:val="21"/>
          <w:szCs w:val="21"/>
        </w:rPr>
      </w:pPr>
      <w:r>
        <w:rPr>
          <w:rFonts w:eastAsia="宋体"/>
          <w:sz w:val="21"/>
          <w:szCs w:val="21"/>
        </w:rPr>
        <w:t>为贯彻执行“安全第一，预防为主”的方针，落实绿化养护工作安全生产责任，杜绝重特大事故，避免和减少一般事故的发生，根据《中华人民共和国安全生产法》、《城市绿化条例》、《浙江省安全生产条例》和省、市有关加强安全生产工作文件要求，</w:t>
      </w:r>
      <w:r>
        <w:rPr>
          <w:rFonts w:hint="eastAsia"/>
          <w:sz w:val="21"/>
          <w:szCs w:val="21"/>
          <w:lang w:eastAsia="zh-CN"/>
        </w:rPr>
        <w:t>玉环海洋经济开发投资有限公司</w:t>
      </w:r>
      <w:r>
        <w:rPr>
          <w:rFonts w:eastAsia="宋体"/>
          <w:sz w:val="21"/>
          <w:szCs w:val="21"/>
        </w:rPr>
        <w:t>（甲方）决定与玉环经济开发区绿化养护企业（乙方）签订绿化养护安全生产责任书。</w:t>
      </w:r>
    </w:p>
    <w:p>
      <w:pPr>
        <w:spacing w:line="340" w:lineRule="exact"/>
        <w:ind w:firstLine="420" w:firstLineChars="200"/>
        <w:rPr>
          <w:rFonts w:eastAsia="宋体"/>
          <w:sz w:val="21"/>
          <w:szCs w:val="21"/>
        </w:rPr>
      </w:pPr>
      <w:r>
        <w:rPr>
          <w:rFonts w:eastAsia="宋体"/>
          <w:sz w:val="21"/>
          <w:szCs w:val="21"/>
        </w:rPr>
        <w:t>一、绿化养护管理安全作业要求</w:t>
      </w:r>
    </w:p>
    <w:p>
      <w:pPr>
        <w:spacing w:line="340" w:lineRule="exact"/>
        <w:ind w:firstLine="420" w:firstLineChars="200"/>
        <w:rPr>
          <w:rFonts w:eastAsia="宋体"/>
          <w:sz w:val="21"/>
          <w:szCs w:val="21"/>
        </w:rPr>
      </w:pPr>
      <w:r>
        <w:rPr>
          <w:rFonts w:eastAsia="宋体"/>
          <w:sz w:val="21"/>
          <w:szCs w:val="21"/>
        </w:rPr>
        <w:t>1、所有养护公司人员必须认真贯彻执行“安全第一，预防为主”的方针，严格遵守绿化养护安全技术规程和各项安全生产规章制度。</w:t>
      </w:r>
    </w:p>
    <w:p>
      <w:pPr>
        <w:spacing w:line="340" w:lineRule="exact"/>
        <w:ind w:firstLine="420" w:firstLineChars="200"/>
        <w:rPr>
          <w:rFonts w:eastAsia="宋体"/>
          <w:sz w:val="21"/>
          <w:szCs w:val="21"/>
        </w:rPr>
      </w:pPr>
      <w:r>
        <w:rPr>
          <w:rFonts w:eastAsia="宋体"/>
          <w:sz w:val="21"/>
          <w:szCs w:val="21"/>
        </w:rPr>
        <w:t>2、工作应集中精力，坚守岗位，工作场所不准打闹、睡觉和做本职工作无关的事，严禁酗酒者进入工作岗位。</w:t>
      </w:r>
    </w:p>
    <w:p>
      <w:pPr>
        <w:spacing w:line="340" w:lineRule="exact"/>
        <w:ind w:firstLine="420" w:firstLineChars="200"/>
        <w:rPr>
          <w:rFonts w:eastAsia="宋体"/>
          <w:sz w:val="21"/>
          <w:szCs w:val="21"/>
        </w:rPr>
      </w:pPr>
      <w:r>
        <w:rPr>
          <w:rFonts w:eastAsia="宋体"/>
          <w:sz w:val="21"/>
          <w:szCs w:val="21"/>
        </w:rPr>
        <w:t>3、加强巡逻，密切注意养护区域内存在的安全问题，及时排除安全隐患。</w:t>
      </w:r>
    </w:p>
    <w:p>
      <w:pPr>
        <w:spacing w:line="340" w:lineRule="exact"/>
        <w:ind w:firstLine="420" w:firstLineChars="200"/>
        <w:rPr>
          <w:rFonts w:eastAsia="宋体"/>
          <w:sz w:val="21"/>
          <w:szCs w:val="21"/>
        </w:rPr>
      </w:pPr>
      <w:r>
        <w:rPr>
          <w:rFonts w:eastAsia="宋体"/>
          <w:sz w:val="21"/>
          <w:szCs w:val="21"/>
        </w:rPr>
        <w:t>4、养护运输车辆和驾驶员必须遵守《道路交通安全法》的相关规定，做到遵守交规、文明行车，严禁酒后驾车和无证驾车， 严禁逆向行驶、超高、超重、超速等行为发生。</w:t>
      </w:r>
    </w:p>
    <w:p>
      <w:pPr>
        <w:spacing w:line="340" w:lineRule="exact"/>
        <w:ind w:firstLine="420" w:firstLineChars="200"/>
        <w:rPr>
          <w:rFonts w:eastAsia="宋体"/>
          <w:sz w:val="21"/>
          <w:szCs w:val="21"/>
        </w:rPr>
      </w:pPr>
      <w:r>
        <w:rPr>
          <w:rFonts w:eastAsia="宋体"/>
          <w:sz w:val="21"/>
          <w:szCs w:val="21"/>
        </w:rPr>
        <w:t xml:space="preserve">5、使用绿篱机、割灌机、草坪机作业前，必须仔细了解各机具的性能、使用方法、注意事项，正确、安全操作，专人使用，定期保养。使用时前端刀片不得向人，注意避让电线，刀片不得有意切割铁丝、石块等坚硬物体，以免硬物崩弹伤人、伤物。 </w:t>
      </w:r>
    </w:p>
    <w:p>
      <w:pPr>
        <w:spacing w:line="340" w:lineRule="exact"/>
        <w:ind w:firstLine="420" w:firstLineChars="200"/>
        <w:rPr>
          <w:rFonts w:eastAsia="宋体"/>
          <w:sz w:val="21"/>
          <w:szCs w:val="21"/>
        </w:rPr>
      </w:pPr>
      <w:r>
        <w:rPr>
          <w:rFonts w:eastAsia="宋体"/>
          <w:sz w:val="21"/>
          <w:szCs w:val="21"/>
        </w:rPr>
        <w:t>6、喷洒农药时间尽量避开人流高峰，尤其是繁华路段，注意不要喷及行人和沿街店铺。</w:t>
      </w:r>
    </w:p>
    <w:p>
      <w:pPr>
        <w:spacing w:line="340" w:lineRule="exact"/>
        <w:ind w:firstLine="420" w:firstLineChars="200"/>
        <w:rPr>
          <w:rFonts w:eastAsia="宋体"/>
          <w:sz w:val="21"/>
          <w:szCs w:val="21"/>
        </w:rPr>
      </w:pPr>
      <w:r>
        <w:rPr>
          <w:rFonts w:eastAsia="宋体"/>
          <w:sz w:val="21"/>
          <w:szCs w:val="21"/>
        </w:rPr>
        <w:t>7、各类工具、机械使用时若发现声音失常、发出焦味等明显故障时，应立即停止使用，查明原因，及时维修。</w:t>
      </w:r>
    </w:p>
    <w:p>
      <w:pPr>
        <w:spacing w:line="340" w:lineRule="exact"/>
        <w:ind w:firstLine="420" w:firstLineChars="200"/>
        <w:rPr>
          <w:rFonts w:eastAsia="宋体"/>
          <w:sz w:val="21"/>
          <w:szCs w:val="21"/>
        </w:rPr>
      </w:pPr>
      <w:r>
        <w:rPr>
          <w:rFonts w:eastAsia="宋体"/>
          <w:sz w:val="21"/>
          <w:szCs w:val="21"/>
        </w:rPr>
        <w:t>8、高空现场作业人员要配戴安全帽，作业范围要设置安全警示牌，提醒行人车辆不要进入作业区，作业时要注意树下行人和车辆安全，以免树枝下落时伤人或损坏公私财物，必要时取得交警的配合。主街道修剪要设置明显安全标志，工人穿着警示服装。</w:t>
      </w:r>
    </w:p>
    <w:p>
      <w:pPr>
        <w:spacing w:line="340" w:lineRule="exact"/>
        <w:ind w:firstLine="420" w:firstLineChars="200"/>
        <w:rPr>
          <w:rFonts w:eastAsia="宋体"/>
          <w:sz w:val="21"/>
          <w:szCs w:val="21"/>
        </w:rPr>
      </w:pPr>
      <w:r>
        <w:rPr>
          <w:rFonts w:eastAsia="宋体"/>
          <w:sz w:val="21"/>
          <w:szCs w:val="21"/>
        </w:rPr>
        <w:t>9、使用竹梯上树修枝，竹梯要有足够长度，依靠枝条时须先检查其牢度，竹梯置放要有安全的倾斜角度，一般跟地面成45度左右为宜，梯脚要包防滑材料。</w:t>
      </w:r>
    </w:p>
    <w:p>
      <w:pPr>
        <w:spacing w:line="340" w:lineRule="exact"/>
        <w:ind w:firstLine="420" w:firstLineChars="200"/>
        <w:rPr>
          <w:rFonts w:eastAsia="宋体"/>
          <w:sz w:val="21"/>
          <w:szCs w:val="21"/>
        </w:rPr>
      </w:pPr>
      <w:r>
        <w:rPr>
          <w:rFonts w:eastAsia="宋体"/>
          <w:sz w:val="21"/>
          <w:szCs w:val="21"/>
        </w:rPr>
        <w:t>10、冬季管理中严禁管理人员发生吸烟、用火等不安全行为，以防发生火灾，同时对绿地中用火人员进行劝导。</w:t>
      </w:r>
    </w:p>
    <w:p>
      <w:pPr>
        <w:spacing w:line="340" w:lineRule="exact"/>
        <w:ind w:firstLine="420" w:firstLineChars="200"/>
        <w:rPr>
          <w:rFonts w:eastAsia="宋体"/>
          <w:sz w:val="21"/>
          <w:szCs w:val="21"/>
        </w:rPr>
      </w:pPr>
      <w:r>
        <w:rPr>
          <w:rFonts w:eastAsia="宋体"/>
          <w:sz w:val="21"/>
          <w:szCs w:val="21"/>
        </w:rPr>
        <w:t>11、在养护管理中发生养护人员或其他人员人身伤害和财产损坏，应立即救治伤员，并及时报告有关部门及上级领导。</w:t>
      </w:r>
    </w:p>
    <w:p>
      <w:pPr>
        <w:spacing w:line="340" w:lineRule="exact"/>
        <w:ind w:firstLine="420" w:firstLineChars="200"/>
        <w:rPr>
          <w:rFonts w:eastAsia="宋体"/>
          <w:sz w:val="21"/>
          <w:szCs w:val="21"/>
        </w:rPr>
      </w:pPr>
      <w:r>
        <w:rPr>
          <w:rFonts w:eastAsia="宋体"/>
          <w:sz w:val="21"/>
          <w:szCs w:val="21"/>
        </w:rPr>
        <w:t>二、考核期限</w:t>
      </w:r>
    </w:p>
    <w:p>
      <w:pPr>
        <w:spacing w:line="340" w:lineRule="exact"/>
        <w:ind w:firstLine="420" w:firstLineChars="200"/>
        <w:rPr>
          <w:rFonts w:eastAsia="宋体"/>
          <w:sz w:val="21"/>
          <w:szCs w:val="21"/>
        </w:rPr>
      </w:pPr>
      <w:r>
        <w:rPr>
          <w:rFonts w:eastAsia="宋体"/>
          <w:sz w:val="21"/>
          <w:szCs w:val="21"/>
        </w:rPr>
        <w:t>考核期为</w:t>
      </w:r>
      <w:r>
        <w:rPr>
          <w:rFonts w:eastAsia="宋体"/>
          <w:sz w:val="21"/>
          <w:szCs w:val="21"/>
          <w:u w:val="single"/>
        </w:rPr>
        <w:t>201</w:t>
      </w:r>
      <w:r>
        <w:rPr>
          <w:rFonts w:hint="eastAsia"/>
          <w:sz w:val="21"/>
          <w:szCs w:val="21"/>
          <w:u w:val="single"/>
          <w:lang w:val="en-US" w:eastAsia="zh-CN"/>
        </w:rPr>
        <w:t>8</w:t>
      </w:r>
      <w:r>
        <w:rPr>
          <w:rFonts w:eastAsia="宋体"/>
          <w:sz w:val="21"/>
          <w:szCs w:val="21"/>
        </w:rPr>
        <w:t>年</w:t>
      </w:r>
      <w:r>
        <w:rPr>
          <w:rFonts w:hint="eastAsia"/>
          <w:sz w:val="21"/>
          <w:szCs w:val="21"/>
          <w:u w:val="single"/>
          <w:lang w:val="en-US" w:eastAsia="zh-CN"/>
        </w:rPr>
        <w:t xml:space="preserve">    </w:t>
      </w:r>
      <w:r>
        <w:rPr>
          <w:rFonts w:eastAsia="宋体"/>
          <w:sz w:val="21"/>
          <w:szCs w:val="21"/>
        </w:rPr>
        <w:t>月</w:t>
      </w:r>
      <w:r>
        <w:rPr>
          <w:rFonts w:eastAsia="宋体"/>
          <w:sz w:val="21"/>
          <w:szCs w:val="21"/>
          <w:u w:val="single"/>
        </w:rPr>
        <w:t xml:space="preserve">   </w:t>
      </w:r>
      <w:r>
        <w:rPr>
          <w:rFonts w:eastAsia="宋体"/>
          <w:sz w:val="21"/>
          <w:szCs w:val="21"/>
        </w:rPr>
        <w:t>日至</w:t>
      </w:r>
      <w:r>
        <w:rPr>
          <w:rFonts w:eastAsia="宋体"/>
          <w:sz w:val="21"/>
          <w:szCs w:val="21"/>
          <w:u w:val="single"/>
        </w:rPr>
        <w:t>201</w:t>
      </w:r>
      <w:r>
        <w:rPr>
          <w:rFonts w:hint="eastAsia"/>
          <w:sz w:val="21"/>
          <w:szCs w:val="21"/>
          <w:u w:val="single"/>
          <w:lang w:val="en-US" w:eastAsia="zh-CN"/>
        </w:rPr>
        <w:t>9</w:t>
      </w:r>
      <w:r>
        <w:rPr>
          <w:rFonts w:eastAsia="宋体"/>
          <w:sz w:val="21"/>
          <w:szCs w:val="21"/>
        </w:rPr>
        <w:t>年</w:t>
      </w:r>
      <w:r>
        <w:rPr>
          <w:rFonts w:eastAsia="宋体"/>
          <w:sz w:val="21"/>
          <w:szCs w:val="21"/>
          <w:u w:val="single"/>
        </w:rPr>
        <w:t xml:space="preserve"> </w:t>
      </w:r>
      <w:r>
        <w:rPr>
          <w:rFonts w:hint="eastAsia"/>
          <w:sz w:val="21"/>
          <w:szCs w:val="21"/>
          <w:u w:val="single"/>
          <w:lang w:val="en-US" w:eastAsia="zh-CN"/>
        </w:rPr>
        <w:t xml:space="preserve">  </w:t>
      </w:r>
      <w:r>
        <w:rPr>
          <w:rFonts w:eastAsia="宋体"/>
          <w:sz w:val="21"/>
          <w:szCs w:val="21"/>
          <w:u w:val="single"/>
        </w:rPr>
        <w:t xml:space="preserve"> </w:t>
      </w:r>
      <w:r>
        <w:rPr>
          <w:rFonts w:eastAsia="宋体"/>
          <w:sz w:val="21"/>
          <w:szCs w:val="21"/>
        </w:rPr>
        <w:t>月</w:t>
      </w:r>
      <w:r>
        <w:rPr>
          <w:rFonts w:eastAsia="宋体"/>
          <w:sz w:val="21"/>
          <w:szCs w:val="21"/>
          <w:u w:val="single"/>
        </w:rPr>
        <w:t xml:space="preserve">    </w:t>
      </w:r>
      <w:r>
        <w:rPr>
          <w:rFonts w:eastAsia="宋体"/>
          <w:sz w:val="21"/>
          <w:szCs w:val="21"/>
        </w:rPr>
        <w:t>日。</w:t>
      </w:r>
    </w:p>
    <w:p>
      <w:pPr>
        <w:spacing w:line="340" w:lineRule="exact"/>
        <w:ind w:firstLine="420" w:firstLineChars="200"/>
        <w:rPr>
          <w:rFonts w:eastAsia="宋体"/>
          <w:sz w:val="21"/>
          <w:szCs w:val="21"/>
        </w:rPr>
      </w:pPr>
      <w:r>
        <w:rPr>
          <w:rFonts w:eastAsia="宋体"/>
          <w:sz w:val="21"/>
          <w:szCs w:val="21"/>
        </w:rPr>
        <w:t>三、奖罚措施</w:t>
      </w:r>
    </w:p>
    <w:p>
      <w:pPr>
        <w:spacing w:line="340" w:lineRule="exact"/>
        <w:ind w:firstLine="420" w:firstLineChars="200"/>
        <w:rPr>
          <w:rFonts w:eastAsia="宋体"/>
          <w:sz w:val="21"/>
          <w:szCs w:val="21"/>
        </w:rPr>
      </w:pPr>
      <w:r>
        <w:rPr>
          <w:rFonts w:eastAsia="宋体"/>
          <w:sz w:val="21"/>
          <w:szCs w:val="21"/>
        </w:rPr>
        <w:t>考核合格单位通报表扬，因管理原因造成安全事故的公司和主管安全生产的负责人要作书面检讨，赔偿损失，并接受相应的处罚。</w:t>
      </w:r>
    </w:p>
    <w:p>
      <w:pPr>
        <w:spacing w:line="340" w:lineRule="exact"/>
        <w:ind w:firstLine="420" w:firstLineChars="200"/>
        <w:rPr>
          <w:rFonts w:eastAsia="宋体"/>
          <w:sz w:val="21"/>
          <w:szCs w:val="21"/>
        </w:rPr>
      </w:pPr>
      <w:r>
        <w:rPr>
          <w:rFonts w:eastAsia="宋体"/>
          <w:sz w:val="21"/>
          <w:szCs w:val="21"/>
        </w:rPr>
        <w:t>乙方在养护过程中，对游客的伤害及自身人员的伤害，均由乙方自行负责。</w:t>
      </w:r>
    </w:p>
    <w:p>
      <w:pPr>
        <w:pStyle w:val="6"/>
        <w:spacing w:line="500" w:lineRule="exact"/>
        <w:ind w:firstLine="420" w:firstLineChars="200"/>
        <w:jc w:val="left"/>
        <w:rPr>
          <w:rFonts w:ascii="Times New Roman" w:hAnsi="Times New Roman"/>
        </w:rPr>
      </w:pPr>
      <w:r>
        <w:rPr>
          <w:rFonts w:ascii="Times New Roman" w:hAnsi="Times New Roman"/>
        </w:rPr>
        <w:t>甲方单位：（盖章）　　　　　　　　                　　　乙方单位：（盖章）</w:t>
      </w:r>
    </w:p>
    <w:p>
      <w:pPr>
        <w:pStyle w:val="6"/>
        <w:spacing w:line="500" w:lineRule="exact"/>
        <w:ind w:firstLine="420" w:firstLineChars="200"/>
        <w:jc w:val="left"/>
        <w:rPr>
          <w:rFonts w:ascii="Times New Roman" w:hAnsi="Times New Roman"/>
        </w:rPr>
      </w:pPr>
      <w:r>
        <w:rPr>
          <w:rFonts w:ascii="Times New Roman" w:hAnsi="Times New Roman"/>
        </w:rPr>
        <w:t>法定代表人：　　　　　　　　　               　　　　　法定代表人：</w:t>
      </w:r>
    </w:p>
    <w:p>
      <w:pPr>
        <w:pStyle w:val="6"/>
        <w:spacing w:line="500" w:lineRule="exact"/>
        <w:ind w:firstLine="1260" w:firstLineChars="600"/>
        <w:jc w:val="left"/>
        <w:rPr>
          <w:rFonts w:ascii="Times New Roman" w:hAnsi="Times New Roman"/>
        </w:rPr>
      </w:pPr>
      <w:r>
        <w:rPr>
          <w:rFonts w:ascii="Times New Roman" w:hAnsi="Times New Roman"/>
        </w:rPr>
        <w:t>年</w:t>
      </w:r>
      <w:r>
        <w:rPr>
          <w:rFonts w:hint="eastAsia" w:ascii="Times New Roman" w:hAnsi="Times New Roman"/>
        </w:rPr>
        <w:t xml:space="preserve">  </w:t>
      </w:r>
      <w:r>
        <w:rPr>
          <w:rFonts w:ascii="Times New Roman" w:hAnsi="Times New Roman"/>
        </w:rPr>
        <w:t>　月</w:t>
      </w:r>
      <w:r>
        <w:rPr>
          <w:rFonts w:hint="eastAsia" w:ascii="Times New Roman" w:hAnsi="Times New Roman"/>
        </w:rPr>
        <w:t xml:space="preserve">  </w:t>
      </w:r>
      <w:r>
        <w:rPr>
          <w:rFonts w:ascii="Times New Roman" w:hAnsi="Times New Roman"/>
        </w:rPr>
        <w:t>　日　　　　　　　　　　　　　               　　年</w:t>
      </w:r>
      <w:r>
        <w:rPr>
          <w:rFonts w:hint="eastAsia" w:ascii="Times New Roman" w:hAnsi="Times New Roman"/>
        </w:rPr>
        <w:t xml:space="preserve">  </w:t>
      </w:r>
      <w:r>
        <w:rPr>
          <w:rFonts w:ascii="Times New Roman" w:hAnsi="Times New Roman"/>
        </w:rPr>
        <w:t>　月　</w:t>
      </w:r>
      <w:r>
        <w:rPr>
          <w:rFonts w:hint="eastAsia" w:ascii="Times New Roman" w:hAnsi="Times New Roman"/>
        </w:rPr>
        <w:t xml:space="preserve">  </w:t>
      </w:r>
      <w:r>
        <w:rPr>
          <w:rFonts w:ascii="Times New Roman" w:hAnsi="Times New Roman"/>
        </w:rPr>
        <w:t>日</w:t>
      </w:r>
    </w:p>
    <w:p>
      <w:pPr>
        <w:pStyle w:val="2"/>
        <w:jc w:val="both"/>
        <w:rPr>
          <w:rFonts w:hint="eastAsia" w:ascii="Times New Roman" w:hAnsi="Times New Roman"/>
          <w:lang w:val="en-US" w:eastAsia="zh-CN"/>
        </w:rPr>
      </w:pPr>
      <w:r>
        <w:rPr>
          <w:rFonts w:ascii="Times New Roman" w:hAnsi="Times New Roman"/>
        </w:rPr>
        <w:br w:type="page"/>
      </w:r>
      <w:r>
        <w:rPr>
          <w:rFonts w:hint="eastAsia" w:ascii="Times New Roman" w:hAnsi="Times New Roman"/>
          <w:sz w:val="21"/>
          <w:szCs w:val="21"/>
          <w:lang w:val="en-US" w:eastAsia="zh-CN"/>
        </w:rPr>
        <w:t>附件2：</w:t>
      </w:r>
    </w:p>
    <w:p>
      <w:pPr>
        <w:pStyle w:val="2"/>
        <w:jc w:val="center"/>
        <w:rPr>
          <w:rFonts w:ascii="Times New Roman" w:hAnsi="Times New Roman"/>
          <w:bCs/>
          <w:szCs w:val="18"/>
        </w:rPr>
      </w:pPr>
      <w:r>
        <w:rPr>
          <w:rFonts w:ascii="Times New Roman" w:hAnsi="Times New Roman"/>
        </w:rPr>
        <w:t>工程建设项目廉政责任书</w:t>
      </w:r>
      <w:bookmarkEnd w:id="142"/>
      <w:bookmarkEnd w:id="143"/>
      <w:bookmarkEnd w:id="144"/>
      <w:bookmarkEnd w:id="145"/>
    </w:p>
    <w:p>
      <w:pPr>
        <w:pStyle w:val="6"/>
        <w:ind w:firstLine="420" w:firstLineChars="200"/>
        <w:jc w:val="left"/>
        <w:rPr>
          <w:rFonts w:ascii="Times New Roman" w:hAnsi="Times New Roman"/>
        </w:rPr>
      </w:pPr>
      <w:r>
        <w:rPr>
          <w:rFonts w:ascii="Times New Roman" w:hAnsi="Times New Roman"/>
        </w:rPr>
        <w:t>工程项目名称：</w:t>
      </w:r>
      <w:r>
        <w:rPr>
          <w:rFonts w:hint="eastAsia" w:ascii="Times New Roman" w:hAnsi="Times New Roman"/>
          <w:szCs w:val="21"/>
          <w:u w:val="single"/>
          <w:lang w:eastAsia="zh-CN"/>
        </w:rPr>
        <w:t xml:space="preserve">玉环海洋经济转型升级示范区绿化养护工程（茶山路、永清路、靖海路等） </w:t>
      </w:r>
    </w:p>
    <w:p>
      <w:pPr>
        <w:pStyle w:val="6"/>
        <w:ind w:firstLine="420" w:firstLineChars="200"/>
        <w:jc w:val="left"/>
        <w:rPr>
          <w:rFonts w:ascii="Times New Roman" w:hAnsi="Times New Roman"/>
          <w:szCs w:val="21"/>
          <w:u w:val="single"/>
        </w:rPr>
      </w:pPr>
      <w:r>
        <w:rPr>
          <w:rFonts w:ascii="Times New Roman" w:hAnsi="Times New Roman"/>
        </w:rPr>
        <w:t>工程项目地址：</w:t>
      </w:r>
      <w:r>
        <w:rPr>
          <w:rFonts w:hint="eastAsia" w:ascii="Times New Roman" w:hAnsi="Times New Roman"/>
          <w:u w:val="single"/>
        </w:rPr>
        <w:t>玉环海洋经济转型升级示范区</w:t>
      </w:r>
    </w:p>
    <w:p>
      <w:pPr>
        <w:pStyle w:val="6"/>
        <w:ind w:firstLine="420" w:firstLineChars="200"/>
        <w:jc w:val="left"/>
        <w:rPr>
          <w:rFonts w:ascii="Times New Roman" w:hAnsi="Times New Roman"/>
          <w:szCs w:val="21"/>
          <w:u w:val="single"/>
        </w:rPr>
      </w:pPr>
      <w:r>
        <w:rPr>
          <w:rFonts w:ascii="Times New Roman" w:hAnsi="Times New Roman"/>
        </w:rPr>
        <w:t>发包人（甲方）：</w:t>
      </w:r>
      <w:r>
        <w:rPr>
          <w:rFonts w:hint="eastAsia" w:ascii="Times New Roman" w:hAnsi="Times New Roman"/>
          <w:szCs w:val="21"/>
          <w:u w:val="single"/>
          <w:lang w:eastAsia="zh-CN"/>
        </w:rPr>
        <w:t>玉环海洋经济开发投资有限公司</w:t>
      </w:r>
    </w:p>
    <w:p>
      <w:pPr>
        <w:pStyle w:val="6"/>
        <w:ind w:firstLine="420" w:firstLineChars="200"/>
        <w:jc w:val="left"/>
        <w:rPr>
          <w:rFonts w:ascii="Times New Roman" w:hAnsi="Times New Roman"/>
        </w:rPr>
      </w:pPr>
      <w:r>
        <w:rPr>
          <w:rFonts w:ascii="Times New Roman" w:hAnsi="Times New Roman"/>
        </w:rPr>
        <w:t>施工单位（乙方）：</w:t>
      </w:r>
      <w:r>
        <w:rPr>
          <w:rFonts w:ascii="Times New Roman" w:hAnsi="Times New Roman"/>
          <w:u w:val="single"/>
        </w:rPr>
        <w:t xml:space="preserve">                                  </w:t>
      </w:r>
    </w:p>
    <w:p>
      <w:pPr>
        <w:pStyle w:val="6"/>
        <w:ind w:firstLine="420" w:firstLineChars="200"/>
        <w:jc w:val="left"/>
        <w:rPr>
          <w:rFonts w:ascii="Times New Roman" w:hAnsi="Times New Roman"/>
        </w:rPr>
      </w:pPr>
      <w:r>
        <w:rPr>
          <w:rFonts w:ascii="Times New Roman" w:hAnsi="Times New Roman"/>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pPr>
        <w:pStyle w:val="6"/>
        <w:jc w:val="left"/>
        <w:rPr>
          <w:rFonts w:ascii="Times New Roman" w:hAnsi="Times New Roman"/>
        </w:rPr>
      </w:pPr>
      <w:r>
        <w:rPr>
          <w:rFonts w:ascii="Times New Roman" w:hAnsi="Times New Roman"/>
        </w:rPr>
        <w:t>　　第一条 甲乙双方的责任</w:t>
      </w:r>
    </w:p>
    <w:p>
      <w:pPr>
        <w:pStyle w:val="6"/>
        <w:jc w:val="left"/>
        <w:rPr>
          <w:rFonts w:ascii="Times New Roman" w:hAnsi="Times New Roman"/>
        </w:rPr>
      </w:pPr>
      <w:r>
        <w:rPr>
          <w:rFonts w:ascii="Times New Roman" w:hAnsi="Times New Roman"/>
        </w:rPr>
        <w:t>　　（一）应严格遵守国家关于市场准入、项目招标投标、工程建设、施工安装和市场活动等有关法律、法规，相关政策，以及廉政建设的各项规定。</w:t>
      </w:r>
    </w:p>
    <w:p>
      <w:pPr>
        <w:pStyle w:val="6"/>
        <w:jc w:val="left"/>
        <w:rPr>
          <w:rFonts w:ascii="Times New Roman" w:hAnsi="Times New Roman"/>
        </w:rPr>
      </w:pPr>
      <w:r>
        <w:rPr>
          <w:rFonts w:ascii="Times New Roman" w:hAnsi="Times New Roman"/>
        </w:rPr>
        <w:t>　　（二）严格执行建设工程项目承发包合同文件，自觉按合同办事。</w:t>
      </w:r>
    </w:p>
    <w:p>
      <w:pPr>
        <w:pStyle w:val="6"/>
        <w:jc w:val="left"/>
        <w:rPr>
          <w:rFonts w:ascii="Times New Roman" w:hAnsi="Times New Roman"/>
        </w:rPr>
      </w:pPr>
      <w:r>
        <w:rPr>
          <w:rFonts w:ascii="Times New Roman" w:hAnsi="Times New Roman"/>
        </w:rPr>
        <w:t>　　（三）业务活动必须坚持公开、公平、公正、诚信、透明的原则（除法律法规另有规定者外），不得为获取不正当的利益，损害国家、集体和对方利益，不得违反工程建设管理、施工安装的规章制度。</w:t>
      </w:r>
    </w:p>
    <w:p>
      <w:pPr>
        <w:pStyle w:val="6"/>
        <w:jc w:val="left"/>
        <w:rPr>
          <w:rFonts w:ascii="Times New Roman" w:hAnsi="Times New Roman"/>
        </w:rPr>
      </w:pPr>
      <w:r>
        <w:rPr>
          <w:rFonts w:ascii="Times New Roman" w:hAnsi="Times New Roman"/>
        </w:rPr>
        <w:t>　　（四）发现对方在业务活动中有违规、违纪、违法行为的，应及时提醒对方，情节严重的，应向其上级主管部门或纪检监察、司法等有关机关举报。</w:t>
      </w:r>
    </w:p>
    <w:p>
      <w:pPr>
        <w:pStyle w:val="6"/>
        <w:jc w:val="left"/>
        <w:rPr>
          <w:rFonts w:ascii="Times New Roman" w:hAnsi="Times New Roman"/>
        </w:rPr>
      </w:pPr>
      <w:r>
        <w:rPr>
          <w:rFonts w:ascii="Times New Roman" w:hAnsi="Times New Roman"/>
        </w:rPr>
        <w:t>　　第二条 甲方的责任</w:t>
      </w:r>
    </w:p>
    <w:p>
      <w:pPr>
        <w:pStyle w:val="6"/>
        <w:jc w:val="left"/>
        <w:rPr>
          <w:rFonts w:ascii="Times New Roman" w:hAnsi="Times New Roman"/>
        </w:rPr>
      </w:pPr>
      <w:r>
        <w:rPr>
          <w:rFonts w:ascii="Times New Roman" w:hAnsi="Times New Roman"/>
        </w:rPr>
        <w:t>　　甲方的领导和从事该建设工程项目的工作人员，在工程建设的事前、事中、事后应遵守以下规定：</w:t>
      </w:r>
    </w:p>
    <w:p>
      <w:pPr>
        <w:pStyle w:val="6"/>
        <w:jc w:val="left"/>
        <w:rPr>
          <w:rFonts w:ascii="Times New Roman" w:hAnsi="Times New Roman"/>
        </w:rPr>
      </w:pPr>
      <w:r>
        <w:rPr>
          <w:rFonts w:ascii="Times New Roman" w:hAnsi="Times New Roman"/>
        </w:rPr>
        <w:t>　　（一）不准向乙方和相关单位索要或接受回扣、礼金、有价证券、贵重物品和好处费、感谢费等。</w:t>
      </w:r>
    </w:p>
    <w:p>
      <w:pPr>
        <w:pStyle w:val="6"/>
        <w:jc w:val="left"/>
        <w:rPr>
          <w:rFonts w:ascii="Times New Roman" w:hAnsi="Times New Roman"/>
        </w:rPr>
      </w:pPr>
      <w:r>
        <w:rPr>
          <w:rFonts w:ascii="Times New Roman" w:hAnsi="Times New Roman"/>
        </w:rPr>
        <w:t>　　（二）不准在乙方和相关单位报销任何应由甲方或个人支付的费用。</w:t>
      </w:r>
    </w:p>
    <w:p>
      <w:pPr>
        <w:pStyle w:val="6"/>
        <w:jc w:val="left"/>
        <w:rPr>
          <w:rFonts w:ascii="Times New Roman" w:hAnsi="Times New Roman"/>
        </w:rPr>
      </w:pPr>
      <w:r>
        <w:rPr>
          <w:rFonts w:ascii="Times New Roman" w:hAnsi="Times New Roman"/>
        </w:rPr>
        <w:t>　　（三）不准要求、暗示和接受乙方和相关单位为个人装修住房、婚丧嫁娶、配偶子女的工作安排以及出国（境）、旅游等提供方便。</w:t>
      </w:r>
    </w:p>
    <w:p>
      <w:pPr>
        <w:pStyle w:val="6"/>
        <w:jc w:val="left"/>
        <w:rPr>
          <w:rFonts w:ascii="Times New Roman" w:hAnsi="Times New Roman"/>
        </w:rPr>
      </w:pPr>
      <w:r>
        <w:rPr>
          <w:rFonts w:ascii="Times New Roman" w:hAnsi="Times New Roman"/>
        </w:rPr>
        <w:t>　　（四）不准参加有可能影响公正执行公务的乙方和相关单位的宴请和健身、娱乐等活动。</w:t>
      </w:r>
    </w:p>
    <w:p>
      <w:pPr>
        <w:pStyle w:val="6"/>
        <w:jc w:val="left"/>
        <w:rPr>
          <w:rFonts w:ascii="Times New Roman" w:hAnsi="Times New Roman"/>
        </w:rPr>
      </w:pPr>
      <w:r>
        <w:rPr>
          <w:rFonts w:ascii="Times New Roman" w:hAnsi="Times New Roman"/>
        </w:rPr>
        <w:t>　　（五）不准向乙方介绍或为配偶、子女、亲属参与同甲方项目工程施工合同有关的设备、材料、工程分包、劳务等经济活动。不得以任何理由向乙方和相关单位推荐分包单位和要求乙方购买项目工程施工合同规定以外的材料、设备等。</w:t>
      </w:r>
    </w:p>
    <w:p>
      <w:pPr>
        <w:pStyle w:val="6"/>
        <w:jc w:val="left"/>
        <w:rPr>
          <w:rFonts w:ascii="Times New Roman" w:hAnsi="Times New Roman"/>
        </w:rPr>
      </w:pPr>
      <w:r>
        <w:rPr>
          <w:rFonts w:ascii="Times New Roman" w:hAnsi="Times New Roman"/>
        </w:rPr>
        <w:t>　　第三条 乙方的责任</w:t>
      </w:r>
    </w:p>
    <w:p>
      <w:pPr>
        <w:pStyle w:val="6"/>
        <w:jc w:val="left"/>
        <w:rPr>
          <w:rFonts w:ascii="Times New Roman" w:hAnsi="Times New Roman"/>
        </w:rPr>
      </w:pPr>
      <w:r>
        <w:rPr>
          <w:rFonts w:ascii="Times New Roman" w:hAnsi="Times New Roman"/>
        </w:rPr>
        <w:t>　　应与甲方保持正常的业务交往，按照有关法律法规和程序开展业务工作，严格执行工程建设的有关方针、政策，尤其是有关建筑施工安装的强制性标准和规范，并遵守以下规定：</w:t>
      </w:r>
    </w:p>
    <w:p>
      <w:pPr>
        <w:pStyle w:val="6"/>
        <w:jc w:val="left"/>
        <w:rPr>
          <w:rFonts w:ascii="Times New Roman" w:hAnsi="Times New Roman"/>
        </w:rPr>
      </w:pPr>
      <w:r>
        <w:rPr>
          <w:rFonts w:ascii="Times New Roman" w:hAnsi="Times New Roman"/>
        </w:rPr>
        <w:t>　　（一）不准以任何理由向甲方、相关单位及其工作人员索要、接受或赠送礼金、有价证券、贵重物品和回扣、好处费、感谢费等。</w:t>
      </w:r>
    </w:p>
    <w:p>
      <w:pPr>
        <w:pStyle w:val="6"/>
        <w:jc w:val="left"/>
        <w:rPr>
          <w:rFonts w:ascii="Times New Roman" w:hAnsi="Times New Roman"/>
        </w:rPr>
      </w:pPr>
      <w:r>
        <w:rPr>
          <w:rFonts w:ascii="Times New Roman" w:hAnsi="Times New Roman"/>
        </w:rPr>
        <w:t>　　（二）不准以任何理由为甲方和相关单位报销应由对方或个人支付的费用。</w:t>
      </w:r>
    </w:p>
    <w:p>
      <w:pPr>
        <w:pStyle w:val="6"/>
        <w:jc w:val="left"/>
        <w:rPr>
          <w:rFonts w:ascii="Times New Roman" w:hAnsi="Times New Roman"/>
        </w:rPr>
      </w:pPr>
      <w:r>
        <w:rPr>
          <w:rFonts w:ascii="Times New Roman" w:hAnsi="Times New Roman"/>
        </w:rPr>
        <w:t>　　（三）不准接受或暗示为甲方、相关单位或个人装修住房、婚丧嫁娶、配偶子女的工作安排以及出国（境）、旅游等提供方便。</w:t>
      </w:r>
    </w:p>
    <w:p>
      <w:pPr>
        <w:pStyle w:val="6"/>
        <w:jc w:val="left"/>
        <w:rPr>
          <w:rFonts w:ascii="Times New Roman" w:hAnsi="Times New Roman"/>
        </w:rPr>
      </w:pPr>
      <w:r>
        <w:rPr>
          <w:rFonts w:ascii="Times New Roman" w:hAnsi="Times New Roman"/>
        </w:rPr>
        <w:t>　　（四）不准以任何理由为甲方、相关单位或个人组织有可能影响公正执行公务的宴请、健身、娱乐等活动。</w:t>
      </w:r>
    </w:p>
    <w:p>
      <w:pPr>
        <w:pStyle w:val="6"/>
        <w:jc w:val="left"/>
        <w:rPr>
          <w:rFonts w:ascii="Times New Roman" w:hAnsi="Times New Roman"/>
        </w:rPr>
      </w:pPr>
      <w:r>
        <w:rPr>
          <w:rFonts w:ascii="Times New Roman" w:hAnsi="Times New Roman"/>
        </w:rPr>
        <w:t>　　第四条 违约责任</w:t>
      </w:r>
    </w:p>
    <w:p>
      <w:pPr>
        <w:pStyle w:val="6"/>
        <w:jc w:val="left"/>
        <w:rPr>
          <w:rFonts w:ascii="Times New Roman" w:hAnsi="Times New Roman"/>
        </w:rPr>
      </w:pPr>
      <w:r>
        <w:rPr>
          <w:rFonts w:ascii="Times New Roman" w:hAnsi="Times New Roman"/>
        </w:rPr>
        <w:t>　　（一）甲方工作人员有违反本责任书第一、二条责任行为的，按照管理权限，依据有关法律法规和规定给予党纪、政纪处分或组织处理；涉嫌犯罪的，移交司法机关追究刑事责任；给乙方单位造成经济损失的，应予以赔偿。</w:t>
      </w:r>
    </w:p>
    <w:p>
      <w:pPr>
        <w:pStyle w:val="6"/>
        <w:jc w:val="left"/>
        <w:rPr>
          <w:rFonts w:ascii="Times New Roman" w:hAnsi="Times New Roman"/>
        </w:rPr>
      </w:pPr>
      <w:r>
        <w:rPr>
          <w:rFonts w:ascii="Times New Roman" w:hAnsi="Times New Roman"/>
        </w:rPr>
        <w:t>　　（二）乙方工作人员有违反本责任书第一、三条责任行为的，按照管理权限，依据有关法律法规和规定给予党纪、政纪处分或组织处理；涉嫌犯罪的，移交司法机关追究刑事责任；给甲方单位造成经济损失的，应予以赔偿。</w:t>
      </w:r>
    </w:p>
    <w:p>
      <w:pPr>
        <w:pStyle w:val="6"/>
        <w:jc w:val="left"/>
        <w:rPr>
          <w:rFonts w:ascii="Times New Roman" w:hAnsi="Times New Roman"/>
        </w:rPr>
      </w:pPr>
      <w:r>
        <w:rPr>
          <w:rFonts w:ascii="Times New Roman" w:hAnsi="Times New Roman"/>
        </w:rPr>
        <w:t>　　第五条 本责任书作为工程施工合同的附件，与工程施工合同具有同等法律效力。经双方签署后立即生效。</w:t>
      </w:r>
    </w:p>
    <w:p>
      <w:pPr>
        <w:pStyle w:val="6"/>
        <w:jc w:val="left"/>
        <w:rPr>
          <w:rFonts w:ascii="Times New Roman" w:hAnsi="Times New Roman"/>
        </w:rPr>
      </w:pPr>
      <w:r>
        <w:rPr>
          <w:rFonts w:ascii="Times New Roman" w:hAnsi="Times New Roman"/>
        </w:rPr>
        <w:t>　　第六条 本责任书的有效期为双方签署之日起至该工程项目竣工验收合格时止。</w:t>
      </w:r>
    </w:p>
    <w:p>
      <w:pPr>
        <w:pStyle w:val="6"/>
        <w:jc w:val="left"/>
        <w:rPr>
          <w:rFonts w:ascii="Times New Roman" w:hAnsi="Times New Roman"/>
        </w:rPr>
      </w:pPr>
      <w:r>
        <w:rPr>
          <w:rFonts w:ascii="Times New Roman" w:hAnsi="Times New Roman"/>
        </w:rPr>
        <w:t>　　第七条 本责任书一式四份，由甲乙双方各执一份，送交甲乙双方的监督单位各一份。</w:t>
      </w:r>
    </w:p>
    <w:p>
      <w:pPr>
        <w:pStyle w:val="6"/>
        <w:jc w:val="left"/>
        <w:rPr>
          <w:rFonts w:ascii="Times New Roman" w:hAnsi="Times New Roman"/>
        </w:rPr>
      </w:pPr>
    </w:p>
    <w:p>
      <w:pPr>
        <w:pStyle w:val="6"/>
        <w:jc w:val="left"/>
        <w:rPr>
          <w:rFonts w:ascii="Times New Roman" w:hAnsi="Times New Roman"/>
        </w:rPr>
      </w:pPr>
    </w:p>
    <w:p>
      <w:pPr>
        <w:pStyle w:val="6"/>
        <w:spacing w:line="500" w:lineRule="exact"/>
        <w:ind w:firstLine="420" w:firstLineChars="200"/>
        <w:jc w:val="left"/>
        <w:rPr>
          <w:rFonts w:ascii="Times New Roman" w:hAnsi="Times New Roman"/>
        </w:rPr>
      </w:pPr>
      <w:r>
        <w:rPr>
          <w:rFonts w:ascii="Times New Roman" w:hAnsi="Times New Roman"/>
        </w:rPr>
        <w:t>甲方单位：（盖章）　　　　　　　　                　　　乙方单位：（盖章）</w:t>
      </w:r>
    </w:p>
    <w:p>
      <w:pPr>
        <w:pStyle w:val="6"/>
        <w:spacing w:line="500" w:lineRule="exact"/>
        <w:ind w:firstLine="420" w:firstLineChars="200"/>
        <w:jc w:val="left"/>
        <w:rPr>
          <w:rFonts w:ascii="Times New Roman" w:hAnsi="Times New Roman"/>
        </w:rPr>
      </w:pPr>
      <w:r>
        <w:rPr>
          <w:rFonts w:ascii="Times New Roman" w:hAnsi="Times New Roman"/>
        </w:rPr>
        <w:t>法定代表人：　　　　　　　　　               　　　　　法定代表人：</w:t>
      </w:r>
    </w:p>
    <w:p>
      <w:pPr>
        <w:pStyle w:val="6"/>
        <w:spacing w:line="500" w:lineRule="exact"/>
        <w:ind w:firstLine="420" w:firstLineChars="200"/>
        <w:jc w:val="left"/>
        <w:rPr>
          <w:rFonts w:ascii="Times New Roman" w:hAnsi="Times New Roman"/>
        </w:rPr>
      </w:pPr>
      <w:r>
        <w:rPr>
          <w:rFonts w:ascii="Times New Roman" w:hAnsi="Times New Roman"/>
        </w:rPr>
        <w:t>地址：　　　　　　　　　　　　　               　　　　地址：</w:t>
      </w:r>
    </w:p>
    <w:p>
      <w:pPr>
        <w:pStyle w:val="6"/>
        <w:spacing w:line="500" w:lineRule="exact"/>
        <w:ind w:firstLine="420" w:firstLineChars="200"/>
        <w:jc w:val="left"/>
        <w:rPr>
          <w:rFonts w:ascii="Times New Roman" w:hAnsi="Times New Roman"/>
        </w:rPr>
      </w:pPr>
      <w:r>
        <w:rPr>
          <w:rFonts w:ascii="Times New Roman" w:hAnsi="Times New Roman"/>
        </w:rPr>
        <w:t>电话：　　　　　　　　　　　　　　　               　　电话：</w:t>
      </w:r>
    </w:p>
    <w:p>
      <w:pPr>
        <w:pStyle w:val="6"/>
        <w:spacing w:line="500" w:lineRule="exact"/>
        <w:ind w:firstLine="1260" w:firstLineChars="600"/>
        <w:jc w:val="left"/>
        <w:rPr>
          <w:rFonts w:ascii="Times New Roman" w:hAnsi="Times New Roman"/>
        </w:rPr>
      </w:pPr>
      <w:r>
        <w:rPr>
          <w:rFonts w:ascii="Times New Roman" w:hAnsi="Times New Roman"/>
        </w:rPr>
        <w:t>年</w:t>
      </w:r>
      <w:r>
        <w:rPr>
          <w:rFonts w:hint="eastAsia" w:ascii="Times New Roman" w:hAnsi="Times New Roman"/>
        </w:rPr>
        <w:t xml:space="preserve">  </w:t>
      </w:r>
      <w:r>
        <w:rPr>
          <w:rFonts w:ascii="Times New Roman" w:hAnsi="Times New Roman"/>
        </w:rPr>
        <w:t>　月</w:t>
      </w:r>
      <w:r>
        <w:rPr>
          <w:rFonts w:hint="eastAsia" w:ascii="Times New Roman" w:hAnsi="Times New Roman"/>
        </w:rPr>
        <w:t xml:space="preserve">  </w:t>
      </w:r>
      <w:r>
        <w:rPr>
          <w:rFonts w:ascii="Times New Roman" w:hAnsi="Times New Roman"/>
        </w:rPr>
        <w:t>　日　　　　　　　　　　　　　               　　年</w:t>
      </w:r>
      <w:r>
        <w:rPr>
          <w:rFonts w:hint="eastAsia" w:ascii="Times New Roman" w:hAnsi="Times New Roman"/>
        </w:rPr>
        <w:t xml:space="preserve">  </w:t>
      </w:r>
      <w:r>
        <w:rPr>
          <w:rFonts w:ascii="Times New Roman" w:hAnsi="Times New Roman"/>
        </w:rPr>
        <w:t>　月　</w:t>
      </w:r>
      <w:r>
        <w:rPr>
          <w:rFonts w:hint="eastAsia" w:ascii="Times New Roman" w:hAnsi="Times New Roman"/>
        </w:rPr>
        <w:t xml:space="preserve">  </w:t>
      </w:r>
      <w:r>
        <w:rPr>
          <w:rFonts w:ascii="Times New Roman" w:hAnsi="Times New Roman"/>
        </w:rPr>
        <w:t>日</w:t>
      </w:r>
    </w:p>
    <w:p>
      <w:pPr>
        <w:rPr>
          <w:rFonts w:hint="eastAsia"/>
        </w:rPr>
      </w:pPr>
      <w:r>
        <w:rPr>
          <w:rFonts w:hint="eastAsia"/>
        </w:rPr>
        <w:t>附件</w:t>
      </w:r>
      <w:r>
        <w:rPr>
          <w:rFonts w:hint="eastAsia"/>
          <w:lang w:val="en-US" w:eastAsia="zh-CN"/>
        </w:rPr>
        <w:t>3</w:t>
      </w:r>
      <w:r>
        <w:rPr>
          <w:rFonts w:hint="eastAsia"/>
        </w:rPr>
        <w:t>：</w:t>
      </w:r>
    </w:p>
    <w:p>
      <w:pPr>
        <w:jc w:val="center"/>
        <w:rPr>
          <w:rFonts w:hint="eastAsia"/>
          <w:b/>
          <w:bCs/>
          <w:sz w:val="30"/>
          <w:szCs w:val="30"/>
        </w:rPr>
      </w:pPr>
      <w:r>
        <w:rPr>
          <w:rFonts w:hint="eastAsia"/>
          <w:b/>
          <w:bCs/>
          <w:sz w:val="30"/>
          <w:szCs w:val="30"/>
        </w:rPr>
        <w:t>绿化</w:t>
      </w:r>
      <w:r>
        <w:rPr>
          <w:rFonts w:hint="eastAsia"/>
          <w:b/>
          <w:bCs/>
          <w:sz w:val="30"/>
          <w:szCs w:val="30"/>
          <w:lang w:eastAsia="zh-CN"/>
        </w:rPr>
        <w:t>养护项目</w:t>
      </w:r>
      <w:r>
        <w:rPr>
          <w:rFonts w:hint="eastAsia"/>
          <w:b/>
          <w:bCs/>
          <w:sz w:val="30"/>
          <w:szCs w:val="30"/>
        </w:rPr>
        <w:t>工作与考核要求</w:t>
      </w:r>
    </w:p>
    <w:p>
      <w:pPr>
        <w:spacing w:line="480" w:lineRule="auto"/>
        <w:jc w:val="left"/>
        <w:rPr>
          <w:rFonts w:hint="eastAsia"/>
          <w:b/>
          <w:sz w:val="24"/>
        </w:rPr>
      </w:pPr>
      <w:r>
        <w:rPr>
          <w:rFonts w:hint="eastAsia"/>
          <w:b/>
          <w:sz w:val="24"/>
        </w:rPr>
        <w:t>一、工作要求</w:t>
      </w:r>
    </w:p>
    <w:p>
      <w:pPr>
        <w:spacing w:line="480" w:lineRule="auto"/>
        <w:jc w:val="left"/>
        <w:rPr>
          <w:rFonts w:hint="eastAsia"/>
          <w:b/>
          <w:sz w:val="24"/>
        </w:rPr>
      </w:pPr>
      <w:r>
        <w:rPr>
          <w:rFonts w:hint="eastAsia"/>
          <w:b/>
          <w:sz w:val="24"/>
        </w:rPr>
        <w:t xml:space="preserve"> （一）、园林绿地</w:t>
      </w:r>
    </w:p>
    <w:p>
      <w:pPr>
        <w:spacing w:line="480" w:lineRule="auto"/>
        <w:jc w:val="left"/>
        <w:rPr>
          <w:rFonts w:hint="eastAsia" w:ascii="宋体" w:hAnsi="宋体"/>
          <w:sz w:val="24"/>
        </w:rPr>
      </w:pPr>
      <w:r>
        <w:rPr>
          <w:rFonts w:hint="eastAsia"/>
          <w:sz w:val="24"/>
        </w:rPr>
        <w:t xml:space="preserve">   按照《玉环市日常绿化养护管理考核细则》</w:t>
      </w:r>
      <w:r>
        <w:rPr>
          <w:rFonts w:hint="eastAsia" w:ascii="宋体" w:hAnsi="宋体" w:cs="Arial"/>
          <w:sz w:val="24"/>
        </w:rPr>
        <w:t>等相关规范要求</w:t>
      </w:r>
      <w:r>
        <w:rPr>
          <w:rFonts w:hint="eastAsia" w:ascii="宋体" w:hAnsi="宋体"/>
          <w:sz w:val="24"/>
        </w:rPr>
        <w:t>执行，包含除草、保洁、松土、施肥、浇水、病虫害防治、死株清理补植、防冻保暖、整形修剪与防台抗风支撑等日常养护工作。工程日常维护要求保证每天每10000平方米范围以内有1人以上在班作业，同时建立养护工作记录、台账及施工图片资料，每月台账报业主审核。病虫害防治</w:t>
      </w:r>
      <w:r>
        <w:rPr>
          <w:rFonts w:hint="eastAsia"/>
          <w:sz w:val="24"/>
        </w:rPr>
        <w:t>与修剪等大型或技术性工作由养护公司统一安排足够养护人员根据工作要求进行实施。</w:t>
      </w:r>
    </w:p>
    <w:p>
      <w:pPr>
        <w:spacing w:line="480" w:lineRule="auto"/>
        <w:jc w:val="left"/>
        <w:rPr>
          <w:rFonts w:hint="eastAsia"/>
          <w:b/>
          <w:sz w:val="24"/>
        </w:rPr>
      </w:pPr>
      <w:r>
        <w:rPr>
          <w:rFonts w:hint="eastAsia"/>
          <w:b/>
          <w:sz w:val="24"/>
        </w:rPr>
        <w:t xml:space="preserve"> （二）、林地绿化</w:t>
      </w:r>
    </w:p>
    <w:p>
      <w:pPr>
        <w:spacing w:line="480" w:lineRule="auto"/>
        <w:jc w:val="left"/>
        <w:rPr>
          <w:rFonts w:hint="eastAsia"/>
          <w:sz w:val="24"/>
        </w:rPr>
      </w:pPr>
      <w:r>
        <w:rPr>
          <w:rFonts w:hint="eastAsia"/>
          <w:sz w:val="24"/>
        </w:rPr>
        <w:t>1、害防治：一年至少3次（其上半年春季时2次，下半年1次）；蛀虫根据实际不定期防治。</w:t>
      </w:r>
    </w:p>
    <w:p>
      <w:pPr>
        <w:spacing w:line="480" w:lineRule="auto"/>
        <w:jc w:val="left"/>
        <w:rPr>
          <w:rFonts w:hint="eastAsia"/>
          <w:sz w:val="24"/>
        </w:rPr>
      </w:pPr>
      <w:r>
        <w:rPr>
          <w:rFonts w:hint="eastAsia"/>
          <w:sz w:val="24"/>
        </w:rPr>
        <w:t>2、林地面除草：一年4次，每一季度各1次。</w:t>
      </w:r>
    </w:p>
    <w:p>
      <w:pPr>
        <w:spacing w:line="480" w:lineRule="auto"/>
        <w:jc w:val="left"/>
        <w:rPr>
          <w:rFonts w:hint="eastAsia"/>
          <w:sz w:val="24"/>
        </w:rPr>
      </w:pPr>
      <w:r>
        <w:rPr>
          <w:rFonts w:hint="eastAsia"/>
          <w:sz w:val="24"/>
        </w:rPr>
        <w:t>3、修剪：根据实际情况适时修剪，落叶树年底全面修剪1次。</w:t>
      </w:r>
    </w:p>
    <w:p>
      <w:pPr>
        <w:spacing w:line="480" w:lineRule="auto"/>
        <w:jc w:val="left"/>
        <w:rPr>
          <w:rFonts w:hint="eastAsia"/>
          <w:sz w:val="24"/>
        </w:rPr>
      </w:pPr>
      <w:r>
        <w:rPr>
          <w:rFonts w:hint="eastAsia"/>
          <w:sz w:val="24"/>
        </w:rPr>
        <w:t>4、施肥：一年2次，施越冬肥与生长期追肥各一次。</w:t>
      </w:r>
    </w:p>
    <w:p>
      <w:pPr>
        <w:spacing w:line="480" w:lineRule="auto"/>
        <w:jc w:val="left"/>
        <w:rPr>
          <w:rFonts w:hint="eastAsia"/>
          <w:b/>
          <w:sz w:val="24"/>
        </w:rPr>
      </w:pPr>
      <w:r>
        <w:rPr>
          <w:rFonts w:hint="eastAsia"/>
          <w:b/>
          <w:sz w:val="24"/>
        </w:rPr>
        <w:t>二、考核要求</w:t>
      </w:r>
    </w:p>
    <w:p>
      <w:pPr>
        <w:spacing w:line="480" w:lineRule="auto"/>
        <w:ind w:firstLine="720" w:firstLineChars="300"/>
        <w:jc w:val="left"/>
        <w:rPr>
          <w:rFonts w:hint="eastAsia" w:ascii="宋体" w:hAnsi="宋体"/>
          <w:sz w:val="24"/>
        </w:rPr>
      </w:pPr>
      <w:r>
        <w:rPr>
          <w:rFonts w:hint="eastAsia"/>
          <w:sz w:val="24"/>
        </w:rPr>
        <w:t>绿化</w:t>
      </w:r>
      <w:r>
        <w:rPr>
          <w:rFonts w:hint="eastAsia"/>
          <w:sz w:val="24"/>
          <w:lang w:eastAsia="zh-CN"/>
        </w:rPr>
        <w:t>养护项目</w:t>
      </w:r>
      <w:r>
        <w:rPr>
          <w:rFonts w:hint="eastAsia"/>
          <w:sz w:val="24"/>
        </w:rPr>
        <w:t>的考核每2个月进行一次，考核按《玉环市日常绿化养护管理考核细则》《绿化养护管理评分表》要求进行考核与评分，总得分在80分及以上为合格。</w:t>
      </w:r>
    </w:p>
    <w:p>
      <w:pPr>
        <w:rPr>
          <w:rFonts w:hint="eastAsia" w:ascii="Arial" w:hAnsi="Arial" w:cs="Arial"/>
          <w:color w:val="000000"/>
          <w:kern w:val="0"/>
          <w:szCs w:val="21"/>
        </w:rPr>
      </w:pPr>
    </w:p>
    <w:p>
      <w:pPr>
        <w:rPr>
          <w:rFonts w:hint="eastAsia" w:ascii="Arial" w:hAnsi="Arial" w:cs="Arial"/>
          <w:color w:val="000000"/>
          <w:kern w:val="0"/>
          <w:szCs w:val="21"/>
        </w:rPr>
      </w:pPr>
    </w:p>
    <w:p>
      <w:pPr>
        <w:rPr>
          <w:rFonts w:hint="eastAsia" w:ascii="Arial" w:hAnsi="Arial" w:cs="Arial"/>
          <w:color w:val="000000"/>
          <w:kern w:val="0"/>
          <w:szCs w:val="21"/>
        </w:rPr>
      </w:pPr>
    </w:p>
    <w:p>
      <w:pPr>
        <w:rPr>
          <w:rFonts w:hint="eastAsia" w:ascii="Arial" w:hAnsi="Arial" w:cs="Arial"/>
          <w:color w:val="000000"/>
          <w:kern w:val="0"/>
          <w:szCs w:val="21"/>
        </w:rPr>
      </w:pPr>
    </w:p>
    <w:p>
      <w:pPr>
        <w:spacing w:line="360" w:lineRule="exact"/>
        <w:rPr>
          <w:rFonts w:ascii="Arial" w:hAnsi="Arial" w:cs="Arial"/>
          <w:color w:val="000000"/>
          <w:kern w:val="0"/>
          <w:szCs w:val="21"/>
        </w:rPr>
        <w:sectPr>
          <w:headerReference r:id="rId8" w:type="default"/>
          <w:footerReference r:id="rId9" w:type="default"/>
          <w:footerReference r:id="rId10" w:type="even"/>
          <w:pgSz w:w="11906" w:h="16838"/>
          <w:pgMar w:top="1440" w:right="1474" w:bottom="1440" w:left="1474" w:header="851" w:footer="992" w:gutter="0"/>
          <w:pgNumType w:start="0"/>
          <w:cols w:space="720" w:num="1"/>
          <w:titlePg/>
          <w:docGrid w:type="lines" w:linePitch="312" w:charSpace="0"/>
        </w:sectPr>
      </w:pPr>
    </w:p>
    <w:p>
      <w:pPr>
        <w:autoSpaceDN w:val="0"/>
        <w:spacing w:line="480" w:lineRule="exact"/>
        <w:rPr>
          <w:rFonts w:hint="eastAsia" w:eastAsia="黑体"/>
          <w:szCs w:val="32"/>
        </w:rPr>
      </w:pPr>
      <w:r>
        <w:rPr>
          <w:rFonts w:hint="eastAsia" w:ascii="宋体" w:hAnsi="宋体"/>
          <w:spacing w:val="26"/>
          <w:sz w:val="24"/>
        </w:rPr>
        <w:t>附件</w:t>
      </w:r>
      <w:r>
        <w:rPr>
          <w:rFonts w:hint="eastAsia" w:ascii="宋体" w:hAnsi="宋体"/>
          <w:spacing w:val="26"/>
          <w:sz w:val="24"/>
          <w:lang w:val="en-US" w:eastAsia="zh-CN"/>
        </w:rPr>
        <w:t>4</w:t>
      </w:r>
      <w:r>
        <w:rPr>
          <w:rFonts w:hint="eastAsia" w:ascii="宋体" w:hAnsi="宋体"/>
          <w:spacing w:val="26"/>
          <w:sz w:val="24"/>
        </w:rPr>
        <w:t>：</w:t>
      </w:r>
      <w:r>
        <w:rPr>
          <w:rFonts w:ascii="宋体" w:hAnsi="宋体"/>
          <w:spacing w:val="26"/>
          <w:sz w:val="24"/>
        </w:rPr>
        <w:t xml:space="preserve">                  </w:t>
      </w:r>
      <w:r>
        <w:rPr>
          <w:rFonts w:ascii="宋体" w:hAnsi="宋体"/>
          <w:sz w:val="24"/>
        </w:rPr>
        <w:t xml:space="preserve">        </w:t>
      </w:r>
      <w:r>
        <w:rPr>
          <w:rFonts w:hint="eastAsia" w:ascii="方正小标宋简体" w:eastAsia="方正小标宋简体"/>
          <w:sz w:val="44"/>
          <w:szCs w:val="44"/>
        </w:rPr>
        <w:t>绿化养护管理评分表</w:t>
      </w:r>
    </w:p>
    <w:tbl>
      <w:tblPr>
        <w:tblStyle w:val="19"/>
        <w:tblW w:w="1434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5"/>
        <w:gridCol w:w="1238"/>
        <w:gridCol w:w="4952"/>
        <w:gridCol w:w="1514"/>
        <w:gridCol w:w="2985"/>
        <w:gridCol w:w="861"/>
        <w:gridCol w:w="861"/>
        <w:gridCol w:w="120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7" w:hRule="atLeast"/>
        </w:trPr>
        <w:tc>
          <w:tcPr>
            <w:tcW w:w="725"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序号</w:t>
            </w:r>
          </w:p>
        </w:tc>
        <w:tc>
          <w:tcPr>
            <w:tcW w:w="1238"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评分栏目</w:t>
            </w:r>
          </w:p>
        </w:tc>
        <w:tc>
          <w:tcPr>
            <w:tcW w:w="4952"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要            求</w:t>
            </w:r>
          </w:p>
        </w:tc>
        <w:tc>
          <w:tcPr>
            <w:tcW w:w="4499"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评  分  标  准</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pacing w:val="-20"/>
                <w:szCs w:val="21"/>
              </w:rPr>
            </w:pPr>
            <w:r>
              <w:rPr>
                <w:rFonts w:hint="eastAsia" w:ascii="宋体" w:hAnsi="宋体"/>
                <w:spacing w:val="-20"/>
                <w:szCs w:val="21"/>
              </w:rPr>
              <w:t>满分</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得分</w:t>
            </w:r>
          </w:p>
        </w:tc>
        <w:tc>
          <w:tcPr>
            <w:tcW w:w="1206"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备 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7" w:hRule="atLeast"/>
        </w:trPr>
        <w:tc>
          <w:tcPr>
            <w:tcW w:w="725"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1</w:t>
            </w:r>
          </w:p>
        </w:tc>
        <w:tc>
          <w:tcPr>
            <w:tcW w:w="1238"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成活率</w:t>
            </w:r>
          </w:p>
        </w:tc>
        <w:tc>
          <w:tcPr>
            <w:tcW w:w="4952"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新栽花草或树木成活率和原有树木保存率98％以上</w:t>
            </w:r>
          </w:p>
        </w:tc>
        <w:tc>
          <w:tcPr>
            <w:tcW w:w="4499"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pacing w:val="-8"/>
                <w:szCs w:val="21"/>
              </w:rPr>
            </w:pPr>
            <w:r>
              <w:rPr>
                <w:rFonts w:hint="eastAsia" w:ascii="宋体" w:hAnsi="宋体"/>
                <w:spacing w:val="-8"/>
                <w:szCs w:val="21"/>
              </w:rPr>
              <w:t>按季累计，以一个百分点扣1分，扣完为止</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3</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c>
          <w:tcPr>
            <w:tcW w:w="1206"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27" w:hRule="atLeast"/>
        </w:trPr>
        <w:tc>
          <w:tcPr>
            <w:tcW w:w="725" w:type="dxa"/>
            <w:vMerge w:val="restart"/>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2</w:t>
            </w:r>
          </w:p>
        </w:tc>
        <w:tc>
          <w:tcPr>
            <w:tcW w:w="1238" w:type="dxa"/>
            <w:vMerge w:val="restart"/>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植物养护管理</w:t>
            </w:r>
          </w:p>
        </w:tc>
        <w:tc>
          <w:tcPr>
            <w:tcW w:w="4952"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1、生长茂盛</w:t>
            </w:r>
          </w:p>
        </w:tc>
        <w:tc>
          <w:tcPr>
            <w:tcW w:w="4499"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ascii="宋体" w:hAnsi="宋体"/>
                <w:spacing w:val="-8"/>
                <w:szCs w:val="21"/>
              </w:rPr>
              <w:t>好</w:t>
            </w:r>
            <w:r>
              <w:rPr>
                <w:rFonts w:hint="eastAsia" w:ascii="宋体" w:hAnsi="宋体"/>
                <w:spacing w:val="-8"/>
                <w:szCs w:val="21"/>
              </w:rPr>
              <w:t>得满分</w:t>
            </w:r>
            <w:r>
              <w:rPr>
                <w:rFonts w:ascii="宋体" w:hAnsi="宋体"/>
                <w:spacing w:val="-8"/>
                <w:szCs w:val="21"/>
              </w:rPr>
              <w:t>，</w:t>
            </w:r>
            <w:r>
              <w:rPr>
                <w:rFonts w:hint="eastAsia" w:ascii="宋体" w:hAnsi="宋体"/>
                <w:spacing w:val="-8"/>
                <w:szCs w:val="21"/>
              </w:rPr>
              <w:t>较好得</w:t>
            </w:r>
            <w:r>
              <w:rPr>
                <w:rFonts w:ascii="宋体" w:hAnsi="宋体"/>
                <w:spacing w:val="-8"/>
                <w:szCs w:val="21"/>
              </w:rPr>
              <w:t>3.5</w:t>
            </w:r>
            <w:r>
              <w:rPr>
                <w:rFonts w:hint="eastAsia" w:ascii="宋体" w:hAnsi="宋体"/>
                <w:spacing w:val="-8"/>
                <w:szCs w:val="21"/>
              </w:rPr>
              <w:t>分，一般得</w:t>
            </w:r>
            <w:r>
              <w:rPr>
                <w:rFonts w:ascii="宋体" w:hAnsi="宋体"/>
                <w:spacing w:val="-8"/>
                <w:szCs w:val="21"/>
              </w:rPr>
              <w:t>2</w:t>
            </w:r>
            <w:r>
              <w:rPr>
                <w:rFonts w:hint="eastAsia" w:ascii="宋体" w:hAnsi="宋体"/>
                <w:spacing w:val="-8"/>
                <w:szCs w:val="21"/>
              </w:rPr>
              <w:t>分，差得0分</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5</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c>
          <w:tcPr>
            <w:tcW w:w="1206"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27" w:hRule="atLeast"/>
        </w:trPr>
        <w:tc>
          <w:tcPr>
            <w:tcW w:w="725"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1238"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4952"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2、绿地无黄土裸露、无积水现象</w:t>
            </w:r>
          </w:p>
        </w:tc>
        <w:tc>
          <w:tcPr>
            <w:tcW w:w="4499"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发现一处扣0.5分，扣完为止</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4</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c>
          <w:tcPr>
            <w:tcW w:w="1206"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27" w:hRule="atLeast"/>
        </w:trPr>
        <w:tc>
          <w:tcPr>
            <w:tcW w:w="725"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1238"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4952"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3、无人为破坏</w:t>
            </w:r>
          </w:p>
        </w:tc>
        <w:tc>
          <w:tcPr>
            <w:tcW w:w="4499"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发现一处扣0.5分，扣完为止</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8</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c>
          <w:tcPr>
            <w:tcW w:w="1206"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27" w:hRule="atLeast"/>
        </w:trPr>
        <w:tc>
          <w:tcPr>
            <w:tcW w:w="725"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1238"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4952"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4、整形树、花灌木及时修剪，有品位</w:t>
            </w:r>
          </w:p>
        </w:tc>
        <w:tc>
          <w:tcPr>
            <w:tcW w:w="4499"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ascii="宋体" w:hAnsi="宋体"/>
                <w:spacing w:val="-8"/>
                <w:szCs w:val="21"/>
              </w:rPr>
              <w:t>好</w:t>
            </w:r>
            <w:r>
              <w:rPr>
                <w:rFonts w:hint="eastAsia" w:ascii="宋体" w:hAnsi="宋体"/>
                <w:spacing w:val="-8"/>
                <w:szCs w:val="21"/>
              </w:rPr>
              <w:t>得满分</w:t>
            </w:r>
            <w:r>
              <w:rPr>
                <w:rFonts w:ascii="宋体" w:hAnsi="宋体"/>
                <w:spacing w:val="-8"/>
                <w:szCs w:val="21"/>
              </w:rPr>
              <w:t>，</w:t>
            </w:r>
            <w:r>
              <w:rPr>
                <w:rFonts w:hint="eastAsia" w:ascii="宋体" w:hAnsi="宋体"/>
                <w:spacing w:val="-8"/>
                <w:szCs w:val="21"/>
              </w:rPr>
              <w:t>较好得</w:t>
            </w:r>
            <w:r>
              <w:rPr>
                <w:rFonts w:ascii="宋体" w:hAnsi="宋体"/>
                <w:spacing w:val="-8"/>
                <w:szCs w:val="21"/>
              </w:rPr>
              <w:t>3.5</w:t>
            </w:r>
            <w:r>
              <w:rPr>
                <w:rFonts w:hint="eastAsia" w:ascii="宋体" w:hAnsi="宋体"/>
                <w:spacing w:val="-8"/>
                <w:szCs w:val="21"/>
              </w:rPr>
              <w:t>分，一般得</w:t>
            </w:r>
            <w:r>
              <w:rPr>
                <w:rFonts w:ascii="宋体" w:hAnsi="宋体"/>
                <w:spacing w:val="-8"/>
                <w:szCs w:val="21"/>
              </w:rPr>
              <w:t>2</w:t>
            </w:r>
            <w:r>
              <w:rPr>
                <w:rFonts w:hint="eastAsia" w:ascii="宋体" w:hAnsi="宋体"/>
                <w:spacing w:val="-8"/>
                <w:szCs w:val="21"/>
              </w:rPr>
              <w:t>分，差得0分</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5</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c>
          <w:tcPr>
            <w:tcW w:w="1206"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27" w:hRule="atLeast"/>
        </w:trPr>
        <w:tc>
          <w:tcPr>
            <w:tcW w:w="725"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1238"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4952"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5、大树等乔木无枯枝、损伤枝，病枝及时修剪、抹芽；支撑良好</w:t>
            </w:r>
          </w:p>
        </w:tc>
        <w:tc>
          <w:tcPr>
            <w:tcW w:w="4499"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发现一处扣1分，扣完为止</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9</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c>
          <w:tcPr>
            <w:tcW w:w="1206"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27" w:hRule="atLeast"/>
        </w:trPr>
        <w:tc>
          <w:tcPr>
            <w:tcW w:w="725"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1238"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4952"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6、无死株、病株、缺株</w:t>
            </w:r>
          </w:p>
        </w:tc>
        <w:tc>
          <w:tcPr>
            <w:tcW w:w="4499"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发现一处扣2分，扣完为止</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8</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c>
          <w:tcPr>
            <w:tcW w:w="1206"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27" w:hRule="atLeast"/>
        </w:trPr>
        <w:tc>
          <w:tcPr>
            <w:tcW w:w="725"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1238"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4952"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7、草坪及时修剪、平整度好；马尼拉高度不超过5cm</w:t>
            </w:r>
          </w:p>
        </w:tc>
        <w:tc>
          <w:tcPr>
            <w:tcW w:w="4499"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ascii="宋体" w:hAnsi="宋体"/>
                <w:spacing w:val="-8"/>
                <w:szCs w:val="21"/>
              </w:rPr>
              <w:t>好</w:t>
            </w:r>
            <w:r>
              <w:rPr>
                <w:rFonts w:hint="eastAsia" w:ascii="宋体" w:hAnsi="宋体"/>
                <w:spacing w:val="-8"/>
                <w:szCs w:val="21"/>
              </w:rPr>
              <w:t>得满分</w:t>
            </w:r>
            <w:r>
              <w:rPr>
                <w:rFonts w:ascii="宋体" w:hAnsi="宋体"/>
                <w:spacing w:val="-8"/>
                <w:szCs w:val="21"/>
              </w:rPr>
              <w:t>，</w:t>
            </w:r>
            <w:r>
              <w:rPr>
                <w:rFonts w:hint="eastAsia" w:ascii="宋体" w:hAnsi="宋体"/>
                <w:spacing w:val="-8"/>
                <w:szCs w:val="21"/>
              </w:rPr>
              <w:t>较好得</w:t>
            </w:r>
            <w:r>
              <w:rPr>
                <w:rFonts w:ascii="宋体" w:hAnsi="宋体"/>
                <w:spacing w:val="-8"/>
                <w:szCs w:val="21"/>
              </w:rPr>
              <w:t>5</w:t>
            </w:r>
            <w:r>
              <w:rPr>
                <w:rFonts w:hint="eastAsia" w:ascii="宋体" w:hAnsi="宋体"/>
                <w:spacing w:val="-8"/>
                <w:szCs w:val="21"/>
              </w:rPr>
              <w:t>分，一般得</w:t>
            </w:r>
            <w:r>
              <w:rPr>
                <w:rFonts w:ascii="宋体" w:hAnsi="宋体"/>
                <w:spacing w:val="-8"/>
                <w:szCs w:val="21"/>
              </w:rPr>
              <w:t>2</w:t>
            </w:r>
            <w:r>
              <w:rPr>
                <w:rFonts w:hint="eastAsia" w:ascii="宋体" w:hAnsi="宋体"/>
                <w:spacing w:val="-8"/>
                <w:szCs w:val="21"/>
              </w:rPr>
              <w:t>分，差得0分</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8</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c>
          <w:tcPr>
            <w:tcW w:w="1206"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27" w:hRule="atLeast"/>
        </w:trPr>
        <w:tc>
          <w:tcPr>
            <w:tcW w:w="725"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1238"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4952"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8、草坪杂草每平方米不多于3棵；花灌木：杂草高度不超过花灌木</w:t>
            </w:r>
          </w:p>
        </w:tc>
        <w:tc>
          <w:tcPr>
            <w:tcW w:w="4499"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发现一处扣2分，扣完为止</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1</w:t>
            </w:r>
            <w:r>
              <w:rPr>
                <w:rFonts w:ascii="宋体" w:hAnsi="宋体"/>
                <w:szCs w:val="21"/>
              </w:rPr>
              <w:t>2</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c>
          <w:tcPr>
            <w:tcW w:w="1206"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27" w:hRule="atLeast"/>
        </w:trPr>
        <w:tc>
          <w:tcPr>
            <w:tcW w:w="725"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1238"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4952"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9、无明显病虫害</w:t>
            </w:r>
          </w:p>
        </w:tc>
        <w:tc>
          <w:tcPr>
            <w:tcW w:w="4499"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发现一处扣2分，扣完为止</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ascii="宋体" w:hAnsi="宋体"/>
                <w:szCs w:val="21"/>
              </w:rPr>
              <w:t>6</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c>
          <w:tcPr>
            <w:tcW w:w="1206"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7" w:hRule="atLeast"/>
        </w:trPr>
        <w:tc>
          <w:tcPr>
            <w:tcW w:w="725"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3</w:t>
            </w:r>
          </w:p>
        </w:tc>
        <w:tc>
          <w:tcPr>
            <w:tcW w:w="1238"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卫生保洁</w:t>
            </w:r>
          </w:p>
        </w:tc>
        <w:tc>
          <w:tcPr>
            <w:tcW w:w="4952"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绿地整洁、卫生、无垃圾物</w:t>
            </w:r>
          </w:p>
        </w:tc>
        <w:tc>
          <w:tcPr>
            <w:tcW w:w="4499"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每发现一处扣</w:t>
            </w:r>
            <w:r>
              <w:rPr>
                <w:rFonts w:ascii="宋体" w:hAnsi="宋体"/>
                <w:szCs w:val="21"/>
              </w:rPr>
              <w:t>0.5</w:t>
            </w:r>
            <w:r>
              <w:rPr>
                <w:rFonts w:hint="eastAsia" w:ascii="宋体" w:hAnsi="宋体"/>
                <w:szCs w:val="21"/>
              </w:rPr>
              <w:t>分</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ascii="宋体" w:hAnsi="宋体"/>
                <w:szCs w:val="21"/>
              </w:rPr>
              <w:t>3</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c>
          <w:tcPr>
            <w:tcW w:w="1206"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27" w:hRule="atLeast"/>
        </w:trPr>
        <w:tc>
          <w:tcPr>
            <w:tcW w:w="725" w:type="dxa"/>
            <w:vMerge w:val="restart"/>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4</w:t>
            </w:r>
          </w:p>
        </w:tc>
        <w:tc>
          <w:tcPr>
            <w:tcW w:w="1238" w:type="dxa"/>
            <w:vMerge w:val="restart"/>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管理制度</w:t>
            </w:r>
          </w:p>
        </w:tc>
        <w:tc>
          <w:tcPr>
            <w:tcW w:w="4952"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1、养护管理落实责任制</w:t>
            </w:r>
          </w:p>
        </w:tc>
        <w:tc>
          <w:tcPr>
            <w:tcW w:w="4499"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ascii="宋体" w:hAnsi="宋体"/>
                <w:spacing w:val="-8"/>
                <w:szCs w:val="21"/>
              </w:rPr>
              <w:t>好</w:t>
            </w:r>
            <w:r>
              <w:rPr>
                <w:rFonts w:hint="eastAsia" w:ascii="宋体" w:hAnsi="宋体"/>
                <w:spacing w:val="-8"/>
                <w:szCs w:val="21"/>
              </w:rPr>
              <w:t>得满分</w:t>
            </w:r>
            <w:r>
              <w:rPr>
                <w:rFonts w:ascii="宋体" w:hAnsi="宋体"/>
                <w:spacing w:val="-8"/>
                <w:szCs w:val="21"/>
              </w:rPr>
              <w:t>，</w:t>
            </w:r>
            <w:r>
              <w:rPr>
                <w:rFonts w:hint="eastAsia" w:ascii="宋体" w:hAnsi="宋体"/>
                <w:spacing w:val="-8"/>
                <w:szCs w:val="21"/>
              </w:rPr>
              <w:t>较好得</w:t>
            </w:r>
            <w:r>
              <w:rPr>
                <w:rFonts w:ascii="宋体" w:hAnsi="宋体"/>
                <w:spacing w:val="-8"/>
                <w:szCs w:val="21"/>
              </w:rPr>
              <w:t>1.2</w:t>
            </w:r>
            <w:r>
              <w:rPr>
                <w:rFonts w:hint="eastAsia" w:ascii="宋体" w:hAnsi="宋体"/>
                <w:spacing w:val="-8"/>
                <w:szCs w:val="21"/>
              </w:rPr>
              <w:t>分，一般得</w:t>
            </w:r>
            <w:r>
              <w:rPr>
                <w:rFonts w:ascii="宋体" w:hAnsi="宋体"/>
                <w:spacing w:val="-8"/>
                <w:szCs w:val="21"/>
              </w:rPr>
              <w:t>0.5</w:t>
            </w:r>
            <w:r>
              <w:rPr>
                <w:rFonts w:hint="eastAsia" w:ascii="宋体" w:hAnsi="宋体"/>
                <w:spacing w:val="-8"/>
                <w:szCs w:val="21"/>
              </w:rPr>
              <w:t>分，差得0分</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2</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c>
          <w:tcPr>
            <w:tcW w:w="1206"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27" w:hRule="atLeast"/>
        </w:trPr>
        <w:tc>
          <w:tcPr>
            <w:tcW w:w="725"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1238"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4952"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2、养护工人穿统一制服</w:t>
            </w:r>
          </w:p>
        </w:tc>
        <w:tc>
          <w:tcPr>
            <w:tcW w:w="4499"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发现一</w:t>
            </w:r>
            <w:r>
              <w:rPr>
                <w:rFonts w:ascii="宋体" w:hAnsi="宋体"/>
                <w:szCs w:val="21"/>
              </w:rPr>
              <w:t>人未</w:t>
            </w:r>
            <w:r>
              <w:rPr>
                <w:rFonts w:hint="eastAsia" w:ascii="宋体" w:hAnsi="宋体"/>
                <w:szCs w:val="21"/>
              </w:rPr>
              <w:t>穿扣</w:t>
            </w:r>
            <w:r>
              <w:rPr>
                <w:rFonts w:ascii="宋体" w:hAnsi="宋体"/>
                <w:szCs w:val="21"/>
              </w:rPr>
              <w:t>1</w:t>
            </w:r>
            <w:r>
              <w:rPr>
                <w:rFonts w:hint="eastAsia" w:ascii="宋体" w:hAnsi="宋体"/>
                <w:szCs w:val="21"/>
              </w:rPr>
              <w:t>分，扣完为止</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3</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c>
          <w:tcPr>
            <w:tcW w:w="1206"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27" w:hRule="atLeast"/>
        </w:trPr>
        <w:tc>
          <w:tcPr>
            <w:tcW w:w="725"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1238"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4952"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3、工作有台帐，卫生、清洁、养护制度健全</w:t>
            </w:r>
          </w:p>
        </w:tc>
        <w:tc>
          <w:tcPr>
            <w:tcW w:w="4499"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ascii="宋体" w:hAnsi="宋体"/>
                <w:spacing w:val="-8"/>
                <w:szCs w:val="21"/>
              </w:rPr>
              <w:t>好</w:t>
            </w:r>
            <w:r>
              <w:rPr>
                <w:rFonts w:hint="eastAsia" w:ascii="宋体" w:hAnsi="宋体"/>
                <w:spacing w:val="-8"/>
                <w:szCs w:val="21"/>
              </w:rPr>
              <w:t>得满分</w:t>
            </w:r>
            <w:r>
              <w:rPr>
                <w:rFonts w:ascii="宋体" w:hAnsi="宋体"/>
                <w:spacing w:val="-8"/>
                <w:szCs w:val="21"/>
              </w:rPr>
              <w:t>，</w:t>
            </w:r>
            <w:r>
              <w:rPr>
                <w:rFonts w:hint="eastAsia" w:ascii="宋体" w:hAnsi="宋体"/>
                <w:spacing w:val="-8"/>
                <w:szCs w:val="21"/>
              </w:rPr>
              <w:t>较好得</w:t>
            </w:r>
            <w:r>
              <w:rPr>
                <w:rFonts w:ascii="宋体" w:hAnsi="宋体"/>
                <w:spacing w:val="-8"/>
                <w:szCs w:val="21"/>
              </w:rPr>
              <w:t>1.2</w:t>
            </w:r>
            <w:r>
              <w:rPr>
                <w:rFonts w:hint="eastAsia" w:ascii="宋体" w:hAnsi="宋体"/>
                <w:spacing w:val="-8"/>
                <w:szCs w:val="21"/>
              </w:rPr>
              <w:t>分，一般得</w:t>
            </w:r>
            <w:r>
              <w:rPr>
                <w:rFonts w:ascii="宋体" w:hAnsi="宋体"/>
                <w:spacing w:val="-8"/>
                <w:szCs w:val="21"/>
              </w:rPr>
              <w:t>0.5</w:t>
            </w:r>
            <w:r>
              <w:rPr>
                <w:rFonts w:hint="eastAsia" w:ascii="宋体" w:hAnsi="宋体"/>
                <w:spacing w:val="-8"/>
                <w:szCs w:val="21"/>
              </w:rPr>
              <w:t>分，差得0分</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2</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c>
          <w:tcPr>
            <w:tcW w:w="1206"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27" w:hRule="atLeast"/>
        </w:trPr>
        <w:tc>
          <w:tcPr>
            <w:tcW w:w="725"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1238"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4952"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4、对上一季度提出的整改意见落实良好</w:t>
            </w:r>
          </w:p>
        </w:tc>
        <w:tc>
          <w:tcPr>
            <w:tcW w:w="4499"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ascii="宋体" w:hAnsi="宋体"/>
                <w:spacing w:val="-8"/>
                <w:szCs w:val="21"/>
              </w:rPr>
              <w:t>好</w:t>
            </w:r>
            <w:r>
              <w:rPr>
                <w:rFonts w:hint="eastAsia" w:ascii="宋体" w:hAnsi="宋体"/>
                <w:spacing w:val="-8"/>
                <w:szCs w:val="21"/>
              </w:rPr>
              <w:t>得满分</w:t>
            </w:r>
            <w:r>
              <w:rPr>
                <w:rFonts w:ascii="宋体" w:hAnsi="宋体"/>
                <w:spacing w:val="-8"/>
                <w:szCs w:val="21"/>
              </w:rPr>
              <w:t>，</w:t>
            </w:r>
            <w:r>
              <w:rPr>
                <w:rFonts w:hint="eastAsia" w:ascii="宋体" w:hAnsi="宋体"/>
                <w:spacing w:val="-8"/>
                <w:szCs w:val="21"/>
              </w:rPr>
              <w:t>较好得</w:t>
            </w:r>
            <w:r>
              <w:rPr>
                <w:rFonts w:ascii="宋体" w:hAnsi="宋体"/>
                <w:spacing w:val="-8"/>
                <w:szCs w:val="21"/>
              </w:rPr>
              <w:t>2.5</w:t>
            </w:r>
            <w:r>
              <w:rPr>
                <w:rFonts w:hint="eastAsia" w:ascii="宋体" w:hAnsi="宋体"/>
                <w:spacing w:val="-8"/>
                <w:szCs w:val="21"/>
              </w:rPr>
              <w:t>分，一般得</w:t>
            </w:r>
            <w:r>
              <w:rPr>
                <w:rFonts w:ascii="宋体" w:hAnsi="宋体"/>
                <w:spacing w:val="-8"/>
                <w:szCs w:val="21"/>
              </w:rPr>
              <w:t>1</w:t>
            </w:r>
            <w:r>
              <w:rPr>
                <w:rFonts w:hint="eastAsia" w:ascii="宋体" w:hAnsi="宋体"/>
                <w:spacing w:val="-8"/>
                <w:szCs w:val="21"/>
              </w:rPr>
              <w:t>分，差得0分</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4</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c>
          <w:tcPr>
            <w:tcW w:w="1206"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7" w:hRule="atLeast"/>
        </w:trPr>
        <w:tc>
          <w:tcPr>
            <w:tcW w:w="725"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5</w:t>
            </w:r>
          </w:p>
        </w:tc>
        <w:tc>
          <w:tcPr>
            <w:tcW w:w="1238"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ascii="宋体" w:hAnsi="宋体"/>
                <w:szCs w:val="21"/>
              </w:rPr>
              <w:t>施肥情况</w:t>
            </w:r>
          </w:p>
        </w:tc>
        <w:tc>
          <w:tcPr>
            <w:tcW w:w="4952"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ascii="宋体" w:hAnsi="宋体"/>
                <w:szCs w:val="21"/>
              </w:rPr>
              <w:t>施肥计划合理，施肥次数充足，施肥量合理</w:t>
            </w:r>
          </w:p>
        </w:tc>
        <w:tc>
          <w:tcPr>
            <w:tcW w:w="4499"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ascii="宋体" w:hAnsi="宋体"/>
                <w:spacing w:val="-8"/>
                <w:szCs w:val="21"/>
              </w:rPr>
              <w:t>好</w:t>
            </w:r>
            <w:r>
              <w:rPr>
                <w:rFonts w:hint="eastAsia" w:ascii="宋体" w:hAnsi="宋体"/>
                <w:spacing w:val="-8"/>
                <w:szCs w:val="21"/>
              </w:rPr>
              <w:t>得满分</w:t>
            </w:r>
            <w:r>
              <w:rPr>
                <w:rFonts w:ascii="宋体" w:hAnsi="宋体"/>
                <w:spacing w:val="-8"/>
                <w:szCs w:val="21"/>
              </w:rPr>
              <w:t>，</w:t>
            </w:r>
            <w:r>
              <w:rPr>
                <w:rFonts w:hint="eastAsia" w:ascii="宋体" w:hAnsi="宋体"/>
                <w:spacing w:val="-8"/>
                <w:szCs w:val="21"/>
              </w:rPr>
              <w:t>较好得</w:t>
            </w:r>
            <w:r>
              <w:rPr>
                <w:rFonts w:ascii="宋体" w:hAnsi="宋体"/>
                <w:spacing w:val="-8"/>
                <w:szCs w:val="21"/>
              </w:rPr>
              <w:t>5</w:t>
            </w:r>
            <w:r>
              <w:rPr>
                <w:rFonts w:hint="eastAsia" w:ascii="宋体" w:hAnsi="宋体"/>
                <w:spacing w:val="-8"/>
                <w:szCs w:val="21"/>
              </w:rPr>
              <w:t>分，一般得</w:t>
            </w:r>
            <w:r>
              <w:rPr>
                <w:rFonts w:ascii="宋体" w:hAnsi="宋体"/>
                <w:spacing w:val="-8"/>
                <w:szCs w:val="21"/>
              </w:rPr>
              <w:t>3</w:t>
            </w:r>
            <w:r>
              <w:rPr>
                <w:rFonts w:hint="eastAsia" w:ascii="宋体" w:hAnsi="宋体"/>
                <w:spacing w:val="-8"/>
                <w:szCs w:val="21"/>
              </w:rPr>
              <w:t>分，差得0分</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ascii="宋体" w:hAnsi="宋体"/>
                <w:szCs w:val="21"/>
              </w:rPr>
              <w:t>7</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c>
          <w:tcPr>
            <w:tcW w:w="1206"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7" w:hRule="atLeast"/>
        </w:trPr>
        <w:tc>
          <w:tcPr>
            <w:tcW w:w="725"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ascii="宋体" w:hAnsi="宋体"/>
                <w:szCs w:val="21"/>
              </w:rPr>
              <w:t>6</w:t>
            </w:r>
          </w:p>
        </w:tc>
        <w:tc>
          <w:tcPr>
            <w:tcW w:w="1238"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印象分</w:t>
            </w:r>
          </w:p>
        </w:tc>
        <w:tc>
          <w:tcPr>
            <w:tcW w:w="4952"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检查人员平时对以上各要点的随机检查，并做好记录</w:t>
            </w:r>
          </w:p>
        </w:tc>
        <w:tc>
          <w:tcPr>
            <w:tcW w:w="4499"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上述要求若发现一处不达标，扣1分</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6</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c>
          <w:tcPr>
            <w:tcW w:w="1206"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7" w:hRule="atLeast"/>
        </w:trPr>
        <w:tc>
          <w:tcPr>
            <w:tcW w:w="725"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ascii="宋体" w:hAnsi="宋体"/>
                <w:szCs w:val="21"/>
              </w:rPr>
              <w:t>7</w:t>
            </w:r>
          </w:p>
        </w:tc>
        <w:tc>
          <w:tcPr>
            <w:tcW w:w="1238"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ascii="宋体" w:hAnsi="宋体"/>
                <w:szCs w:val="21"/>
              </w:rPr>
              <w:t>其它</w:t>
            </w:r>
          </w:p>
        </w:tc>
        <w:tc>
          <w:tcPr>
            <w:tcW w:w="4952"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hint="eastAsia" w:ascii="宋体" w:hAnsi="宋体"/>
                <w:szCs w:val="21"/>
              </w:rPr>
              <w:t>项目部人员到位到岗情况及机械设备到位到岗情况</w:t>
            </w:r>
          </w:p>
        </w:tc>
        <w:tc>
          <w:tcPr>
            <w:tcW w:w="4499"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280" w:lineRule="exact"/>
              <w:rPr>
                <w:rFonts w:ascii="宋体" w:hAnsi="宋体"/>
                <w:szCs w:val="21"/>
              </w:rPr>
            </w:pPr>
            <w:r>
              <w:rPr>
                <w:rFonts w:ascii="宋体" w:hAnsi="宋体"/>
                <w:szCs w:val="21"/>
              </w:rPr>
              <w:t>酌情扣分</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ascii="宋体" w:hAnsi="宋体"/>
                <w:szCs w:val="21"/>
              </w:rPr>
              <w:t>5</w:t>
            </w:r>
          </w:p>
        </w:tc>
        <w:tc>
          <w:tcPr>
            <w:tcW w:w="861"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c>
          <w:tcPr>
            <w:tcW w:w="1206"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trPr>
        <w:tc>
          <w:tcPr>
            <w:tcW w:w="1963" w:type="dxa"/>
            <w:gridSpan w:val="2"/>
            <w:vMerge w:val="restart"/>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甲方签字</w:t>
            </w:r>
          </w:p>
        </w:tc>
        <w:tc>
          <w:tcPr>
            <w:tcW w:w="4952" w:type="dxa"/>
            <w:vMerge w:val="restart"/>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c>
          <w:tcPr>
            <w:tcW w:w="1514"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r>
              <w:rPr>
                <w:rFonts w:hint="eastAsia" w:ascii="宋体" w:hAnsi="宋体"/>
                <w:szCs w:val="21"/>
              </w:rPr>
              <w:t>总 得 分</w:t>
            </w:r>
          </w:p>
        </w:tc>
        <w:tc>
          <w:tcPr>
            <w:tcW w:w="5913" w:type="dxa"/>
            <w:gridSpan w:val="4"/>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43" w:hRule="atLeast"/>
        </w:trPr>
        <w:tc>
          <w:tcPr>
            <w:tcW w:w="1963" w:type="dxa"/>
            <w:gridSpan w:val="2"/>
            <w:vMerge w:val="continue"/>
            <w:tcBorders>
              <w:top w:val="single" w:color="auto" w:sz="4" w:space="0"/>
              <w:left w:val="single" w:color="auto" w:sz="4" w:space="0"/>
              <w:bottom w:val="single" w:color="auto" w:sz="4" w:space="0"/>
              <w:right w:val="single" w:color="auto" w:sz="4" w:space="0"/>
            </w:tcBorders>
            <w:vAlign w:val="top"/>
          </w:tcPr>
          <w:p/>
        </w:tc>
        <w:tc>
          <w:tcPr>
            <w:tcW w:w="4952" w:type="dxa"/>
            <w:vMerge w:val="continue"/>
            <w:tcBorders>
              <w:top w:val="single" w:color="auto" w:sz="4" w:space="0"/>
              <w:left w:val="single" w:color="auto" w:sz="4" w:space="0"/>
              <w:bottom w:val="single" w:color="auto" w:sz="4" w:space="0"/>
              <w:right w:val="single" w:color="auto" w:sz="4" w:space="0"/>
            </w:tcBorders>
            <w:vAlign w:val="center"/>
          </w:tcPr>
          <w:p/>
        </w:tc>
        <w:tc>
          <w:tcPr>
            <w:tcW w:w="1514" w:type="dxa"/>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 w:val="24"/>
              </w:rPr>
            </w:pPr>
            <w:r>
              <w:rPr>
                <w:rFonts w:hint="eastAsia" w:ascii="宋体" w:hAnsi="宋体"/>
                <w:sz w:val="24"/>
              </w:rPr>
              <w:t>检查日期</w:t>
            </w:r>
          </w:p>
        </w:tc>
        <w:tc>
          <w:tcPr>
            <w:tcW w:w="5913" w:type="dxa"/>
            <w:gridSpan w:val="4"/>
            <w:tcBorders>
              <w:top w:val="single" w:color="auto" w:sz="4" w:space="0"/>
              <w:left w:val="single" w:color="auto" w:sz="4" w:space="0"/>
              <w:bottom w:val="single" w:color="auto" w:sz="4" w:space="0"/>
              <w:right w:val="single" w:color="auto" w:sz="4" w:space="0"/>
            </w:tcBorders>
            <w:vAlign w:val="center"/>
          </w:tcPr>
          <w:p>
            <w:pPr>
              <w:autoSpaceDN w:val="0"/>
              <w:spacing w:line="280" w:lineRule="exact"/>
              <w:jc w:val="center"/>
              <w:rPr>
                <w:rFonts w:ascii="宋体" w:hAnsi="宋体"/>
                <w:sz w:val="24"/>
              </w:rPr>
            </w:pPr>
          </w:p>
        </w:tc>
      </w:tr>
    </w:tbl>
    <w:p>
      <w:pPr>
        <w:autoSpaceDN w:val="0"/>
        <w:rPr>
          <w:rFonts w:hint="eastAsia"/>
          <w:szCs w:val="21"/>
        </w:rPr>
      </w:pPr>
      <w:r>
        <w:rPr>
          <w:rFonts w:hint="eastAsia"/>
          <w:szCs w:val="21"/>
        </w:rPr>
        <w:t>注：总得分80分为合格，扣分时需在备注栏注明理由；大树成活率不列入每次的考评计分。</w:t>
      </w:r>
    </w:p>
    <w:p>
      <w:pPr>
        <w:tabs>
          <w:tab w:val="left" w:pos="7350"/>
        </w:tabs>
        <w:spacing w:after="234" w:afterLines="75" w:line="600" w:lineRule="exact"/>
        <w:rPr>
          <w:rFonts w:hint="eastAsia" w:ascii="方正小标宋简体" w:eastAsia="方正小标宋简体"/>
          <w:sz w:val="44"/>
          <w:szCs w:val="44"/>
        </w:rPr>
      </w:pPr>
    </w:p>
    <w:p>
      <w:pPr>
        <w:tabs>
          <w:tab w:val="left" w:pos="7350"/>
        </w:tabs>
        <w:spacing w:after="234" w:afterLines="75" w:line="600" w:lineRule="exact"/>
        <w:rPr>
          <w:rFonts w:hint="eastAsia" w:ascii="方正小标宋简体" w:eastAsia="方正小标宋简体"/>
          <w:sz w:val="44"/>
          <w:szCs w:val="44"/>
        </w:rPr>
      </w:pPr>
    </w:p>
    <w:p>
      <w:pPr>
        <w:tabs>
          <w:tab w:val="left" w:pos="7350"/>
        </w:tabs>
        <w:spacing w:after="234" w:afterLines="75" w:line="600" w:lineRule="exact"/>
        <w:rPr>
          <w:rFonts w:hint="eastAsia" w:ascii="方正小标宋简体" w:eastAsia="方正小标宋简体"/>
          <w:sz w:val="44"/>
          <w:szCs w:val="44"/>
        </w:rPr>
      </w:pPr>
      <w:r>
        <w:rPr>
          <w:rFonts w:hint="eastAsia" w:ascii="宋体" w:hAnsi="宋体"/>
          <w:spacing w:val="26"/>
          <w:sz w:val="24"/>
        </w:rPr>
        <w:t>附件</w:t>
      </w:r>
      <w:r>
        <w:rPr>
          <w:rFonts w:hint="eastAsia" w:ascii="宋体" w:hAnsi="宋体"/>
          <w:spacing w:val="26"/>
          <w:sz w:val="24"/>
          <w:lang w:val="en-US" w:eastAsia="zh-CN"/>
        </w:rPr>
        <w:t>5</w:t>
      </w:r>
      <w:r>
        <w:rPr>
          <w:rFonts w:hint="eastAsia" w:ascii="宋体" w:hAnsi="宋体"/>
          <w:spacing w:val="26"/>
          <w:sz w:val="24"/>
        </w:rPr>
        <w:t xml:space="preserve">：              </w:t>
      </w:r>
      <w:r>
        <w:rPr>
          <w:rFonts w:hint="eastAsia" w:ascii="方正小标宋简体" w:eastAsia="方正小标宋简体"/>
          <w:sz w:val="44"/>
          <w:szCs w:val="44"/>
        </w:rPr>
        <w:t>玉环市日常绿化养护管理考核细则</w:t>
      </w:r>
    </w:p>
    <w:tbl>
      <w:tblPr>
        <w:tblStyle w:val="19"/>
        <w:tblW w:w="14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156"/>
        <w:gridCol w:w="6723"/>
        <w:gridCol w:w="5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6" w:hRule="atLeast"/>
        </w:trPr>
        <w:tc>
          <w:tcPr>
            <w:tcW w:w="738" w:type="dxa"/>
            <w:vAlign w:val="top"/>
          </w:tcPr>
          <w:p>
            <w:pPr>
              <w:jc w:val="center"/>
              <w:rPr>
                <w:rFonts w:hint="eastAsia" w:ascii="黑体" w:eastAsia="黑体"/>
                <w:spacing w:val="-20"/>
                <w:sz w:val="28"/>
                <w:szCs w:val="28"/>
              </w:rPr>
            </w:pPr>
            <w:r>
              <w:rPr>
                <w:rFonts w:hint="eastAsia" w:ascii="黑体" w:eastAsia="黑体"/>
                <w:spacing w:val="-20"/>
                <w:sz w:val="28"/>
                <w:szCs w:val="28"/>
              </w:rPr>
              <w:t>序号</w:t>
            </w:r>
          </w:p>
        </w:tc>
        <w:tc>
          <w:tcPr>
            <w:tcW w:w="1156" w:type="dxa"/>
            <w:vAlign w:val="top"/>
          </w:tcPr>
          <w:p>
            <w:pPr>
              <w:jc w:val="center"/>
              <w:rPr>
                <w:rFonts w:hint="eastAsia" w:ascii="黑体" w:eastAsia="黑体"/>
                <w:spacing w:val="-26"/>
                <w:sz w:val="28"/>
                <w:szCs w:val="28"/>
              </w:rPr>
            </w:pPr>
            <w:r>
              <w:rPr>
                <w:rFonts w:hint="eastAsia" w:ascii="黑体" w:eastAsia="黑体"/>
                <w:spacing w:val="-26"/>
                <w:sz w:val="28"/>
                <w:szCs w:val="28"/>
              </w:rPr>
              <w:t>考核项目</w:t>
            </w:r>
          </w:p>
        </w:tc>
        <w:tc>
          <w:tcPr>
            <w:tcW w:w="6723" w:type="dxa"/>
            <w:vAlign w:val="top"/>
          </w:tcPr>
          <w:p>
            <w:pPr>
              <w:jc w:val="center"/>
              <w:rPr>
                <w:rFonts w:hint="eastAsia" w:ascii="黑体" w:eastAsia="黑体"/>
                <w:sz w:val="28"/>
                <w:szCs w:val="28"/>
              </w:rPr>
            </w:pPr>
            <w:r>
              <w:rPr>
                <w:rFonts w:hint="eastAsia" w:ascii="黑体" w:eastAsia="黑体"/>
                <w:sz w:val="28"/>
                <w:szCs w:val="28"/>
              </w:rPr>
              <w:t>考核要求</w:t>
            </w:r>
          </w:p>
        </w:tc>
        <w:tc>
          <w:tcPr>
            <w:tcW w:w="5463" w:type="dxa"/>
            <w:vAlign w:val="top"/>
          </w:tcPr>
          <w:p>
            <w:pPr>
              <w:jc w:val="center"/>
              <w:rPr>
                <w:rFonts w:hint="eastAsia" w:ascii="黑体" w:eastAsia="黑体"/>
                <w:sz w:val="28"/>
                <w:szCs w:val="28"/>
              </w:rPr>
            </w:pPr>
            <w:r>
              <w:rPr>
                <w:rFonts w:hint="eastAsia" w:ascii="黑体" w:eastAsia="黑体"/>
                <w:sz w:val="28"/>
                <w:szCs w:val="28"/>
              </w:rPr>
              <w:t>扣款标准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9" w:hRule="atLeast"/>
        </w:trPr>
        <w:tc>
          <w:tcPr>
            <w:tcW w:w="738" w:type="dxa"/>
            <w:vAlign w:val="center"/>
          </w:tcPr>
          <w:p>
            <w:pPr>
              <w:spacing w:line="240" w:lineRule="exact"/>
              <w:jc w:val="center"/>
              <w:rPr>
                <w:rFonts w:hint="eastAsia" w:ascii="宋体" w:hAnsi="宋体"/>
                <w:szCs w:val="21"/>
              </w:rPr>
            </w:pPr>
            <w:r>
              <w:rPr>
                <w:rFonts w:hint="eastAsia" w:ascii="宋体" w:hAnsi="宋体"/>
                <w:szCs w:val="21"/>
              </w:rPr>
              <w:t>1</w:t>
            </w:r>
          </w:p>
        </w:tc>
        <w:tc>
          <w:tcPr>
            <w:tcW w:w="1156" w:type="dxa"/>
            <w:vAlign w:val="center"/>
          </w:tcPr>
          <w:p>
            <w:pPr>
              <w:spacing w:line="240" w:lineRule="exact"/>
              <w:jc w:val="center"/>
              <w:rPr>
                <w:rFonts w:hint="eastAsia" w:ascii="宋体" w:hAnsi="宋体"/>
                <w:szCs w:val="21"/>
              </w:rPr>
            </w:pPr>
            <w:r>
              <w:rPr>
                <w:rFonts w:hint="eastAsia" w:ascii="宋体" w:hAnsi="宋体"/>
                <w:szCs w:val="21"/>
              </w:rPr>
              <w:t>修剪</w:t>
            </w:r>
          </w:p>
          <w:p>
            <w:pPr>
              <w:spacing w:line="240" w:lineRule="exact"/>
              <w:jc w:val="center"/>
              <w:rPr>
                <w:rFonts w:hint="eastAsia" w:ascii="宋体" w:hAnsi="宋体"/>
                <w:szCs w:val="21"/>
              </w:rPr>
            </w:pPr>
            <w:r>
              <w:rPr>
                <w:rFonts w:hint="eastAsia" w:ascii="宋体" w:hAnsi="宋体"/>
                <w:szCs w:val="21"/>
              </w:rPr>
              <w:t>抹芽</w:t>
            </w:r>
          </w:p>
        </w:tc>
        <w:tc>
          <w:tcPr>
            <w:tcW w:w="6723" w:type="dxa"/>
            <w:vAlign w:val="center"/>
          </w:tcPr>
          <w:p>
            <w:pPr>
              <w:spacing w:line="240" w:lineRule="exact"/>
              <w:rPr>
                <w:rFonts w:hint="eastAsia" w:ascii="宋体" w:hAnsi="宋体"/>
                <w:szCs w:val="21"/>
              </w:rPr>
            </w:pPr>
            <w:r>
              <w:rPr>
                <w:rFonts w:hint="eastAsia" w:ascii="宋体" w:hAnsi="宋体"/>
                <w:szCs w:val="21"/>
              </w:rPr>
              <w:t>1、按照《玉环县园林植物修剪技术规程》做好修剪工作，修剪及时，无窜枝，控制好绿篱高度，不得影响交通视线，并妥善处理树与线、树与屋等矛盾。</w:t>
            </w:r>
          </w:p>
          <w:p>
            <w:pPr>
              <w:spacing w:line="240" w:lineRule="exact"/>
              <w:rPr>
                <w:rFonts w:hint="eastAsia" w:ascii="宋体" w:hAnsi="宋体"/>
                <w:szCs w:val="21"/>
              </w:rPr>
            </w:pPr>
            <w:r>
              <w:rPr>
                <w:rFonts w:hint="eastAsia" w:ascii="宋体" w:hAnsi="宋体"/>
                <w:szCs w:val="21"/>
              </w:rPr>
              <w:t>2、根据花灌木品种生长习性进行修剪、抹芽，修剪面整齐划一，目测一条线或光滑曲面，球面修剪光滑密实，无明显空洞、干枝。灌木不得出现单枝（芽）超出10cm未剪现象。</w:t>
            </w:r>
          </w:p>
          <w:p>
            <w:pPr>
              <w:spacing w:line="240" w:lineRule="exact"/>
              <w:rPr>
                <w:rFonts w:hint="eastAsia" w:ascii="宋体" w:hAnsi="宋体"/>
                <w:szCs w:val="21"/>
              </w:rPr>
            </w:pPr>
            <w:r>
              <w:rPr>
                <w:rFonts w:hint="eastAsia" w:ascii="宋体" w:hAnsi="宋体"/>
                <w:szCs w:val="21"/>
              </w:rPr>
              <w:t>3、根据树种确定抹芽次数及抹芽部位。抹芽需及时，芽长不超过10cm，抹芽时不允许拉伤树皮。</w:t>
            </w:r>
          </w:p>
          <w:p>
            <w:pPr>
              <w:spacing w:line="240" w:lineRule="exact"/>
              <w:rPr>
                <w:rFonts w:hint="eastAsia" w:ascii="宋体" w:hAnsi="宋体"/>
                <w:szCs w:val="21"/>
              </w:rPr>
            </w:pPr>
            <w:r>
              <w:rPr>
                <w:rFonts w:hint="eastAsia" w:ascii="宋体" w:hAnsi="宋体"/>
                <w:szCs w:val="21"/>
              </w:rPr>
              <w:t>4、过长茎蔓抑制到位，残花枯藤清理干净。</w:t>
            </w:r>
          </w:p>
        </w:tc>
        <w:tc>
          <w:tcPr>
            <w:tcW w:w="5463" w:type="dxa"/>
            <w:vAlign w:val="center"/>
          </w:tcPr>
          <w:p>
            <w:pPr>
              <w:spacing w:line="240" w:lineRule="exact"/>
              <w:rPr>
                <w:rFonts w:hint="eastAsia" w:ascii="宋体" w:hAnsi="宋体"/>
                <w:szCs w:val="21"/>
              </w:rPr>
            </w:pPr>
            <w:r>
              <w:rPr>
                <w:rFonts w:hint="eastAsia" w:ascii="宋体" w:hAnsi="宋体"/>
                <w:szCs w:val="21"/>
              </w:rPr>
              <w:t>1、枝条影响行人、行车，影响线、屋，拖而不决，每处最高扣300元。</w:t>
            </w:r>
          </w:p>
          <w:p>
            <w:pPr>
              <w:spacing w:line="240" w:lineRule="exact"/>
              <w:rPr>
                <w:rFonts w:hint="eastAsia" w:ascii="宋体" w:hAnsi="宋体"/>
                <w:szCs w:val="21"/>
              </w:rPr>
            </w:pPr>
            <w:r>
              <w:rPr>
                <w:rFonts w:hint="eastAsia" w:ascii="宋体" w:hAnsi="宋体"/>
                <w:szCs w:val="21"/>
              </w:rPr>
              <w:t>2、修剪不及时或修剪不平整，每处扣100-300元。</w:t>
            </w:r>
          </w:p>
          <w:p>
            <w:pPr>
              <w:spacing w:line="240" w:lineRule="exact"/>
              <w:rPr>
                <w:rFonts w:hint="eastAsia" w:ascii="宋体" w:hAnsi="宋体"/>
                <w:szCs w:val="21"/>
              </w:rPr>
            </w:pPr>
            <w:r>
              <w:rPr>
                <w:rFonts w:hint="eastAsia" w:ascii="宋体" w:hAnsi="宋体"/>
                <w:szCs w:val="21"/>
              </w:rPr>
              <w:t>3、错误修剪名贵树种，严重影响树木生长、形象的行为，每株最高处树木总价值20%罚款，造成死亡全额赔偿。</w:t>
            </w:r>
          </w:p>
          <w:p>
            <w:pPr>
              <w:spacing w:line="240" w:lineRule="exact"/>
              <w:rPr>
                <w:rFonts w:hint="eastAsia" w:ascii="宋体" w:hAnsi="宋体"/>
                <w:szCs w:val="21"/>
              </w:rPr>
            </w:pPr>
            <w:r>
              <w:rPr>
                <w:rFonts w:hint="eastAsia" w:ascii="宋体" w:hAnsi="宋体"/>
                <w:szCs w:val="21"/>
              </w:rPr>
              <w:t>4、抹芽不及时每处（株）扣100元。</w:t>
            </w:r>
          </w:p>
          <w:p>
            <w:pPr>
              <w:spacing w:line="240" w:lineRule="exact"/>
              <w:rPr>
                <w:rFonts w:hint="eastAsia" w:ascii="宋体" w:hAnsi="宋体"/>
                <w:szCs w:val="21"/>
              </w:rPr>
            </w:pPr>
            <w:r>
              <w:rPr>
                <w:rFonts w:hint="eastAsia" w:ascii="宋体" w:hAnsi="宋体"/>
                <w:szCs w:val="21"/>
              </w:rPr>
              <w:t>5、</w:t>
            </w:r>
            <w:r>
              <w:rPr>
                <w:rFonts w:hint="eastAsia" w:ascii="宋体" w:hAnsi="宋体"/>
                <w:spacing w:val="-8"/>
                <w:szCs w:val="21"/>
              </w:rPr>
              <w:t>茎蔓抑制不到位，枯藤清理不及时，每处扣100元</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1" w:hRule="atLeast"/>
        </w:trPr>
        <w:tc>
          <w:tcPr>
            <w:tcW w:w="738" w:type="dxa"/>
            <w:vAlign w:val="center"/>
          </w:tcPr>
          <w:p>
            <w:pPr>
              <w:spacing w:line="240" w:lineRule="exact"/>
              <w:jc w:val="center"/>
              <w:rPr>
                <w:rFonts w:hint="eastAsia" w:ascii="宋体" w:hAnsi="宋体"/>
                <w:szCs w:val="21"/>
              </w:rPr>
            </w:pPr>
            <w:r>
              <w:rPr>
                <w:rFonts w:hint="eastAsia" w:ascii="宋体" w:hAnsi="宋体"/>
                <w:szCs w:val="21"/>
              </w:rPr>
              <w:t>2</w:t>
            </w:r>
          </w:p>
        </w:tc>
        <w:tc>
          <w:tcPr>
            <w:tcW w:w="1156" w:type="dxa"/>
            <w:vAlign w:val="center"/>
          </w:tcPr>
          <w:p>
            <w:pPr>
              <w:spacing w:line="240" w:lineRule="exact"/>
              <w:jc w:val="center"/>
              <w:rPr>
                <w:rFonts w:hint="eastAsia" w:ascii="宋体" w:hAnsi="宋体"/>
                <w:szCs w:val="21"/>
              </w:rPr>
            </w:pPr>
            <w:r>
              <w:rPr>
                <w:rFonts w:hint="eastAsia" w:ascii="宋体" w:hAnsi="宋体"/>
                <w:szCs w:val="21"/>
              </w:rPr>
              <w:t>草坪</w:t>
            </w:r>
          </w:p>
        </w:tc>
        <w:tc>
          <w:tcPr>
            <w:tcW w:w="6723" w:type="dxa"/>
            <w:vAlign w:val="center"/>
          </w:tcPr>
          <w:p>
            <w:pPr>
              <w:spacing w:line="240" w:lineRule="exact"/>
              <w:rPr>
                <w:rFonts w:hint="eastAsia" w:ascii="宋体" w:hAnsi="宋体"/>
                <w:szCs w:val="21"/>
              </w:rPr>
            </w:pPr>
            <w:r>
              <w:rPr>
                <w:rFonts w:hint="eastAsia" w:ascii="宋体" w:hAnsi="宋体"/>
                <w:szCs w:val="21"/>
              </w:rPr>
              <w:t>草坪生长茂盛，无明显杂草，草坪边缘线清晰，高羊茅、黑麦草高度不得超过8cm；马尼拉等其他草坪高度不超过6cm。</w:t>
            </w:r>
          </w:p>
        </w:tc>
        <w:tc>
          <w:tcPr>
            <w:tcW w:w="5463" w:type="dxa"/>
            <w:vAlign w:val="center"/>
          </w:tcPr>
          <w:p>
            <w:pPr>
              <w:spacing w:line="240" w:lineRule="exact"/>
              <w:rPr>
                <w:rFonts w:hint="eastAsia" w:ascii="宋体" w:hAnsi="宋体"/>
                <w:szCs w:val="21"/>
              </w:rPr>
            </w:pPr>
            <w:r>
              <w:rPr>
                <w:rFonts w:hint="eastAsia" w:ascii="宋体" w:hAnsi="宋体"/>
                <w:szCs w:val="21"/>
              </w:rPr>
              <w:t>未达要求每处扣200元。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738" w:type="dxa"/>
            <w:vAlign w:val="center"/>
          </w:tcPr>
          <w:p>
            <w:pPr>
              <w:spacing w:line="240" w:lineRule="exact"/>
              <w:jc w:val="center"/>
              <w:rPr>
                <w:rFonts w:hint="eastAsia" w:ascii="宋体" w:hAnsi="宋体"/>
                <w:szCs w:val="21"/>
              </w:rPr>
            </w:pPr>
            <w:r>
              <w:rPr>
                <w:rFonts w:hint="eastAsia" w:ascii="宋体" w:hAnsi="宋体"/>
                <w:szCs w:val="21"/>
              </w:rPr>
              <w:t>3</w:t>
            </w:r>
          </w:p>
        </w:tc>
        <w:tc>
          <w:tcPr>
            <w:tcW w:w="1156" w:type="dxa"/>
            <w:vAlign w:val="center"/>
          </w:tcPr>
          <w:p>
            <w:pPr>
              <w:spacing w:line="240" w:lineRule="exact"/>
              <w:jc w:val="center"/>
              <w:rPr>
                <w:rFonts w:hint="eastAsia" w:ascii="宋体" w:hAnsi="宋体"/>
                <w:szCs w:val="21"/>
              </w:rPr>
            </w:pPr>
            <w:r>
              <w:rPr>
                <w:rFonts w:hint="eastAsia" w:ascii="宋体" w:hAnsi="宋体"/>
                <w:szCs w:val="21"/>
              </w:rPr>
              <w:t>草花</w:t>
            </w:r>
          </w:p>
          <w:p>
            <w:pPr>
              <w:spacing w:line="240" w:lineRule="exact"/>
              <w:jc w:val="center"/>
              <w:rPr>
                <w:rFonts w:hint="eastAsia" w:ascii="宋体" w:hAnsi="宋体"/>
                <w:szCs w:val="21"/>
              </w:rPr>
            </w:pPr>
            <w:r>
              <w:rPr>
                <w:rFonts w:hint="eastAsia" w:ascii="宋体" w:hAnsi="宋体"/>
                <w:szCs w:val="21"/>
              </w:rPr>
              <w:t>管理</w:t>
            </w:r>
          </w:p>
        </w:tc>
        <w:tc>
          <w:tcPr>
            <w:tcW w:w="6723" w:type="dxa"/>
            <w:vAlign w:val="center"/>
          </w:tcPr>
          <w:p>
            <w:pPr>
              <w:spacing w:line="240" w:lineRule="exact"/>
              <w:rPr>
                <w:rFonts w:hint="eastAsia" w:ascii="宋体" w:hAnsi="宋体"/>
                <w:szCs w:val="21"/>
              </w:rPr>
            </w:pPr>
            <w:r>
              <w:rPr>
                <w:rFonts w:hint="eastAsia" w:ascii="宋体" w:hAnsi="宋体"/>
                <w:szCs w:val="21"/>
              </w:rPr>
              <w:t>时令草花精心养护，做到四季有花，图案美观，花量饱满，花色丰富，景观效果良好。无缺株倒伏，无枯枝残花。</w:t>
            </w:r>
          </w:p>
        </w:tc>
        <w:tc>
          <w:tcPr>
            <w:tcW w:w="5463" w:type="dxa"/>
            <w:vAlign w:val="center"/>
          </w:tcPr>
          <w:p>
            <w:pPr>
              <w:spacing w:line="240" w:lineRule="exact"/>
              <w:rPr>
                <w:rFonts w:hint="eastAsia" w:ascii="宋体" w:hAnsi="宋体"/>
                <w:szCs w:val="21"/>
              </w:rPr>
            </w:pPr>
            <w:r>
              <w:rPr>
                <w:rFonts w:hint="eastAsia" w:ascii="宋体" w:hAnsi="宋体"/>
                <w:szCs w:val="21"/>
              </w:rPr>
              <w:t>未达要求每处扣200-400元。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738" w:type="dxa"/>
            <w:vAlign w:val="center"/>
          </w:tcPr>
          <w:p>
            <w:pPr>
              <w:spacing w:line="240" w:lineRule="exact"/>
              <w:jc w:val="center"/>
              <w:rPr>
                <w:rFonts w:hint="eastAsia" w:ascii="宋体" w:hAnsi="宋体"/>
                <w:szCs w:val="21"/>
              </w:rPr>
            </w:pPr>
            <w:r>
              <w:rPr>
                <w:rFonts w:hint="eastAsia" w:ascii="宋体" w:hAnsi="宋体"/>
                <w:szCs w:val="21"/>
              </w:rPr>
              <w:t>4</w:t>
            </w:r>
          </w:p>
        </w:tc>
        <w:tc>
          <w:tcPr>
            <w:tcW w:w="1156" w:type="dxa"/>
            <w:vAlign w:val="center"/>
          </w:tcPr>
          <w:p>
            <w:pPr>
              <w:spacing w:line="240" w:lineRule="exact"/>
              <w:jc w:val="center"/>
              <w:rPr>
                <w:rFonts w:hint="eastAsia" w:ascii="宋体" w:hAnsi="宋体"/>
                <w:szCs w:val="21"/>
              </w:rPr>
            </w:pPr>
            <w:r>
              <w:rPr>
                <w:rFonts w:hint="eastAsia" w:ascii="宋体" w:hAnsi="宋体"/>
                <w:szCs w:val="21"/>
              </w:rPr>
              <w:t>除草</w:t>
            </w:r>
          </w:p>
        </w:tc>
        <w:tc>
          <w:tcPr>
            <w:tcW w:w="6723" w:type="dxa"/>
            <w:vAlign w:val="center"/>
          </w:tcPr>
          <w:p>
            <w:pPr>
              <w:spacing w:line="240" w:lineRule="exact"/>
              <w:rPr>
                <w:rFonts w:hint="eastAsia" w:ascii="宋体" w:hAnsi="宋体"/>
                <w:szCs w:val="21"/>
              </w:rPr>
            </w:pPr>
            <w:r>
              <w:rPr>
                <w:rFonts w:hint="eastAsia" w:ascii="宋体" w:hAnsi="宋体"/>
                <w:szCs w:val="21"/>
              </w:rPr>
              <w:t>绿地无明显杂草，杂草每平方米不多于5棵，且高度不得超过10cm；花灌木间杂草高度不得超过花灌木。</w:t>
            </w:r>
          </w:p>
        </w:tc>
        <w:tc>
          <w:tcPr>
            <w:tcW w:w="5463" w:type="dxa"/>
            <w:vAlign w:val="center"/>
          </w:tcPr>
          <w:p>
            <w:pPr>
              <w:spacing w:line="240" w:lineRule="exact"/>
              <w:rPr>
                <w:rFonts w:hint="eastAsia" w:ascii="宋体" w:hAnsi="宋体"/>
                <w:szCs w:val="21"/>
              </w:rPr>
            </w:pPr>
            <w:r>
              <w:rPr>
                <w:rFonts w:hint="eastAsia" w:ascii="宋体" w:hAnsi="宋体"/>
                <w:szCs w:val="21"/>
              </w:rPr>
              <w:t>未达要求每处扣100元，每平方米杂草超过10株，且高度超过10cm，每处扣200元。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738" w:type="dxa"/>
            <w:vAlign w:val="center"/>
          </w:tcPr>
          <w:p>
            <w:pPr>
              <w:spacing w:line="240" w:lineRule="exact"/>
              <w:jc w:val="center"/>
              <w:rPr>
                <w:rFonts w:hint="eastAsia" w:ascii="宋体" w:hAnsi="宋体"/>
                <w:szCs w:val="21"/>
              </w:rPr>
            </w:pPr>
            <w:r>
              <w:rPr>
                <w:rFonts w:hint="eastAsia" w:ascii="宋体" w:hAnsi="宋体"/>
                <w:szCs w:val="21"/>
              </w:rPr>
              <w:t>5</w:t>
            </w:r>
          </w:p>
        </w:tc>
        <w:tc>
          <w:tcPr>
            <w:tcW w:w="1156" w:type="dxa"/>
            <w:vAlign w:val="center"/>
          </w:tcPr>
          <w:p>
            <w:pPr>
              <w:spacing w:line="240" w:lineRule="exact"/>
              <w:jc w:val="center"/>
              <w:rPr>
                <w:rFonts w:hint="eastAsia" w:ascii="宋体" w:hAnsi="宋体"/>
                <w:szCs w:val="21"/>
              </w:rPr>
            </w:pPr>
            <w:r>
              <w:rPr>
                <w:rFonts w:hint="eastAsia" w:ascii="宋体" w:hAnsi="宋体"/>
                <w:szCs w:val="21"/>
              </w:rPr>
              <w:t>病虫害防治</w:t>
            </w:r>
          </w:p>
        </w:tc>
        <w:tc>
          <w:tcPr>
            <w:tcW w:w="6723" w:type="dxa"/>
            <w:vAlign w:val="center"/>
          </w:tcPr>
          <w:p>
            <w:pPr>
              <w:spacing w:line="240" w:lineRule="exact"/>
              <w:rPr>
                <w:rFonts w:hint="eastAsia" w:ascii="宋体" w:hAnsi="宋体"/>
                <w:szCs w:val="21"/>
              </w:rPr>
            </w:pPr>
            <w:r>
              <w:rPr>
                <w:rFonts w:hint="eastAsia" w:ascii="宋体" w:hAnsi="宋体"/>
                <w:szCs w:val="21"/>
              </w:rPr>
              <w:t>及时防治和控制病虫害的发生，无群众举报。用药配比正确，操作安全,喷药均匀，不发生药害事故。</w:t>
            </w:r>
          </w:p>
        </w:tc>
        <w:tc>
          <w:tcPr>
            <w:tcW w:w="5463" w:type="dxa"/>
            <w:vAlign w:val="center"/>
          </w:tcPr>
          <w:p>
            <w:pPr>
              <w:spacing w:line="240" w:lineRule="exact"/>
              <w:rPr>
                <w:rFonts w:hint="eastAsia" w:ascii="宋体" w:hAnsi="宋体"/>
                <w:szCs w:val="21"/>
              </w:rPr>
            </w:pPr>
            <w:r>
              <w:rPr>
                <w:rFonts w:hint="eastAsia" w:ascii="宋体" w:hAnsi="宋体"/>
                <w:szCs w:val="21"/>
              </w:rPr>
              <w:t>1、防治不及时每处扣100-300元，造成死亡全额赔偿。</w:t>
            </w:r>
          </w:p>
          <w:p>
            <w:pPr>
              <w:spacing w:line="240" w:lineRule="exact"/>
              <w:rPr>
                <w:rFonts w:hint="eastAsia" w:ascii="宋体" w:hAnsi="宋体"/>
                <w:szCs w:val="21"/>
              </w:rPr>
            </w:pPr>
            <w:r>
              <w:rPr>
                <w:rFonts w:hint="eastAsia" w:ascii="宋体" w:hAnsi="宋体"/>
                <w:szCs w:val="21"/>
              </w:rPr>
              <w:t>2、造成严重疫情的从重处罚。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6" w:hRule="atLeast"/>
        </w:trPr>
        <w:tc>
          <w:tcPr>
            <w:tcW w:w="738" w:type="dxa"/>
            <w:vAlign w:val="center"/>
          </w:tcPr>
          <w:p>
            <w:pPr>
              <w:spacing w:line="240" w:lineRule="exact"/>
              <w:jc w:val="center"/>
              <w:rPr>
                <w:rFonts w:hint="eastAsia" w:ascii="宋体" w:hAnsi="宋体"/>
                <w:szCs w:val="21"/>
              </w:rPr>
            </w:pPr>
            <w:r>
              <w:rPr>
                <w:rFonts w:hint="eastAsia" w:ascii="宋体" w:hAnsi="宋体"/>
                <w:szCs w:val="21"/>
              </w:rPr>
              <w:t>6</w:t>
            </w:r>
          </w:p>
        </w:tc>
        <w:tc>
          <w:tcPr>
            <w:tcW w:w="1156" w:type="dxa"/>
            <w:vAlign w:val="center"/>
          </w:tcPr>
          <w:p>
            <w:pPr>
              <w:spacing w:line="240" w:lineRule="exact"/>
              <w:jc w:val="center"/>
              <w:rPr>
                <w:rFonts w:hint="eastAsia" w:ascii="宋体" w:hAnsi="宋体"/>
                <w:szCs w:val="21"/>
              </w:rPr>
            </w:pPr>
            <w:r>
              <w:rPr>
                <w:rFonts w:hint="eastAsia" w:ascii="宋体" w:hAnsi="宋体"/>
                <w:szCs w:val="21"/>
              </w:rPr>
              <w:t>施肥</w:t>
            </w:r>
          </w:p>
        </w:tc>
        <w:tc>
          <w:tcPr>
            <w:tcW w:w="6723" w:type="dxa"/>
            <w:vAlign w:val="center"/>
          </w:tcPr>
          <w:p>
            <w:pPr>
              <w:spacing w:line="240" w:lineRule="exact"/>
              <w:rPr>
                <w:rFonts w:hint="eastAsia" w:ascii="宋体" w:hAnsi="宋体"/>
                <w:szCs w:val="21"/>
              </w:rPr>
            </w:pPr>
            <w:r>
              <w:rPr>
                <w:rFonts w:hint="eastAsia" w:ascii="宋体" w:hAnsi="宋体"/>
                <w:szCs w:val="21"/>
              </w:rPr>
              <w:t>年施肥根据植物特性不同而不同，但不少于2次，其中施越冬肥一次。根据苗木品种等实际情况有针对性地选择肥料种类，保证植株生长发育的良好势头。</w:t>
            </w:r>
          </w:p>
        </w:tc>
        <w:tc>
          <w:tcPr>
            <w:tcW w:w="5463" w:type="dxa"/>
            <w:vAlign w:val="center"/>
          </w:tcPr>
          <w:p>
            <w:pPr>
              <w:spacing w:line="240" w:lineRule="exact"/>
              <w:rPr>
                <w:rFonts w:hint="eastAsia" w:ascii="宋体" w:hAnsi="宋体"/>
                <w:szCs w:val="21"/>
              </w:rPr>
            </w:pPr>
            <w:r>
              <w:rPr>
                <w:rFonts w:hint="eastAsia" w:ascii="宋体" w:hAnsi="宋体"/>
                <w:szCs w:val="21"/>
              </w:rPr>
              <w:t>未施肥或施肥不到位的，每次最高扣年总养护款的5%。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4" w:hRule="atLeast"/>
        </w:trPr>
        <w:tc>
          <w:tcPr>
            <w:tcW w:w="738" w:type="dxa"/>
            <w:vAlign w:val="center"/>
          </w:tcPr>
          <w:p>
            <w:pPr>
              <w:spacing w:line="240" w:lineRule="exact"/>
              <w:jc w:val="center"/>
              <w:rPr>
                <w:rFonts w:hint="eastAsia" w:ascii="宋体" w:hAnsi="宋体"/>
                <w:szCs w:val="21"/>
              </w:rPr>
            </w:pPr>
            <w:r>
              <w:rPr>
                <w:rFonts w:hint="eastAsia" w:ascii="宋体" w:hAnsi="宋体"/>
                <w:szCs w:val="21"/>
              </w:rPr>
              <w:t>7</w:t>
            </w:r>
          </w:p>
        </w:tc>
        <w:tc>
          <w:tcPr>
            <w:tcW w:w="1156" w:type="dxa"/>
            <w:vAlign w:val="center"/>
          </w:tcPr>
          <w:p>
            <w:pPr>
              <w:spacing w:line="240" w:lineRule="exact"/>
              <w:jc w:val="center"/>
              <w:rPr>
                <w:rFonts w:hint="eastAsia" w:ascii="宋体" w:hAnsi="宋体"/>
                <w:szCs w:val="21"/>
              </w:rPr>
            </w:pPr>
            <w:r>
              <w:rPr>
                <w:rFonts w:hint="eastAsia" w:ascii="宋体" w:hAnsi="宋体"/>
                <w:szCs w:val="21"/>
              </w:rPr>
              <w:t>日常</w:t>
            </w:r>
          </w:p>
          <w:p>
            <w:pPr>
              <w:spacing w:line="240" w:lineRule="exact"/>
              <w:jc w:val="center"/>
              <w:rPr>
                <w:rFonts w:hint="eastAsia" w:ascii="宋体" w:hAnsi="宋体"/>
                <w:szCs w:val="21"/>
              </w:rPr>
            </w:pPr>
            <w:r>
              <w:rPr>
                <w:rFonts w:hint="eastAsia" w:ascii="宋体" w:hAnsi="宋体"/>
                <w:szCs w:val="21"/>
              </w:rPr>
              <w:t>管理</w:t>
            </w:r>
          </w:p>
        </w:tc>
        <w:tc>
          <w:tcPr>
            <w:tcW w:w="6723" w:type="dxa"/>
            <w:vAlign w:val="center"/>
          </w:tcPr>
          <w:p>
            <w:pPr>
              <w:spacing w:line="240" w:lineRule="exact"/>
              <w:rPr>
                <w:rFonts w:hint="eastAsia" w:ascii="宋体" w:hAnsi="宋体"/>
                <w:szCs w:val="21"/>
              </w:rPr>
            </w:pPr>
            <w:r>
              <w:rPr>
                <w:rFonts w:hint="eastAsia" w:ascii="宋体" w:hAnsi="宋体"/>
                <w:szCs w:val="21"/>
              </w:rPr>
              <w:t>1、每半年松土一次，做树穴一次，草坪切边一次。</w:t>
            </w:r>
          </w:p>
          <w:p>
            <w:pPr>
              <w:spacing w:line="240" w:lineRule="exact"/>
              <w:rPr>
                <w:rFonts w:hint="eastAsia" w:ascii="宋体" w:hAnsi="宋体"/>
                <w:szCs w:val="21"/>
              </w:rPr>
            </w:pPr>
            <w:r>
              <w:rPr>
                <w:rFonts w:hint="eastAsia" w:ascii="宋体" w:hAnsi="宋体"/>
                <w:szCs w:val="21"/>
              </w:rPr>
              <w:t>2、及时清理树干钉子、铁丝、绳等物品。</w:t>
            </w:r>
          </w:p>
          <w:p>
            <w:pPr>
              <w:spacing w:line="240" w:lineRule="exact"/>
              <w:rPr>
                <w:rFonts w:hint="eastAsia" w:ascii="宋体" w:hAnsi="宋体"/>
                <w:szCs w:val="21"/>
              </w:rPr>
            </w:pPr>
            <w:r>
              <w:rPr>
                <w:rFonts w:hint="eastAsia" w:ascii="宋体" w:hAnsi="宋体"/>
                <w:szCs w:val="21"/>
              </w:rPr>
              <w:t>3、做到绿地内无死株、无缺株。</w:t>
            </w:r>
          </w:p>
          <w:p>
            <w:pPr>
              <w:spacing w:line="240" w:lineRule="exact"/>
              <w:rPr>
                <w:rFonts w:hint="eastAsia" w:ascii="宋体" w:hAnsi="宋体"/>
                <w:szCs w:val="21"/>
              </w:rPr>
            </w:pPr>
            <w:r>
              <w:rPr>
                <w:rFonts w:hint="eastAsia" w:ascii="宋体" w:hAnsi="宋体"/>
                <w:szCs w:val="21"/>
              </w:rPr>
              <w:t>4、严禁养护车辆停放在绿地上。</w:t>
            </w:r>
          </w:p>
        </w:tc>
        <w:tc>
          <w:tcPr>
            <w:tcW w:w="5463" w:type="dxa"/>
            <w:vAlign w:val="center"/>
          </w:tcPr>
          <w:p>
            <w:pPr>
              <w:spacing w:line="240" w:lineRule="exact"/>
              <w:rPr>
                <w:rFonts w:hint="eastAsia" w:ascii="宋体" w:hAnsi="宋体"/>
                <w:szCs w:val="21"/>
              </w:rPr>
            </w:pPr>
            <w:r>
              <w:rPr>
                <w:rFonts w:hint="eastAsia" w:ascii="宋体" w:hAnsi="宋体"/>
                <w:szCs w:val="21"/>
              </w:rPr>
              <w:t>1、</w:t>
            </w:r>
            <w:r>
              <w:rPr>
                <w:rFonts w:hint="eastAsia" w:ascii="宋体" w:hAnsi="宋体"/>
                <w:spacing w:val="-8"/>
                <w:szCs w:val="21"/>
              </w:rPr>
              <w:t>未松土和切边或松土和切边不规范，每处扣200元</w:t>
            </w:r>
            <w:r>
              <w:rPr>
                <w:rFonts w:hint="eastAsia" w:ascii="宋体" w:hAnsi="宋体"/>
                <w:szCs w:val="21"/>
              </w:rPr>
              <w:t>。</w:t>
            </w:r>
          </w:p>
          <w:p>
            <w:pPr>
              <w:spacing w:line="240" w:lineRule="exact"/>
              <w:rPr>
                <w:rFonts w:hint="eastAsia" w:ascii="宋体" w:hAnsi="宋体"/>
                <w:szCs w:val="21"/>
              </w:rPr>
            </w:pPr>
            <w:r>
              <w:rPr>
                <w:rFonts w:hint="eastAsia" w:ascii="宋体" w:hAnsi="宋体"/>
                <w:szCs w:val="21"/>
              </w:rPr>
              <w:t>2、未定期清理钉等物品</w:t>
            </w:r>
            <w:r>
              <w:rPr>
                <w:rFonts w:hint="eastAsia" w:ascii="宋体" w:hAnsi="宋体"/>
                <w:spacing w:val="-8"/>
                <w:szCs w:val="21"/>
              </w:rPr>
              <w:t>每处扣100-300元</w:t>
            </w:r>
            <w:r>
              <w:rPr>
                <w:rFonts w:hint="eastAsia" w:ascii="宋体" w:hAnsi="宋体"/>
                <w:szCs w:val="21"/>
              </w:rPr>
              <w:t>。</w:t>
            </w:r>
          </w:p>
          <w:p>
            <w:pPr>
              <w:spacing w:line="240" w:lineRule="exact"/>
              <w:rPr>
                <w:rFonts w:hint="eastAsia" w:ascii="宋体" w:hAnsi="宋体"/>
                <w:szCs w:val="21"/>
              </w:rPr>
            </w:pPr>
            <w:r>
              <w:rPr>
                <w:rFonts w:hint="eastAsia" w:ascii="宋体" w:hAnsi="宋体"/>
                <w:szCs w:val="21"/>
              </w:rPr>
              <w:t>3、因乙方养护原因造成死株的由乙方无偿补种高一档规格的全冠苗木，补植未达到原有规格扣除等同树木价值的费用。</w:t>
            </w:r>
          </w:p>
          <w:p>
            <w:pPr>
              <w:spacing w:line="240" w:lineRule="exact"/>
              <w:rPr>
                <w:rFonts w:hint="eastAsia" w:ascii="宋体" w:hAnsi="宋体"/>
                <w:szCs w:val="21"/>
              </w:rPr>
            </w:pPr>
            <w:r>
              <w:rPr>
                <w:rFonts w:hint="eastAsia" w:ascii="宋体" w:hAnsi="宋体"/>
                <w:szCs w:val="21"/>
              </w:rPr>
              <w:t>4、养护车辆停放在绿地上发现一次扣300元。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0" w:hRule="atLeast"/>
        </w:trPr>
        <w:tc>
          <w:tcPr>
            <w:tcW w:w="738" w:type="dxa"/>
            <w:vAlign w:val="center"/>
          </w:tcPr>
          <w:p>
            <w:pPr>
              <w:spacing w:line="280" w:lineRule="exact"/>
              <w:jc w:val="center"/>
              <w:rPr>
                <w:rFonts w:hint="eastAsia" w:ascii="宋体" w:hAnsi="宋体"/>
                <w:szCs w:val="21"/>
              </w:rPr>
            </w:pPr>
            <w:r>
              <w:rPr>
                <w:rFonts w:hint="eastAsia" w:ascii="宋体" w:hAnsi="宋体"/>
                <w:szCs w:val="21"/>
              </w:rPr>
              <w:t>8</w:t>
            </w:r>
          </w:p>
        </w:tc>
        <w:tc>
          <w:tcPr>
            <w:tcW w:w="1156" w:type="dxa"/>
            <w:vAlign w:val="center"/>
          </w:tcPr>
          <w:p>
            <w:pPr>
              <w:spacing w:line="280" w:lineRule="exact"/>
              <w:jc w:val="center"/>
              <w:rPr>
                <w:rFonts w:hint="eastAsia" w:ascii="宋体" w:hAnsi="宋体"/>
                <w:szCs w:val="21"/>
              </w:rPr>
            </w:pPr>
            <w:r>
              <w:rPr>
                <w:rFonts w:hint="eastAsia" w:ascii="宋体" w:hAnsi="宋体"/>
                <w:szCs w:val="21"/>
              </w:rPr>
              <w:t>绿化</w:t>
            </w:r>
          </w:p>
          <w:p>
            <w:pPr>
              <w:spacing w:line="280" w:lineRule="exact"/>
              <w:jc w:val="center"/>
              <w:rPr>
                <w:rFonts w:hint="eastAsia" w:ascii="宋体" w:hAnsi="宋体"/>
                <w:szCs w:val="21"/>
              </w:rPr>
            </w:pPr>
            <w:r>
              <w:rPr>
                <w:rFonts w:hint="eastAsia" w:ascii="宋体" w:hAnsi="宋体"/>
                <w:szCs w:val="21"/>
              </w:rPr>
              <w:t>补植</w:t>
            </w:r>
          </w:p>
        </w:tc>
        <w:tc>
          <w:tcPr>
            <w:tcW w:w="6723" w:type="dxa"/>
            <w:vAlign w:val="center"/>
          </w:tcPr>
          <w:p>
            <w:pPr>
              <w:spacing w:line="280" w:lineRule="exact"/>
              <w:rPr>
                <w:rFonts w:hint="eastAsia" w:ascii="宋体" w:hAnsi="宋体"/>
                <w:szCs w:val="21"/>
              </w:rPr>
            </w:pPr>
            <w:r>
              <w:rPr>
                <w:rFonts w:hint="eastAsia" w:ascii="宋体" w:hAnsi="宋体"/>
                <w:szCs w:val="21"/>
              </w:rPr>
              <w:t>1、绿化补植工作要严格按照工期、品种、规格、经费等方面要求进行，确保补植工作保质保量完成。</w:t>
            </w:r>
          </w:p>
          <w:p>
            <w:pPr>
              <w:spacing w:line="280" w:lineRule="exact"/>
              <w:rPr>
                <w:rFonts w:hint="eastAsia" w:ascii="宋体" w:hAnsi="宋体"/>
                <w:szCs w:val="21"/>
              </w:rPr>
            </w:pPr>
            <w:r>
              <w:rPr>
                <w:rFonts w:hint="eastAsia" w:ascii="宋体" w:hAnsi="宋体"/>
                <w:szCs w:val="21"/>
              </w:rPr>
              <w:t>2、补植产生的垃圾（包括植物）当日清理，保持整洁。</w:t>
            </w:r>
          </w:p>
          <w:p>
            <w:pPr>
              <w:spacing w:line="280" w:lineRule="exact"/>
              <w:rPr>
                <w:rFonts w:hint="eastAsia" w:ascii="宋体" w:hAnsi="宋体"/>
                <w:szCs w:val="21"/>
              </w:rPr>
            </w:pPr>
            <w:r>
              <w:rPr>
                <w:rFonts w:hint="eastAsia" w:ascii="宋体" w:hAnsi="宋体"/>
                <w:szCs w:val="21"/>
              </w:rPr>
              <w:t>3、因养护管理措施不当造成死株的由乙方无偿补种高一档规格、品种的全冠苗木。</w:t>
            </w:r>
          </w:p>
        </w:tc>
        <w:tc>
          <w:tcPr>
            <w:tcW w:w="5463" w:type="dxa"/>
            <w:vAlign w:val="center"/>
          </w:tcPr>
          <w:p>
            <w:pPr>
              <w:spacing w:line="280" w:lineRule="exact"/>
              <w:rPr>
                <w:rFonts w:hint="eastAsia" w:ascii="宋体" w:hAnsi="宋体"/>
                <w:szCs w:val="21"/>
              </w:rPr>
            </w:pPr>
            <w:r>
              <w:rPr>
                <w:rFonts w:hint="eastAsia" w:ascii="宋体" w:hAnsi="宋体"/>
                <w:szCs w:val="21"/>
              </w:rPr>
              <w:t>1、无故拖延工期，根据影响程度扣除1-10%补植款。</w:t>
            </w:r>
          </w:p>
          <w:p>
            <w:pPr>
              <w:spacing w:line="280" w:lineRule="exact"/>
              <w:rPr>
                <w:rFonts w:hint="eastAsia" w:ascii="宋体" w:hAnsi="宋体"/>
                <w:szCs w:val="21"/>
              </w:rPr>
            </w:pPr>
            <w:r>
              <w:rPr>
                <w:rFonts w:hint="eastAsia" w:ascii="宋体" w:hAnsi="宋体"/>
                <w:szCs w:val="21"/>
              </w:rPr>
              <w:t>2、擅自更换补植品种或规格，更改部分不予计费。</w:t>
            </w:r>
          </w:p>
          <w:p>
            <w:pPr>
              <w:spacing w:line="280" w:lineRule="exact"/>
              <w:rPr>
                <w:rFonts w:hint="eastAsia" w:ascii="宋体" w:hAnsi="宋体"/>
                <w:szCs w:val="21"/>
              </w:rPr>
            </w:pPr>
            <w:r>
              <w:rPr>
                <w:rFonts w:hint="eastAsia" w:ascii="宋体" w:hAnsi="宋体"/>
                <w:szCs w:val="21"/>
              </w:rPr>
              <w:t>3、验收不合格的要求及时返工，不予返工的，此次补植工作全部不予计费，造成损失的赔偿损失。</w:t>
            </w:r>
          </w:p>
          <w:p>
            <w:pPr>
              <w:spacing w:line="280" w:lineRule="exact"/>
              <w:rPr>
                <w:rFonts w:hint="eastAsia" w:ascii="宋体" w:hAnsi="宋体"/>
                <w:szCs w:val="21"/>
              </w:rPr>
            </w:pPr>
            <w:r>
              <w:rPr>
                <w:rFonts w:hint="eastAsia" w:ascii="宋体" w:hAnsi="宋体"/>
                <w:szCs w:val="21"/>
              </w:rPr>
              <w:t>4、补植垃圾未及时清理，每处扣150元。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15" w:hRule="atLeast"/>
        </w:trPr>
        <w:tc>
          <w:tcPr>
            <w:tcW w:w="738" w:type="dxa"/>
            <w:vAlign w:val="center"/>
          </w:tcPr>
          <w:p>
            <w:pPr>
              <w:spacing w:line="280" w:lineRule="exact"/>
              <w:jc w:val="center"/>
              <w:rPr>
                <w:rFonts w:hint="eastAsia" w:ascii="宋体" w:hAnsi="宋体"/>
                <w:szCs w:val="21"/>
              </w:rPr>
            </w:pPr>
            <w:r>
              <w:rPr>
                <w:rFonts w:hint="eastAsia" w:ascii="宋体" w:hAnsi="宋体"/>
                <w:szCs w:val="21"/>
              </w:rPr>
              <w:t>9</w:t>
            </w:r>
          </w:p>
        </w:tc>
        <w:tc>
          <w:tcPr>
            <w:tcW w:w="1156" w:type="dxa"/>
            <w:vMerge w:val="restart"/>
            <w:vAlign w:val="center"/>
          </w:tcPr>
          <w:p>
            <w:pPr>
              <w:spacing w:line="280" w:lineRule="exact"/>
              <w:jc w:val="center"/>
              <w:rPr>
                <w:rFonts w:hint="eastAsia" w:ascii="宋体" w:hAnsi="宋体"/>
                <w:szCs w:val="21"/>
              </w:rPr>
            </w:pPr>
            <w:r>
              <w:rPr>
                <w:rFonts w:hint="eastAsia" w:ascii="宋体" w:hAnsi="宋体"/>
                <w:szCs w:val="21"/>
              </w:rPr>
              <w:t>绿地</w:t>
            </w:r>
          </w:p>
          <w:p>
            <w:pPr>
              <w:spacing w:line="280" w:lineRule="exact"/>
              <w:jc w:val="center"/>
              <w:rPr>
                <w:rFonts w:hint="eastAsia" w:ascii="宋体" w:hAnsi="宋体"/>
                <w:szCs w:val="21"/>
              </w:rPr>
            </w:pPr>
            <w:r>
              <w:rPr>
                <w:rFonts w:hint="eastAsia" w:ascii="宋体" w:hAnsi="宋体"/>
                <w:szCs w:val="21"/>
              </w:rPr>
              <w:t>保洁</w:t>
            </w:r>
          </w:p>
        </w:tc>
        <w:tc>
          <w:tcPr>
            <w:tcW w:w="6723" w:type="dxa"/>
            <w:vAlign w:val="center"/>
          </w:tcPr>
          <w:p>
            <w:pPr>
              <w:spacing w:line="280" w:lineRule="exact"/>
              <w:rPr>
                <w:rFonts w:hint="eastAsia" w:ascii="宋体" w:hAnsi="宋体"/>
                <w:szCs w:val="21"/>
              </w:rPr>
            </w:pPr>
            <w:r>
              <w:rPr>
                <w:rFonts w:hint="eastAsia" w:ascii="宋体" w:hAnsi="宋体"/>
                <w:szCs w:val="21"/>
              </w:rPr>
              <w:t>1、绿地保洁时间要求为每日6：30至18：30，遇重大节假日与重要会议保洁时间适当延长。保洁人员按时到岗，不得擅自离岗。</w:t>
            </w:r>
          </w:p>
          <w:p>
            <w:pPr>
              <w:spacing w:line="280" w:lineRule="exact"/>
              <w:rPr>
                <w:rFonts w:hint="eastAsia" w:ascii="宋体" w:hAnsi="宋体"/>
                <w:szCs w:val="21"/>
              </w:rPr>
            </w:pPr>
            <w:r>
              <w:rPr>
                <w:rFonts w:hint="eastAsia" w:ascii="宋体" w:hAnsi="宋体"/>
                <w:szCs w:val="21"/>
              </w:rPr>
              <w:t>2、做好养护绿地、园路内的垃圾清理工作，做到无杂物，无污染物，无卫生死角。</w:t>
            </w:r>
          </w:p>
          <w:p>
            <w:pPr>
              <w:spacing w:line="280" w:lineRule="exact"/>
              <w:rPr>
                <w:rFonts w:hint="eastAsia" w:ascii="宋体" w:hAnsi="宋体"/>
                <w:szCs w:val="21"/>
              </w:rPr>
            </w:pPr>
            <w:r>
              <w:rPr>
                <w:rFonts w:hint="eastAsia" w:ascii="宋体" w:hAnsi="宋体"/>
                <w:szCs w:val="21"/>
              </w:rPr>
              <w:t>3、各公司养护绿地人均保洁面积不得超过10000平方米。</w:t>
            </w:r>
          </w:p>
        </w:tc>
        <w:tc>
          <w:tcPr>
            <w:tcW w:w="5463" w:type="dxa"/>
            <w:vAlign w:val="center"/>
          </w:tcPr>
          <w:p>
            <w:pPr>
              <w:spacing w:line="280" w:lineRule="exact"/>
              <w:rPr>
                <w:rFonts w:hint="eastAsia" w:ascii="宋体" w:hAnsi="宋体"/>
                <w:color w:val="000000"/>
                <w:szCs w:val="21"/>
              </w:rPr>
            </w:pPr>
            <w:r>
              <w:rPr>
                <w:rFonts w:hint="eastAsia" w:ascii="宋体" w:hAnsi="宋体"/>
                <w:color w:val="000000"/>
                <w:szCs w:val="21"/>
              </w:rPr>
              <w:t>1、保洁人员未正常上班或离岗，每人每次扣100元，连续发现的加倍处罚。绿化保洁人员在上班时间收藏塑料瓶等可回收物品，每次扣100元，如社会反响强烈、情节严重的加倍处罚。</w:t>
            </w:r>
          </w:p>
          <w:p>
            <w:pPr>
              <w:spacing w:line="280" w:lineRule="exact"/>
              <w:rPr>
                <w:rFonts w:hint="eastAsia" w:ascii="宋体" w:hAnsi="宋体"/>
                <w:color w:val="000000"/>
                <w:szCs w:val="21"/>
              </w:rPr>
            </w:pPr>
            <w:r>
              <w:rPr>
                <w:rFonts w:hint="eastAsia" w:ascii="宋体" w:hAnsi="宋体"/>
                <w:color w:val="000000"/>
                <w:szCs w:val="21"/>
              </w:rPr>
              <w:t>2、绿地、园路保洁不到位，每处扣100-200元。</w:t>
            </w:r>
          </w:p>
          <w:p>
            <w:pPr>
              <w:spacing w:line="280" w:lineRule="exact"/>
              <w:rPr>
                <w:rFonts w:hint="eastAsia" w:ascii="宋体" w:hAnsi="宋体"/>
                <w:szCs w:val="21"/>
              </w:rPr>
            </w:pPr>
            <w:r>
              <w:rPr>
                <w:rFonts w:hint="eastAsia" w:ascii="宋体" w:hAnsi="宋体"/>
                <w:szCs w:val="21"/>
              </w:rPr>
              <w:t>3、绿地人均保洁面积</w:t>
            </w:r>
            <w:r>
              <w:rPr>
                <w:rFonts w:hint="eastAsia" w:ascii="宋体" w:hAnsi="宋体"/>
                <w:color w:val="000000"/>
                <w:szCs w:val="21"/>
              </w:rPr>
              <w:t>超过10000平方米，且未及时整改，可终止合同。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31" w:hRule="atLeast"/>
        </w:trPr>
        <w:tc>
          <w:tcPr>
            <w:tcW w:w="738" w:type="dxa"/>
            <w:vAlign w:val="center"/>
          </w:tcPr>
          <w:p>
            <w:pPr>
              <w:spacing w:line="280" w:lineRule="exact"/>
              <w:jc w:val="center"/>
              <w:rPr>
                <w:rFonts w:hint="eastAsia" w:ascii="宋体" w:hAnsi="宋体"/>
                <w:szCs w:val="21"/>
              </w:rPr>
            </w:pPr>
            <w:r>
              <w:rPr>
                <w:rFonts w:hint="eastAsia" w:ascii="宋体" w:hAnsi="宋体"/>
                <w:szCs w:val="21"/>
              </w:rPr>
              <w:t>10</w:t>
            </w:r>
          </w:p>
        </w:tc>
        <w:tc>
          <w:tcPr>
            <w:tcW w:w="1156" w:type="dxa"/>
            <w:vMerge w:val="continue"/>
            <w:vAlign w:val="center"/>
          </w:tcPr>
          <w:p>
            <w:pPr>
              <w:rPr>
                <w:szCs w:val="21"/>
              </w:rPr>
            </w:pPr>
          </w:p>
        </w:tc>
        <w:tc>
          <w:tcPr>
            <w:tcW w:w="6723" w:type="dxa"/>
            <w:vAlign w:val="center"/>
          </w:tcPr>
          <w:p>
            <w:pPr>
              <w:spacing w:line="280" w:lineRule="exact"/>
              <w:ind w:firstLine="420" w:firstLineChars="200"/>
              <w:rPr>
                <w:rFonts w:hint="eastAsia" w:ascii="宋体" w:hAnsi="宋体"/>
                <w:szCs w:val="21"/>
              </w:rPr>
            </w:pPr>
            <w:r>
              <w:rPr>
                <w:rFonts w:ascii="宋体" w:hAnsi="宋体"/>
                <w:szCs w:val="21"/>
              </w:rPr>
              <w:t>绿地内的垃圾日产日清，不过夜，不焚烧。</w:t>
            </w:r>
            <w:r>
              <w:rPr>
                <w:rFonts w:hint="eastAsia" w:ascii="宋体" w:hAnsi="宋体"/>
                <w:szCs w:val="21"/>
              </w:rPr>
              <w:t>清理出的垃圾由乙方自行处置，采用封闭方式将垃圾运送到指定场所处理，运输过程中不得“抛、洒、滴、漏”。绿地内所属果壳箱定期清理，果壳箱每周清洗一次。</w:t>
            </w:r>
          </w:p>
        </w:tc>
        <w:tc>
          <w:tcPr>
            <w:tcW w:w="5463" w:type="dxa"/>
            <w:vAlign w:val="center"/>
          </w:tcPr>
          <w:p>
            <w:pPr>
              <w:spacing w:line="280" w:lineRule="exact"/>
              <w:rPr>
                <w:rFonts w:hint="eastAsia" w:ascii="宋体" w:hAnsi="宋体"/>
                <w:color w:val="000000"/>
                <w:szCs w:val="21"/>
              </w:rPr>
            </w:pPr>
            <w:r>
              <w:rPr>
                <w:rFonts w:hint="eastAsia" w:ascii="宋体" w:hAnsi="宋体"/>
                <w:color w:val="000000"/>
                <w:szCs w:val="21"/>
              </w:rPr>
              <w:t>1、绿地内垃圾未日产日清，存在枯叶清扫一堆后未当天清理等现象，发现一处扣100元。</w:t>
            </w:r>
          </w:p>
          <w:p>
            <w:pPr>
              <w:spacing w:line="280" w:lineRule="exact"/>
              <w:rPr>
                <w:rFonts w:hint="eastAsia" w:ascii="宋体" w:hAnsi="宋体"/>
                <w:szCs w:val="21"/>
              </w:rPr>
            </w:pPr>
            <w:r>
              <w:rPr>
                <w:rFonts w:hint="eastAsia" w:ascii="宋体" w:hAnsi="宋体"/>
                <w:szCs w:val="21"/>
              </w:rPr>
              <w:t>2、</w:t>
            </w:r>
            <w:r>
              <w:rPr>
                <w:rFonts w:hint="eastAsia" w:ascii="宋体" w:hAnsi="宋体"/>
                <w:color w:val="000000"/>
                <w:szCs w:val="21"/>
              </w:rPr>
              <w:t>垃圾运输过程中未覆盖蓬布等遮盖物，导致垃圾</w:t>
            </w:r>
            <w:r>
              <w:rPr>
                <w:rFonts w:hint="eastAsia" w:ascii="宋体" w:hAnsi="宋体"/>
                <w:szCs w:val="21"/>
              </w:rPr>
              <w:t xml:space="preserve"> “抛、洒、滴、漏”，发现一次扣200元。</w:t>
            </w:r>
          </w:p>
          <w:p>
            <w:pPr>
              <w:spacing w:line="280" w:lineRule="exact"/>
              <w:rPr>
                <w:rFonts w:hint="eastAsia" w:ascii="宋体" w:hAnsi="宋体"/>
                <w:szCs w:val="21"/>
              </w:rPr>
            </w:pPr>
            <w:r>
              <w:rPr>
                <w:rFonts w:hint="eastAsia" w:ascii="宋体" w:hAnsi="宋体"/>
                <w:szCs w:val="21"/>
              </w:rPr>
              <w:t>3、果壳箱清理或清洗不及时，每处扣100元。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9" w:hRule="atLeast"/>
        </w:trPr>
        <w:tc>
          <w:tcPr>
            <w:tcW w:w="738" w:type="dxa"/>
            <w:vAlign w:val="center"/>
          </w:tcPr>
          <w:p>
            <w:pPr>
              <w:spacing w:line="280" w:lineRule="exact"/>
              <w:jc w:val="center"/>
              <w:rPr>
                <w:rFonts w:hint="eastAsia" w:ascii="宋体" w:hAnsi="宋体"/>
                <w:szCs w:val="21"/>
              </w:rPr>
            </w:pPr>
            <w:r>
              <w:rPr>
                <w:rFonts w:hint="eastAsia" w:ascii="宋体" w:hAnsi="宋体"/>
                <w:szCs w:val="21"/>
              </w:rPr>
              <w:t>11</w:t>
            </w:r>
          </w:p>
        </w:tc>
        <w:tc>
          <w:tcPr>
            <w:tcW w:w="1156" w:type="dxa"/>
            <w:vMerge w:val="continue"/>
            <w:vAlign w:val="center"/>
          </w:tcPr>
          <w:p>
            <w:pPr>
              <w:rPr>
                <w:szCs w:val="21"/>
              </w:rPr>
            </w:pPr>
          </w:p>
        </w:tc>
        <w:tc>
          <w:tcPr>
            <w:tcW w:w="6723" w:type="dxa"/>
            <w:vAlign w:val="center"/>
          </w:tcPr>
          <w:p>
            <w:pPr>
              <w:spacing w:line="280" w:lineRule="exact"/>
              <w:jc w:val="left"/>
              <w:rPr>
                <w:rFonts w:hint="eastAsia" w:ascii="宋体" w:hAnsi="宋体"/>
                <w:szCs w:val="21"/>
              </w:rPr>
            </w:pPr>
            <w:r>
              <w:rPr>
                <w:rFonts w:hint="eastAsia" w:ascii="宋体" w:hAnsi="宋体"/>
                <w:szCs w:val="21"/>
              </w:rPr>
              <w:t>1、</w:t>
            </w:r>
            <w:r>
              <w:rPr>
                <w:rFonts w:ascii="宋体" w:hAnsi="宋体"/>
                <w:szCs w:val="21"/>
              </w:rPr>
              <w:t>行道树树穴绿</w:t>
            </w:r>
            <w:r>
              <w:rPr>
                <w:rFonts w:hint="eastAsia" w:ascii="宋体" w:hAnsi="宋体"/>
                <w:szCs w:val="21"/>
              </w:rPr>
              <w:t>地</w:t>
            </w:r>
            <w:r>
              <w:rPr>
                <w:rFonts w:ascii="宋体" w:hAnsi="宋体"/>
                <w:szCs w:val="21"/>
              </w:rPr>
              <w:t>内清洁，无垃圾杂物。</w:t>
            </w:r>
          </w:p>
          <w:p>
            <w:pPr>
              <w:spacing w:line="280" w:lineRule="exact"/>
              <w:jc w:val="left"/>
              <w:rPr>
                <w:rFonts w:hint="eastAsia" w:ascii="宋体" w:hAnsi="宋体"/>
                <w:szCs w:val="21"/>
              </w:rPr>
            </w:pPr>
            <w:r>
              <w:rPr>
                <w:rFonts w:hint="eastAsia" w:ascii="宋体" w:hAnsi="宋体"/>
                <w:szCs w:val="21"/>
              </w:rPr>
              <w:t>2、绿地内喷泉等水体</w:t>
            </w:r>
            <w:r>
              <w:rPr>
                <w:rFonts w:ascii="宋体" w:hAnsi="宋体"/>
                <w:szCs w:val="21"/>
              </w:rPr>
              <w:t>清洁，无浮萍</w:t>
            </w:r>
            <w:r>
              <w:rPr>
                <w:rFonts w:hint="eastAsia" w:ascii="宋体" w:hAnsi="宋体"/>
                <w:szCs w:val="21"/>
              </w:rPr>
              <w:t>，</w:t>
            </w:r>
            <w:r>
              <w:rPr>
                <w:rFonts w:ascii="宋体" w:hAnsi="宋体"/>
                <w:szCs w:val="21"/>
              </w:rPr>
              <w:t>无漂浮物</w:t>
            </w:r>
            <w:r>
              <w:rPr>
                <w:rFonts w:hint="eastAsia" w:ascii="宋体" w:hAnsi="宋体"/>
                <w:szCs w:val="21"/>
              </w:rPr>
              <w:t>。</w:t>
            </w:r>
          </w:p>
          <w:p>
            <w:pPr>
              <w:spacing w:line="280" w:lineRule="exact"/>
              <w:jc w:val="left"/>
              <w:rPr>
                <w:rFonts w:hint="eastAsia" w:ascii="宋体" w:hAnsi="宋体"/>
                <w:szCs w:val="21"/>
              </w:rPr>
            </w:pPr>
            <w:r>
              <w:rPr>
                <w:rFonts w:hint="eastAsia" w:ascii="宋体" w:hAnsi="宋体"/>
                <w:szCs w:val="21"/>
              </w:rPr>
              <w:t>3、</w:t>
            </w:r>
            <w:r>
              <w:rPr>
                <w:rFonts w:ascii="宋体" w:hAnsi="宋体"/>
                <w:szCs w:val="21"/>
              </w:rPr>
              <w:t>绿地内无鼠洞和蚊蝇滋生，发现鼠洞要随时堵塞</w:t>
            </w:r>
            <w:r>
              <w:rPr>
                <w:rFonts w:hint="eastAsia" w:ascii="宋体" w:hAnsi="宋体"/>
                <w:szCs w:val="21"/>
              </w:rPr>
              <w:t>，发现绿地内</w:t>
            </w:r>
            <w:r>
              <w:rPr>
                <w:rFonts w:ascii="宋体" w:hAnsi="宋体"/>
                <w:szCs w:val="21"/>
              </w:rPr>
              <w:t>蚊蝇滋生</w:t>
            </w:r>
            <w:r>
              <w:rPr>
                <w:rFonts w:hint="eastAsia" w:ascii="宋体" w:hAnsi="宋体"/>
                <w:szCs w:val="21"/>
              </w:rPr>
              <w:t>要及时防治</w:t>
            </w:r>
            <w:r>
              <w:rPr>
                <w:rFonts w:ascii="宋体" w:hAnsi="宋体"/>
                <w:szCs w:val="21"/>
              </w:rPr>
              <w:t>。</w:t>
            </w:r>
          </w:p>
          <w:p>
            <w:pPr>
              <w:spacing w:line="280" w:lineRule="exact"/>
              <w:jc w:val="left"/>
              <w:rPr>
                <w:rFonts w:hint="eastAsia" w:ascii="宋体" w:hAnsi="宋体"/>
                <w:szCs w:val="21"/>
              </w:rPr>
            </w:pPr>
            <w:r>
              <w:rPr>
                <w:rFonts w:hint="eastAsia" w:ascii="宋体" w:hAnsi="宋体"/>
                <w:szCs w:val="21"/>
              </w:rPr>
              <w:t>4、定期清除树木上悬挂的垃圾袋等</w:t>
            </w:r>
            <w:r>
              <w:rPr>
                <w:rFonts w:ascii="宋体" w:hAnsi="宋体"/>
                <w:szCs w:val="21"/>
              </w:rPr>
              <w:t>污染物</w:t>
            </w:r>
            <w:r>
              <w:rPr>
                <w:rFonts w:hint="eastAsia" w:ascii="宋体" w:hAnsi="宋体"/>
                <w:szCs w:val="21"/>
              </w:rPr>
              <w:t>。</w:t>
            </w:r>
          </w:p>
        </w:tc>
        <w:tc>
          <w:tcPr>
            <w:tcW w:w="5463" w:type="dxa"/>
            <w:vAlign w:val="center"/>
          </w:tcPr>
          <w:p>
            <w:pPr>
              <w:spacing w:line="280" w:lineRule="exact"/>
              <w:rPr>
                <w:rFonts w:hint="eastAsia" w:ascii="宋体" w:hAnsi="宋体"/>
                <w:color w:val="000000"/>
                <w:szCs w:val="21"/>
              </w:rPr>
            </w:pPr>
            <w:r>
              <w:rPr>
                <w:rFonts w:hint="eastAsia" w:ascii="宋体" w:hAnsi="宋体"/>
                <w:color w:val="000000"/>
                <w:szCs w:val="21"/>
              </w:rPr>
              <w:t>1、行道树树穴内脏、乱、差，每处扣50-100元。</w:t>
            </w:r>
          </w:p>
          <w:p>
            <w:pPr>
              <w:spacing w:line="280" w:lineRule="exact"/>
              <w:rPr>
                <w:rFonts w:hint="eastAsia" w:ascii="宋体" w:hAnsi="宋体"/>
                <w:szCs w:val="21"/>
              </w:rPr>
            </w:pPr>
            <w:r>
              <w:rPr>
                <w:rFonts w:hint="eastAsia" w:ascii="宋体" w:hAnsi="宋体"/>
                <w:color w:val="000000"/>
                <w:szCs w:val="21"/>
              </w:rPr>
              <w:t>2、绿地水体内垃圾漂浮，有</w:t>
            </w:r>
            <w:r>
              <w:rPr>
                <w:rFonts w:ascii="宋体" w:hAnsi="宋体"/>
                <w:szCs w:val="21"/>
              </w:rPr>
              <w:t>浮萍</w:t>
            </w:r>
            <w:r>
              <w:rPr>
                <w:rFonts w:hint="eastAsia" w:ascii="宋体" w:hAnsi="宋体"/>
                <w:szCs w:val="21"/>
              </w:rPr>
              <w:t>，</w:t>
            </w:r>
            <w:r>
              <w:rPr>
                <w:rFonts w:hint="eastAsia" w:ascii="宋体" w:hAnsi="宋体"/>
                <w:color w:val="000000"/>
                <w:szCs w:val="21"/>
              </w:rPr>
              <w:t>每</w:t>
            </w:r>
            <w:r>
              <w:rPr>
                <w:rFonts w:hint="eastAsia" w:ascii="宋体" w:hAnsi="宋体"/>
                <w:szCs w:val="21"/>
              </w:rPr>
              <w:t>处扣100元。</w:t>
            </w:r>
          </w:p>
          <w:p>
            <w:pPr>
              <w:spacing w:line="280" w:lineRule="exact"/>
              <w:rPr>
                <w:rFonts w:hint="eastAsia" w:ascii="宋体" w:hAnsi="宋体"/>
                <w:szCs w:val="21"/>
              </w:rPr>
            </w:pPr>
            <w:r>
              <w:rPr>
                <w:rFonts w:hint="eastAsia" w:ascii="宋体" w:hAnsi="宋体"/>
                <w:szCs w:val="21"/>
              </w:rPr>
              <w:t>3、</w:t>
            </w:r>
            <w:r>
              <w:rPr>
                <w:rFonts w:ascii="宋体" w:hAnsi="宋体"/>
                <w:szCs w:val="21"/>
              </w:rPr>
              <w:t>绿地内</w:t>
            </w:r>
            <w:r>
              <w:rPr>
                <w:rFonts w:hint="eastAsia" w:ascii="宋体" w:hAnsi="宋体"/>
                <w:szCs w:val="21"/>
              </w:rPr>
              <w:t>有</w:t>
            </w:r>
            <w:r>
              <w:rPr>
                <w:rFonts w:ascii="宋体" w:hAnsi="宋体"/>
                <w:szCs w:val="21"/>
              </w:rPr>
              <w:t>鼠洞和蚊蝇滋生</w:t>
            </w:r>
            <w:r>
              <w:rPr>
                <w:rFonts w:hint="eastAsia" w:ascii="宋体" w:hAnsi="宋体"/>
                <w:szCs w:val="21"/>
              </w:rPr>
              <w:t>，每处扣10-200元。</w:t>
            </w:r>
          </w:p>
          <w:p>
            <w:pPr>
              <w:spacing w:line="280" w:lineRule="exact"/>
              <w:rPr>
                <w:rFonts w:hint="eastAsia" w:ascii="宋体" w:hAnsi="宋体"/>
                <w:szCs w:val="21"/>
              </w:rPr>
            </w:pPr>
            <w:r>
              <w:rPr>
                <w:rFonts w:hint="eastAsia" w:ascii="宋体" w:hAnsi="宋体"/>
                <w:szCs w:val="21"/>
              </w:rPr>
              <w:t>4、树木上有污染物每处</w:t>
            </w:r>
            <w:r>
              <w:rPr>
                <w:rFonts w:hint="eastAsia" w:ascii="宋体" w:hAnsi="宋体"/>
                <w:color w:val="000000"/>
                <w:szCs w:val="21"/>
              </w:rPr>
              <w:t>扣50元。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5" w:hRule="atLeast"/>
        </w:trPr>
        <w:tc>
          <w:tcPr>
            <w:tcW w:w="738" w:type="dxa"/>
            <w:vAlign w:val="center"/>
          </w:tcPr>
          <w:p>
            <w:pPr>
              <w:spacing w:line="280" w:lineRule="exact"/>
              <w:jc w:val="center"/>
              <w:rPr>
                <w:rFonts w:hint="eastAsia" w:ascii="宋体" w:hAnsi="宋体"/>
                <w:szCs w:val="21"/>
              </w:rPr>
            </w:pPr>
            <w:r>
              <w:rPr>
                <w:rFonts w:hint="eastAsia" w:ascii="宋体" w:hAnsi="宋体"/>
                <w:szCs w:val="21"/>
              </w:rPr>
              <w:t>12</w:t>
            </w:r>
          </w:p>
        </w:tc>
        <w:tc>
          <w:tcPr>
            <w:tcW w:w="1156" w:type="dxa"/>
            <w:vAlign w:val="center"/>
          </w:tcPr>
          <w:p>
            <w:pPr>
              <w:spacing w:line="280" w:lineRule="exact"/>
              <w:jc w:val="center"/>
              <w:rPr>
                <w:rFonts w:hint="eastAsia" w:ascii="宋体" w:hAnsi="宋体"/>
                <w:szCs w:val="21"/>
              </w:rPr>
            </w:pPr>
            <w:r>
              <w:rPr>
                <w:rFonts w:hint="eastAsia" w:ascii="宋体" w:hAnsi="宋体"/>
                <w:szCs w:val="21"/>
              </w:rPr>
              <w:t>应对灾害天气</w:t>
            </w:r>
          </w:p>
        </w:tc>
        <w:tc>
          <w:tcPr>
            <w:tcW w:w="6723" w:type="dxa"/>
            <w:vAlign w:val="center"/>
          </w:tcPr>
          <w:p>
            <w:pPr>
              <w:spacing w:line="280" w:lineRule="exact"/>
              <w:rPr>
                <w:rFonts w:ascii="宋体" w:hAnsi="宋体"/>
                <w:szCs w:val="21"/>
              </w:rPr>
            </w:pPr>
            <w:r>
              <w:rPr>
                <w:rFonts w:hint="eastAsia" w:ascii="宋体" w:hAnsi="宋体"/>
                <w:szCs w:val="21"/>
              </w:rPr>
              <w:t>1、夏季及时做好抗旱、浇水工作，保证干旱季节树木不缺水，不发生死亡。冬季易冻害的树木及时涂白和保暖。</w:t>
            </w:r>
          </w:p>
          <w:p>
            <w:pPr>
              <w:spacing w:line="280" w:lineRule="exact"/>
              <w:rPr>
                <w:rFonts w:hint="eastAsia" w:ascii="宋体" w:hAnsi="宋体"/>
                <w:szCs w:val="21"/>
              </w:rPr>
            </w:pPr>
            <w:r>
              <w:rPr>
                <w:rFonts w:hint="eastAsia" w:ascii="宋体" w:hAnsi="宋体"/>
                <w:szCs w:val="21"/>
              </w:rPr>
              <w:t>2、抗击台风等灾害性天气应对措施得力、及时，对危树及时采取梳枝、加固等措施，台风期间合理安排值班人员并组织上街巡查，及时清理影响交通树木。</w:t>
            </w:r>
          </w:p>
          <w:p>
            <w:pPr>
              <w:spacing w:line="280" w:lineRule="exact"/>
              <w:rPr>
                <w:rFonts w:hint="eastAsia" w:ascii="宋体" w:hAnsi="宋体"/>
                <w:szCs w:val="21"/>
              </w:rPr>
            </w:pPr>
            <w:r>
              <w:rPr>
                <w:rFonts w:hint="eastAsia" w:ascii="宋体" w:hAnsi="宋体"/>
                <w:szCs w:val="21"/>
              </w:rPr>
              <w:t>3、遇灾害性天气及时组织自救工作，要求在一天内做好恢复原状工作，特殊情况不得超过二天。树木支撑规范、统一、完整。</w:t>
            </w:r>
          </w:p>
        </w:tc>
        <w:tc>
          <w:tcPr>
            <w:tcW w:w="5463" w:type="dxa"/>
            <w:vAlign w:val="center"/>
          </w:tcPr>
          <w:p>
            <w:pPr>
              <w:spacing w:line="280" w:lineRule="exact"/>
              <w:rPr>
                <w:rFonts w:ascii="宋体" w:hAnsi="宋体"/>
                <w:szCs w:val="21"/>
              </w:rPr>
            </w:pPr>
            <w:r>
              <w:rPr>
                <w:rFonts w:hint="eastAsia" w:ascii="宋体" w:hAnsi="宋体"/>
                <w:szCs w:val="21"/>
              </w:rPr>
              <w:t>1抗旱、防寒措施不得力，每处最高扣树木价值的15%，造成损失或死亡的赔偿损失。</w:t>
            </w:r>
          </w:p>
          <w:p>
            <w:pPr>
              <w:spacing w:line="280" w:lineRule="exact"/>
              <w:rPr>
                <w:rFonts w:hint="eastAsia" w:ascii="宋体" w:hAnsi="宋体"/>
                <w:szCs w:val="21"/>
              </w:rPr>
            </w:pPr>
            <w:r>
              <w:rPr>
                <w:rFonts w:hint="eastAsia" w:ascii="宋体" w:hAnsi="宋体"/>
                <w:szCs w:val="21"/>
              </w:rPr>
              <w:t>2、支撑（包括景观支撑）不力或支撑损坏未及时更换的，每处扣150元，造成死亡的全额赔偿。</w:t>
            </w:r>
          </w:p>
          <w:p>
            <w:pPr>
              <w:spacing w:line="280" w:lineRule="exact"/>
              <w:rPr>
                <w:rFonts w:hint="eastAsia" w:ascii="宋体" w:hAnsi="宋体"/>
                <w:szCs w:val="21"/>
              </w:rPr>
            </w:pPr>
            <w:r>
              <w:rPr>
                <w:rFonts w:hint="eastAsia" w:ascii="宋体" w:hAnsi="宋体"/>
                <w:szCs w:val="21"/>
              </w:rPr>
              <w:t>3、值班、巡查、自救工作消极怠工，进展缓慢，发现一次扣200-1000元，造成损失赔偿损失。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7" w:hRule="atLeast"/>
        </w:trPr>
        <w:tc>
          <w:tcPr>
            <w:tcW w:w="738" w:type="dxa"/>
            <w:vAlign w:val="center"/>
          </w:tcPr>
          <w:p>
            <w:pPr>
              <w:spacing w:line="280" w:lineRule="exact"/>
              <w:jc w:val="center"/>
              <w:rPr>
                <w:rFonts w:hint="eastAsia" w:ascii="宋体" w:hAnsi="宋体"/>
                <w:szCs w:val="21"/>
              </w:rPr>
            </w:pPr>
            <w:r>
              <w:rPr>
                <w:rFonts w:hint="eastAsia" w:ascii="宋体" w:hAnsi="宋体"/>
                <w:szCs w:val="21"/>
              </w:rPr>
              <w:t>13</w:t>
            </w:r>
          </w:p>
        </w:tc>
        <w:tc>
          <w:tcPr>
            <w:tcW w:w="1156" w:type="dxa"/>
            <w:vAlign w:val="center"/>
          </w:tcPr>
          <w:p>
            <w:pPr>
              <w:spacing w:line="280" w:lineRule="exact"/>
              <w:jc w:val="center"/>
              <w:rPr>
                <w:rFonts w:hint="eastAsia" w:ascii="宋体" w:hAnsi="宋体"/>
                <w:szCs w:val="21"/>
              </w:rPr>
            </w:pPr>
            <w:r>
              <w:rPr>
                <w:rFonts w:hint="eastAsia" w:ascii="宋体" w:hAnsi="宋体"/>
                <w:szCs w:val="21"/>
              </w:rPr>
              <w:t>制度</w:t>
            </w:r>
          </w:p>
          <w:p>
            <w:pPr>
              <w:spacing w:line="280" w:lineRule="exact"/>
              <w:jc w:val="center"/>
              <w:rPr>
                <w:rFonts w:hint="eastAsia" w:ascii="宋体" w:hAnsi="宋体"/>
                <w:szCs w:val="21"/>
              </w:rPr>
            </w:pPr>
            <w:r>
              <w:rPr>
                <w:rFonts w:hint="eastAsia" w:ascii="宋体" w:hAnsi="宋体"/>
                <w:szCs w:val="21"/>
              </w:rPr>
              <w:t>建设</w:t>
            </w:r>
          </w:p>
        </w:tc>
        <w:tc>
          <w:tcPr>
            <w:tcW w:w="6723" w:type="dxa"/>
            <w:vAlign w:val="center"/>
          </w:tcPr>
          <w:p>
            <w:pPr>
              <w:spacing w:line="260" w:lineRule="exact"/>
              <w:rPr>
                <w:rFonts w:hint="eastAsia" w:ascii="宋体" w:hAnsi="宋体"/>
                <w:szCs w:val="21"/>
              </w:rPr>
            </w:pPr>
            <w:r>
              <w:rPr>
                <w:rFonts w:hint="eastAsia" w:ascii="宋体" w:hAnsi="宋体"/>
                <w:szCs w:val="21"/>
              </w:rPr>
              <w:t>1、管理制度完善，养护管理人员到位。日巡查制度完善，养护计划明确。</w:t>
            </w:r>
          </w:p>
          <w:p>
            <w:pPr>
              <w:spacing w:line="260" w:lineRule="exact"/>
              <w:rPr>
                <w:rFonts w:hint="eastAsia" w:ascii="宋体" w:hAnsi="宋体"/>
                <w:szCs w:val="21"/>
              </w:rPr>
            </w:pPr>
            <w:r>
              <w:rPr>
                <w:rFonts w:hint="eastAsia" w:ascii="宋体" w:hAnsi="宋体"/>
                <w:szCs w:val="21"/>
              </w:rPr>
              <w:t>2、做好养护工作台账记录。</w:t>
            </w:r>
          </w:p>
        </w:tc>
        <w:tc>
          <w:tcPr>
            <w:tcW w:w="5463" w:type="dxa"/>
            <w:vAlign w:val="center"/>
          </w:tcPr>
          <w:p>
            <w:pPr>
              <w:spacing w:line="260" w:lineRule="exact"/>
              <w:rPr>
                <w:rFonts w:hint="eastAsia" w:ascii="宋体" w:hAnsi="宋体"/>
                <w:szCs w:val="21"/>
              </w:rPr>
            </w:pPr>
            <w:r>
              <w:rPr>
                <w:rFonts w:hint="eastAsia" w:ascii="宋体" w:hAnsi="宋体"/>
                <w:szCs w:val="21"/>
              </w:rPr>
              <w:t>1、制度和养护计划不完善，每次扣200元。</w:t>
            </w:r>
          </w:p>
          <w:p>
            <w:pPr>
              <w:spacing w:line="260" w:lineRule="exact"/>
              <w:rPr>
                <w:rFonts w:hint="eastAsia" w:ascii="宋体" w:hAnsi="宋体"/>
                <w:szCs w:val="21"/>
              </w:rPr>
            </w:pPr>
            <w:r>
              <w:rPr>
                <w:rFonts w:hint="eastAsia" w:ascii="宋体" w:hAnsi="宋体"/>
                <w:szCs w:val="21"/>
              </w:rPr>
              <w:t>2、养护未记录，缺少一次扣100元。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37" w:hRule="atLeast"/>
        </w:trPr>
        <w:tc>
          <w:tcPr>
            <w:tcW w:w="738" w:type="dxa"/>
            <w:vAlign w:val="center"/>
          </w:tcPr>
          <w:p>
            <w:pPr>
              <w:spacing w:line="280" w:lineRule="exact"/>
              <w:jc w:val="center"/>
              <w:rPr>
                <w:rFonts w:hint="eastAsia" w:ascii="宋体" w:hAnsi="宋体"/>
                <w:szCs w:val="21"/>
              </w:rPr>
            </w:pPr>
            <w:r>
              <w:rPr>
                <w:rFonts w:hint="eastAsia" w:ascii="宋体" w:hAnsi="宋体"/>
                <w:szCs w:val="21"/>
              </w:rPr>
              <w:t>14</w:t>
            </w:r>
          </w:p>
        </w:tc>
        <w:tc>
          <w:tcPr>
            <w:tcW w:w="1156" w:type="dxa"/>
            <w:vAlign w:val="center"/>
          </w:tcPr>
          <w:p>
            <w:pPr>
              <w:spacing w:line="280" w:lineRule="exact"/>
              <w:jc w:val="center"/>
              <w:rPr>
                <w:rFonts w:hint="eastAsia" w:ascii="宋体" w:hAnsi="宋体"/>
                <w:szCs w:val="21"/>
              </w:rPr>
            </w:pPr>
            <w:r>
              <w:rPr>
                <w:rFonts w:hint="eastAsia" w:ascii="宋体" w:hAnsi="宋体"/>
                <w:szCs w:val="21"/>
              </w:rPr>
              <w:t>安全</w:t>
            </w:r>
          </w:p>
          <w:p>
            <w:pPr>
              <w:spacing w:line="280" w:lineRule="exact"/>
              <w:jc w:val="center"/>
              <w:rPr>
                <w:rFonts w:hint="eastAsia" w:ascii="宋体" w:hAnsi="宋体"/>
                <w:szCs w:val="21"/>
              </w:rPr>
            </w:pPr>
            <w:r>
              <w:rPr>
                <w:rFonts w:hint="eastAsia" w:ascii="宋体" w:hAnsi="宋体"/>
                <w:szCs w:val="21"/>
              </w:rPr>
              <w:t>工作</w:t>
            </w:r>
          </w:p>
        </w:tc>
        <w:tc>
          <w:tcPr>
            <w:tcW w:w="6723" w:type="dxa"/>
            <w:vAlign w:val="center"/>
          </w:tcPr>
          <w:p>
            <w:pPr>
              <w:spacing w:line="260" w:lineRule="exact"/>
              <w:rPr>
                <w:rFonts w:ascii="宋体" w:hAnsi="宋体"/>
                <w:szCs w:val="21"/>
              </w:rPr>
            </w:pPr>
            <w:r>
              <w:rPr>
                <w:rFonts w:hint="eastAsia" w:ascii="宋体" w:hAnsi="宋体"/>
                <w:szCs w:val="21"/>
              </w:rPr>
              <w:t>1、</w:t>
            </w:r>
            <w:r>
              <w:rPr>
                <w:rFonts w:ascii="宋体" w:hAnsi="宋体"/>
                <w:szCs w:val="21"/>
              </w:rPr>
              <w:t>养护单位要建立安全生产制度，制定严格的安全措施和操作流程</w:t>
            </w:r>
            <w:r>
              <w:rPr>
                <w:rFonts w:hint="eastAsia" w:ascii="宋体" w:hAnsi="宋体"/>
                <w:szCs w:val="21"/>
              </w:rPr>
              <w:t>，确保养护安全无事故。</w:t>
            </w:r>
          </w:p>
          <w:p>
            <w:pPr>
              <w:spacing w:line="260" w:lineRule="exact"/>
              <w:rPr>
                <w:rFonts w:ascii="宋体" w:hAnsi="宋体"/>
                <w:szCs w:val="21"/>
              </w:rPr>
            </w:pPr>
            <w:r>
              <w:rPr>
                <w:rFonts w:hint="eastAsia" w:ascii="宋体" w:hAnsi="宋体"/>
                <w:szCs w:val="21"/>
              </w:rPr>
              <w:t>2、养护作业人员必须穿着统一工作服，夜间工作必须着有反光条衣服，行道树修剪等高空作业设置必要的安全防护措施（如反光桶、警示牌、安全帽等）,做到文明、安全作业。</w:t>
            </w:r>
          </w:p>
          <w:p>
            <w:pPr>
              <w:spacing w:line="260" w:lineRule="exact"/>
              <w:rPr>
                <w:rFonts w:hint="eastAsia" w:ascii="宋体" w:hAnsi="宋体"/>
                <w:szCs w:val="21"/>
              </w:rPr>
            </w:pPr>
            <w:r>
              <w:rPr>
                <w:rFonts w:hint="eastAsia" w:ascii="宋体" w:hAnsi="宋体"/>
                <w:szCs w:val="21"/>
              </w:rPr>
              <w:t>3、冬季管理中严禁管理人员发生吸烟、用火等不安全行为，以防发生火灾，同时对绿地中用火人员进行劝导。</w:t>
            </w:r>
          </w:p>
        </w:tc>
        <w:tc>
          <w:tcPr>
            <w:tcW w:w="5463" w:type="dxa"/>
            <w:vAlign w:val="center"/>
          </w:tcPr>
          <w:p>
            <w:pPr>
              <w:spacing w:line="260" w:lineRule="exact"/>
              <w:rPr>
                <w:rFonts w:ascii="宋体" w:hAnsi="宋体"/>
                <w:szCs w:val="21"/>
              </w:rPr>
            </w:pPr>
            <w:r>
              <w:rPr>
                <w:rFonts w:hint="eastAsia" w:ascii="宋体" w:hAnsi="宋体"/>
                <w:szCs w:val="21"/>
              </w:rPr>
              <w:t>1、</w:t>
            </w:r>
            <w:r>
              <w:rPr>
                <w:rFonts w:ascii="宋体" w:hAnsi="宋体"/>
                <w:szCs w:val="21"/>
              </w:rPr>
              <w:t>如在养护工作时间发生伤亡事故，</w:t>
            </w:r>
            <w:r>
              <w:rPr>
                <w:rFonts w:hint="eastAsia" w:ascii="宋体" w:hAnsi="宋体"/>
                <w:szCs w:val="21"/>
              </w:rPr>
              <w:t>根据严重程度最高可扣</w:t>
            </w:r>
            <w:r>
              <w:rPr>
                <w:rFonts w:ascii="宋体" w:hAnsi="宋体"/>
                <w:szCs w:val="21"/>
              </w:rPr>
              <w:t>除当</w:t>
            </w:r>
            <w:r>
              <w:rPr>
                <w:rFonts w:hint="eastAsia" w:ascii="宋体" w:hAnsi="宋体"/>
                <w:szCs w:val="21"/>
              </w:rPr>
              <w:t>季</w:t>
            </w:r>
            <w:r>
              <w:rPr>
                <w:rFonts w:ascii="宋体" w:hAnsi="宋体"/>
                <w:szCs w:val="21"/>
              </w:rPr>
              <w:t>养护经费</w:t>
            </w:r>
            <w:r>
              <w:rPr>
                <w:rFonts w:hint="eastAsia" w:ascii="宋体" w:hAnsi="宋体"/>
                <w:szCs w:val="21"/>
              </w:rPr>
              <w:t>。连续发生可终止合同</w:t>
            </w:r>
            <w:r>
              <w:rPr>
                <w:rFonts w:ascii="宋体" w:hAnsi="宋体"/>
                <w:szCs w:val="21"/>
              </w:rPr>
              <w:t>。</w:t>
            </w:r>
          </w:p>
          <w:p>
            <w:pPr>
              <w:spacing w:line="260" w:lineRule="exact"/>
              <w:rPr>
                <w:rFonts w:ascii="宋体" w:hAnsi="宋体"/>
                <w:szCs w:val="21"/>
              </w:rPr>
            </w:pPr>
            <w:r>
              <w:rPr>
                <w:rFonts w:hint="eastAsia" w:ascii="宋体" w:hAnsi="宋体"/>
                <w:szCs w:val="21"/>
              </w:rPr>
              <w:t>2、未着工作服或未设安全标志，每人（每次）扣50元。</w:t>
            </w:r>
          </w:p>
          <w:p>
            <w:pPr>
              <w:spacing w:line="260" w:lineRule="exact"/>
              <w:rPr>
                <w:rFonts w:hint="eastAsia" w:ascii="宋体" w:hAnsi="宋体"/>
                <w:szCs w:val="21"/>
              </w:rPr>
            </w:pPr>
            <w:r>
              <w:rPr>
                <w:rFonts w:hint="eastAsia" w:ascii="宋体" w:hAnsi="宋体"/>
                <w:szCs w:val="21"/>
              </w:rPr>
              <w:t>3、防火工作未到位每人每次扣200元，发生火灾的赔偿相应损失。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35" w:hRule="atLeast"/>
        </w:trPr>
        <w:tc>
          <w:tcPr>
            <w:tcW w:w="738" w:type="dxa"/>
            <w:vAlign w:val="center"/>
          </w:tcPr>
          <w:p>
            <w:pPr>
              <w:spacing w:line="280" w:lineRule="exact"/>
              <w:jc w:val="center"/>
              <w:rPr>
                <w:rFonts w:hint="eastAsia" w:ascii="宋体" w:hAnsi="宋体"/>
                <w:szCs w:val="21"/>
              </w:rPr>
            </w:pPr>
            <w:r>
              <w:rPr>
                <w:rFonts w:hint="eastAsia" w:ascii="宋体" w:hAnsi="宋体"/>
                <w:szCs w:val="21"/>
              </w:rPr>
              <w:t>15</w:t>
            </w:r>
          </w:p>
        </w:tc>
        <w:tc>
          <w:tcPr>
            <w:tcW w:w="1156" w:type="dxa"/>
            <w:vMerge w:val="restart"/>
            <w:vAlign w:val="center"/>
          </w:tcPr>
          <w:p>
            <w:pPr>
              <w:spacing w:line="280" w:lineRule="exact"/>
              <w:jc w:val="center"/>
              <w:rPr>
                <w:rFonts w:hint="eastAsia" w:ascii="宋体" w:hAnsi="宋体"/>
                <w:szCs w:val="21"/>
              </w:rPr>
            </w:pPr>
            <w:r>
              <w:rPr>
                <w:rFonts w:hint="eastAsia" w:ascii="宋体" w:hAnsi="宋体"/>
                <w:szCs w:val="21"/>
              </w:rPr>
              <w:t>其他</w:t>
            </w:r>
          </w:p>
          <w:p>
            <w:pPr>
              <w:spacing w:line="280" w:lineRule="exact"/>
              <w:jc w:val="center"/>
              <w:rPr>
                <w:rFonts w:hint="eastAsia" w:ascii="宋体" w:hAnsi="宋体"/>
                <w:szCs w:val="21"/>
              </w:rPr>
            </w:pPr>
            <w:r>
              <w:rPr>
                <w:rFonts w:hint="eastAsia" w:ascii="宋体" w:hAnsi="宋体"/>
                <w:szCs w:val="21"/>
              </w:rPr>
              <w:t>工作</w:t>
            </w:r>
          </w:p>
        </w:tc>
        <w:tc>
          <w:tcPr>
            <w:tcW w:w="6723" w:type="dxa"/>
            <w:vAlign w:val="center"/>
          </w:tcPr>
          <w:p>
            <w:pPr>
              <w:spacing w:line="260" w:lineRule="exact"/>
              <w:rPr>
                <w:rFonts w:hint="eastAsia" w:ascii="宋体" w:hAnsi="宋体"/>
                <w:szCs w:val="21"/>
              </w:rPr>
            </w:pPr>
            <w:r>
              <w:rPr>
                <w:rFonts w:hint="eastAsia" w:ascii="宋体" w:hAnsi="宋体"/>
                <w:szCs w:val="21"/>
              </w:rPr>
              <w:t>管理到位，不影响我县的有关省级、国家级创建等重大活动，无点名批评和媒体曝光</w:t>
            </w:r>
            <w:r>
              <w:rPr>
                <w:rFonts w:hint="eastAsia" w:ascii="宋体" w:hAnsi="宋体"/>
                <w:color w:val="000000"/>
                <w:szCs w:val="21"/>
              </w:rPr>
              <w:t>，养护工作无群众投诉</w:t>
            </w:r>
            <w:r>
              <w:rPr>
                <w:rFonts w:hint="eastAsia" w:ascii="宋体" w:hAnsi="宋体"/>
                <w:szCs w:val="21"/>
              </w:rPr>
              <w:t>。</w:t>
            </w:r>
          </w:p>
        </w:tc>
        <w:tc>
          <w:tcPr>
            <w:tcW w:w="5463" w:type="dxa"/>
            <w:vAlign w:val="center"/>
          </w:tcPr>
          <w:p>
            <w:pPr>
              <w:spacing w:line="260" w:lineRule="exact"/>
              <w:rPr>
                <w:rFonts w:hint="eastAsia" w:ascii="宋体" w:hAnsi="宋体"/>
                <w:szCs w:val="21"/>
              </w:rPr>
            </w:pPr>
            <w:r>
              <w:rPr>
                <w:rFonts w:hint="eastAsia" w:ascii="宋体" w:hAnsi="宋体"/>
                <w:szCs w:val="21"/>
              </w:rPr>
              <w:t>1、因管理不当，直接影响我县的省级、国家级创建等重大活动，一次性扣除当季养护费，严重可终止合同</w:t>
            </w:r>
            <w:r>
              <w:rPr>
                <w:rFonts w:ascii="宋体" w:hAnsi="宋体"/>
                <w:szCs w:val="21"/>
              </w:rPr>
              <w:t>。</w:t>
            </w:r>
          </w:p>
          <w:p>
            <w:pPr>
              <w:spacing w:line="260" w:lineRule="exact"/>
              <w:rPr>
                <w:rFonts w:hint="eastAsia" w:ascii="宋体" w:hAnsi="宋体"/>
                <w:szCs w:val="21"/>
              </w:rPr>
            </w:pPr>
            <w:r>
              <w:rPr>
                <w:rFonts w:hint="eastAsia" w:ascii="宋体" w:hAnsi="宋体"/>
                <w:szCs w:val="21"/>
              </w:rPr>
              <w:t>2、受到县督查室或上级领导点名批评，根据事实和情节每次扣300-1000元。被局《督查通报》通报的问题每个问题扣100-400元。</w:t>
            </w:r>
          </w:p>
          <w:p>
            <w:pPr>
              <w:spacing w:line="260" w:lineRule="exact"/>
              <w:rPr>
                <w:rFonts w:hint="eastAsia" w:ascii="宋体" w:hAnsi="宋体"/>
                <w:szCs w:val="21"/>
              </w:rPr>
            </w:pPr>
            <w:r>
              <w:rPr>
                <w:rFonts w:hint="eastAsia" w:ascii="宋体" w:hAnsi="宋体"/>
                <w:szCs w:val="21"/>
              </w:rPr>
              <w:t>3、被县、市媒体曝光经查实的，每次扣200-1000元，被省级媒体曝光的每次扣1000-2000元。被省级媒体连续曝光2次，或被国家级媒体曝光1次，可终止合同。</w:t>
            </w:r>
          </w:p>
          <w:p>
            <w:pPr>
              <w:spacing w:line="260" w:lineRule="exact"/>
              <w:rPr>
                <w:rFonts w:hint="eastAsia" w:ascii="宋体" w:hAnsi="宋体"/>
                <w:szCs w:val="21"/>
              </w:rPr>
            </w:pPr>
            <w:r>
              <w:rPr>
                <w:rFonts w:hint="eastAsia" w:ascii="宋体" w:hAnsi="宋体"/>
                <w:szCs w:val="21"/>
              </w:rPr>
              <w:t>4、群众每次投诉查实的每次扣100-600元。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23" w:hRule="atLeast"/>
        </w:trPr>
        <w:tc>
          <w:tcPr>
            <w:tcW w:w="738" w:type="dxa"/>
            <w:vAlign w:val="center"/>
          </w:tcPr>
          <w:p>
            <w:pPr>
              <w:spacing w:line="280" w:lineRule="exact"/>
              <w:jc w:val="center"/>
              <w:rPr>
                <w:rFonts w:hint="eastAsia" w:ascii="宋体" w:hAnsi="宋体"/>
                <w:szCs w:val="21"/>
              </w:rPr>
            </w:pPr>
            <w:r>
              <w:rPr>
                <w:rFonts w:hint="eastAsia" w:ascii="宋体" w:hAnsi="宋体"/>
                <w:szCs w:val="21"/>
              </w:rPr>
              <w:t>16</w:t>
            </w:r>
          </w:p>
        </w:tc>
        <w:tc>
          <w:tcPr>
            <w:tcW w:w="1156" w:type="dxa"/>
            <w:vMerge w:val="continue"/>
            <w:vAlign w:val="center"/>
          </w:tcPr>
          <w:p>
            <w:pPr>
              <w:rPr>
                <w:szCs w:val="21"/>
              </w:rPr>
            </w:pPr>
          </w:p>
        </w:tc>
        <w:tc>
          <w:tcPr>
            <w:tcW w:w="6723" w:type="dxa"/>
            <w:vAlign w:val="center"/>
          </w:tcPr>
          <w:p>
            <w:pPr>
              <w:spacing w:line="260" w:lineRule="exact"/>
              <w:rPr>
                <w:rFonts w:hint="eastAsia" w:ascii="宋体" w:hAnsi="宋体"/>
                <w:szCs w:val="21"/>
              </w:rPr>
            </w:pPr>
            <w:r>
              <w:rPr>
                <w:rFonts w:hint="eastAsia" w:ascii="宋体" w:hAnsi="宋体"/>
                <w:szCs w:val="21"/>
              </w:rPr>
              <w:t>养护负责人或现场管理人应按时参加由</w:t>
            </w:r>
            <w:r>
              <w:rPr>
                <w:rFonts w:ascii="宋体" w:hAnsi="宋体"/>
                <w:szCs w:val="21"/>
              </w:rPr>
              <w:t>甲方</w:t>
            </w:r>
            <w:r>
              <w:rPr>
                <w:rFonts w:hint="eastAsia" w:ascii="宋体" w:hAnsi="宋体"/>
                <w:szCs w:val="21"/>
              </w:rPr>
              <w:t>召集的工作例会、专项养护等会议，不得无故迟到、缺席。</w:t>
            </w:r>
          </w:p>
        </w:tc>
        <w:tc>
          <w:tcPr>
            <w:tcW w:w="5463" w:type="dxa"/>
            <w:vAlign w:val="center"/>
          </w:tcPr>
          <w:p>
            <w:pPr>
              <w:spacing w:line="260" w:lineRule="exact"/>
              <w:rPr>
                <w:rFonts w:hint="eastAsia" w:ascii="宋体" w:hAnsi="宋体"/>
                <w:szCs w:val="21"/>
              </w:rPr>
            </w:pPr>
            <w:r>
              <w:rPr>
                <w:rFonts w:hint="eastAsia" w:ascii="宋体" w:hAnsi="宋体"/>
                <w:szCs w:val="21"/>
              </w:rPr>
              <w:t>1、无故迟到10分钟以内一次扣100元，迟到10分钟以上的扣150元。</w:t>
            </w:r>
          </w:p>
          <w:p>
            <w:pPr>
              <w:spacing w:line="260" w:lineRule="exact"/>
              <w:rPr>
                <w:rFonts w:hint="eastAsia" w:ascii="宋体" w:hAnsi="宋体"/>
                <w:szCs w:val="21"/>
              </w:rPr>
            </w:pPr>
            <w:r>
              <w:rPr>
                <w:rFonts w:hint="eastAsia" w:ascii="宋体" w:hAnsi="宋体"/>
                <w:szCs w:val="21"/>
              </w:rPr>
              <w:t>2、无故缺席每次扣200元。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9" w:hRule="atLeast"/>
        </w:trPr>
        <w:tc>
          <w:tcPr>
            <w:tcW w:w="738" w:type="dxa"/>
            <w:vAlign w:val="center"/>
          </w:tcPr>
          <w:p>
            <w:pPr>
              <w:spacing w:line="280" w:lineRule="exact"/>
              <w:jc w:val="center"/>
              <w:rPr>
                <w:rFonts w:hint="eastAsia" w:ascii="宋体" w:hAnsi="宋体"/>
                <w:szCs w:val="21"/>
              </w:rPr>
            </w:pPr>
            <w:r>
              <w:rPr>
                <w:rFonts w:hint="eastAsia" w:ascii="宋体" w:hAnsi="宋体"/>
                <w:szCs w:val="21"/>
              </w:rPr>
              <w:t>17</w:t>
            </w:r>
          </w:p>
        </w:tc>
        <w:tc>
          <w:tcPr>
            <w:tcW w:w="1156" w:type="dxa"/>
            <w:vMerge w:val="continue"/>
            <w:vAlign w:val="center"/>
          </w:tcPr>
          <w:p>
            <w:pPr>
              <w:rPr>
                <w:szCs w:val="21"/>
              </w:rPr>
            </w:pPr>
          </w:p>
        </w:tc>
        <w:tc>
          <w:tcPr>
            <w:tcW w:w="6723" w:type="dxa"/>
            <w:vAlign w:val="center"/>
          </w:tcPr>
          <w:p>
            <w:pPr>
              <w:spacing w:line="260" w:lineRule="exact"/>
              <w:rPr>
                <w:rFonts w:hint="eastAsia" w:ascii="宋体" w:hAnsi="宋体"/>
                <w:szCs w:val="21"/>
              </w:rPr>
            </w:pPr>
            <w:r>
              <w:rPr>
                <w:rFonts w:hint="eastAsia" w:ascii="宋体" w:hAnsi="宋体"/>
                <w:szCs w:val="21"/>
              </w:rPr>
              <w:t>要求上交的绿化统计报表、养护资料应在规定时间内及时报送。</w:t>
            </w:r>
          </w:p>
        </w:tc>
        <w:tc>
          <w:tcPr>
            <w:tcW w:w="5463" w:type="dxa"/>
            <w:vAlign w:val="center"/>
          </w:tcPr>
          <w:p>
            <w:pPr>
              <w:spacing w:line="260" w:lineRule="exact"/>
              <w:rPr>
                <w:rFonts w:hint="eastAsia" w:ascii="宋体" w:hAnsi="宋体"/>
                <w:szCs w:val="21"/>
              </w:rPr>
            </w:pPr>
            <w:r>
              <w:rPr>
                <w:rFonts w:hint="eastAsia" w:ascii="宋体" w:hAnsi="宋体"/>
                <w:szCs w:val="21"/>
              </w:rPr>
              <w:t>未及时报送每次扣100-200元。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80" w:hRule="atLeast"/>
        </w:trPr>
        <w:tc>
          <w:tcPr>
            <w:tcW w:w="738" w:type="dxa"/>
            <w:vAlign w:val="center"/>
          </w:tcPr>
          <w:p>
            <w:pPr>
              <w:spacing w:line="280" w:lineRule="exact"/>
              <w:jc w:val="center"/>
              <w:rPr>
                <w:rFonts w:hint="eastAsia" w:ascii="宋体" w:hAnsi="宋体"/>
                <w:szCs w:val="21"/>
              </w:rPr>
            </w:pPr>
            <w:r>
              <w:rPr>
                <w:rFonts w:hint="eastAsia" w:ascii="宋体" w:hAnsi="宋体"/>
                <w:szCs w:val="21"/>
              </w:rPr>
              <w:t>18</w:t>
            </w:r>
          </w:p>
        </w:tc>
        <w:tc>
          <w:tcPr>
            <w:tcW w:w="1156" w:type="dxa"/>
            <w:vMerge w:val="continue"/>
            <w:vAlign w:val="center"/>
          </w:tcPr>
          <w:p>
            <w:pPr>
              <w:rPr>
                <w:szCs w:val="21"/>
              </w:rPr>
            </w:pPr>
          </w:p>
        </w:tc>
        <w:tc>
          <w:tcPr>
            <w:tcW w:w="6723" w:type="dxa"/>
            <w:vAlign w:val="center"/>
          </w:tcPr>
          <w:p>
            <w:pPr>
              <w:spacing w:line="260" w:lineRule="exact"/>
              <w:rPr>
                <w:rFonts w:hint="eastAsia" w:ascii="宋体" w:hAnsi="宋体"/>
                <w:szCs w:val="21"/>
              </w:rPr>
            </w:pPr>
            <w:r>
              <w:rPr>
                <w:rFonts w:hint="eastAsia" w:ascii="宋体" w:hAnsi="宋体"/>
                <w:szCs w:val="21"/>
              </w:rPr>
              <w:t>根据</w:t>
            </w:r>
            <w:r>
              <w:rPr>
                <w:rFonts w:ascii="宋体" w:hAnsi="宋体"/>
                <w:szCs w:val="21"/>
              </w:rPr>
              <w:t>甲方的</w:t>
            </w:r>
            <w:r>
              <w:rPr>
                <w:rFonts w:hint="eastAsia" w:ascii="宋体" w:hAnsi="宋体"/>
                <w:szCs w:val="21"/>
              </w:rPr>
              <w:t>要求，在规定时间内整改存在的问题，及时完成交办的其它有关养护事务。</w:t>
            </w:r>
          </w:p>
        </w:tc>
        <w:tc>
          <w:tcPr>
            <w:tcW w:w="5463" w:type="dxa"/>
            <w:vAlign w:val="center"/>
          </w:tcPr>
          <w:p>
            <w:pPr>
              <w:spacing w:line="260" w:lineRule="exact"/>
              <w:rPr>
                <w:rFonts w:hint="eastAsia" w:ascii="宋体" w:hAnsi="宋体"/>
                <w:szCs w:val="21"/>
              </w:rPr>
            </w:pPr>
            <w:r>
              <w:rPr>
                <w:rFonts w:hint="eastAsia" w:ascii="宋体" w:hAnsi="宋体"/>
                <w:szCs w:val="21"/>
              </w:rPr>
              <w:t>未及时完成，根据事件和影响程度每次扣200-1000元，连续未完成的加倍处罚。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3" w:hRule="atLeast"/>
        </w:trPr>
        <w:tc>
          <w:tcPr>
            <w:tcW w:w="738" w:type="dxa"/>
            <w:vAlign w:val="center"/>
          </w:tcPr>
          <w:p>
            <w:pPr>
              <w:spacing w:line="280" w:lineRule="exact"/>
              <w:jc w:val="center"/>
              <w:rPr>
                <w:rFonts w:hint="eastAsia" w:ascii="宋体" w:hAnsi="宋体"/>
                <w:szCs w:val="21"/>
              </w:rPr>
            </w:pPr>
            <w:r>
              <w:rPr>
                <w:rFonts w:hint="eastAsia" w:ascii="宋体" w:hAnsi="宋体"/>
                <w:szCs w:val="21"/>
              </w:rPr>
              <w:t>19</w:t>
            </w:r>
          </w:p>
        </w:tc>
        <w:tc>
          <w:tcPr>
            <w:tcW w:w="1156" w:type="dxa"/>
            <w:vMerge w:val="continue"/>
            <w:vAlign w:val="center"/>
          </w:tcPr>
          <w:p>
            <w:pPr>
              <w:rPr>
                <w:szCs w:val="21"/>
              </w:rPr>
            </w:pPr>
          </w:p>
        </w:tc>
        <w:tc>
          <w:tcPr>
            <w:tcW w:w="6723" w:type="dxa"/>
            <w:vAlign w:val="center"/>
          </w:tcPr>
          <w:p>
            <w:pPr>
              <w:spacing w:line="260" w:lineRule="exact"/>
              <w:rPr>
                <w:rFonts w:hint="eastAsia" w:ascii="宋体" w:hAnsi="宋体"/>
                <w:szCs w:val="21"/>
              </w:rPr>
            </w:pPr>
            <w:r>
              <w:rPr>
                <w:rFonts w:hint="eastAsia" w:ascii="宋体" w:hAnsi="宋体"/>
                <w:szCs w:val="21"/>
              </w:rPr>
              <w:t>养护工作不得分包或变相承包</w:t>
            </w:r>
          </w:p>
        </w:tc>
        <w:tc>
          <w:tcPr>
            <w:tcW w:w="5463" w:type="dxa"/>
            <w:vAlign w:val="center"/>
          </w:tcPr>
          <w:p>
            <w:pPr>
              <w:spacing w:line="260" w:lineRule="exact"/>
              <w:rPr>
                <w:rFonts w:hint="eastAsia" w:ascii="宋体" w:hAnsi="宋体"/>
                <w:szCs w:val="21"/>
              </w:rPr>
            </w:pPr>
            <w:r>
              <w:rPr>
                <w:rFonts w:hint="eastAsia" w:ascii="宋体" w:hAnsi="宋体"/>
                <w:szCs w:val="21"/>
              </w:rPr>
              <w:t>一经发现可终止合同</w:t>
            </w:r>
          </w:p>
        </w:tc>
      </w:tr>
    </w:tbl>
    <w:p>
      <w:pPr>
        <w:spacing w:line="360" w:lineRule="exact"/>
        <w:rPr>
          <w:rFonts w:hint="eastAsia" w:ascii="Arial" w:hAnsi="Arial" w:cs="Arial"/>
          <w:color w:val="000000"/>
          <w:kern w:val="0"/>
          <w:szCs w:val="21"/>
        </w:rPr>
      </w:pPr>
    </w:p>
    <w:p>
      <w:pPr>
        <w:pStyle w:val="2"/>
        <w:numPr>
          <w:ilvl w:val="0"/>
          <w:numId w:val="0"/>
        </w:numPr>
        <w:jc w:val="both"/>
        <w:rPr>
          <w:rFonts w:ascii="Times New Roman" w:hAnsi="Times New Roman"/>
        </w:rPr>
        <w:sectPr>
          <w:footerReference r:id="rId11" w:type="default"/>
          <w:footnotePr>
            <w:numRestart w:val="eachPage"/>
          </w:footnotePr>
          <w:endnotePr>
            <w:numRestart w:val="eachSect"/>
          </w:endnotePr>
          <w:pgSz w:w="16838" w:h="11906" w:orient="landscape"/>
          <w:pgMar w:top="1701" w:right="1440" w:bottom="1134" w:left="1440" w:header="851" w:footer="850" w:gutter="0"/>
          <w:pgNumType w:fmt="decimal"/>
          <w:cols w:space="720" w:num="1"/>
          <w:rtlGutter w:val="0"/>
          <w:docGrid w:linePitch="435" w:charSpace="0"/>
        </w:sectPr>
      </w:pPr>
    </w:p>
    <w:p>
      <w:pPr>
        <w:pStyle w:val="2"/>
        <w:numPr>
          <w:ilvl w:val="0"/>
          <w:numId w:val="6"/>
        </w:numPr>
        <w:rPr>
          <w:rFonts w:ascii="Times New Roman" w:hAnsi="Times New Roman"/>
          <w:color w:val="auto"/>
        </w:rPr>
      </w:pPr>
      <w:r>
        <w:rPr>
          <w:rFonts w:ascii="Times New Roman" w:hAnsi="Times New Roman"/>
          <w:color w:val="auto"/>
        </w:rPr>
        <w:t xml:space="preserve"> </w:t>
      </w:r>
      <w:bookmarkStart w:id="146" w:name="_Toc26303"/>
      <w:r>
        <w:rPr>
          <w:rFonts w:ascii="Times New Roman" w:hAnsi="Times New Roman"/>
          <w:color w:val="auto"/>
        </w:rPr>
        <w:t>评标办法</w:t>
      </w:r>
      <w:bookmarkEnd w:id="146"/>
    </w:p>
    <w:p>
      <w:pPr>
        <w:spacing w:line="360" w:lineRule="exact"/>
        <w:ind w:firstLine="422" w:firstLineChars="200"/>
        <w:rPr>
          <w:rFonts w:hint="eastAsia"/>
          <w:b/>
          <w:color w:val="auto"/>
          <w:szCs w:val="21"/>
        </w:rPr>
      </w:pPr>
    </w:p>
    <w:p>
      <w:pPr>
        <w:spacing w:line="360" w:lineRule="auto"/>
        <w:ind w:firstLine="422" w:firstLineChars="200"/>
        <w:rPr>
          <w:b/>
          <w:color w:val="auto"/>
        </w:rPr>
      </w:pPr>
      <w:r>
        <w:rPr>
          <w:rFonts w:hint="eastAsia" w:ascii="黑体" w:hAnsi="宋体" w:eastAsia="黑体"/>
          <w:b/>
          <w:color w:val="auto"/>
        </w:rPr>
        <w:t>本项目评标办法采用二次平均价最接近法。</w:t>
      </w:r>
      <w:r>
        <w:rPr>
          <w:rFonts w:hAnsi="宋体"/>
          <w:b/>
          <w:color w:val="auto"/>
        </w:rPr>
        <w:t>（计算过程小数保留到元为单位）。</w:t>
      </w:r>
    </w:p>
    <w:p>
      <w:pPr>
        <w:numPr>
          <w:ilvl w:val="0"/>
          <w:numId w:val="7"/>
        </w:numPr>
        <w:spacing w:line="440" w:lineRule="exact"/>
        <w:ind w:firstLine="420" w:firstLineChars="200"/>
        <w:rPr>
          <w:rFonts w:hAnsi="宋体"/>
          <w:color w:val="auto"/>
        </w:rPr>
      </w:pPr>
      <w:r>
        <w:rPr>
          <w:rFonts w:hAnsi="宋体"/>
          <w:color w:val="auto"/>
        </w:rPr>
        <w:t>商务标评审。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color w:val="auto"/>
        </w:rPr>
      </w:pPr>
      <w:r>
        <w:rPr>
          <w:color w:val="auto"/>
        </w:rPr>
        <w:t>1、</w:t>
      </w:r>
      <w:r>
        <w:rPr>
          <w:rFonts w:hint="eastAsia"/>
          <w:color w:val="auto"/>
          <w:lang w:eastAsia="zh-CN"/>
        </w:rPr>
        <w:t>招标控制价</w:t>
      </w:r>
      <w:r>
        <w:rPr>
          <w:rFonts w:hint="eastAsia"/>
          <w:color w:val="auto"/>
        </w:rPr>
        <w:t>：</w:t>
      </w:r>
      <w:r>
        <w:rPr>
          <w:rFonts w:hint="eastAsia"/>
          <w:color w:val="auto"/>
          <w:u w:val="single"/>
          <w:lang w:eastAsia="zh-CN"/>
        </w:rPr>
        <w:t>374463</w:t>
      </w:r>
      <w:r>
        <w:rPr>
          <w:color w:val="auto"/>
        </w:rPr>
        <w:t>元。</w:t>
      </w:r>
    </w:p>
    <w:p>
      <w:pPr>
        <w:pStyle w:val="7"/>
        <w:keepNext w:val="0"/>
        <w:keepLines w:val="0"/>
        <w:pageBreakBefore w:val="0"/>
        <w:widowControl w:val="0"/>
        <w:tabs>
          <w:tab w:val="clear" w:pos="574"/>
        </w:tabs>
        <w:kinsoku/>
        <w:wordWrap/>
        <w:overflowPunct/>
        <w:topLinePunct w:val="0"/>
        <w:autoSpaceDE/>
        <w:autoSpaceDN/>
        <w:bidi w:val="0"/>
        <w:adjustRightInd/>
        <w:snapToGrid/>
        <w:spacing w:line="360" w:lineRule="auto"/>
        <w:ind w:left="0" w:leftChars="0" w:right="0" w:rightChars="0"/>
        <w:jc w:val="both"/>
        <w:textAlignment w:val="auto"/>
        <w:outlineLvl w:val="9"/>
        <w:rPr>
          <w:b/>
          <w:bCs w:val="0"/>
          <w:color w:val="auto"/>
        </w:rPr>
      </w:pPr>
      <w:r>
        <w:rPr>
          <w:rFonts w:hint="eastAsia" w:ascii="Calibri" w:hAnsi="Calibri" w:eastAsia="宋体" w:cs="Times New Roman"/>
          <w:color w:val="auto"/>
          <w:kern w:val="2"/>
          <w:sz w:val="21"/>
          <w:szCs w:val="22"/>
          <w:lang w:val="en-US" w:eastAsia="zh-CN" w:bidi="ar-SA"/>
        </w:rPr>
        <w:t xml:space="preserve">    </w:t>
      </w:r>
      <w:r>
        <w:rPr>
          <w:rFonts w:ascii="Calibri" w:hAnsi="Calibri" w:eastAsia="宋体" w:cs="Times New Roman"/>
          <w:color w:val="auto"/>
          <w:kern w:val="2"/>
          <w:sz w:val="21"/>
          <w:szCs w:val="22"/>
          <w:lang w:val="en-US" w:eastAsia="zh-CN" w:bidi="ar-SA"/>
        </w:rPr>
        <w:t>2、</w:t>
      </w:r>
      <w:r>
        <w:rPr>
          <w:rFonts w:hint="eastAsia"/>
          <w:b w:val="0"/>
          <w:bCs/>
          <w:color w:val="auto"/>
          <w:szCs w:val="21"/>
        </w:rPr>
        <w:t>上限价：</w:t>
      </w:r>
      <w:r>
        <w:rPr>
          <w:rFonts w:hint="eastAsia" w:ascii="Times New Roman" w:hAnsi="Times New Roman" w:cs="Times New Roman"/>
          <w:b/>
          <w:bCs/>
          <w:color w:val="auto"/>
          <w:kern w:val="2"/>
          <w:sz w:val="21"/>
          <w:szCs w:val="21"/>
          <w:u w:val="single"/>
          <w:lang w:val="en-US" w:eastAsia="zh-CN" w:bidi="ar-SA"/>
        </w:rPr>
        <w:t>344506</w:t>
      </w:r>
      <w:bookmarkStart w:id="192" w:name="_GoBack"/>
      <w:bookmarkEnd w:id="192"/>
      <w:r>
        <w:rPr>
          <w:rFonts w:hint="eastAsia"/>
          <w:b w:val="0"/>
          <w:bCs/>
          <w:color w:val="auto"/>
          <w:szCs w:val="21"/>
        </w:rPr>
        <w:t>元；下限价：</w:t>
      </w:r>
      <w:r>
        <w:rPr>
          <w:rFonts w:hint="eastAsia" w:ascii="Times New Roman" w:hAnsi="Times New Roman" w:cs="Times New Roman"/>
          <w:b/>
          <w:bCs/>
          <w:color w:val="auto"/>
          <w:kern w:val="2"/>
          <w:sz w:val="21"/>
          <w:szCs w:val="21"/>
          <w:u w:val="single"/>
          <w:lang w:val="en-US" w:eastAsia="zh-CN" w:bidi="ar-SA"/>
        </w:rPr>
        <w:t>318294</w:t>
      </w:r>
      <w:r>
        <w:rPr>
          <w:rFonts w:hint="eastAsia"/>
          <w:b w:val="0"/>
          <w:bCs/>
          <w:color w:val="auto"/>
          <w:szCs w:val="21"/>
        </w:rPr>
        <w:t>元</w:t>
      </w:r>
      <w:r>
        <w:rPr>
          <w:rFonts w:hint="eastAsia"/>
          <w:b w:val="0"/>
          <w:bCs/>
          <w:color w:val="auto"/>
          <w:szCs w:val="21"/>
          <w:lang w:eastAsia="zh-CN"/>
        </w:rPr>
        <w:t>。</w:t>
      </w:r>
      <w:r>
        <w:rPr>
          <w:rFonts w:hint="eastAsia"/>
          <w:b/>
          <w:bCs w:val="0"/>
          <w:color w:val="auto"/>
          <w:lang w:val="en-US" w:eastAsia="zh-CN"/>
        </w:rPr>
        <w:t xml:space="preserve"> </w:t>
      </w:r>
      <w:r>
        <w:rPr>
          <w:rFonts w:hint="eastAsia"/>
          <w:b/>
          <w:bCs w:val="0"/>
          <w:color w:val="auto"/>
        </w:rPr>
        <w:t>超出上述范围作无效标处理</w:t>
      </w:r>
      <w:r>
        <w:rPr>
          <w:rFonts w:hint="eastAsia"/>
          <w:b/>
          <w:bCs w:val="0"/>
          <w:color w:val="auto"/>
          <w:lang w:eastAsia="zh-CN"/>
        </w:rPr>
        <w:t>。</w:t>
      </w:r>
    </w:p>
    <w:p>
      <w:pPr>
        <w:spacing w:line="360" w:lineRule="auto"/>
        <w:ind w:firstLine="420" w:firstLineChars="200"/>
        <w:rPr>
          <w:rFonts w:hint="eastAsia" w:ascii="宋体" w:hAnsi="宋体"/>
          <w:color w:val="auto"/>
        </w:rPr>
      </w:pPr>
      <w:r>
        <w:rPr>
          <w:rFonts w:hint="eastAsia" w:ascii="宋体" w:hAnsi="宋体"/>
          <w:color w:val="auto"/>
        </w:rPr>
        <w:t>3、评标标底价的确定</w:t>
      </w:r>
      <w:r>
        <w:rPr>
          <w:rFonts w:hint="eastAsia" w:ascii="黑体" w:hAnsi="宋体" w:eastAsia="黑体"/>
          <w:b/>
          <w:color w:val="auto"/>
        </w:rPr>
        <w:t>（计算过程以元为单位，小数点后四舍五入）</w:t>
      </w:r>
      <w:r>
        <w:rPr>
          <w:rFonts w:hint="eastAsia" w:ascii="宋体" w:hAnsi="宋体"/>
          <w:color w:val="auto"/>
        </w:rPr>
        <w:t>。</w:t>
      </w:r>
    </w:p>
    <w:p>
      <w:pPr>
        <w:spacing w:line="360" w:lineRule="auto"/>
        <w:ind w:firstLine="840" w:firstLineChars="400"/>
        <w:rPr>
          <w:rFonts w:hint="eastAsia" w:ascii="宋体" w:hAnsi="宋体"/>
          <w:color w:val="auto"/>
        </w:rPr>
      </w:pPr>
      <w:r>
        <w:rPr>
          <w:rFonts w:hint="eastAsia" w:ascii="宋体" w:hAnsi="宋体"/>
          <w:color w:val="auto"/>
        </w:rPr>
        <w:t>在所有经评审的有效报价中，按有效报价的家数 A 确定评标</w:t>
      </w:r>
      <w:r>
        <w:rPr>
          <w:rFonts w:hint="eastAsia" w:ascii="宋体" w:hAnsi="宋体"/>
          <w:color w:val="auto"/>
          <w:lang w:eastAsia="zh-CN"/>
        </w:rPr>
        <w:t>标底</w:t>
      </w:r>
      <w:r>
        <w:rPr>
          <w:rFonts w:hint="eastAsia" w:ascii="宋体" w:hAnsi="宋体"/>
          <w:color w:val="auto"/>
        </w:rPr>
        <w:t>价：取去掉报价高的 B</w:t>
      </w:r>
    </w:p>
    <w:p>
      <w:pPr>
        <w:spacing w:line="360" w:lineRule="auto"/>
        <w:ind w:firstLine="420" w:firstLineChars="200"/>
        <w:rPr>
          <w:rFonts w:hint="eastAsia" w:ascii="宋体" w:hAnsi="宋体"/>
          <w:color w:val="auto"/>
        </w:rPr>
      </w:pPr>
      <w:r>
        <w:rPr>
          <w:rFonts w:hint="eastAsia" w:ascii="宋体" w:hAnsi="宋体"/>
          <w:color w:val="auto"/>
        </w:rPr>
        <w:t>家和报价低的 C 家后的有效报价的算术平均值作为评标基准价，其中 B=A×40%、C=A×</w:t>
      </w:r>
      <w:r>
        <w:rPr>
          <w:rFonts w:hint="eastAsia" w:ascii="宋体" w:hAnsi="宋体"/>
          <w:color w:val="auto"/>
          <w:lang w:val="en-US" w:eastAsia="zh-CN"/>
        </w:rPr>
        <w:t>2</w:t>
      </w:r>
      <w:r>
        <w:rPr>
          <w:rFonts w:hint="eastAsia" w:ascii="宋体" w:hAnsi="宋体"/>
          <w:color w:val="auto"/>
        </w:rPr>
        <w:t>0%</w:t>
      </w:r>
    </w:p>
    <w:p>
      <w:pPr>
        <w:spacing w:line="360" w:lineRule="auto"/>
        <w:ind w:firstLine="420" w:firstLineChars="200"/>
        <w:rPr>
          <w:rFonts w:hint="eastAsia" w:ascii="宋体" w:hAnsi="宋体"/>
          <w:color w:val="auto"/>
        </w:rPr>
      </w:pPr>
      <w:r>
        <w:rPr>
          <w:rFonts w:hint="eastAsia" w:ascii="宋体" w:hAnsi="宋体"/>
          <w:color w:val="auto"/>
        </w:rPr>
        <w:t>（B、C 取整数，小数点后四舍五入）。</w:t>
      </w:r>
    </w:p>
    <w:p>
      <w:pPr>
        <w:spacing w:line="360" w:lineRule="auto"/>
        <w:ind w:firstLine="420" w:firstLineChars="200"/>
        <w:rPr>
          <w:rFonts w:hint="eastAsia" w:ascii="宋体" w:hAnsi="宋体"/>
          <w:color w:val="auto"/>
        </w:rPr>
      </w:pPr>
      <w:r>
        <w:rPr>
          <w:rFonts w:hint="eastAsia" w:ascii="宋体" w:hAnsi="宋体"/>
          <w:color w:val="auto"/>
        </w:rPr>
        <w:t>4、中标候选人的确定。</w:t>
      </w:r>
    </w:p>
    <w:p>
      <w:pPr>
        <w:spacing w:line="360" w:lineRule="auto"/>
        <w:ind w:firstLine="420" w:firstLineChars="200"/>
        <w:rPr>
          <w:rFonts w:hint="eastAsia" w:ascii="宋体" w:hAnsi="宋体"/>
          <w:color w:val="auto"/>
        </w:rPr>
      </w:pPr>
      <w:r>
        <w:rPr>
          <w:rFonts w:hint="eastAsia" w:ascii="宋体" w:hAnsi="宋体"/>
          <w:color w:val="auto"/>
        </w:rPr>
        <w:t>在所有经评审的有效报价中，按</w:t>
      </w:r>
      <w:r>
        <w:rPr>
          <w:rFonts w:hint="eastAsia" w:ascii="宋体" w:hAnsi="宋体"/>
          <w:color w:val="auto"/>
          <w:lang w:eastAsia="zh-CN"/>
        </w:rPr>
        <w:t>低于</w:t>
      </w:r>
      <w:r>
        <w:rPr>
          <w:rFonts w:hint="eastAsia" w:ascii="宋体" w:hAnsi="宋体"/>
          <w:color w:val="auto"/>
        </w:rPr>
        <w:t>评标标底价的</w:t>
      </w:r>
      <w:r>
        <w:rPr>
          <w:rFonts w:hint="eastAsia" w:ascii="宋体" w:hAnsi="宋体"/>
          <w:color w:val="auto"/>
          <w:lang w:eastAsia="zh-CN"/>
        </w:rPr>
        <w:t>有效报价家数</w:t>
      </w:r>
      <w:r>
        <w:rPr>
          <w:rFonts w:hint="eastAsia" w:ascii="宋体" w:hAnsi="宋体"/>
          <w:color w:val="auto"/>
          <w:lang w:val="en-US" w:eastAsia="zh-CN"/>
        </w:rPr>
        <w:t>A</w:t>
      </w:r>
      <w:r>
        <w:rPr>
          <w:rFonts w:hint="eastAsia" w:ascii="宋体" w:hAnsi="宋体"/>
          <w:color w:val="auto"/>
        </w:rPr>
        <w:t>确定中标候选人。</w:t>
      </w:r>
    </w:p>
    <w:p>
      <w:pPr>
        <w:spacing w:line="360" w:lineRule="auto"/>
        <w:ind w:firstLine="420" w:firstLineChars="200"/>
        <w:rPr>
          <w:rFonts w:hint="eastAsia" w:ascii="宋体" w:hAnsi="宋体"/>
          <w:color w:val="auto"/>
        </w:rPr>
      </w:pPr>
      <w:r>
        <w:rPr>
          <w:rFonts w:hint="eastAsia" w:ascii="宋体" w:hAnsi="宋体"/>
          <w:color w:val="auto"/>
        </w:rPr>
        <w:t>（1）</w:t>
      </w:r>
      <w:r>
        <w:rPr>
          <w:rFonts w:hint="eastAsia" w:ascii="宋体" w:hAnsi="宋体"/>
          <w:color w:val="auto"/>
          <w:lang w:eastAsia="zh-CN"/>
        </w:rPr>
        <w:t>若</w:t>
      </w:r>
      <w:r>
        <w:rPr>
          <w:rFonts w:hint="eastAsia" w:ascii="宋体" w:hAnsi="宋体"/>
          <w:color w:val="auto"/>
          <w:lang w:val="en-US" w:eastAsia="zh-CN"/>
        </w:rPr>
        <w:t>A</w:t>
      </w:r>
      <w:r>
        <w:rPr>
          <w:rFonts w:hint="eastAsia" w:ascii="宋体" w:hAnsi="宋体" w:eastAsia="宋体" w:cs="宋体"/>
          <w:color w:val="auto"/>
          <w:lang w:val="en-US" w:eastAsia="zh-CN"/>
        </w:rPr>
        <w:t>≧</w:t>
      </w:r>
      <w:r>
        <w:rPr>
          <w:rFonts w:hint="eastAsia" w:ascii="宋体" w:hAnsi="宋体"/>
          <w:color w:val="auto"/>
          <w:lang w:val="en-US" w:eastAsia="zh-CN"/>
        </w:rPr>
        <w:t>1，则在所有低于评标标底价的有效报价中，与评标标底价最接近的投标人投标人为第一中标候选人</w:t>
      </w:r>
      <w:r>
        <w:rPr>
          <w:rFonts w:hint="eastAsia" w:ascii="宋体" w:hAnsi="宋体"/>
          <w:color w:val="auto"/>
        </w:rPr>
        <w:t>；</w:t>
      </w:r>
    </w:p>
    <w:p>
      <w:pPr>
        <w:spacing w:line="360" w:lineRule="auto"/>
        <w:ind w:firstLine="420" w:firstLineChars="200"/>
        <w:rPr>
          <w:rFonts w:hint="eastAsia" w:ascii="宋体" w:hAnsi="宋体"/>
          <w:color w:val="auto"/>
          <w:lang w:val="en-US" w:eastAsia="zh-CN"/>
        </w:rPr>
      </w:pPr>
      <w:r>
        <w:rPr>
          <w:rFonts w:hint="eastAsia" w:ascii="宋体" w:hAnsi="宋体"/>
          <w:color w:val="auto"/>
        </w:rPr>
        <w:t>（2）</w:t>
      </w:r>
      <w:r>
        <w:rPr>
          <w:rFonts w:hint="eastAsia" w:ascii="宋体" w:hAnsi="宋体"/>
          <w:color w:val="auto"/>
          <w:lang w:eastAsia="zh-CN"/>
        </w:rPr>
        <w:t>若</w:t>
      </w:r>
      <w:r>
        <w:rPr>
          <w:rFonts w:hint="eastAsia" w:ascii="宋体" w:hAnsi="宋体"/>
          <w:color w:val="auto"/>
          <w:lang w:val="en-US" w:eastAsia="zh-CN"/>
        </w:rPr>
        <w:t>A=1，则在所有高于评标标底价的有效报价中，与评标标底价最接近的投标人投标人为第一中标候选人。</w:t>
      </w:r>
    </w:p>
    <w:p>
      <w:pPr>
        <w:spacing w:line="360" w:lineRule="auto"/>
        <w:ind w:firstLine="420" w:firstLineChars="200"/>
        <w:rPr>
          <w:rFonts w:hint="eastAsia" w:ascii="宋体" w:hAnsi="宋体"/>
          <w:color w:val="auto"/>
          <w:lang w:val="en-US" w:eastAsia="zh-CN"/>
        </w:rPr>
      </w:pPr>
      <w:r>
        <w:rPr>
          <w:rFonts w:hint="eastAsia" w:ascii="宋体" w:hAnsi="宋体"/>
          <w:color w:val="auto"/>
          <w:lang w:val="en-US" w:eastAsia="zh-CN"/>
        </w:rPr>
        <w:t xml:space="preserve">  以上各种情况中，如出现报价相同的，则现场抽签确定中标候选人排序。</w:t>
      </w:r>
    </w:p>
    <w:p>
      <w:pPr>
        <w:spacing w:line="520" w:lineRule="exact"/>
        <w:ind w:firstLine="420" w:firstLineChars="200"/>
        <w:rPr>
          <w:rFonts w:hAnsi="宋体"/>
          <w:color w:val="auto"/>
          <w:szCs w:val="21"/>
        </w:rPr>
      </w:pPr>
    </w:p>
    <w:p>
      <w:pPr>
        <w:spacing w:line="520" w:lineRule="exact"/>
        <w:ind w:firstLine="420" w:firstLineChars="200"/>
        <w:rPr>
          <w:rFonts w:hAnsi="宋体"/>
          <w:color w:val="auto"/>
          <w:szCs w:val="21"/>
        </w:rPr>
      </w:pPr>
    </w:p>
    <w:p>
      <w:pPr>
        <w:autoSpaceDE w:val="0"/>
        <w:autoSpaceDN w:val="0"/>
        <w:spacing w:line="360" w:lineRule="exact"/>
        <w:ind w:firstLine="482"/>
        <w:jc w:val="right"/>
        <w:rPr>
          <w:color w:val="auto"/>
          <w:u w:val="single"/>
        </w:rPr>
        <w:sectPr>
          <w:footnotePr>
            <w:numRestart w:val="eachPage"/>
          </w:footnotePr>
          <w:endnotePr>
            <w:numRestart w:val="eachSect"/>
          </w:endnotePr>
          <w:pgSz w:w="11906" w:h="16838"/>
          <w:pgMar w:top="1440" w:right="1134" w:bottom="1440" w:left="1701" w:header="851" w:footer="850" w:gutter="0"/>
          <w:pgNumType w:fmt="decimal"/>
          <w:cols w:space="720" w:num="1"/>
          <w:rtlGutter w:val="0"/>
          <w:docGrid w:linePitch="435" w:charSpace="0"/>
        </w:sectPr>
      </w:pPr>
    </w:p>
    <w:p>
      <w:pPr>
        <w:pStyle w:val="15"/>
        <w:jc w:val="both"/>
        <w:rPr>
          <w:rFonts w:ascii="Times New Roman" w:hAnsi="Times New Roman" w:cs="Times New Roman"/>
          <w:b w:val="0"/>
          <w:bCs w:val="0"/>
          <w:sz w:val="21"/>
          <w:szCs w:val="21"/>
        </w:rPr>
      </w:pPr>
      <w:bookmarkStart w:id="147" w:name="_Toc201383236"/>
      <w:bookmarkStart w:id="148" w:name="_Toc3067"/>
      <w:bookmarkStart w:id="149" w:name="_Toc11021"/>
      <w:bookmarkStart w:id="150" w:name="_Toc267639431"/>
      <w:bookmarkStart w:id="151" w:name="_Toc169487825"/>
      <w:bookmarkStart w:id="152" w:name="_Toc106012814"/>
      <w:bookmarkStart w:id="153" w:name="_Toc201380184"/>
      <w:bookmarkStart w:id="154" w:name="_Toc155342575"/>
      <w:r>
        <w:rPr>
          <w:rFonts w:ascii="Times New Roman" w:hAnsi="Times New Roman" w:cs="Times New Roman"/>
          <w:b w:val="0"/>
          <w:bCs w:val="0"/>
          <w:sz w:val="21"/>
          <w:szCs w:val="21"/>
        </w:rPr>
        <w:t>附件一：</w:t>
      </w:r>
      <w:bookmarkEnd w:id="147"/>
      <w:bookmarkEnd w:id="148"/>
      <w:bookmarkEnd w:id="149"/>
      <w:bookmarkEnd w:id="150"/>
    </w:p>
    <w:p>
      <w:pPr>
        <w:spacing w:before="240" w:beforeLines="100" w:after="240" w:afterLines="100" w:line="360" w:lineRule="exact"/>
        <w:jc w:val="center"/>
        <w:outlineLvl w:val="0"/>
        <w:rPr>
          <w:rFonts w:hint="eastAsia" w:eastAsia="宋体"/>
          <w:b/>
          <w:sz w:val="32"/>
          <w:szCs w:val="32"/>
          <w:lang w:eastAsia="zh-CN"/>
        </w:rPr>
      </w:pPr>
      <w:r>
        <w:rPr>
          <w:rFonts w:hint="eastAsia"/>
          <w:b/>
          <w:sz w:val="32"/>
          <w:szCs w:val="32"/>
          <w:lang w:eastAsia="zh-CN"/>
        </w:rPr>
        <w:t xml:space="preserve"> 玉环海洋经济转型升级示范区2018年度绿化养护工程 （茶山路、永清路、靖海路等）</w:t>
      </w:r>
    </w:p>
    <w:p>
      <w:pPr>
        <w:spacing w:before="120" w:beforeLines="50" w:after="120" w:afterLines="50" w:line="360" w:lineRule="auto"/>
        <w:jc w:val="center"/>
        <w:rPr>
          <w:rFonts w:eastAsia="黑体"/>
          <w:b/>
          <w:szCs w:val="32"/>
        </w:rPr>
      </w:pPr>
      <w:r>
        <w:rPr>
          <w:rFonts w:eastAsia="黑体"/>
          <w:b/>
          <w:szCs w:val="32"/>
        </w:rPr>
        <w:t>投 标 函</w:t>
      </w:r>
    </w:p>
    <w:p>
      <w:pPr>
        <w:pStyle w:val="12"/>
        <w:ind w:firstLine="0"/>
        <w:rPr>
          <w:rFonts w:eastAsia="宋体"/>
          <w:b/>
          <w:sz w:val="21"/>
          <w:szCs w:val="21"/>
        </w:rPr>
      </w:pPr>
      <w:r>
        <w:rPr>
          <w:rFonts w:hint="eastAsia" w:eastAsia="宋体"/>
          <w:bCs/>
          <w:sz w:val="21"/>
          <w:szCs w:val="21"/>
          <w:u w:val="single"/>
          <w:lang w:eastAsia="zh-CN"/>
        </w:rPr>
        <w:t>玉环海洋经济开发投资有限公司</w:t>
      </w:r>
      <w:r>
        <w:rPr>
          <w:rFonts w:eastAsia="宋体"/>
          <w:bCs/>
          <w:sz w:val="21"/>
          <w:szCs w:val="21"/>
        </w:rPr>
        <w:t>（招标人）：</w:t>
      </w:r>
    </w:p>
    <w:p>
      <w:pPr>
        <w:spacing w:line="560" w:lineRule="exact"/>
        <w:ind w:firstLine="420" w:firstLineChars="200"/>
        <w:rPr>
          <w:szCs w:val="21"/>
        </w:rPr>
      </w:pPr>
      <w:r>
        <w:rPr>
          <w:szCs w:val="21"/>
        </w:rPr>
        <w:t>一、根据你方的</w:t>
      </w:r>
      <w:r>
        <w:rPr>
          <w:rFonts w:hint="eastAsia"/>
          <w:szCs w:val="21"/>
          <w:u w:val="single"/>
          <w:lang w:eastAsia="zh-CN"/>
        </w:rPr>
        <w:t xml:space="preserve"> 玉环海洋经济转型升级示范区2018年度绿化养护工程 （茶山路、永清路、靖海路等）</w:t>
      </w:r>
      <w:r>
        <w:rPr>
          <w:szCs w:val="21"/>
        </w:rPr>
        <w:t xml:space="preserve">（项目名称）招标文件，经考察现场和研究上述招标文件后，在全部同意招标文件内容前提下，我方保证： </w:t>
      </w:r>
    </w:p>
    <w:p>
      <w:pPr>
        <w:spacing w:line="560" w:lineRule="exact"/>
        <w:ind w:firstLine="420" w:firstLineChars="200"/>
        <w:jc w:val="left"/>
        <w:rPr>
          <w:szCs w:val="21"/>
        </w:rPr>
      </w:pPr>
      <w:r>
        <w:rPr>
          <w:szCs w:val="21"/>
        </w:rPr>
        <w:t>1、</w:t>
      </w:r>
      <w:r>
        <w:rPr>
          <w:b/>
          <w:szCs w:val="21"/>
        </w:rPr>
        <w:t>愿以总报价人民币</w:t>
      </w:r>
      <w:r>
        <w:rPr>
          <w:rFonts w:hint="eastAsia"/>
          <w:szCs w:val="21"/>
          <w:u w:val="none"/>
        </w:rPr>
        <w:t xml:space="preserve"> </w:t>
      </w:r>
      <w:r>
        <w:rPr>
          <w:rFonts w:hint="eastAsia"/>
          <w:szCs w:val="21"/>
          <w:u w:val="single"/>
          <w:lang w:val="en-US" w:eastAsia="zh-CN"/>
        </w:rPr>
        <w:t xml:space="preserve">    </w:t>
      </w:r>
      <w:r>
        <w:rPr>
          <w:rFonts w:hint="eastAsia"/>
          <w:szCs w:val="21"/>
          <w:u w:val="single"/>
        </w:rPr>
        <w:t xml:space="preserve">  </w:t>
      </w:r>
      <w:r>
        <w:rPr>
          <w:szCs w:val="21"/>
        </w:rPr>
        <w:t>拾</w:t>
      </w:r>
      <w:r>
        <w:rPr>
          <w:szCs w:val="21"/>
          <w:u w:val="single"/>
        </w:rPr>
        <w:t xml:space="preserve">  </w:t>
      </w:r>
      <w:r>
        <w:rPr>
          <w:rFonts w:hint="eastAsia"/>
          <w:szCs w:val="21"/>
          <w:u w:val="single"/>
          <w:lang w:val="en-US" w:eastAsia="zh-CN"/>
        </w:rPr>
        <w:t xml:space="preserve"> </w:t>
      </w:r>
      <w:r>
        <w:rPr>
          <w:szCs w:val="21"/>
          <w:u w:val="single"/>
        </w:rPr>
        <w:t xml:space="preserve"> </w:t>
      </w:r>
      <w:r>
        <w:rPr>
          <w:rFonts w:hint="eastAsia"/>
          <w:szCs w:val="21"/>
          <w:u w:val="single"/>
          <w:lang w:val="en-US" w:eastAsia="zh-CN"/>
        </w:rPr>
        <w:t xml:space="preserve"> </w:t>
      </w:r>
      <w:r>
        <w:rPr>
          <w:szCs w:val="21"/>
        </w:rPr>
        <w:t>万</w:t>
      </w:r>
      <w:r>
        <w:rPr>
          <w:w w:val="107"/>
          <w:szCs w:val="21"/>
          <w:u w:val="single"/>
        </w:rPr>
        <w:t xml:space="preserve">  </w:t>
      </w:r>
      <w:r>
        <w:rPr>
          <w:rFonts w:hint="eastAsia"/>
          <w:w w:val="107"/>
          <w:szCs w:val="21"/>
          <w:u w:val="single"/>
          <w:lang w:val="en-US" w:eastAsia="zh-CN"/>
        </w:rPr>
        <w:t xml:space="preserve">  </w:t>
      </w:r>
      <w:r>
        <w:rPr>
          <w:w w:val="107"/>
          <w:szCs w:val="21"/>
          <w:u w:val="single"/>
        </w:rPr>
        <w:t xml:space="preserve"> </w:t>
      </w:r>
      <w:r>
        <w:rPr>
          <w:szCs w:val="21"/>
        </w:rPr>
        <w:t>仟</w:t>
      </w:r>
      <w:r>
        <w:rPr>
          <w:w w:val="107"/>
          <w:szCs w:val="21"/>
          <w:u w:val="single"/>
        </w:rPr>
        <w:t xml:space="preserve"> </w:t>
      </w:r>
      <w:r>
        <w:rPr>
          <w:rFonts w:hint="eastAsia"/>
          <w:w w:val="107"/>
          <w:szCs w:val="21"/>
          <w:u w:val="single"/>
        </w:rPr>
        <w:t xml:space="preserve"> </w:t>
      </w:r>
      <w:r>
        <w:rPr>
          <w:rFonts w:hint="eastAsia"/>
          <w:w w:val="107"/>
          <w:szCs w:val="21"/>
          <w:u w:val="single"/>
          <w:lang w:val="en-US" w:eastAsia="zh-CN"/>
        </w:rPr>
        <w:t xml:space="preserve"> </w:t>
      </w:r>
      <w:r>
        <w:rPr>
          <w:w w:val="107"/>
          <w:szCs w:val="21"/>
          <w:u w:val="single"/>
        </w:rPr>
        <w:t xml:space="preserve"> </w:t>
      </w:r>
      <w:r>
        <w:rPr>
          <w:rFonts w:hint="eastAsia"/>
          <w:w w:val="107"/>
          <w:szCs w:val="21"/>
          <w:u w:val="single"/>
          <w:lang w:val="en-US" w:eastAsia="zh-CN"/>
        </w:rPr>
        <w:t xml:space="preserve"> </w:t>
      </w:r>
      <w:r>
        <w:rPr>
          <w:szCs w:val="21"/>
        </w:rPr>
        <w:t>佰</w:t>
      </w:r>
      <w:r>
        <w:rPr>
          <w:w w:val="107"/>
          <w:szCs w:val="21"/>
          <w:u w:val="single"/>
        </w:rPr>
        <w:t xml:space="preserve"> </w:t>
      </w:r>
      <w:r>
        <w:rPr>
          <w:rFonts w:hint="eastAsia"/>
          <w:w w:val="107"/>
          <w:szCs w:val="21"/>
          <w:u w:val="single"/>
        </w:rPr>
        <w:t xml:space="preserve"> </w:t>
      </w:r>
      <w:r>
        <w:rPr>
          <w:rFonts w:hint="eastAsia"/>
          <w:w w:val="107"/>
          <w:szCs w:val="21"/>
          <w:u w:val="single"/>
          <w:lang w:val="en-US" w:eastAsia="zh-CN"/>
        </w:rPr>
        <w:t xml:space="preserve"> </w:t>
      </w:r>
      <w:r>
        <w:rPr>
          <w:w w:val="107"/>
          <w:szCs w:val="21"/>
          <w:u w:val="single"/>
        </w:rPr>
        <w:t xml:space="preserve"> </w:t>
      </w:r>
      <w:r>
        <w:rPr>
          <w:rFonts w:hint="eastAsia"/>
          <w:w w:val="107"/>
          <w:szCs w:val="21"/>
          <w:u w:val="single"/>
          <w:lang w:val="en-US" w:eastAsia="zh-CN"/>
        </w:rPr>
        <w:t xml:space="preserve"> </w:t>
      </w:r>
      <w:r>
        <w:rPr>
          <w:szCs w:val="21"/>
        </w:rPr>
        <w:t>拾</w:t>
      </w:r>
      <w:r>
        <w:rPr>
          <w:w w:val="107"/>
          <w:szCs w:val="21"/>
          <w:u w:val="single"/>
        </w:rPr>
        <w:t xml:space="preserve"> </w:t>
      </w:r>
      <w:r>
        <w:rPr>
          <w:rFonts w:hint="eastAsia"/>
          <w:w w:val="107"/>
          <w:szCs w:val="21"/>
          <w:u w:val="single"/>
          <w:lang w:val="en-US" w:eastAsia="zh-CN"/>
        </w:rPr>
        <w:t xml:space="preserve"> </w:t>
      </w:r>
      <w:r>
        <w:rPr>
          <w:rFonts w:hint="eastAsia"/>
          <w:w w:val="107"/>
          <w:szCs w:val="21"/>
          <w:u w:val="single"/>
        </w:rPr>
        <w:t xml:space="preserve"> </w:t>
      </w:r>
      <w:r>
        <w:rPr>
          <w:w w:val="107"/>
          <w:szCs w:val="21"/>
          <w:u w:val="single"/>
        </w:rPr>
        <w:t xml:space="preserve"> </w:t>
      </w:r>
      <w:r>
        <w:rPr>
          <w:rFonts w:hint="eastAsia"/>
          <w:w w:val="107"/>
          <w:szCs w:val="21"/>
          <w:u w:val="single"/>
          <w:lang w:val="en-US" w:eastAsia="zh-CN"/>
        </w:rPr>
        <w:t xml:space="preserve"> </w:t>
      </w:r>
      <w:r>
        <w:rPr>
          <w:szCs w:val="21"/>
        </w:rPr>
        <w:t>元，</w:t>
      </w:r>
    </w:p>
    <w:p>
      <w:pPr>
        <w:spacing w:line="560" w:lineRule="exact"/>
        <w:ind w:firstLine="420" w:firstLineChars="200"/>
        <w:jc w:val="left"/>
        <w:rPr>
          <w:rFonts w:hint="eastAsia" w:eastAsia="宋体"/>
          <w:szCs w:val="21"/>
          <w:lang w:eastAsia="zh-CN"/>
        </w:rPr>
      </w:pPr>
      <w:r>
        <w:rPr>
          <w:szCs w:val="21"/>
        </w:rPr>
        <w:t>￥：</w:t>
      </w:r>
      <w:r>
        <w:rPr>
          <w:szCs w:val="21"/>
          <w:u w:val="single"/>
        </w:rPr>
        <w:t xml:space="preserve">     </w:t>
      </w:r>
      <w:r>
        <w:rPr>
          <w:rFonts w:hint="eastAsia"/>
          <w:szCs w:val="21"/>
          <w:u w:val="single"/>
          <w:lang w:val="en-US" w:eastAsia="zh-CN"/>
        </w:rPr>
        <w:t xml:space="preserve">    </w:t>
      </w:r>
      <w:r>
        <w:rPr>
          <w:szCs w:val="21"/>
          <w:u w:val="single"/>
        </w:rPr>
        <w:t xml:space="preserve">    </w:t>
      </w:r>
      <w:r>
        <w:rPr>
          <w:szCs w:val="21"/>
        </w:rPr>
        <w:t>元</w:t>
      </w:r>
      <w:r>
        <w:rPr>
          <w:rFonts w:hint="eastAsia" w:ascii="宋体" w:hAnsi="宋体"/>
          <w:color w:val="000000"/>
          <w:szCs w:val="21"/>
        </w:rPr>
        <w:t>（以元为单位不计小数点）</w:t>
      </w:r>
      <w:r>
        <w:rPr>
          <w:rFonts w:hint="eastAsia" w:ascii="宋体" w:hAnsi="宋体"/>
          <w:color w:val="000000"/>
          <w:szCs w:val="21"/>
          <w:lang w:eastAsia="zh-CN"/>
        </w:rPr>
        <w:t>，</w:t>
      </w:r>
      <w:r>
        <w:rPr>
          <w:szCs w:val="21"/>
        </w:rPr>
        <w:t>承包上述</w:t>
      </w:r>
      <w:r>
        <w:rPr>
          <w:rFonts w:hint="eastAsia"/>
          <w:szCs w:val="21"/>
          <w:lang w:val="en-US" w:eastAsia="zh-CN"/>
        </w:rPr>
        <w:t>项目</w:t>
      </w:r>
      <w:r>
        <w:rPr>
          <w:szCs w:val="21"/>
        </w:rPr>
        <w:t>的</w:t>
      </w:r>
      <w:r>
        <w:rPr>
          <w:rFonts w:hint="eastAsia"/>
          <w:szCs w:val="21"/>
          <w:lang w:val="en-US" w:eastAsia="zh-CN"/>
        </w:rPr>
        <w:t>绿化养护管理</w:t>
      </w:r>
      <w:r>
        <w:rPr>
          <w:rFonts w:hint="eastAsia"/>
          <w:szCs w:val="21"/>
          <w:lang w:eastAsia="zh-CN"/>
        </w:rPr>
        <w:t>；</w:t>
      </w:r>
    </w:p>
    <w:p>
      <w:pPr>
        <w:spacing w:line="560" w:lineRule="exact"/>
        <w:ind w:firstLine="420" w:firstLineChars="200"/>
        <w:jc w:val="left"/>
        <w:rPr>
          <w:szCs w:val="21"/>
        </w:rPr>
      </w:pPr>
      <w:r>
        <w:rPr>
          <w:szCs w:val="21"/>
        </w:rPr>
        <w:t>2、</w:t>
      </w:r>
      <w:r>
        <w:rPr>
          <w:rFonts w:hint="eastAsia"/>
          <w:szCs w:val="21"/>
          <w:lang w:val="en-US" w:eastAsia="zh-CN"/>
        </w:rPr>
        <w:t>服务期</w:t>
      </w:r>
      <w:r>
        <w:rPr>
          <w:szCs w:val="21"/>
        </w:rPr>
        <w:t>：</w:t>
      </w:r>
      <w:r>
        <w:rPr>
          <w:rFonts w:hint="eastAsia"/>
          <w:szCs w:val="21"/>
          <w:u w:val="single"/>
          <w:lang w:val="en-US" w:eastAsia="zh-CN"/>
        </w:rPr>
        <w:t>12个月</w:t>
      </w:r>
      <w:r>
        <w:rPr>
          <w:szCs w:val="21"/>
        </w:rPr>
        <w:t>；</w:t>
      </w:r>
    </w:p>
    <w:p>
      <w:pPr>
        <w:spacing w:line="560" w:lineRule="exact"/>
        <w:ind w:firstLine="420" w:firstLineChars="200"/>
        <w:rPr>
          <w:szCs w:val="21"/>
        </w:rPr>
      </w:pPr>
      <w:r>
        <w:rPr>
          <w:szCs w:val="21"/>
        </w:rPr>
        <w:t>3、工程质量等级</w:t>
      </w:r>
      <w:r>
        <w:rPr>
          <w:szCs w:val="21"/>
          <w:u w:val="single"/>
        </w:rPr>
        <w:t>合格</w:t>
      </w:r>
      <w:r>
        <w:rPr>
          <w:szCs w:val="21"/>
        </w:rPr>
        <w:t>；</w:t>
      </w:r>
    </w:p>
    <w:p>
      <w:pPr>
        <w:spacing w:line="500" w:lineRule="exact"/>
        <w:ind w:firstLine="532"/>
        <w:rPr>
          <w:szCs w:val="21"/>
        </w:rPr>
      </w:pPr>
      <w:r>
        <w:rPr>
          <w:rFonts w:hint="eastAsia"/>
          <w:szCs w:val="21"/>
          <w:lang w:val="en-US" w:eastAsia="zh-CN"/>
        </w:rPr>
        <w:t>二</w:t>
      </w:r>
      <w:r>
        <w:rPr>
          <w:szCs w:val="21"/>
        </w:rPr>
        <w:t>、</w:t>
      </w:r>
      <w:r>
        <w:rPr>
          <w:rFonts w:eastAsia="宋体"/>
          <w:snapToGrid w:val="0"/>
          <w:kern w:val="0"/>
          <w:sz w:val="21"/>
          <w:szCs w:val="21"/>
        </w:rPr>
        <w:t>一旦我方中标，</w:t>
      </w:r>
      <w:r>
        <w:rPr>
          <w:rFonts w:eastAsia="宋体"/>
          <w:sz w:val="21"/>
          <w:szCs w:val="21"/>
        </w:rPr>
        <w:t>我方</w:t>
      </w:r>
      <w:r>
        <w:rPr>
          <w:rFonts w:eastAsia="宋体"/>
          <w:snapToGrid w:val="0"/>
          <w:kern w:val="0"/>
          <w:sz w:val="21"/>
          <w:szCs w:val="21"/>
        </w:rPr>
        <w:t>在全部同意招标文件内容前提下，并保证养护人员、机具按资格标的部署及时到位。保证养护人员的到位率达到招标文件要求，同时保证本投标文件的所有资料真实有效，如有虚假成份，愿承担一切后果</w:t>
      </w:r>
      <w:r>
        <w:rPr>
          <w:szCs w:val="21"/>
        </w:rPr>
        <w:t>；</w:t>
      </w:r>
    </w:p>
    <w:p>
      <w:pPr>
        <w:spacing w:line="560" w:lineRule="exact"/>
        <w:ind w:firstLine="420" w:firstLineChars="200"/>
        <w:rPr>
          <w:rFonts w:hint="eastAsia" w:eastAsia="宋体"/>
          <w:szCs w:val="21"/>
          <w:lang w:eastAsia="zh-CN"/>
        </w:rPr>
      </w:pPr>
      <w:r>
        <w:rPr>
          <w:szCs w:val="21"/>
        </w:rPr>
        <w:t>二、如果我方中标，我方将按照招标文件规定提交履约担保，共同地和分别地承担责任</w:t>
      </w:r>
      <w:r>
        <w:rPr>
          <w:rFonts w:hint="eastAsia"/>
          <w:szCs w:val="21"/>
          <w:lang w:eastAsia="zh-CN"/>
        </w:rPr>
        <w:t>；</w:t>
      </w:r>
    </w:p>
    <w:p>
      <w:pPr>
        <w:spacing w:line="560" w:lineRule="exact"/>
        <w:ind w:firstLine="420" w:firstLineChars="200"/>
        <w:rPr>
          <w:rFonts w:hint="eastAsia" w:eastAsia="宋体"/>
          <w:szCs w:val="21"/>
          <w:lang w:eastAsia="zh-CN"/>
        </w:rPr>
      </w:pPr>
      <w:r>
        <w:rPr>
          <w:szCs w:val="21"/>
        </w:rPr>
        <w:t>三、除非另外达成协议并生效，你方的中标通知书和本投标文件将构成约束我们双方的合同</w:t>
      </w:r>
      <w:r>
        <w:rPr>
          <w:rFonts w:hint="eastAsia"/>
          <w:szCs w:val="21"/>
          <w:lang w:eastAsia="zh-CN"/>
        </w:rPr>
        <w:t>；</w:t>
      </w:r>
    </w:p>
    <w:p>
      <w:pPr>
        <w:spacing w:line="560" w:lineRule="exact"/>
        <w:ind w:firstLine="420" w:firstLineChars="200"/>
        <w:rPr>
          <w:szCs w:val="21"/>
        </w:rPr>
      </w:pPr>
      <w:r>
        <w:rPr>
          <w:szCs w:val="21"/>
        </w:rPr>
        <w:t>四、我方的投标担保已按招标文件的要求递交。</w:t>
      </w:r>
    </w:p>
    <w:p>
      <w:pPr>
        <w:ind w:firstLine="480"/>
        <w:jc w:val="right"/>
        <w:rPr>
          <w:szCs w:val="21"/>
        </w:rPr>
      </w:pPr>
      <w:r>
        <w:rPr>
          <w:szCs w:val="21"/>
        </w:rPr>
        <w:t xml:space="preserve">                                               </w:t>
      </w:r>
    </w:p>
    <w:p>
      <w:pPr>
        <w:rPr>
          <w:szCs w:val="21"/>
        </w:rPr>
      </w:pPr>
    </w:p>
    <w:p>
      <w:pPr>
        <w:rPr>
          <w:szCs w:val="21"/>
        </w:rPr>
      </w:pPr>
    </w:p>
    <w:p>
      <w:pPr>
        <w:rPr>
          <w:szCs w:val="21"/>
        </w:rPr>
      </w:pPr>
    </w:p>
    <w:p>
      <w:pPr>
        <w:rPr>
          <w:szCs w:val="21"/>
        </w:rPr>
      </w:pPr>
    </w:p>
    <w:p>
      <w:pPr>
        <w:spacing w:line="560" w:lineRule="exact"/>
        <w:ind w:firstLine="4305" w:firstLineChars="2050"/>
        <w:rPr>
          <w:szCs w:val="21"/>
        </w:rPr>
      </w:pPr>
      <w:r>
        <w:rPr>
          <w:szCs w:val="21"/>
        </w:rPr>
        <w:t xml:space="preserve"> 法定代表人（签字或盖章）：         </w:t>
      </w:r>
      <w:bookmarkStart w:id="155" w:name="_Hlt465761988"/>
      <w:bookmarkEnd w:id="155"/>
      <w:bookmarkStart w:id="156" w:name="_Hlk465759066"/>
      <w:r>
        <w:rPr>
          <w:szCs w:val="21"/>
        </w:rPr>
        <w:t xml:space="preserve">          </w:t>
      </w:r>
    </w:p>
    <w:p>
      <w:pPr>
        <w:spacing w:line="560" w:lineRule="exact"/>
        <w:ind w:firstLine="420" w:firstLineChars="200"/>
        <w:rPr>
          <w:szCs w:val="21"/>
        </w:rPr>
      </w:pPr>
      <w:r>
        <w:rPr>
          <w:szCs w:val="21"/>
        </w:rPr>
        <w:t xml:space="preserve"> </w:t>
      </w:r>
      <w:bookmarkEnd w:id="156"/>
      <w:r>
        <w:rPr>
          <w:szCs w:val="21"/>
        </w:rPr>
        <w:t xml:space="preserve">                                     投标人（盖章）：</w:t>
      </w:r>
    </w:p>
    <w:p>
      <w:pPr>
        <w:spacing w:line="560" w:lineRule="exact"/>
        <w:ind w:firstLine="4410" w:firstLineChars="2100"/>
        <w:rPr>
          <w:rFonts w:ascii="Times New Roman" w:hAnsi="Times New Roman" w:cs="Times New Roman"/>
          <w:b w:val="0"/>
          <w:bCs w:val="0"/>
          <w:color w:val="000000"/>
          <w:sz w:val="21"/>
          <w:szCs w:val="21"/>
          <w:lang w:bidi="ar-SA"/>
        </w:rPr>
      </w:pPr>
      <w:r>
        <w:rPr>
          <w:szCs w:val="21"/>
        </w:rPr>
        <w:t>日期：   年   月   日</w:t>
      </w:r>
      <w:bookmarkStart w:id="157" w:name="_Toc155342585"/>
      <w:bookmarkStart w:id="158" w:name="_Toc106012817"/>
      <w:bookmarkStart w:id="159" w:name="_Toc106553079"/>
    </w:p>
    <w:p>
      <w:pPr>
        <w:pStyle w:val="15"/>
        <w:spacing w:before="0" w:after="0" w:line="240" w:lineRule="exact"/>
        <w:jc w:val="both"/>
        <w:rPr>
          <w:rFonts w:ascii="Times New Roman" w:hAnsi="Times New Roman" w:cs="Times New Roman"/>
          <w:b w:val="0"/>
          <w:bCs w:val="0"/>
          <w:color w:val="000000"/>
          <w:sz w:val="21"/>
          <w:szCs w:val="21"/>
          <w:lang w:bidi="ar-SA"/>
        </w:rPr>
      </w:pPr>
    </w:p>
    <w:p>
      <w:pPr>
        <w:pStyle w:val="15"/>
        <w:spacing w:before="0" w:after="0" w:line="240" w:lineRule="exact"/>
        <w:jc w:val="both"/>
        <w:rPr>
          <w:rFonts w:ascii="Times New Roman" w:hAnsi="Times New Roman" w:cs="Times New Roman"/>
          <w:b w:val="0"/>
          <w:bCs w:val="0"/>
          <w:color w:val="000000"/>
          <w:sz w:val="21"/>
          <w:szCs w:val="21"/>
          <w:lang w:bidi="ar-SA"/>
        </w:rPr>
      </w:pPr>
    </w:p>
    <w:p>
      <w:pPr>
        <w:pStyle w:val="15"/>
        <w:spacing w:before="0" w:after="0" w:line="240" w:lineRule="exact"/>
        <w:jc w:val="both"/>
        <w:rPr>
          <w:rFonts w:ascii="Times New Roman" w:hAnsi="Times New Roman" w:cs="Times New Roman"/>
          <w:b w:val="0"/>
          <w:bCs w:val="0"/>
          <w:color w:val="000000"/>
          <w:sz w:val="21"/>
          <w:szCs w:val="21"/>
          <w:lang w:bidi="ar-SA"/>
        </w:rPr>
        <w:sectPr>
          <w:footnotePr>
            <w:numRestart w:val="eachPage"/>
          </w:footnotePr>
          <w:endnotePr>
            <w:numRestart w:val="eachSect"/>
          </w:endnotePr>
          <w:pgSz w:w="11906" w:h="16838"/>
          <w:pgMar w:top="1440" w:right="1134" w:bottom="1440" w:left="1701" w:header="851" w:footer="850" w:gutter="0"/>
          <w:pgNumType w:fmt="decimal"/>
          <w:cols w:space="720" w:num="1"/>
          <w:rtlGutter w:val="0"/>
          <w:docGrid w:linePitch="435" w:charSpace="0"/>
        </w:sectPr>
      </w:pPr>
    </w:p>
    <w:p>
      <w:pPr>
        <w:pStyle w:val="15"/>
        <w:spacing w:before="0" w:after="0" w:line="240" w:lineRule="exact"/>
        <w:jc w:val="both"/>
        <w:rPr>
          <w:rFonts w:hint="eastAsia" w:ascii="Times New Roman" w:hAnsi="Times New Roman" w:eastAsia="宋体" w:cs="Times New Roman"/>
          <w:b/>
          <w:bCs w:val="0"/>
          <w:kern w:val="2"/>
          <w:sz w:val="32"/>
          <w:szCs w:val="32"/>
          <w:highlight w:val="none"/>
          <w:lang w:val="en-US" w:eastAsia="zh-CN" w:bidi="ar-SA"/>
        </w:rPr>
      </w:pPr>
      <w:r>
        <w:rPr>
          <w:rFonts w:ascii="Times New Roman" w:hAnsi="Times New Roman" w:cs="Times New Roman"/>
          <w:b w:val="0"/>
          <w:bCs w:val="0"/>
          <w:color w:val="000000"/>
          <w:sz w:val="21"/>
          <w:szCs w:val="21"/>
          <w:highlight w:val="none"/>
          <w:lang w:bidi="ar-SA"/>
        </w:rPr>
        <w:t>附件二</w:t>
      </w:r>
      <w:r>
        <w:rPr>
          <w:rFonts w:hint="eastAsia" w:ascii="Times New Roman" w:hAnsi="Times New Roman" w:cs="Times New Roman"/>
          <w:b w:val="0"/>
          <w:bCs w:val="0"/>
          <w:color w:val="000000"/>
          <w:sz w:val="21"/>
          <w:szCs w:val="21"/>
          <w:highlight w:val="none"/>
          <w:lang w:eastAsia="zh-CN" w:bidi="ar-SA"/>
        </w:rPr>
        <w:t>：</w:t>
      </w:r>
    </w:p>
    <w:bookmarkEnd w:id="157"/>
    <w:bookmarkEnd w:id="158"/>
    <w:bookmarkEnd w:id="159"/>
    <w:p>
      <w:pPr>
        <w:spacing w:before="240" w:beforeLines="100" w:after="240" w:afterLines="100" w:line="360" w:lineRule="exact"/>
        <w:jc w:val="center"/>
        <w:outlineLvl w:val="0"/>
        <w:rPr>
          <w:rFonts w:hint="eastAsia" w:eastAsia="宋体"/>
          <w:b/>
          <w:sz w:val="32"/>
          <w:szCs w:val="32"/>
          <w:lang w:eastAsia="zh-CN"/>
        </w:rPr>
      </w:pPr>
      <w:r>
        <w:rPr>
          <w:rFonts w:hint="eastAsia"/>
          <w:b/>
          <w:sz w:val="32"/>
          <w:szCs w:val="32"/>
          <w:lang w:eastAsia="zh-CN"/>
        </w:rPr>
        <w:t xml:space="preserve"> 玉环海洋经济转型升级示范区2018年度绿化养护工程 （茶山路、永清路、靖海路等）</w:t>
      </w:r>
    </w:p>
    <w:p>
      <w:pPr>
        <w:spacing w:before="120" w:beforeLines="50" w:after="120" w:afterLines="50" w:line="400" w:lineRule="exact"/>
        <w:jc w:val="center"/>
        <w:rPr>
          <w:rFonts w:eastAsia="黑体"/>
          <w:b/>
          <w:bCs/>
          <w:sz w:val="30"/>
          <w:szCs w:val="30"/>
        </w:rPr>
      </w:pPr>
      <w:bookmarkStart w:id="160" w:name="_Toc24217"/>
      <w:bookmarkStart w:id="161" w:name="_Toc31919"/>
      <w:bookmarkStart w:id="162" w:name="_Toc30008"/>
      <w:r>
        <w:rPr>
          <w:rFonts w:eastAsia="黑体"/>
          <w:b/>
          <w:bCs/>
          <w:sz w:val="30"/>
          <w:szCs w:val="30"/>
        </w:rPr>
        <w:t>养护管理人员表</w:t>
      </w:r>
    </w:p>
    <w:tbl>
      <w:tblPr>
        <w:tblStyle w:val="19"/>
        <w:tblW w:w="919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
        <w:gridCol w:w="1252"/>
        <w:gridCol w:w="715"/>
        <w:gridCol w:w="715"/>
        <w:gridCol w:w="1252"/>
        <w:gridCol w:w="1252"/>
        <w:gridCol w:w="1073"/>
        <w:gridCol w:w="715"/>
        <w:gridCol w:w="1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4" w:hRule="atLeast"/>
        </w:trPr>
        <w:tc>
          <w:tcPr>
            <w:tcW w:w="966" w:type="dxa"/>
            <w:vAlign w:val="center"/>
          </w:tcPr>
          <w:p>
            <w:pPr>
              <w:spacing w:line="400" w:lineRule="exact"/>
              <w:ind w:firstLine="105" w:firstLineChars="50"/>
              <w:jc w:val="center"/>
              <w:rPr>
                <w:rFonts w:eastAsia="宋体"/>
                <w:sz w:val="21"/>
                <w:szCs w:val="21"/>
              </w:rPr>
            </w:pPr>
            <w:r>
              <w:rPr>
                <w:rFonts w:eastAsia="宋体"/>
                <w:sz w:val="21"/>
                <w:szCs w:val="21"/>
              </w:rPr>
              <w:t>姓名</w:t>
            </w:r>
          </w:p>
        </w:tc>
        <w:tc>
          <w:tcPr>
            <w:tcW w:w="1252" w:type="dxa"/>
            <w:vAlign w:val="center"/>
          </w:tcPr>
          <w:p>
            <w:pPr>
              <w:spacing w:line="400" w:lineRule="exact"/>
              <w:jc w:val="center"/>
              <w:rPr>
                <w:rFonts w:eastAsia="宋体"/>
                <w:sz w:val="21"/>
                <w:szCs w:val="21"/>
              </w:rPr>
            </w:pPr>
            <w:r>
              <w:rPr>
                <w:rFonts w:eastAsia="宋体"/>
                <w:sz w:val="21"/>
                <w:szCs w:val="21"/>
              </w:rPr>
              <w:t>拟任岗位</w:t>
            </w:r>
          </w:p>
        </w:tc>
        <w:tc>
          <w:tcPr>
            <w:tcW w:w="715" w:type="dxa"/>
            <w:vAlign w:val="center"/>
          </w:tcPr>
          <w:p>
            <w:pPr>
              <w:spacing w:line="400" w:lineRule="exact"/>
              <w:jc w:val="center"/>
              <w:rPr>
                <w:rFonts w:eastAsia="宋体"/>
                <w:sz w:val="21"/>
                <w:szCs w:val="21"/>
              </w:rPr>
            </w:pPr>
            <w:r>
              <w:rPr>
                <w:rFonts w:eastAsia="宋体"/>
                <w:sz w:val="21"/>
                <w:szCs w:val="21"/>
              </w:rPr>
              <w:t>年龄</w:t>
            </w:r>
          </w:p>
        </w:tc>
        <w:tc>
          <w:tcPr>
            <w:tcW w:w="715" w:type="dxa"/>
            <w:vAlign w:val="center"/>
          </w:tcPr>
          <w:p>
            <w:pPr>
              <w:spacing w:line="400" w:lineRule="exact"/>
              <w:jc w:val="center"/>
              <w:rPr>
                <w:rFonts w:eastAsia="宋体"/>
                <w:sz w:val="21"/>
                <w:szCs w:val="21"/>
              </w:rPr>
            </w:pPr>
            <w:r>
              <w:rPr>
                <w:rFonts w:eastAsia="宋体"/>
                <w:sz w:val="21"/>
                <w:szCs w:val="21"/>
              </w:rPr>
              <w:t>性别</w:t>
            </w:r>
          </w:p>
        </w:tc>
        <w:tc>
          <w:tcPr>
            <w:tcW w:w="1252" w:type="dxa"/>
            <w:vAlign w:val="center"/>
          </w:tcPr>
          <w:p>
            <w:pPr>
              <w:spacing w:line="400" w:lineRule="exact"/>
              <w:jc w:val="center"/>
              <w:rPr>
                <w:rFonts w:eastAsia="宋体"/>
                <w:sz w:val="21"/>
                <w:szCs w:val="21"/>
              </w:rPr>
            </w:pPr>
            <w:r>
              <w:rPr>
                <w:rFonts w:eastAsia="宋体"/>
                <w:sz w:val="21"/>
                <w:szCs w:val="21"/>
              </w:rPr>
              <w:t>专业学历</w:t>
            </w:r>
          </w:p>
        </w:tc>
        <w:tc>
          <w:tcPr>
            <w:tcW w:w="1252" w:type="dxa"/>
            <w:vAlign w:val="center"/>
          </w:tcPr>
          <w:p>
            <w:pPr>
              <w:spacing w:line="400" w:lineRule="exact"/>
              <w:jc w:val="center"/>
              <w:rPr>
                <w:rFonts w:eastAsia="宋体"/>
                <w:sz w:val="21"/>
                <w:szCs w:val="21"/>
              </w:rPr>
            </w:pPr>
            <w:r>
              <w:rPr>
                <w:rFonts w:eastAsia="宋体"/>
                <w:sz w:val="21"/>
                <w:szCs w:val="21"/>
              </w:rPr>
              <w:t>专业年限</w:t>
            </w:r>
          </w:p>
        </w:tc>
        <w:tc>
          <w:tcPr>
            <w:tcW w:w="1073" w:type="dxa"/>
            <w:vAlign w:val="center"/>
          </w:tcPr>
          <w:p>
            <w:pPr>
              <w:spacing w:line="400" w:lineRule="exact"/>
              <w:jc w:val="center"/>
              <w:rPr>
                <w:rFonts w:eastAsia="宋体"/>
                <w:sz w:val="21"/>
                <w:szCs w:val="21"/>
              </w:rPr>
            </w:pPr>
            <w:r>
              <w:rPr>
                <w:rFonts w:eastAsia="宋体"/>
                <w:sz w:val="21"/>
                <w:szCs w:val="21"/>
              </w:rPr>
              <w:t>到岗率</w:t>
            </w:r>
          </w:p>
        </w:tc>
        <w:tc>
          <w:tcPr>
            <w:tcW w:w="715" w:type="dxa"/>
            <w:vAlign w:val="center"/>
          </w:tcPr>
          <w:p>
            <w:pPr>
              <w:spacing w:line="400" w:lineRule="exact"/>
              <w:jc w:val="center"/>
              <w:rPr>
                <w:rFonts w:eastAsia="宋体"/>
                <w:sz w:val="21"/>
                <w:szCs w:val="21"/>
              </w:rPr>
            </w:pPr>
            <w:r>
              <w:rPr>
                <w:rFonts w:eastAsia="宋体"/>
                <w:sz w:val="21"/>
                <w:szCs w:val="21"/>
              </w:rPr>
              <w:t>职称</w:t>
            </w:r>
          </w:p>
        </w:tc>
        <w:tc>
          <w:tcPr>
            <w:tcW w:w="1252" w:type="dxa"/>
            <w:vAlign w:val="center"/>
          </w:tcPr>
          <w:p>
            <w:pPr>
              <w:spacing w:line="400" w:lineRule="exact"/>
              <w:jc w:val="center"/>
              <w:rPr>
                <w:rFonts w:eastAsia="宋体"/>
                <w:sz w:val="21"/>
                <w:szCs w:val="21"/>
              </w:rPr>
            </w:pPr>
            <w:r>
              <w:rPr>
                <w:rFonts w:eastAsia="宋体"/>
                <w:sz w:val="21"/>
                <w:szCs w:val="21"/>
              </w:rPr>
              <w:t>安排上</w:t>
            </w:r>
          </w:p>
          <w:p>
            <w:pPr>
              <w:spacing w:line="400" w:lineRule="exact"/>
              <w:jc w:val="center"/>
              <w:rPr>
                <w:rFonts w:eastAsia="宋体"/>
                <w:sz w:val="21"/>
                <w:szCs w:val="21"/>
              </w:rPr>
            </w:pPr>
            <w:r>
              <w:rPr>
                <w:rFonts w:eastAsia="宋体"/>
                <w:sz w:val="21"/>
                <w:szCs w:val="21"/>
              </w:rPr>
              <w:t>岗时间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rPr>
        <w:tc>
          <w:tcPr>
            <w:tcW w:w="966"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1073"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9" w:hRule="atLeast"/>
        </w:trPr>
        <w:tc>
          <w:tcPr>
            <w:tcW w:w="966"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1073"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9" w:hRule="atLeast"/>
        </w:trPr>
        <w:tc>
          <w:tcPr>
            <w:tcW w:w="966"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1073"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rPr>
        <w:tc>
          <w:tcPr>
            <w:tcW w:w="966"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1073"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rPr>
        <w:tc>
          <w:tcPr>
            <w:tcW w:w="966"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1073"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rPr>
        <w:tc>
          <w:tcPr>
            <w:tcW w:w="966"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1073"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rPr>
        <w:tc>
          <w:tcPr>
            <w:tcW w:w="966"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1073"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rPr>
        <w:tc>
          <w:tcPr>
            <w:tcW w:w="966"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1073"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rPr>
        <w:tc>
          <w:tcPr>
            <w:tcW w:w="966"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1073"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rPr>
        <w:tc>
          <w:tcPr>
            <w:tcW w:w="966"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1073"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rPr>
        <w:tc>
          <w:tcPr>
            <w:tcW w:w="966"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c>
          <w:tcPr>
            <w:tcW w:w="1073" w:type="dxa"/>
            <w:vAlign w:val="top"/>
          </w:tcPr>
          <w:p>
            <w:pPr>
              <w:spacing w:line="400" w:lineRule="exact"/>
              <w:rPr>
                <w:rFonts w:eastAsia="宋体"/>
                <w:sz w:val="21"/>
                <w:szCs w:val="21"/>
              </w:rPr>
            </w:pPr>
          </w:p>
        </w:tc>
        <w:tc>
          <w:tcPr>
            <w:tcW w:w="715" w:type="dxa"/>
            <w:vAlign w:val="top"/>
          </w:tcPr>
          <w:p>
            <w:pPr>
              <w:spacing w:line="400" w:lineRule="exact"/>
              <w:rPr>
                <w:rFonts w:eastAsia="宋体"/>
                <w:sz w:val="21"/>
                <w:szCs w:val="21"/>
              </w:rPr>
            </w:pPr>
          </w:p>
        </w:tc>
        <w:tc>
          <w:tcPr>
            <w:tcW w:w="1252" w:type="dxa"/>
            <w:vAlign w:val="top"/>
          </w:tcPr>
          <w:p>
            <w:pPr>
              <w:spacing w:line="400" w:lineRule="exact"/>
              <w:rPr>
                <w:rFonts w:eastAsia="宋体"/>
                <w:sz w:val="21"/>
                <w:szCs w:val="21"/>
              </w:rPr>
            </w:pPr>
          </w:p>
        </w:tc>
      </w:tr>
    </w:tbl>
    <w:p>
      <w:pPr>
        <w:spacing w:line="400" w:lineRule="exact"/>
        <w:rPr>
          <w:rFonts w:eastAsia="黑体"/>
          <w:b/>
          <w:sz w:val="21"/>
          <w:szCs w:val="21"/>
        </w:rPr>
      </w:pPr>
      <w:r>
        <w:rPr>
          <w:rFonts w:eastAsia="黑体"/>
          <w:b/>
          <w:sz w:val="21"/>
          <w:szCs w:val="21"/>
        </w:rPr>
        <w:t>注：项目负责人须具备园林绿化或风景园林相关专业的中级或以上职称，否则以无效标处理。</w:t>
      </w:r>
    </w:p>
    <w:p>
      <w:pPr>
        <w:jc w:val="right"/>
        <w:rPr>
          <w:rFonts w:eastAsia="宋体"/>
          <w:sz w:val="21"/>
          <w:szCs w:val="21"/>
        </w:rPr>
      </w:pPr>
    </w:p>
    <w:p>
      <w:pPr>
        <w:jc w:val="right"/>
        <w:rPr>
          <w:rFonts w:eastAsia="宋体"/>
          <w:sz w:val="21"/>
          <w:szCs w:val="21"/>
        </w:rPr>
      </w:pPr>
      <w:r>
        <w:rPr>
          <w:rFonts w:eastAsia="宋体"/>
          <w:sz w:val="21"/>
          <w:szCs w:val="21"/>
        </w:rPr>
        <w:t xml:space="preserve">法定代表人（签字或盖章）：     </w:t>
      </w:r>
    </w:p>
    <w:p>
      <w:pPr>
        <w:jc w:val="right"/>
        <w:rPr>
          <w:rFonts w:eastAsia="宋体"/>
          <w:sz w:val="21"/>
          <w:szCs w:val="21"/>
        </w:rPr>
      </w:pPr>
      <w:r>
        <w:rPr>
          <w:rFonts w:eastAsia="宋体"/>
          <w:sz w:val="21"/>
          <w:szCs w:val="21"/>
        </w:rPr>
        <w:t>投标人（盖章）：</w:t>
      </w:r>
    </w:p>
    <w:p>
      <w:pPr>
        <w:spacing w:line="360" w:lineRule="auto"/>
        <w:jc w:val="right"/>
        <w:rPr>
          <w:rFonts w:eastAsia="宋体"/>
          <w:sz w:val="21"/>
          <w:szCs w:val="21"/>
        </w:rPr>
      </w:pPr>
      <w:r>
        <w:rPr>
          <w:rFonts w:eastAsia="宋体"/>
          <w:sz w:val="21"/>
          <w:szCs w:val="21"/>
        </w:rPr>
        <w:t xml:space="preserve">                       </w:t>
      </w:r>
      <w:r>
        <w:rPr>
          <w:rFonts w:eastAsia="宋体"/>
          <w:b/>
          <w:bCs/>
          <w:sz w:val="21"/>
          <w:szCs w:val="21"/>
        </w:rPr>
        <w:t xml:space="preserve">          </w:t>
      </w:r>
      <w:r>
        <w:rPr>
          <w:rFonts w:eastAsia="宋体"/>
          <w:sz w:val="21"/>
          <w:szCs w:val="21"/>
        </w:rPr>
        <w:t xml:space="preserve">   年   月   日</w:t>
      </w:r>
    </w:p>
    <w:p>
      <w:pPr>
        <w:pStyle w:val="15"/>
        <w:keepNext w:val="0"/>
        <w:keepLines w:val="0"/>
        <w:pageBreakBefore/>
        <w:widowControl w:val="0"/>
        <w:kinsoku/>
        <w:wordWrap/>
        <w:overflowPunct/>
        <w:topLinePunct w:val="0"/>
        <w:autoSpaceDE/>
        <w:autoSpaceDN/>
        <w:bidi w:val="0"/>
        <w:adjustRightInd/>
        <w:snapToGrid/>
        <w:spacing w:before="240" w:after="60" w:line="240" w:lineRule="auto"/>
        <w:ind w:left="0" w:leftChars="0" w:right="0" w:rightChars="0" w:firstLine="0" w:firstLineChars="0"/>
        <w:jc w:val="both"/>
        <w:textAlignment w:val="auto"/>
        <w:outlineLvl w:val="0"/>
        <w:rPr>
          <w:rFonts w:hint="eastAsia" w:ascii="Times New Roman" w:hAnsi="Times New Roman" w:eastAsia="宋体" w:cs="Times New Roman"/>
          <w:b w:val="0"/>
          <w:bCs w:val="0"/>
          <w:color w:val="000000"/>
          <w:sz w:val="21"/>
          <w:szCs w:val="21"/>
          <w:highlight w:val="none"/>
          <w:lang w:eastAsia="zh-CN" w:bidi="ar-SA"/>
        </w:rPr>
      </w:pPr>
      <w:r>
        <w:rPr>
          <w:rFonts w:ascii="Times New Roman" w:hAnsi="Times New Roman" w:cs="Times New Roman"/>
          <w:b w:val="0"/>
          <w:bCs w:val="0"/>
          <w:color w:val="000000"/>
          <w:sz w:val="21"/>
          <w:szCs w:val="21"/>
          <w:highlight w:val="none"/>
          <w:lang w:bidi="ar-SA"/>
        </w:rPr>
        <w:t>附件</w:t>
      </w:r>
      <w:r>
        <w:rPr>
          <w:rFonts w:hint="eastAsia" w:ascii="Times New Roman" w:hAnsi="Times New Roman" w:cs="Times New Roman"/>
          <w:b w:val="0"/>
          <w:bCs w:val="0"/>
          <w:color w:val="000000"/>
          <w:sz w:val="21"/>
          <w:szCs w:val="21"/>
          <w:highlight w:val="none"/>
          <w:lang w:eastAsia="zh-CN" w:bidi="ar-SA"/>
        </w:rPr>
        <w:t>三：</w:t>
      </w:r>
    </w:p>
    <w:p>
      <w:pPr>
        <w:spacing w:line="360" w:lineRule="auto"/>
        <w:jc w:val="center"/>
        <w:rPr>
          <w:rFonts w:eastAsia="宋体"/>
          <w:color w:val="000000"/>
          <w:szCs w:val="32"/>
          <w:highlight w:val="none"/>
        </w:rPr>
      </w:pPr>
      <w:r>
        <w:rPr>
          <w:rFonts w:hint="eastAsia"/>
          <w:b/>
          <w:sz w:val="32"/>
          <w:szCs w:val="32"/>
          <w:highlight w:val="none"/>
          <w:lang w:eastAsia="zh-CN"/>
        </w:rPr>
        <w:t>玉环海洋经济转型升级示范区2018年度绿化养护工程 （茶山路、永清路、靖海路等）</w:t>
      </w:r>
    </w:p>
    <w:p>
      <w:pPr>
        <w:spacing w:before="120" w:beforeLines="50" w:after="120" w:afterLines="50" w:line="400" w:lineRule="exact"/>
        <w:jc w:val="center"/>
        <w:rPr>
          <w:rFonts w:eastAsia="黑体"/>
          <w:b/>
          <w:bCs/>
          <w:sz w:val="30"/>
          <w:szCs w:val="30"/>
          <w:highlight w:val="none"/>
        </w:rPr>
      </w:pPr>
      <w:r>
        <w:rPr>
          <w:rFonts w:eastAsia="黑体"/>
          <w:b/>
          <w:bCs/>
          <w:sz w:val="30"/>
          <w:szCs w:val="30"/>
          <w:highlight w:val="none"/>
        </w:rPr>
        <w:t>投入养护的主要设备表</w:t>
      </w:r>
    </w:p>
    <w:tbl>
      <w:tblPr>
        <w:tblStyle w:val="19"/>
        <w:tblW w:w="8717" w:type="dxa"/>
        <w:tblInd w:w="52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6"/>
        <w:gridCol w:w="1948"/>
        <w:gridCol w:w="1913"/>
        <w:gridCol w:w="2083"/>
        <w:gridCol w:w="195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239" w:hRule="atLeast"/>
        </w:trPr>
        <w:tc>
          <w:tcPr>
            <w:tcW w:w="81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宋体"/>
                <w:sz w:val="21"/>
                <w:szCs w:val="21"/>
                <w:highlight w:val="none"/>
              </w:rPr>
            </w:pPr>
            <w:r>
              <w:rPr>
                <w:rFonts w:eastAsia="宋体"/>
                <w:sz w:val="21"/>
                <w:szCs w:val="21"/>
                <w:highlight w:val="none"/>
              </w:rPr>
              <w:t>序号</w:t>
            </w:r>
          </w:p>
        </w:tc>
        <w:tc>
          <w:tcPr>
            <w:tcW w:w="194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宋体"/>
                <w:sz w:val="21"/>
                <w:szCs w:val="21"/>
                <w:highlight w:val="none"/>
              </w:rPr>
            </w:pPr>
            <w:r>
              <w:rPr>
                <w:rFonts w:eastAsia="宋体"/>
                <w:sz w:val="21"/>
                <w:szCs w:val="21"/>
                <w:highlight w:val="none"/>
              </w:rPr>
              <w:t>养护设备名称</w:t>
            </w:r>
          </w:p>
        </w:tc>
        <w:tc>
          <w:tcPr>
            <w:tcW w:w="191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宋体"/>
                <w:sz w:val="21"/>
                <w:szCs w:val="21"/>
                <w:highlight w:val="none"/>
              </w:rPr>
            </w:pPr>
            <w:r>
              <w:rPr>
                <w:rFonts w:eastAsia="宋体"/>
                <w:sz w:val="21"/>
                <w:szCs w:val="21"/>
                <w:highlight w:val="none"/>
              </w:rPr>
              <w:t>规格要求</w:t>
            </w:r>
          </w:p>
        </w:tc>
        <w:tc>
          <w:tcPr>
            <w:tcW w:w="2083" w:type="dxa"/>
            <w:tcBorders>
              <w:top w:val="single" w:color="auto" w:sz="4" w:space="0"/>
              <w:left w:val="single" w:color="auto" w:sz="4" w:space="0"/>
              <w:right w:val="single" w:color="auto" w:sz="4" w:space="0"/>
            </w:tcBorders>
            <w:vAlign w:val="center"/>
          </w:tcPr>
          <w:p>
            <w:pPr>
              <w:spacing w:line="400" w:lineRule="exact"/>
              <w:jc w:val="center"/>
              <w:rPr>
                <w:rFonts w:eastAsia="宋体"/>
                <w:sz w:val="21"/>
                <w:szCs w:val="21"/>
                <w:highlight w:val="none"/>
              </w:rPr>
            </w:pPr>
            <w:r>
              <w:rPr>
                <w:rFonts w:eastAsia="宋体"/>
                <w:sz w:val="21"/>
                <w:szCs w:val="21"/>
                <w:highlight w:val="none"/>
              </w:rPr>
              <w:t>数量</w:t>
            </w:r>
          </w:p>
        </w:tc>
        <w:tc>
          <w:tcPr>
            <w:tcW w:w="1957" w:type="dxa"/>
            <w:tcBorders>
              <w:top w:val="single" w:color="auto" w:sz="4" w:space="0"/>
              <w:left w:val="single" w:color="auto" w:sz="4" w:space="0"/>
              <w:right w:val="single" w:color="auto" w:sz="4" w:space="0"/>
            </w:tcBorders>
            <w:vAlign w:val="center"/>
          </w:tcPr>
          <w:p>
            <w:pPr>
              <w:spacing w:line="400" w:lineRule="exact"/>
              <w:jc w:val="center"/>
              <w:rPr>
                <w:rFonts w:eastAsia="宋体"/>
                <w:sz w:val="21"/>
                <w:szCs w:val="21"/>
                <w:highlight w:val="none"/>
              </w:rPr>
            </w:pPr>
            <w:r>
              <w:rPr>
                <w:rFonts w:eastAsia="宋体"/>
                <w:sz w:val="21"/>
                <w:szCs w:val="21"/>
                <w:highlight w:val="none"/>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816"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r>
              <w:rPr>
                <w:rFonts w:eastAsia="宋体"/>
                <w:sz w:val="28"/>
                <w:highlight w:val="none"/>
              </w:rPr>
              <w:t>1</w:t>
            </w:r>
          </w:p>
        </w:tc>
        <w:tc>
          <w:tcPr>
            <w:tcW w:w="1948"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1"/>
                <w:szCs w:val="21"/>
                <w:highlight w:val="none"/>
              </w:rPr>
            </w:pPr>
            <w:r>
              <w:rPr>
                <w:rFonts w:eastAsia="宋体"/>
                <w:sz w:val="21"/>
                <w:szCs w:val="21"/>
                <w:highlight w:val="none"/>
              </w:rPr>
              <w:t>洒水车</w:t>
            </w:r>
          </w:p>
        </w:tc>
        <w:tc>
          <w:tcPr>
            <w:tcW w:w="1913"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1"/>
                <w:szCs w:val="21"/>
                <w:highlight w:val="none"/>
              </w:rPr>
            </w:pPr>
          </w:p>
        </w:tc>
        <w:tc>
          <w:tcPr>
            <w:tcW w:w="2083"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1"/>
                <w:szCs w:val="21"/>
                <w:highlight w:val="none"/>
              </w:rPr>
            </w:pPr>
            <w:r>
              <w:rPr>
                <w:rFonts w:eastAsia="宋体"/>
                <w:sz w:val="21"/>
                <w:szCs w:val="21"/>
                <w:highlight w:val="none"/>
              </w:rPr>
              <w:t>1辆</w:t>
            </w:r>
          </w:p>
        </w:tc>
        <w:tc>
          <w:tcPr>
            <w:tcW w:w="1957"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1"/>
                <w:szCs w:val="21"/>
                <w:highlight w:val="none"/>
              </w:rPr>
            </w:pPr>
            <w:r>
              <w:rPr>
                <w:rFonts w:eastAsia="宋体"/>
                <w:sz w:val="21"/>
                <w:szCs w:val="21"/>
                <w:highlight w:val="none"/>
              </w:rPr>
              <w:t>必须配备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816"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r>
              <w:rPr>
                <w:rFonts w:eastAsia="宋体"/>
                <w:sz w:val="28"/>
                <w:highlight w:val="none"/>
              </w:rPr>
              <w:t>2</w:t>
            </w:r>
          </w:p>
        </w:tc>
        <w:tc>
          <w:tcPr>
            <w:tcW w:w="1948"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1"/>
                <w:szCs w:val="21"/>
                <w:highlight w:val="none"/>
              </w:rPr>
            </w:pPr>
            <w:r>
              <w:rPr>
                <w:rFonts w:eastAsia="宋体"/>
                <w:sz w:val="21"/>
                <w:szCs w:val="21"/>
                <w:highlight w:val="none"/>
              </w:rPr>
              <w:t>高压打药车</w:t>
            </w:r>
          </w:p>
        </w:tc>
        <w:tc>
          <w:tcPr>
            <w:tcW w:w="1913"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1"/>
                <w:szCs w:val="21"/>
                <w:highlight w:val="none"/>
              </w:rPr>
            </w:pPr>
          </w:p>
        </w:tc>
        <w:tc>
          <w:tcPr>
            <w:tcW w:w="2083"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1"/>
                <w:szCs w:val="21"/>
                <w:highlight w:val="none"/>
              </w:rPr>
            </w:pPr>
            <w:r>
              <w:rPr>
                <w:rFonts w:eastAsia="宋体"/>
                <w:sz w:val="21"/>
                <w:szCs w:val="21"/>
                <w:highlight w:val="none"/>
              </w:rPr>
              <w:t>1台</w:t>
            </w:r>
          </w:p>
        </w:tc>
        <w:tc>
          <w:tcPr>
            <w:tcW w:w="1957"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1"/>
                <w:szCs w:val="21"/>
                <w:highlight w:val="none"/>
              </w:rPr>
            </w:pPr>
            <w:r>
              <w:rPr>
                <w:rFonts w:eastAsia="宋体"/>
                <w:sz w:val="21"/>
                <w:szCs w:val="21"/>
                <w:highlight w:val="none"/>
              </w:rPr>
              <w:t>必须配备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816"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r>
              <w:rPr>
                <w:rFonts w:eastAsia="宋体"/>
                <w:sz w:val="28"/>
                <w:highlight w:val="none"/>
              </w:rPr>
              <w:t>3</w:t>
            </w:r>
          </w:p>
        </w:tc>
        <w:tc>
          <w:tcPr>
            <w:tcW w:w="1948"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1"/>
                <w:szCs w:val="21"/>
                <w:highlight w:val="none"/>
              </w:rPr>
            </w:pPr>
            <w:r>
              <w:rPr>
                <w:rFonts w:hint="eastAsia" w:eastAsia="宋体"/>
                <w:sz w:val="21"/>
                <w:szCs w:val="21"/>
                <w:highlight w:val="none"/>
              </w:rPr>
              <w:t>割灌</w:t>
            </w:r>
            <w:r>
              <w:rPr>
                <w:rFonts w:eastAsia="宋体"/>
                <w:sz w:val="21"/>
                <w:szCs w:val="21"/>
                <w:highlight w:val="none"/>
              </w:rPr>
              <w:t>机</w:t>
            </w:r>
          </w:p>
        </w:tc>
        <w:tc>
          <w:tcPr>
            <w:tcW w:w="1913"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1"/>
                <w:szCs w:val="21"/>
                <w:highlight w:val="none"/>
              </w:rPr>
            </w:pPr>
          </w:p>
        </w:tc>
        <w:tc>
          <w:tcPr>
            <w:tcW w:w="2083"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1"/>
                <w:szCs w:val="21"/>
                <w:highlight w:val="none"/>
              </w:rPr>
            </w:pPr>
            <w:r>
              <w:rPr>
                <w:rFonts w:hint="eastAsia"/>
                <w:sz w:val="21"/>
                <w:szCs w:val="21"/>
                <w:highlight w:val="none"/>
                <w:lang w:val="en-US" w:eastAsia="zh-CN"/>
              </w:rPr>
              <w:t>2</w:t>
            </w:r>
            <w:r>
              <w:rPr>
                <w:rFonts w:eastAsia="宋体"/>
                <w:sz w:val="21"/>
                <w:szCs w:val="21"/>
                <w:highlight w:val="none"/>
              </w:rPr>
              <w:t>台</w:t>
            </w:r>
          </w:p>
        </w:tc>
        <w:tc>
          <w:tcPr>
            <w:tcW w:w="1957"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1"/>
                <w:szCs w:val="21"/>
                <w:highlight w:val="none"/>
              </w:rPr>
            </w:pPr>
            <w:r>
              <w:rPr>
                <w:rFonts w:eastAsia="宋体"/>
                <w:sz w:val="21"/>
                <w:szCs w:val="21"/>
                <w:highlight w:val="none"/>
              </w:rPr>
              <w:t>必须配备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816"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r>
              <w:rPr>
                <w:rFonts w:eastAsia="宋体"/>
                <w:sz w:val="28"/>
                <w:highlight w:val="none"/>
              </w:rPr>
              <w:t>4</w:t>
            </w:r>
          </w:p>
        </w:tc>
        <w:tc>
          <w:tcPr>
            <w:tcW w:w="1948"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1"/>
                <w:szCs w:val="21"/>
                <w:highlight w:val="none"/>
              </w:rPr>
            </w:pPr>
            <w:r>
              <w:rPr>
                <w:rFonts w:eastAsia="宋体"/>
                <w:sz w:val="21"/>
                <w:szCs w:val="21"/>
                <w:highlight w:val="none"/>
              </w:rPr>
              <w:t>绿篱机</w:t>
            </w:r>
          </w:p>
        </w:tc>
        <w:tc>
          <w:tcPr>
            <w:tcW w:w="1913"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1"/>
                <w:szCs w:val="21"/>
                <w:highlight w:val="none"/>
              </w:rPr>
            </w:pPr>
          </w:p>
        </w:tc>
        <w:tc>
          <w:tcPr>
            <w:tcW w:w="2083"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1"/>
                <w:szCs w:val="21"/>
                <w:highlight w:val="none"/>
              </w:rPr>
            </w:pPr>
            <w:r>
              <w:rPr>
                <w:rFonts w:hint="eastAsia"/>
                <w:sz w:val="21"/>
                <w:szCs w:val="21"/>
                <w:highlight w:val="none"/>
                <w:lang w:val="en-US" w:eastAsia="zh-CN"/>
              </w:rPr>
              <w:t>2</w:t>
            </w:r>
            <w:r>
              <w:rPr>
                <w:rFonts w:eastAsia="宋体"/>
                <w:sz w:val="21"/>
                <w:szCs w:val="21"/>
                <w:highlight w:val="none"/>
              </w:rPr>
              <w:t>台</w:t>
            </w:r>
          </w:p>
        </w:tc>
        <w:tc>
          <w:tcPr>
            <w:tcW w:w="1957"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1"/>
                <w:szCs w:val="21"/>
                <w:highlight w:val="none"/>
              </w:rPr>
            </w:pPr>
            <w:r>
              <w:rPr>
                <w:rFonts w:eastAsia="宋体"/>
                <w:sz w:val="21"/>
                <w:szCs w:val="21"/>
                <w:highlight w:val="none"/>
              </w:rPr>
              <w:t>必须配备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816"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r>
              <w:rPr>
                <w:rFonts w:eastAsia="宋体"/>
                <w:sz w:val="28"/>
                <w:highlight w:val="none"/>
              </w:rPr>
              <w:t>5</w:t>
            </w:r>
          </w:p>
        </w:tc>
        <w:tc>
          <w:tcPr>
            <w:tcW w:w="1948"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1"/>
                <w:szCs w:val="21"/>
                <w:highlight w:val="none"/>
              </w:rPr>
            </w:pPr>
            <w:r>
              <w:rPr>
                <w:rFonts w:eastAsia="宋体"/>
                <w:sz w:val="21"/>
                <w:szCs w:val="21"/>
                <w:highlight w:val="none"/>
              </w:rPr>
              <w:t>…割草</w:t>
            </w:r>
            <w:r>
              <w:rPr>
                <w:rFonts w:hint="eastAsia" w:eastAsia="宋体"/>
                <w:sz w:val="21"/>
                <w:szCs w:val="21"/>
                <w:highlight w:val="none"/>
              </w:rPr>
              <w:t>机</w:t>
            </w:r>
            <w:r>
              <w:rPr>
                <w:rFonts w:eastAsia="宋体"/>
                <w:sz w:val="21"/>
                <w:szCs w:val="21"/>
                <w:highlight w:val="none"/>
              </w:rPr>
              <w:t>…</w:t>
            </w:r>
          </w:p>
        </w:tc>
        <w:tc>
          <w:tcPr>
            <w:tcW w:w="1913" w:type="dxa"/>
            <w:tcBorders>
              <w:top w:val="single" w:color="auto" w:sz="4" w:space="0"/>
              <w:left w:val="single" w:color="auto" w:sz="4" w:space="0"/>
              <w:bottom w:val="single" w:color="auto" w:sz="4" w:space="0"/>
              <w:right w:val="single" w:color="auto" w:sz="4" w:space="0"/>
            </w:tcBorders>
            <w:vAlign w:val="top"/>
          </w:tcPr>
          <w:p>
            <w:pPr>
              <w:jc w:val="center"/>
              <w:rPr>
                <w:rFonts w:eastAsia="宋体"/>
                <w:sz w:val="21"/>
                <w:szCs w:val="21"/>
                <w:highlight w:val="none"/>
              </w:rPr>
            </w:pPr>
          </w:p>
        </w:tc>
        <w:tc>
          <w:tcPr>
            <w:tcW w:w="2083"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1"/>
                <w:szCs w:val="21"/>
                <w:highlight w:val="none"/>
              </w:rPr>
            </w:pPr>
            <w:r>
              <w:rPr>
                <w:rFonts w:hint="eastAsia"/>
                <w:sz w:val="21"/>
                <w:szCs w:val="21"/>
                <w:highlight w:val="none"/>
                <w:lang w:val="en-US" w:eastAsia="zh-CN"/>
              </w:rPr>
              <w:t>2</w:t>
            </w:r>
            <w:r>
              <w:rPr>
                <w:rFonts w:hint="eastAsia" w:eastAsia="宋体"/>
                <w:sz w:val="21"/>
                <w:szCs w:val="21"/>
                <w:highlight w:val="none"/>
              </w:rPr>
              <w:t>台</w:t>
            </w:r>
          </w:p>
        </w:tc>
        <w:tc>
          <w:tcPr>
            <w:tcW w:w="195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宋体"/>
                <w:sz w:val="28"/>
                <w:highlight w:val="none"/>
              </w:rPr>
            </w:pPr>
            <w:r>
              <w:rPr>
                <w:rFonts w:eastAsia="宋体"/>
                <w:sz w:val="21"/>
                <w:szCs w:val="21"/>
                <w:highlight w:val="none"/>
              </w:rPr>
              <w:t>必须配备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816"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r>
              <w:rPr>
                <w:rFonts w:eastAsia="宋体"/>
                <w:sz w:val="28"/>
                <w:highlight w:val="none"/>
              </w:rPr>
              <w:t>6</w:t>
            </w:r>
          </w:p>
        </w:tc>
        <w:tc>
          <w:tcPr>
            <w:tcW w:w="194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p>
        </w:tc>
        <w:tc>
          <w:tcPr>
            <w:tcW w:w="1913"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p>
        </w:tc>
        <w:tc>
          <w:tcPr>
            <w:tcW w:w="2083"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p>
        </w:tc>
        <w:tc>
          <w:tcPr>
            <w:tcW w:w="195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816"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r>
              <w:rPr>
                <w:rFonts w:eastAsia="宋体"/>
                <w:sz w:val="28"/>
                <w:highlight w:val="none"/>
              </w:rPr>
              <w:t>7</w:t>
            </w:r>
          </w:p>
        </w:tc>
        <w:tc>
          <w:tcPr>
            <w:tcW w:w="194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p>
        </w:tc>
        <w:tc>
          <w:tcPr>
            <w:tcW w:w="1913"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p>
        </w:tc>
        <w:tc>
          <w:tcPr>
            <w:tcW w:w="2083"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p>
        </w:tc>
        <w:tc>
          <w:tcPr>
            <w:tcW w:w="195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816"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r>
              <w:rPr>
                <w:rFonts w:eastAsia="宋体"/>
                <w:sz w:val="28"/>
                <w:highlight w:val="none"/>
              </w:rPr>
              <w:t>8</w:t>
            </w:r>
          </w:p>
        </w:tc>
        <w:tc>
          <w:tcPr>
            <w:tcW w:w="194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p>
        </w:tc>
        <w:tc>
          <w:tcPr>
            <w:tcW w:w="1913"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p>
        </w:tc>
        <w:tc>
          <w:tcPr>
            <w:tcW w:w="2083"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p>
        </w:tc>
        <w:tc>
          <w:tcPr>
            <w:tcW w:w="195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816"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r>
              <w:rPr>
                <w:rFonts w:eastAsia="宋体"/>
                <w:sz w:val="28"/>
                <w:highlight w:val="none"/>
              </w:rPr>
              <w:t>9</w:t>
            </w:r>
          </w:p>
        </w:tc>
        <w:tc>
          <w:tcPr>
            <w:tcW w:w="194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p>
        </w:tc>
        <w:tc>
          <w:tcPr>
            <w:tcW w:w="1913"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p>
        </w:tc>
        <w:tc>
          <w:tcPr>
            <w:tcW w:w="2083"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p>
        </w:tc>
        <w:tc>
          <w:tcPr>
            <w:tcW w:w="195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816"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r>
              <w:rPr>
                <w:rFonts w:eastAsia="宋体"/>
                <w:sz w:val="28"/>
                <w:highlight w:val="none"/>
              </w:rPr>
              <w:t>10</w:t>
            </w:r>
          </w:p>
        </w:tc>
        <w:tc>
          <w:tcPr>
            <w:tcW w:w="194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p>
        </w:tc>
        <w:tc>
          <w:tcPr>
            <w:tcW w:w="1913"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p>
        </w:tc>
        <w:tc>
          <w:tcPr>
            <w:tcW w:w="2083"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p>
        </w:tc>
        <w:tc>
          <w:tcPr>
            <w:tcW w:w="195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eastAsia="宋体"/>
                <w:sz w:val="28"/>
                <w:highlight w:val="none"/>
              </w:rPr>
            </w:pPr>
          </w:p>
        </w:tc>
      </w:tr>
    </w:tbl>
    <w:p>
      <w:pPr>
        <w:spacing w:line="360" w:lineRule="auto"/>
        <w:ind w:left="187" w:leftChars="89" w:firstLine="2"/>
        <w:rPr>
          <w:rFonts w:eastAsia="黑体"/>
          <w:b/>
          <w:sz w:val="21"/>
          <w:szCs w:val="21"/>
        </w:rPr>
      </w:pPr>
      <w:r>
        <w:rPr>
          <w:rFonts w:eastAsia="黑体"/>
          <w:b/>
          <w:sz w:val="21"/>
          <w:szCs w:val="21"/>
        </w:rPr>
        <w:t>注：1。投标人在投标时每标段需具备招标人规定的洒水车、高压打药车、绿篱机、割草机四种投入养护的机械设备，具体型号规格、数量见上表，如投标人不提供、提供不齐全或提供的机械设备规格与招标人规定的不相同，均以无效标处理。其余投入到养护现场的机械设备由投标人自行填报。</w:t>
      </w:r>
    </w:p>
    <w:p>
      <w:pPr>
        <w:spacing w:line="360" w:lineRule="auto"/>
        <w:rPr>
          <w:rFonts w:eastAsia="黑体"/>
          <w:b/>
          <w:sz w:val="21"/>
          <w:szCs w:val="21"/>
        </w:rPr>
      </w:pPr>
      <w:r>
        <w:rPr>
          <w:rFonts w:eastAsia="黑体"/>
          <w:b/>
          <w:sz w:val="21"/>
          <w:szCs w:val="21"/>
        </w:rPr>
        <w:t xml:space="preserve">   </w:t>
      </w:r>
    </w:p>
    <w:p>
      <w:pPr>
        <w:jc w:val="right"/>
        <w:rPr>
          <w:rFonts w:eastAsia="黑体"/>
          <w:b/>
          <w:sz w:val="21"/>
          <w:szCs w:val="21"/>
        </w:rPr>
      </w:pPr>
    </w:p>
    <w:p>
      <w:pPr>
        <w:jc w:val="right"/>
        <w:rPr>
          <w:rFonts w:eastAsia="宋体"/>
          <w:sz w:val="21"/>
          <w:szCs w:val="21"/>
        </w:rPr>
      </w:pPr>
      <w:r>
        <w:rPr>
          <w:rFonts w:eastAsia="宋体"/>
          <w:sz w:val="21"/>
          <w:szCs w:val="21"/>
        </w:rPr>
        <w:t xml:space="preserve">法定代表人（签字或盖章）：  </w:t>
      </w:r>
    </w:p>
    <w:p>
      <w:pPr>
        <w:jc w:val="right"/>
        <w:rPr>
          <w:rFonts w:eastAsia="宋体"/>
          <w:sz w:val="21"/>
          <w:szCs w:val="21"/>
        </w:rPr>
      </w:pPr>
      <w:r>
        <w:rPr>
          <w:rFonts w:eastAsia="宋体"/>
          <w:sz w:val="21"/>
          <w:szCs w:val="21"/>
        </w:rPr>
        <w:t xml:space="preserve">   </w:t>
      </w:r>
    </w:p>
    <w:p>
      <w:pPr>
        <w:jc w:val="right"/>
        <w:rPr>
          <w:rFonts w:eastAsia="宋体"/>
          <w:sz w:val="21"/>
          <w:szCs w:val="21"/>
        </w:rPr>
      </w:pPr>
      <w:r>
        <w:rPr>
          <w:rFonts w:eastAsia="宋体"/>
          <w:sz w:val="21"/>
          <w:szCs w:val="21"/>
        </w:rPr>
        <w:t>投标人（盖章）：</w:t>
      </w:r>
    </w:p>
    <w:p>
      <w:pPr>
        <w:jc w:val="right"/>
        <w:rPr>
          <w:rFonts w:eastAsia="宋体"/>
          <w:sz w:val="21"/>
          <w:szCs w:val="21"/>
        </w:rPr>
      </w:pPr>
    </w:p>
    <w:p>
      <w:pPr>
        <w:spacing w:line="360" w:lineRule="auto"/>
        <w:jc w:val="right"/>
        <w:rPr>
          <w:rFonts w:ascii="Times New Roman" w:hAnsi="Times New Roman" w:cs="Times New Roman"/>
          <w:b/>
          <w:bCs/>
          <w:sz w:val="21"/>
          <w:szCs w:val="21"/>
        </w:rPr>
      </w:pPr>
      <w:r>
        <w:rPr>
          <w:rFonts w:eastAsia="宋体"/>
          <w:sz w:val="21"/>
          <w:szCs w:val="21"/>
        </w:rPr>
        <w:t xml:space="preserve">                       </w:t>
      </w:r>
      <w:r>
        <w:rPr>
          <w:rFonts w:eastAsia="宋体"/>
          <w:b/>
          <w:bCs/>
          <w:sz w:val="21"/>
          <w:szCs w:val="21"/>
        </w:rPr>
        <w:t xml:space="preserve">          </w:t>
      </w:r>
      <w:r>
        <w:rPr>
          <w:rFonts w:eastAsia="宋体"/>
          <w:sz w:val="21"/>
          <w:szCs w:val="21"/>
        </w:rPr>
        <w:t xml:space="preserve">   年   月   </w:t>
      </w:r>
    </w:p>
    <w:p>
      <w:pPr>
        <w:pStyle w:val="15"/>
        <w:keepNext w:val="0"/>
        <w:keepLines w:val="0"/>
        <w:pageBreakBefore/>
        <w:widowControl w:val="0"/>
        <w:kinsoku/>
        <w:wordWrap/>
        <w:overflowPunct/>
        <w:topLinePunct w:val="0"/>
        <w:autoSpaceDE/>
        <w:autoSpaceDN/>
        <w:bidi w:val="0"/>
        <w:adjustRightInd/>
        <w:snapToGrid/>
        <w:spacing w:before="240" w:after="60" w:line="240" w:lineRule="auto"/>
        <w:ind w:left="0" w:leftChars="0" w:right="0" w:rightChars="0" w:firstLine="0" w:firstLineChars="0"/>
        <w:jc w:val="both"/>
        <w:textAlignment w:val="auto"/>
        <w:outlineLvl w:val="0"/>
        <w:rPr>
          <w:rFonts w:hint="eastAsia" w:ascii="Times New Roman" w:hAnsi="Times New Roman" w:eastAsia="宋体" w:cs="Times New Roman"/>
          <w:b w:val="0"/>
          <w:bCs w:val="0"/>
          <w:color w:val="000000"/>
          <w:sz w:val="21"/>
          <w:szCs w:val="21"/>
          <w:lang w:eastAsia="zh-CN" w:bidi="ar-SA"/>
        </w:rPr>
      </w:pPr>
      <w:r>
        <w:rPr>
          <w:rFonts w:ascii="Times New Roman" w:hAnsi="Times New Roman" w:cs="Times New Roman"/>
          <w:b w:val="0"/>
          <w:bCs w:val="0"/>
          <w:color w:val="000000"/>
          <w:sz w:val="21"/>
          <w:szCs w:val="21"/>
          <w:lang w:bidi="ar-SA"/>
        </w:rPr>
        <w:t>附件</w:t>
      </w:r>
      <w:r>
        <w:rPr>
          <w:rFonts w:hint="eastAsia" w:ascii="Times New Roman" w:hAnsi="Times New Roman" w:cs="Times New Roman"/>
          <w:b w:val="0"/>
          <w:bCs w:val="0"/>
          <w:color w:val="000000"/>
          <w:sz w:val="21"/>
          <w:szCs w:val="21"/>
          <w:lang w:eastAsia="zh-CN" w:bidi="ar-SA"/>
        </w:rPr>
        <w:t>四：</w:t>
      </w:r>
    </w:p>
    <w:p>
      <w:pPr>
        <w:spacing w:line="360" w:lineRule="auto"/>
        <w:jc w:val="center"/>
        <w:rPr>
          <w:rFonts w:eastAsia="宋体"/>
          <w:color w:val="000000"/>
          <w:szCs w:val="32"/>
        </w:rPr>
      </w:pPr>
      <w:r>
        <w:rPr>
          <w:rFonts w:hint="eastAsia"/>
          <w:b/>
          <w:sz w:val="32"/>
          <w:szCs w:val="32"/>
          <w:lang w:eastAsia="zh-CN"/>
        </w:rPr>
        <w:t>玉环海洋经济转型升级示范区2018年度绿化养护工程 （茶山路、永清路、靖海路等）</w:t>
      </w:r>
    </w:p>
    <w:p>
      <w:pPr>
        <w:spacing w:before="120" w:beforeLines="50" w:after="120" w:afterLines="50" w:line="400" w:lineRule="exact"/>
        <w:jc w:val="center"/>
        <w:rPr>
          <w:rFonts w:eastAsia="黑体"/>
          <w:b/>
          <w:bCs/>
          <w:sz w:val="30"/>
          <w:szCs w:val="30"/>
        </w:rPr>
      </w:pPr>
      <w:r>
        <w:rPr>
          <w:rFonts w:eastAsia="黑体"/>
          <w:b/>
          <w:bCs/>
          <w:sz w:val="30"/>
          <w:szCs w:val="30"/>
        </w:rPr>
        <w:t>安全作业承诺书</w:t>
      </w:r>
    </w:p>
    <w:p>
      <w:pPr>
        <w:spacing w:line="500" w:lineRule="exact"/>
        <w:ind w:firstLine="420" w:firstLineChars="200"/>
        <w:rPr>
          <w:rFonts w:eastAsia="宋体"/>
          <w:sz w:val="21"/>
          <w:szCs w:val="21"/>
        </w:rPr>
      </w:pPr>
      <w:r>
        <w:rPr>
          <w:rFonts w:eastAsia="宋体"/>
          <w:sz w:val="21"/>
          <w:szCs w:val="21"/>
        </w:rPr>
        <w:t>本公司施工作业时将严格遵守招标文件中规定的安全作业规范内容，接受绿化监督管理机构和业主的核查，如有违反，愿按有关法律法规和相关规定接受处罚。本公司郑重承诺如下：</w:t>
      </w:r>
    </w:p>
    <w:p>
      <w:pPr>
        <w:spacing w:line="500" w:lineRule="exact"/>
        <w:ind w:firstLine="420" w:firstLineChars="200"/>
        <w:rPr>
          <w:rFonts w:eastAsia="宋体"/>
          <w:color w:val="000000"/>
          <w:sz w:val="21"/>
          <w:szCs w:val="21"/>
        </w:rPr>
      </w:pPr>
      <w:r>
        <w:rPr>
          <w:rFonts w:eastAsia="宋体"/>
          <w:color w:val="000000"/>
          <w:sz w:val="21"/>
          <w:szCs w:val="21"/>
        </w:rPr>
        <w:t>1、我公司将为每一位作业人员购买人身意外伤害保险。</w:t>
      </w:r>
    </w:p>
    <w:p>
      <w:pPr>
        <w:spacing w:line="500" w:lineRule="exact"/>
        <w:ind w:firstLine="420" w:firstLineChars="200"/>
        <w:rPr>
          <w:rFonts w:eastAsia="宋体"/>
          <w:color w:val="000000"/>
          <w:sz w:val="21"/>
          <w:szCs w:val="21"/>
        </w:rPr>
      </w:pPr>
      <w:r>
        <w:rPr>
          <w:rFonts w:eastAsia="宋体"/>
          <w:color w:val="000000"/>
          <w:sz w:val="21"/>
          <w:szCs w:val="21"/>
        </w:rPr>
        <w:t>2、在正式履行养护合同前，我公司将与管理单位签定安全责任书。</w:t>
      </w:r>
    </w:p>
    <w:p>
      <w:pPr>
        <w:spacing w:line="500" w:lineRule="exact"/>
        <w:ind w:firstLine="420" w:firstLineChars="200"/>
        <w:rPr>
          <w:rFonts w:eastAsia="宋体"/>
          <w:color w:val="000000"/>
          <w:sz w:val="21"/>
          <w:szCs w:val="21"/>
        </w:rPr>
      </w:pPr>
      <w:r>
        <w:rPr>
          <w:rFonts w:eastAsia="宋体"/>
          <w:color w:val="000000"/>
          <w:sz w:val="21"/>
          <w:szCs w:val="21"/>
        </w:rPr>
        <w:t>3、我公司将严格要求作业人员在作业时穿反光背心，佩戴安全帽（反光）。</w:t>
      </w:r>
    </w:p>
    <w:p>
      <w:pPr>
        <w:spacing w:line="500" w:lineRule="exact"/>
        <w:ind w:firstLine="420" w:firstLineChars="200"/>
        <w:rPr>
          <w:rFonts w:eastAsia="宋体"/>
          <w:color w:val="000000"/>
          <w:sz w:val="21"/>
          <w:szCs w:val="21"/>
        </w:rPr>
      </w:pPr>
      <w:r>
        <w:rPr>
          <w:rFonts w:eastAsia="宋体"/>
          <w:color w:val="000000"/>
          <w:sz w:val="21"/>
          <w:szCs w:val="21"/>
        </w:rPr>
        <w:t>4、我公司一定按照交警部门的要求，在道路施工作业车辆后部安装双导向箭头指示灯。作业时一定同时开启双跳灯、示廓灯、双向箭头指示灯，严格禁止作业车辆随意变道、掉头、倒车和逆向行驶。</w:t>
      </w:r>
    </w:p>
    <w:p>
      <w:pPr>
        <w:spacing w:line="500" w:lineRule="exact"/>
        <w:ind w:firstLine="420" w:firstLineChars="200"/>
        <w:rPr>
          <w:rFonts w:eastAsia="宋体"/>
          <w:color w:val="000000"/>
          <w:sz w:val="21"/>
          <w:szCs w:val="21"/>
        </w:rPr>
      </w:pPr>
      <w:r>
        <w:rPr>
          <w:rFonts w:eastAsia="宋体"/>
          <w:color w:val="000000"/>
          <w:sz w:val="21"/>
          <w:szCs w:val="21"/>
        </w:rPr>
        <w:t>5、我公司在作业时一定放置好作业标志牌、锥形交通路标等。</w:t>
      </w:r>
    </w:p>
    <w:p>
      <w:pPr>
        <w:spacing w:line="500" w:lineRule="exact"/>
        <w:ind w:left="720"/>
        <w:rPr>
          <w:rFonts w:eastAsia="宋体"/>
          <w:color w:val="000000"/>
          <w:sz w:val="21"/>
          <w:szCs w:val="21"/>
        </w:rPr>
      </w:pPr>
      <w:r>
        <w:rPr>
          <w:rFonts w:eastAsia="宋体"/>
          <w:color w:val="000000"/>
          <w:sz w:val="21"/>
          <w:szCs w:val="21"/>
        </w:rPr>
        <w:t>特此声明。</w:t>
      </w:r>
    </w:p>
    <w:p>
      <w:pPr>
        <w:spacing w:line="360" w:lineRule="auto"/>
        <w:ind w:firstLine="2940" w:firstLineChars="1400"/>
        <w:rPr>
          <w:sz w:val="21"/>
          <w:szCs w:val="21"/>
        </w:rPr>
      </w:pPr>
    </w:p>
    <w:p>
      <w:pPr>
        <w:spacing w:line="360" w:lineRule="auto"/>
        <w:ind w:firstLine="2940" w:firstLineChars="1400"/>
        <w:rPr>
          <w:sz w:val="21"/>
          <w:szCs w:val="21"/>
        </w:rPr>
      </w:pPr>
    </w:p>
    <w:p>
      <w:pPr>
        <w:jc w:val="right"/>
        <w:rPr>
          <w:rFonts w:eastAsia="宋体"/>
          <w:sz w:val="21"/>
          <w:szCs w:val="21"/>
        </w:rPr>
      </w:pPr>
      <w:r>
        <w:rPr>
          <w:rFonts w:eastAsia="宋体"/>
          <w:sz w:val="21"/>
          <w:szCs w:val="21"/>
        </w:rPr>
        <w:t xml:space="preserve">法定代表人（签字或盖章）：  </w:t>
      </w:r>
    </w:p>
    <w:p>
      <w:pPr>
        <w:jc w:val="right"/>
        <w:rPr>
          <w:rFonts w:eastAsia="宋体"/>
          <w:sz w:val="21"/>
          <w:szCs w:val="21"/>
        </w:rPr>
      </w:pPr>
      <w:r>
        <w:rPr>
          <w:rFonts w:eastAsia="宋体"/>
          <w:sz w:val="21"/>
          <w:szCs w:val="21"/>
        </w:rPr>
        <w:t xml:space="preserve">   </w:t>
      </w:r>
    </w:p>
    <w:p>
      <w:pPr>
        <w:jc w:val="right"/>
        <w:rPr>
          <w:rFonts w:eastAsia="宋体"/>
          <w:sz w:val="21"/>
          <w:szCs w:val="21"/>
        </w:rPr>
      </w:pPr>
      <w:r>
        <w:rPr>
          <w:rFonts w:eastAsia="宋体"/>
          <w:sz w:val="21"/>
          <w:szCs w:val="21"/>
        </w:rPr>
        <w:t>投标人（盖章）：</w:t>
      </w:r>
    </w:p>
    <w:p>
      <w:pPr>
        <w:jc w:val="right"/>
        <w:rPr>
          <w:rFonts w:eastAsia="宋体"/>
          <w:sz w:val="21"/>
          <w:szCs w:val="21"/>
        </w:rPr>
      </w:pPr>
    </w:p>
    <w:p>
      <w:pPr>
        <w:spacing w:line="360" w:lineRule="auto"/>
        <w:jc w:val="right"/>
        <w:rPr>
          <w:rFonts w:ascii="Times New Roman" w:hAnsi="Times New Roman" w:cs="Times New Roman"/>
          <w:b/>
          <w:bCs/>
          <w:sz w:val="21"/>
          <w:szCs w:val="21"/>
        </w:rPr>
      </w:pPr>
      <w:r>
        <w:rPr>
          <w:rFonts w:eastAsia="宋体"/>
          <w:sz w:val="21"/>
          <w:szCs w:val="21"/>
        </w:rPr>
        <w:t xml:space="preserve">              年   月   日</w:t>
      </w:r>
    </w:p>
    <w:p>
      <w:pPr>
        <w:pStyle w:val="15"/>
        <w:keepNext w:val="0"/>
        <w:keepLines w:val="0"/>
        <w:pageBreakBefore/>
        <w:widowControl w:val="0"/>
        <w:kinsoku/>
        <w:wordWrap/>
        <w:overflowPunct/>
        <w:topLinePunct w:val="0"/>
        <w:autoSpaceDE/>
        <w:autoSpaceDN/>
        <w:bidi w:val="0"/>
        <w:adjustRightInd/>
        <w:snapToGrid/>
        <w:spacing w:before="240" w:after="60" w:line="240" w:lineRule="auto"/>
        <w:ind w:left="0" w:leftChars="0" w:right="0" w:rightChars="0" w:firstLine="0" w:firstLineChars="0"/>
        <w:jc w:val="both"/>
        <w:textAlignment w:val="auto"/>
        <w:outlineLvl w:val="0"/>
        <w:rPr>
          <w:rFonts w:ascii="Times New Roman" w:hAnsi="Times New Roman" w:cs="Times New Roman"/>
          <w:b w:val="0"/>
          <w:bCs w:val="0"/>
          <w:sz w:val="21"/>
          <w:szCs w:val="21"/>
        </w:rPr>
      </w:pPr>
      <w:r>
        <w:rPr>
          <w:rFonts w:ascii="Times New Roman" w:hAnsi="Times New Roman" w:cs="Times New Roman"/>
          <w:b w:val="0"/>
          <w:bCs w:val="0"/>
          <w:sz w:val="21"/>
          <w:szCs w:val="21"/>
        </w:rPr>
        <w:t>附件</w:t>
      </w:r>
      <w:r>
        <w:rPr>
          <w:rFonts w:hint="eastAsia" w:ascii="Times New Roman" w:hAnsi="Times New Roman" w:cs="Times New Roman"/>
          <w:b w:val="0"/>
          <w:bCs w:val="0"/>
          <w:sz w:val="21"/>
          <w:szCs w:val="21"/>
          <w:lang w:val="en-US" w:eastAsia="zh-CN"/>
        </w:rPr>
        <w:t>五</w:t>
      </w:r>
      <w:r>
        <w:rPr>
          <w:rFonts w:ascii="Times New Roman" w:hAnsi="Times New Roman" w:cs="Times New Roman"/>
          <w:b w:val="0"/>
          <w:bCs w:val="0"/>
          <w:sz w:val="21"/>
          <w:szCs w:val="21"/>
        </w:rPr>
        <w:t>：</w:t>
      </w:r>
      <w:bookmarkEnd w:id="160"/>
      <w:bookmarkEnd w:id="161"/>
      <w:bookmarkEnd w:id="162"/>
    </w:p>
    <w:bookmarkEnd w:id="151"/>
    <w:bookmarkEnd w:id="152"/>
    <w:bookmarkEnd w:id="153"/>
    <w:bookmarkEnd w:id="154"/>
    <w:p>
      <w:pPr>
        <w:spacing w:before="120" w:beforeLines="50" w:after="120" w:afterLines="50" w:line="360" w:lineRule="auto"/>
        <w:jc w:val="center"/>
        <w:rPr>
          <w:rFonts w:eastAsia="黑体"/>
          <w:b/>
          <w:szCs w:val="32"/>
        </w:rPr>
      </w:pPr>
      <w:bookmarkStart w:id="163" w:name="_Toc106553081"/>
      <w:bookmarkStart w:id="164" w:name="_Toc118275606"/>
      <w:bookmarkStart w:id="165" w:name="_Toc118710617"/>
      <w:bookmarkStart w:id="166" w:name="_Toc136335625"/>
      <w:bookmarkStart w:id="167" w:name="_Toc76292000"/>
      <w:bookmarkStart w:id="168" w:name="_Toc155342587"/>
      <w:bookmarkStart w:id="169" w:name="_Toc147380660"/>
      <w:r>
        <w:rPr>
          <w:rFonts w:eastAsia="黑体"/>
          <w:b/>
          <w:szCs w:val="32"/>
        </w:rPr>
        <w:t>台州市建设工程诚信投标承诺书</w:t>
      </w:r>
    </w:p>
    <w:p>
      <w:pPr>
        <w:adjustRightInd w:val="0"/>
        <w:snapToGrid w:val="0"/>
        <w:spacing w:line="586" w:lineRule="exact"/>
        <w:ind w:firstLine="430" w:firstLineChars="205"/>
        <w:rPr>
          <w:szCs w:val="21"/>
        </w:rPr>
      </w:pPr>
      <w:r>
        <w:rPr>
          <w:szCs w:val="21"/>
        </w:rPr>
        <w:t>本人以企业法定代表人的身份郑重承诺：</w:t>
      </w:r>
    </w:p>
    <w:p>
      <w:pPr>
        <w:adjustRightInd w:val="0"/>
        <w:snapToGrid w:val="0"/>
        <w:spacing w:line="586" w:lineRule="exact"/>
        <w:ind w:firstLine="457" w:firstLineChars="218"/>
        <w:rPr>
          <w:szCs w:val="21"/>
        </w:rPr>
      </w:pPr>
      <w:r>
        <w:rPr>
          <w:szCs w:val="21"/>
        </w:rPr>
        <w:t>一、将遵循公开、公平、公正和诚实信用的原则参加</w:t>
      </w:r>
      <w:r>
        <w:rPr>
          <w:rFonts w:hint="eastAsia"/>
          <w:szCs w:val="21"/>
          <w:u w:val="single"/>
          <w:lang w:eastAsia="zh-CN"/>
        </w:rPr>
        <w:t xml:space="preserve"> 玉环海洋经济转型升级示范区2018年度绿化养护工程 （茶山路、永清路、靖海路等）</w:t>
      </w:r>
      <w:r>
        <w:rPr>
          <w:szCs w:val="21"/>
        </w:rPr>
        <w:t>（项目名称）的投标；</w:t>
      </w:r>
    </w:p>
    <w:p>
      <w:pPr>
        <w:adjustRightInd w:val="0"/>
        <w:snapToGrid w:val="0"/>
        <w:spacing w:line="586" w:lineRule="exact"/>
        <w:ind w:firstLine="457" w:firstLineChars="218"/>
        <w:rPr>
          <w:szCs w:val="21"/>
        </w:rPr>
      </w:pPr>
      <w:r>
        <w:rPr>
          <w:szCs w:val="21"/>
        </w:rPr>
        <w:t>二、所提供的一切材料都是真实、有效、合法的；</w:t>
      </w:r>
    </w:p>
    <w:p>
      <w:pPr>
        <w:adjustRightInd w:val="0"/>
        <w:snapToGrid w:val="0"/>
        <w:spacing w:line="586" w:lineRule="exact"/>
        <w:ind w:firstLine="468" w:firstLineChars="223"/>
        <w:rPr>
          <w:szCs w:val="21"/>
        </w:rPr>
      </w:pPr>
      <w:r>
        <w:rPr>
          <w:szCs w:val="21"/>
        </w:rPr>
        <w:t>三、不与其他投标人相互串通投标报价，不排挤其他投标人的公平竞争，不损害招标人或其他投标人的合法权益；</w:t>
      </w:r>
    </w:p>
    <w:p>
      <w:pPr>
        <w:adjustRightInd w:val="0"/>
        <w:snapToGrid w:val="0"/>
        <w:spacing w:line="586" w:lineRule="exact"/>
        <w:ind w:firstLine="485" w:firstLineChars="231"/>
        <w:rPr>
          <w:szCs w:val="21"/>
        </w:rPr>
      </w:pPr>
      <w:r>
        <w:rPr>
          <w:szCs w:val="21"/>
        </w:rPr>
        <w:t>四、不与招标人或招标代理机构串通投标，损害国家利益、社会公共利益或者他人的合法权益；</w:t>
      </w:r>
    </w:p>
    <w:p>
      <w:pPr>
        <w:adjustRightInd w:val="0"/>
        <w:snapToGrid w:val="0"/>
        <w:spacing w:line="586" w:lineRule="exact"/>
        <w:ind w:firstLine="485" w:firstLineChars="231"/>
        <w:rPr>
          <w:szCs w:val="21"/>
        </w:rPr>
      </w:pPr>
      <w:r>
        <w:rPr>
          <w:szCs w:val="21"/>
        </w:rPr>
        <w:t>五、不向招标人或者评标委员会成员行贿以牟取中标；</w:t>
      </w:r>
    </w:p>
    <w:p>
      <w:pPr>
        <w:adjustRightInd w:val="0"/>
        <w:snapToGrid w:val="0"/>
        <w:spacing w:line="586" w:lineRule="exact"/>
        <w:ind w:firstLine="504" w:firstLineChars="240"/>
        <w:rPr>
          <w:szCs w:val="21"/>
        </w:rPr>
      </w:pPr>
      <w:r>
        <w:rPr>
          <w:szCs w:val="21"/>
        </w:rPr>
        <w:t>六、不以他人名义投标或者以其他方式弄虚作假，骗取中标。</w:t>
      </w:r>
    </w:p>
    <w:p>
      <w:pPr>
        <w:adjustRightInd w:val="0"/>
        <w:snapToGrid w:val="0"/>
        <w:spacing w:line="586" w:lineRule="exact"/>
        <w:ind w:firstLine="541" w:firstLineChars="258"/>
        <w:rPr>
          <w:szCs w:val="21"/>
        </w:rPr>
      </w:pPr>
      <w:r>
        <w:rPr>
          <w:szCs w:val="21"/>
        </w:rPr>
        <w:t>本公司若有违反本承诺内容的行为，愿意承担法律责任，并愿意接受招投标行政监督部门的任何处理。如已中标的，自动放弃中标资格；给招标人造成损失的，依法承担赔偿责任。</w:t>
      </w:r>
    </w:p>
    <w:p>
      <w:pPr>
        <w:adjustRightInd w:val="0"/>
        <w:snapToGrid w:val="0"/>
        <w:spacing w:line="586" w:lineRule="exact"/>
        <w:rPr>
          <w:szCs w:val="21"/>
        </w:rPr>
      </w:pPr>
    </w:p>
    <w:p>
      <w:pPr>
        <w:adjustRightInd w:val="0"/>
        <w:snapToGrid w:val="0"/>
        <w:spacing w:line="586" w:lineRule="exact"/>
        <w:rPr>
          <w:szCs w:val="21"/>
        </w:rPr>
      </w:pPr>
    </w:p>
    <w:p>
      <w:pPr>
        <w:adjustRightInd w:val="0"/>
        <w:snapToGrid w:val="0"/>
        <w:spacing w:line="586" w:lineRule="exact"/>
        <w:ind w:firstLine="4200" w:firstLineChars="2000"/>
        <w:rPr>
          <w:szCs w:val="21"/>
        </w:rPr>
      </w:pPr>
      <w:r>
        <w:rPr>
          <w:szCs w:val="21"/>
        </w:rPr>
        <w:t xml:space="preserve">   法定代表人（签字或盖章）：</w:t>
      </w:r>
    </w:p>
    <w:p>
      <w:pPr>
        <w:adjustRightInd w:val="0"/>
        <w:snapToGrid w:val="0"/>
        <w:spacing w:line="586" w:lineRule="exact"/>
        <w:ind w:firstLine="4515" w:firstLineChars="2150"/>
        <w:rPr>
          <w:szCs w:val="21"/>
        </w:rPr>
      </w:pPr>
      <w:r>
        <w:rPr>
          <w:szCs w:val="21"/>
        </w:rPr>
        <w:t>投  标  人（盖章）：</w:t>
      </w:r>
    </w:p>
    <w:p>
      <w:pPr>
        <w:adjustRightInd w:val="0"/>
        <w:snapToGrid w:val="0"/>
        <w:spacing w:line="586" w:lineRule="exact"/>
        <w:ind w:right="640" w:firstLine="4515" w:firstLineChars="2150"/>
        <w:rPr>
          <w:szCs w:val="21"/>
        </w:rPr>
      </w:pPr>
      <w:bookmarkStart w:id="170" w:name="_Toc148157964"/>
      <w:bookmarkStart w:id="171" w:name="_Toc141242988"/>
      <w:bookmarkStart w:id="172" w:name="_Toc143318918"/>
      <w:bookmarkStart w:id="173" w:name="_Toc143319553"/>
      <w:bookmarkStart w:id="174" w:name="_Toc146440177"/>
      <w:bookmarkStart w:id="175" w:name="_Toc155322974"/>
      <w:r>
        <w:rPr>
          <w:szCs w:val="21"/>
        </w:rPr>
        <w:t>年    月    日</w:t>
      </w:r>
      <w:bookmarkEnd w:id="170"/>
      <w:bookmarkEnd w:id="171"/>
      <w:bookmarkEnd w:id="172"/>
      <w:bookmarkEnd w:id="173"/>
      <w:bookmarkEnd w:id="174"/>
      <w:bookmarkEnd w:id="175"/>
    </w:p>
    <w:p>
      <w:pPr>
        <w:pStyle w:val="15"/>
        <w:ind w:firstLine="640" w:firstLineChars="200"/>
        <w:jc w:val="both"/>
        <w:rPr>
          <w:rFonts w:ascii="Times New Roman" w:hAnsi="Times New Roman" w:cs="Times New Roman"/>
          <w:b w:val="0"/>
          <w:bCs w:val="0"/>
        </w:rPr>
      </w:pPr>
    </w:p>
    <w:bookmarkEnd w:id="163"/>
    <w:bookmarkEnd w:id="164"/>
    <w:bookmarkEnd w:id="165"/>
    <w:bookmarkEnd w:id="166"/>
    <w:bookmarkEnd w:id="167"/>
    <w:bookmarkEnd w:id="168"/>
    <w:bookmarkEnd w:id="169"/>
    <w:p>
      <w:pPr>
        <w:spacing w:line="480" w:lineRule="auto"/>
        <w:rPr>
          <w:szCs w:val="21"/>
        </w:rPr>
      </w:pPr>
      <w:bookmarkStart w:id="176" w:name="_Toc155342591"/>
      <w:bookmarkStart w:id="177" w:name="_Toc169487835"/>
      <w:bookmarkStart w:id="178" w:name="_Toc201380198"/>
      <w:bookmarkStart w:id="179" w:name="_Toc267580972"/>
    </w:p>
    <w:p>
      <w:pPr>
        <w:spacing w:line="480" w:lineRule="auto"/>
        <w:rPr>
          <w:szCs w:val="21"/>
        </w:rPr>
      </w:pPr>
    </w:p>
    <w:p>
      <w:pPr>
        <w:spacing w:line="480" w:lineRule="auto"/>
        <w:rPr>
          <w:szCs w:val="21"/>
        </w:rPr>
      </w:pPr>
    </w:p>
    <w:p>
      <w:pPr>
        <w:pStyle w:val="15"/>
        <w:keepNext w:val="0"/>
        <w:keepLines w:val="0"/>
        <w:pageBreakBefore/>
        <w:widowControl w:val="0"/>
        <w:kinsoku/>
        <w:wordWrap/>
        <w:overflowPunct/>
        <w:topLinePunct w:val="0"/>
        <w:autoSpaceDE/>
        <w:autoSpaceDN/>
        <w:bidi w:val="0"/>
        <w:adjustRightInd/>
        <w:snapToGrid/>
        <w:spacing w:before="240" w:after="60" w:line="240" w:lineRule="auto"/>
        <w:ind w:left="0" w:leftChars="0" w:right="0" w:rightChars="0" w:firstLine="0" w:firstLineChars="0"/>
        <w:jc w:val="both"/>
        <w:textAlignment w:val="auto"/>
        <w:outlineLvl w:val="0"/>
        <w:rPr>
          <w:rFonts w:ascii="Times New Roman" w:hAnsi="Times New Roman" w:cs="Times New Roman"/>
          <w:b w:val="0"/>
          <w:bCs w:val="0"/>
          <w:sz w:val="21"/>
          <w:szCs w:val="21"/>
        </w:rPr>
      </w:pPr>
      <w:bookmarkStart w:id="180" w:name="_Toc22997"/>
      <w:bookmarkStart w:id="181" w:name="_Toc21186"/>
      <w:bookmarkStart w:id="182" w:name="_Toc23345"/>
      <w:r>
        <w:rPr>
          <w:rFonts w:ascii="Times New Roman" w:hAnsi="Times New Roman" w:cs="Times New Roman"/>
          <w:b w:val="0"/>
          <w:bCs w:val="0"/>
          <w:sz w:val="21"/>
          <w:szCs w:val="21"/>
        </w:rPr>
        <w:t>附件</w:t>
      </w:r>
      <w:r>
        <w:rPr>
          <w:rFonts w:hint="eastAsia" w:ascii="Times New Roman" w:hAnsi="Times New Roman" w:cs="Times New Roman"/>
          <w:b w:val="0"/>
          <w:bCs w:val="0"/>
          <w:sz w:val="21"/>
          <w:szCs w:val="21"/>
          <w:lang w:val="en-US" w:eastAsia="zh-CN"/>
        </w:rPr>
        <w:t>六</w:t>
      </w:r>
      <w:r>
        <w:rPr>
          <w:rFonts w:ascii="Times New Roman" w:hAnsi="Times New Roman" w:cs="Times New Roman"/>
          <w:b w:val="0"/>
          <w:bCs w:val="0"/>
          <w:sz w:val="21"/>
          <w:szCs w:val="21"/>
        </w:rPr>
        <w:t>：</w:t>
      </w:r>
      <w:bookmarkEnd w:id="180"/>
      <w:bookmarkEnd w:id="181"/>
      <w:bookmarkEnd w:id="182"/>
    </w:p>
    <w:p>
      <w:pPr>
        <w:spacing w:before="240" w:beforeLines="100" w:after="240" w:afterLines="100" w:line="360" w:lineRule="exact"/>
        <w:jc w:val="center"/>
        <w:outlineLvl w:val="0"/>
        <w:rPr>
          <w:rFonts w:hint="eastAsia" w:eastAsia="宋体"/>
          <w:b/>
          <w:sz w:val="32"/>
          <w:szCs w:val="32"/>
          <w:lang w:eastAsia="zh-CN"/>
        </w:rPr>
      </w:pPr>
      <w:r>
        <w:rPr>
          <w:rFonts w:hint="eastAsia"/>
          <w:b/>
          <w:sz w:val="32"/>
          <w:szCs w:val="32"/>
          <w:lang w:eastAsia="zh-CN"/>
        </w:rPr>
        <w:t xml:space="preserve"> 玉环海洋经济转型升级示范区2018年度绿化养护工程 （茶山路、永清路、靖海路等）</w:t>
      </w:r>
    </w:p>
    <w:p>
      <w:pPr>
        <w:spacing w:line="360" w:lineRule="auto"/>
        <w:jc w:val="center"/>
        <w:rPr>
          <w:b/>
          <w:sz w:val="24"/>
          <w:szCs w:val="24"/>
        </w:rPr>
      </w:pPr>
      <w:r>
        <w:rPr>
          <w:rFonts w:hAnsi="宋体"/>
          <w:b/>
          <w:sz w:val="24"/>
          <w:szCs w:val="24"/>
        </w:rPr>
        <w:t>投标人资格自查表</w:t>
      </w:r>
    </w:p>
    <w:tbl>
      <w:tblPr>
        <w:tblStyle w:val="19"/>
        <w:tblW w:w="8942"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4611"/>
        <w:gridCol w:w="1401"/>
        <w:gridCol w:w="1142"/>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trPr>
        <w:tc>
          <w:tcPr>
            <w:tcW w:w="648" w:type="dxa"/>
            <w:vAlign w:val="center"/>
          </w:tcPr>
          <w:p>
            <w:pPr>
              <w:spacing w:line="360" w:lineRule="auto"/>
              <w:jc w:val="center"/>
              <w:rPr>
                <w:b/>
                <w:szCs w:val="21"/>
              </w:rPr>
            </w:pPr>
            <w:r>
              <w:rPr>
                <w:rFonts w:hAnsi="宋体"/>
                <w:b/>
                <w:szCs w:val="21"/>
              </w:rPr>
              <w:t>序号</w:t>
            </w:r>
          </w:p>
        </w:tc>
        <w:tc>
          <w:tcPr>
            <w:tcW w:w="4611" w:type="dxa"/>
            <w:vAlign w:val="center"/>
          </w:tcPr>
          <w:p>
            <w:pPr>
              <w:spacing w:line="360" w:lineRule="auto"/>
              <w:jc w:val="center"/>
              <w:rPr>
                <w:b/>
                <w:szCs w:val="21"/>
              </w:rPr>
            </w:pPr>
            <w:r>
              <w:rPr>
                <w:rFonts w:hAnsi="宋体"/>
                <w:b/>
                <w:szCs w:val="21"/>
              </w:rPr>
              <w:t>自查内容</w:t>
            </w:r>
          </w:p>
        </w:tc>
        <w:tc>
          <w:tcPr>
            <w:tcW w:w="1401" w:type="dxa"/>
            <w:vAlign w:val="center"/>
          </w:tcPr>
          <w:p>
            <w:pPr>
              <w:adjustRightInd w:val="0"/>
              <w:snapToGrid w:val="0"/>
              <w:jc w:val="center"/>
              <w:rPr>
                <w:b/>
                <w:szCs w:val="21"/>
              </w:rPr>
            </w:pPr>
            <w:r>
              <w:rPr>
                <w:rFonts w:hAnsi="宋体"/>
                <w:b/>
                <w:szCs w:val="21"/>
              </w:rPr>
              <w:t>招标文件</w:t>
            </w:r>
          </w:p>
          <w:p>
            <w:pPr>
              <w:adjustRightInd w:val="0"/>
              <w:snapToGrid w:val="0"/>
              <w:jc w:val="center"/>
              <w:rPr>
                <w:b/>
                <w:szCs w:val="21"/>
              </w:rPr>
            </w:pPr>
            <w:r>
              <w:rPr>
                <w:rFonts w:hAnsi="宋体"/>
                <w:b/>
                <w:szCs w:val="21"/>
              </w:rPr>
              <w:t>条款号</w:t>
            </w:r>
          </w:p>
        </w:tc>
        <w:tc>
          <w:tcPr>
            <w:tcW w:w="1142" w:type="dxa"/>
            <w:vAlign w:val="center"/>
          </w:tcPr>
          <w:p>
            <w:pPr>
              <w:spacing w:line="360" w:lineRule="auto"/>
              <w:jc w:val="center"/>
              <w:rPr>
                <w:b/>
                <w:szCs w:val="21"/>
              </w:rPr>
            </w:pPr>
            <w:r>
              <w:rPr>
                <w:rFonts w:hAnsi="宋体"/>
                <w:b/>
                <w:szCs w:val="21"/>
              </w:rPr>
              <w:t>投标要求</w:t>
            </w:r>
          </w:p>
        </w:tc>
        <w:tc>
          <w:tcPr>
            <w:tcW w:w="1140" w:type="dxa"/>
            <w:vAlign w:val="center"/>
          </w:tcPr>
          <w:p>
            <w:pPr>
              <w:spacing w:line="360" w:lineRule="auto"/>
              <w:jc w:val="center"/>
              <w:rPr>
                <w:b/>
                <w:szCs w:val="21"/>
              </w:rPr>
            </w:pPr>
            <w:r>
              <w:rPr>
                <w:rFonts w:hAnsi="宋体"/>
                <w:b/>
                <w:szCs w:val="21"/>
              </w:rPr>
              <w:t>自查情况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648" w:type="dxa"/>
            <w:vAlign w:val="center"/>
          </w:tcPr>
          <w:p>
            <w:pPr>
              <w:spacing w:line="360" w:lineRule="auto"/>
              <w:jc w:val="center"/>
              <w:rPr>
                <w:szCs w:val="21"/>
              </w:rPr>
            </w:pPr>
            <w:r>
              <w:rPr>
                <w:szCs w:val="21"/>
              </w:rPr>
              <w:t>1</w:t>
            </w:r>
          </w:p>
        </w:tc>
        <w:tc>
          <w:tcPr>
            <w:tcW w:w="4611" w:type="dxa"/>
            <w:vAlign w:val="center"/>
          </w:tcPr>
          <w:p>
            <w:pPr>
              <w:rPr>
                <w:szCs w:val="21"/>
              </w:rPr>
            </w:pPr>
            <w:r>
              <w:rPr>
                <w:rFonts w:hAnsi="宋体"/>
                <w:szCs w:val="21"/>
              </w:rPr>
              <w:t>投标人资质条件是否符合</w:t>
            </w:r>
          </w:p>
        </w:tc>
        <w:tc>
          <w:tcPr>
            <w:tcW w:w="1401" w:type="dxa"/>
            <w:vAlign w:val="center"/>
          </w:tcPr>
          <w:p>
            <w:pPr>
              <w:spacing w:line="360" w:lineRule="auto"/>
              <w:jc w:val="center"/>
              <w:rPr>
                <w:szCs w:val="21"/>
              </w:rPr>
            </w:pPr>
            <w:r>
              <w:rPr>
                <w:szCs w:val="21"/>
              </w:rPr>
              <w:t>4.1</w:t>
            </w:r>
            <w:r>
              <w:rPr>
                <w:rFonts w:hAnsi="宋体"/>
                <w:szCs w:val="21"/>
              </w:rPr>
              <w:t>（</w:t>
            </w:r>
            <w:r>
              <w:rPr>
                <w:szCs w:val="21"/>
              </w:rPr>
              <w:t>1</w:t>
            </w:r>
            <w:r>
              <w:rPr>
                <w:rFonts w:hAnsi="宋体"/>
                <w:szCs w:val="21"/>
              </w:rPr>
              <w:t>）</w:t>
            </w:r>
          </w:p>
        </w:tc>
        <w:tc>
          <w:tcPr>
            <w:tcW w:w="1142" w:type="dxa"/>
            <w:vAlign w:val="center"/>
          </w:tcPr>
          <w:p>
            <w:pPr>
              <w:spacing w:line="360" w:lineRule="auto"/>
              <w:jc w:val="center"/>
              <w:rPr>
                <w:szCs w:val="21"/>
              </w:rPr>
            </w:pPr>
            <w:r>
              <w:rPr>
                <w:rFonts w:hAnsi="宋体"/>
                <w:szCs w:val="21"/>
              </w:rPr>
              <w:t>是</w:t>
            </w:r>
          </w:p>
        </w:tc>
        <w:tc>
          <w:tcPr>
            <w:tcW w:w="1140" w:type="dxa"/>
            <w:vAlign w:val="center"/>
          </w:tcPr>
          <w:p>
            <w:pPr>
              <w:spacing w:line="360" w:lineRule="auto"/>
              <w:jc w:val="center"/>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exact"/>
        </w:trPr>
        <w:tc>
          <w:tcPr>
            <w:tcW w:w="648" w:type="dxa"/>
            <w:vAlign w:val="center"/>
          </w:tcPr>
          <w:p>
            <w:pPr>
              <w:spacing w:line="360" w:lineRule="auto"/>
              <w:jc w:val="center"/>
              <w:rPr>
                <w:szCs w:val="21"/>
              </w:rPr>
            </w:pPr>
            <w:r>
              <w:rPr>
                <w:szCs w:val="21"/>
              </w:rPr>
              <w:t>2</w:t>
            </w:r>
          </w:p>
        </w:tc>
        <w:tc>
          <w:tcPr>
            <w:tcW w:w="4611" w:type="dxa"/>
            <w:vAlign w:val="center"/>
          </w:tcPr>
          <w:p>
            <w:pPr>
              <w:rPr>
                <w:szCs w:val="21"/>
              </w:rPr>
            </w:pPr>
            <w:r>
              <w:rPr>
                <w:rFonts w:hAnsi="宋体"/>
                <w:szCs w:val="21"/>
              </w:rPr>
              <w:t>是否为招标人不具有独立法人资格的附属机构（单位）</w:t>
            </w:r>
          </w:p>
        </w:tc>
        <w:tc>
          <w:tcPr>
            <w:tcW w:w="1401" w:type="dxa"/>
            <w:vAlign w:val="center"/>
          </w:tcPr>
          <w:p>
            <w:pPr>
              <w:spacing w:line="360" w:lineRule="auto"/>
              <w:jc w:val="center"/>
              <w:rPr>
                <w:szCs w:val="21"/>
              </w:rPr>
            </w:pPr>
            <w:r>
              <w:rPr>
                <w:szCs w:val="21"/>
              </w:rPr>
              <w:t>4.</w:t>
            </w:r>
            <w:r>
              <w:rPr>
                <w:rFonts w:hint="eastAsia"/>
                <w:szCs w:val="21"/>
                <w:lang w:val="en-US" w:eastAsia="zh-CN"/>
              </w:rPr>
              <w:t>5</w:t>
            </w:r>
            <w:r>
              <w:rPr>
                <w:rFonts w:hAnsi="宋体"/>
                <w:szCs w:val="21"/>
              </w:rPr>
              <w:t>（</w:t>
            </w:r>
            <w:r>
              <w:rPr>
                <w:szCs w:val="21"/>
              </w:rPr>
              <w:t>1</w:t>
            </w:r>
            <w:r>
              <w:rPr>
                <w:rFonts w:hAnsi="宋体"/>
                <w:szCs w:val="21"/>
              </w:rPr>
              <w:t>）</w:t>
            </w:r>
          </w:p>
        </w:tc>
        <w:tc>
          <w:tcPr>
            <w:tcW w:w="1142" w:type="dxa"/>
            <w:vAlign w:val="center"/>
          </w:tcPr>
          <w:p>
            <w:pPr>
              <w:spacing w:line="360" w:lineRule="auto"/>
              <w:jc w:val="center"/>
              <w:rPr>
                <w:szCs w:val="21"/>
              </w:rPr>
            </w:pPr>
            <w:r>
              <w:rPr>
                <w:rFonts w:hAnsi="宋体"/>
                <w:szCs w:val="21"/>
              </w:rPr>
              <w:t>否</w:t>
            </w:r>
          </w:p>
        </w:tc>
        <w:tc>
          <w:tcPr>
            <w:tcW w:w="1140" w:type="dxa"/>
            <w:vAlign w:val="center"/>
          </w:tcPr>
          <w:p>
            <w:pPr>
              <w:spacing w:line="360" w:lineRule="auto"/>
              <w:jc w:val="center"/>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648" w:type="dxa"/>
            <w:vAlign w:val="center"/>
          </w:tcPr>
          <w:p>
            <w:pPr>
              <w:spacing w:line="360" w:lineRule="auto"/>
              <w:jc w:val="center"/>
              <w:rPr>
                <w:szCs w:val="21"/>
              </w:rPr>
            </w:pPr>
            <w:r>
              <w:rPr>
                <w:szCs w:val="21"/>
              </w:rPr>
              <w:t>3</w:t>
            </w:r>
          </w:p>
        </w:tc>
        <w:tc>
          <w:tcPr>
            <w:tcW w:w="4611" w:type="dxa"/>
            <w:vAlign w:val="center"/>
          </w:tcPr>
          <w:p>
            <w:pPr>
              <w:rPr>
                <w:szCs w:val="21"/>
              </w:rPr>
            </w:pPr>
            <w:r>
              <w:rPr>
                <w:rFonts w:hAnsi="宋体"/>
                <w:szCs w:val="21"/>
              </w:rPr>
              <w:t>是否为本工程前期准备提供设计或咨询服务的，但设计施工总承包的除外</w:t>
            </w:r>
          </w:p>
        </w:tc>
        <w:tc>
          <w:tcPr>
            <w:tcW w:w="1401" w:type="dxa"/>
            <w:vAlign w:val="center"/>
          </w:tcPr>
          <w:p>
            <w:pPr>
              <w:spacing w:line="360" w:lineRule="auto"/>
              <w:jc w:val="center"/>
              <w:rPr>
                <w:szCs w:val="21"/>
              </w:rPr>
            </w:pPr>
            <w:r>
              <w:rPr>
                <w:rFonts w:hint="eastAsia"/>
                <w:szCs w:val="21"/>
                <w:lang w:val="en-US" w:eastAsia="zh-CN"/>
              </w:rPr>
              <w:t>4.5</w:t>
            </w:r>
            <w:r>
              <w:rPr>
                <w:rFonts w:hAnsi="宋体"/>
                <w:szCs w:val="21"/>
              </w:rPr>
              <w:t>（</w:t>
            </w:r>
            <w:r>
              <w:rPr>
                <w:szCs w:val="21"/>
              </w:rPr>
              <w:t>2</w:t>
            </w:r>
            <w:r>
              <w:rPr>
                <w:rFonts w:hAnsi="宋体"/>
                <w:szCs w:val="21"/>
              </w:rPr>
              <w:t>）</w:t>
            </w:r>
          </w:p>
        </w:tc>
        <w:tc>
          <w:tcPr>
            <w:tcW w:w="1142" w:type="dxa"/>
            <w:vAlign w:val="center"/>
          </w:tcPr>
          <w:p>
            <w:pPr>
              <w:spacing w:line="360" w:lineRule="auto"/>
              <w:jc w:val="center"/>
              <w:rPr>
                <w:szCs w:val="21"/>
              </w:rPr>
            </w:pPr>
            <w:r>
              <w:rPr>
                <w:rFonts w:hAnsi="宋体"/>
                <w:szCs w:val="21"/>
              </w:rPr>
              <w:t>否</w:t>
            </w:r>
          </w:p>
        </w:tc>
        <w:tc>
          <w:tcPr>
            <w:tcW w:w="1140" w:type="dxa"/>
            <w:vAlign w:val="center"/>
          </w:tcPr>
          <w:p>
            <w:pPr>
              <w:spacing w:line="360" w:lineRule="auto"/>
              <w:jc w:val="center"/>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648" w:type="dxa"/>
            <w:vAlign w:val="center"/>
          </w:tcPr>
          <w:p>
            <w:pPr>
              <w:spacing w:line="360" w:lineRule="auto"/>
              <w:jc w:val="center"/>
              <w:rPr>
                <w:szCs w:val="21"/>
              </w:rPr>
            </w:pPr>
            <w:r>
              <w:rPr>
                <w:szCs w:val="21"/>
              </w:rPr>
              <w:t>4</w:t>
            </w:r>
          </w:p>
        </w:tc>
        <w:tc>
          <w:tcPr>
            <w:tcW w:w="4611" w:type="dxa"/>
            <w:vAlign w:val="center"/>
          </w:tcPr>
          <w:p>
            <w:pPr>
              <w:rPr>
                <w:szCs w:val="21"/>
              </w:rPr>
            </w:pPr>
            <w:r>
              <w:rPr>
                <w:rFonts w:hAnsi="宋体"/>
                <w:szCs w:val="21"/>
              </w:rPr>
              <w:t>是否为本工程的监理人</w:t>
            </w:r>
          </w:p>
        </w:tc>
        <w:tc>
          <w:tcPr>
            <w:tcW w:w="1401" w:type="dxa"/>
            <w:vAlign w:val="center"/>
          </w:tcPr>
          <w:p>
            <w:pPr>
              <w:spacing w:line="360" w:lineRule="auto"/>
              <w:jc w:val="center"/>
              <w:rPr>
                <w:szCs w:val="21"/>
              </w:rPr>
            </w:pPr>
            <w:r>
              <w:rPr>
                <w:rFonts w:hint="eastAsia"/>
                <w:szCs w:val="21"/>
                <w:lang w:val="en-US" w:eastAsia="zh-CN"/>
              </w:rPr>
              <w:t>4.5</w:t>
            </w:r>
            <w:r>
              <w:rPr>
                <w:rFonts w:hAnsi="宋体"/>
                <w:szCs w:val="21"/>
              </w:rPr>
              <w:t>（</w:t>
            </w:r>
            <w:r>
              <w:rPr>
                <w:szCs w:val="21"/>
              </w:rPr>
              <w:t>3</w:t>
            </w:r>
            <w:r>
              <w:rPr>
                <w:rFonts w:hAnsi="宋体"/>
                <w:szCs w:val="21"/>
              </w:rPr>
              <w:t>）</w:t>
            </w:r>
          </w:p>
        </w:tc>
        <w:tc>
          <w:tcPr>
            <w:tcW w:w="1142" w:type="dxa"/>
            <w:vAlign w:val="center"/>
          </w:tcPr>
          <w:p>
            <w:pPr>
              <w:spacing w:line="360" w:lineRule="auto"/>
              <w:jc w:val="center"/>
              <w:rPr>
                <w:szCs w:val="21"/>
              </w:rPr>
            </w:pPr>
            <w:r>
              <w:rPr>
                <w:rFonts w:hAnsi="宋体"/>
                <w:szCs w:val="21"/>
              </w:rPr>
              <w:t>否</w:t>
            </w:r>
          </w:p>
        </w:tc>
        <w:tc>
          <w:tcPr>
            <w:tcW w:w="1140" w:type="dxa"/>
            <w:vAlign w:val="center"/>
          </w:tcPr>
          <w:p>
            <w:pPr>
              <w:spacing w:line="360" w:lineRule="auto"/>
              <w:jc w:val="center"/>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648" w:type="dxa"/>
            <w:vAlign w:val="center"/>
          </w:tcPr>
          <w:p>
            <w:pPr>
              <w:spacing w:line="360" w:lineRule="auto"/>
              <w:jc w:val="center"/>
              <w:rPr>
                <w:szCs w:val="21"/>
              </w:rPr>
            </w:pPr>
            <w:r>
              <w:rPr>
                <w:szCs w:val="21"/>
              </w:rPr>
              <w:t>5</w:t>
            </w:r>
          </w:p>
        </w:tc>
        <w:tc>
          <w:tcPr>
            <w:tcW w:w="4611" w:type="dxa"/>
            <w:vAlign w:val="center"/>
          </w:tcPr>
          <w:p>
            <w:pPr>
              <w:rPr>
                <w:szCs w:val="21"/>
              </w:rPr>
            </w:pPr>
            <w:r>
              <w:rPr>
                <w:rFonts w:hAnsi="宋体"/>
                <w:szCs w:val="21"/>
              </w:rPr>
              <w:t>是否为本工程的代建人</w:t>
            </w:r>
          </w:p>
        </w:tc>
        <w:tc>
          <w:tcPr>
            <w:tcW w:w="1401" w:type="dxa"/>
            <w:vAlign w:val="center"/>
          </w:tcPr>
          <w:p>
            <w:pPr>
              <w:spacing w:line="360" w:lineRule="auto"/>
              <w:jc w:val="center"/>
              <w:rPr>
                <w:szCs w:val="21"/>
              </w:rPr>
            </w:pPr>
            <w:r>
              <w:rPr>
                <w:rFonts w:hint="eastAsia"/>
                <w:szCs w:val="21"/>
                <w:lang w:val="en-US" w:eastAsia="zh-CN"/>
              </w:rPr>
              <w:t>4.5</w:t>
            </w:r>
            <w:r>
              <w:rPr>
                <w:rFonts w:hAnsi="宋体"/>
                <w:szCs w:val="21"/>
              </w:rPr>
              <w:t>（</w:t>
            </w:r>
            <w:r>
              <w:rPr>
                <w:szCs w:val="21"/>
              </w:rPr>
              <w:t>4</w:t>
            </w:r>
            <w:r>
              <w:rPr>
                <w:rFonts w:hAnsi="宋体"/>
                <w:szCs w:val="21"/>
              </w:rPr>
              <w:t>）</w:t>
            </w:r>
          </w:p>
        </w:tc>
        <w:tc>
          <w:tcPr>
            <w:tcW w:w="1142" w:type="dxa"/>
            <w:vAlign w:val="center"/>
          </w:tcPr>
          <w:p>
            <w:pPr>
              <w:spacing w:line="360" w:lineRule="auto"/>
              <w:jc w:val="center"/>
              <w:rPr>
                <w:szCs w:val="21"/>
              </w:rPr>
            </w:pPr>
            <w:r>
              <w:rPr>
                <w:rFonts w:hAnsi="宋体"/>
                <w:szCs w:val="21"/>
              </w:rPr>
              <w:t>否</w:t>
            </w:r>
          </w:p>
        </w:tc>
        <w:tc>
          <w:tcPr>
            <w:tcW w:w="1140" w:type="dxa"/>
            <w:vAlign w:val="center"/>
          </w:tcPr>
          <w:p>
            <w:pPr>
              <w:spacing w:line="360" w:lineRule="auto"/>
              <w:jc w:val="center"/>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648" w:type="dxa"/>
            <w:vAlign w:val="center"/>
          </w:tcPr>
          <w:p>
            <w:pPr>
              <w:spacing w:line="360" w:lineRule="auto"/>
              <w:jc w:val="center"/>
              <w:rPr>
                <w:szCs w:val="21"/>
              </w:rPr>
            </w:pPr>
            <w:r>
              <w:rPr>
                <w:szCs w:val="21"/>
              </w:rPr>
              <w:t>6</w:t>
            </w:r>
          </w:p>
        </w:tc>
        <w:tc>
          <w:tcPr>
            <w:tcW w:w="4611" w:type="dxa"/>
            <w:vAlign w:val="center"/>
          </w:tcPr>
          <w:p>
            <w:pPr>
              <w:rPr>
                <w:szCs w:val="21"/>
              </w:rPr>
            </w:pPr>
            <w:r>
              <w:rPr>
                <w:rFonts w:hAnsi="宋体"/>
                <w:szCs w:val="21"/>
              </w:rPr>
              <w:t>是否为本工程提供招标代理服务</w:t>
            </w:r>
          </w:p>
        </w:tc>
        <w:tc>
          <w:tcPr>
            <w:tcW w:w="1401" w:type="dxa"/>
            <w:vAlign w:val="center"/>
          </w:tcPr>
          <w:p>
            <w:pPr>
              <w:spacing w:line="360" w:lineRule="auto"/>
              <w:jc w:val="center"/>
              <w:rPr>
                <w:szCs w:val="21"/>
              </w:rPr>
            </w:pPr>
            <w:r>
              <w:rPr>
                <w:rFonts w:hint="eastAsia"/>
                <w:szCs w:val="21"/>
                <w:lang w:val="en-US" w:eastAsia="zh-CN"/>
              </w:rPr>
              <w:t>4.5</w:t>
            </w:r>
            <w:r>
              <w:rPr>
                <w:rFonts w:hAnsi="宋体"/>
                <w:szCs w:val="21"/>
              </w:rPr>
              <w:t>（</w:t>
            </w:r>
            <w:r>
              <w:rPr>
                <w:szCs w:val="21"/>
              </w:rPr>
              <w:t>5</w:t>
            </w:r>
            <w:r>
              <w:rPr>
                <w:rFonts w:hAnsi="宋体"/>
                <w:szCs w:val="21"/>
              </w:rPr>
              <w:t>）</w:t>
            </w:r>
          </w:p>
        </w:tc>
        <w:tc>
          <w:tcPr>
            <w:tcW w:w="1142" w:type="dxa"/>
            <w:vAlign w:val="center"/>
          </w:tcPr>
          <w:p>
            <w:pPr>
              <w:spacing w:line="360" w:lineRule="auto"/>
              <w:jc w:val="center"/>
              <w:rPr>
                <w:szCs w:val="21"/>
              </w:rPr>
            </w:pPr>
            <w:r>
              <w:rPr>
                <w:rFonts w:hAnsi="宋体"/>
                <w:szCs w:val="21"/>
              </w:rPr>
              <w:t>否</w:t>
            </w:r>
          </w:p>
        </w:tc>
        <w:tc>
          <w:tcPr>
            <w:tcW w:w="1140" w:type="dxa"/>
            <w:vAlign w:val="center"/>
          </w:tcPr>
          <w:p>
            <w:pPr>
              <w:spacing w:line="360" w:lineRule="auto"/>
              <w:jc w:val="center"/>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648" w:type="dxa"/>
            <w:vAlign w:val="center"/>
          </w:tcPr>
          <w:p>
            <w:pPr>
              <w:spacing w:line="360" w:lineRule="auto"/>
              <w:jc w:val="center"/>
              <w:rPr>
                <w:szCs w:val="21"/>
              </w:rPr>
            </w:pPr>
            <w:r>
              <w:rPr>
                <w:szCs w:val="21"/>
              </w:rPr>
              <w:t>7</w:t>
            </w:r>
          </w:p>
        </w:tc>
        <w:tc>
          <w:tcPr>
            <w:tcW w:w="4611" w:type="dxa"/>
            <w:vAlign w:val="center"/>
          </w:tcPr>
          <w:p>
            <w:pPr>
              <w:rPr>
                <w:szCs w:val="21"/>
              </w:rPr>
            </w:pPr>
            <w:r>
              <w:rPr>
                <w:rFonts w:hAnsi="宋体"/>
                <w:szCs w:val="21"/>
              </w:rPr>
              <w:t>是否与本工程的监理人或代建人或招标代理机构同为一个法定代表人</w:t>
            </w:r>
          </w:p>
        </w:tc>
        <w:tc>
          <w:tcPr>
            <w:tcW w:w="1401" w:type="dxa"/>
            <w:vAlign w:val="center"/>
          </w:tcPr>
          <w:p>
            <w:pPr>
              <w:spacing w:line="360" w:lineRule="auto"/>
              <w:jc w:val="center"/>
              <w:rPr>
                <w:szCs w:val="21"/>
              </w:rPr>
            </w:pPr>
            <w:r>
              <w:rPr>
                <w:rFonts w:hint="eastAsia"/>
                <w:szCs w:val="21"/>
                <w:lang w:val="en-US" w:eastAsia="zh-CN"/>
              </w:rPr>
              <w:t>4.5</w:t>
            </w:r>
            <w:r>
              <w:rPr>
                <w:rFonts w:hAnsi="宋体"/>
                <w:szCs w:val="21"/>
              </w:rPr>
              <w:t>（</w:t>
            </w:r>
            <w:r>
              <w:rPr>
                <w:szCs w:val="21"/>
              </w:rPr>
              <w:t>6</w:t>
            </w:r>
            <w:r>
              <w:rPr>
                <w:rFonts w:hAnsi="宋体"/>
                <w:szCs w:val="21"/>
              </w:rPr>
              <w:t>）</w:t>
            </w:r>
          </w:p>
        </w:tc>
        <w:tc>
          <w:tcPr>
            <w:tcW w:w="1142" w:type="dxa"/>
            <w:vAlign w:val="center"/>
          </w:tcPr>
          <w:p>
            <w:pPr>
              <w:spacing w:line="360" w:lineRule="auto"/>
              <w:jc w:val="center"/>
              <w:rPr>
                <w:szCs w:val="21"/>
              </w:rPr>
            </w:pPr>
            <w:r>
              <w:rPr>
                <w:rFonts w:hAnsi="宋体"/>
                <w:szCs w:val="21"/>
              </w:rPr>
              <w:t>否</w:t>
            </w:r>
          </w:p>
        </w:tc>
        <w:tc>
          <w:tcPr>
            <w:tcW w:w="1140" w:type="dxa"/>
            <w:vAlign w:val="center"/>
          </w:tcPr>
          <w:p>
            <w:pPr>
              <w:spacing w:line="360" w:lineRule="auto"/>
              <w:jc w:val="center"/>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exact"/>
        </w:trPr>
        <w:tc>
          <w:tcPr>
            <w:tcW w:w="648" w:type="dxa"/>
            <w:vAlign w:val="center"/>
          </w:tcPr>
          <w:p>
            <w:pPr>
              <w:spacing w:line="360" w:lineRule="auto"/>
              <w:jc w:val="center"/>
              <w:rPr>
                <w:szCs w:val="21"/>
              </w:rPr>
            </w:pPr>
            <w:r>
              <w:rPr>
                <w:szCs w:val="21"/>
              </w:rPr>
              <w:t>8</w:t>
            </w:r>
          </w:p>
        </w:tc>
        <w:tc>
          <w:tcPr>
            <w:tcW w:w="4611" w:type="dxa"/>
            <w:vAlign w:val="center"/>
          </w:tcPr>
          <w:p>
            <w:pPr>
              <w:rPr>
                <w:szCs w:val="21"/>
              </w:rPr>
            </w:pPr>
            <w:r>
              <w:rPr>
                <w:rFonts w:hAnsi="宋体"/>
                <w:szCs w:val="21"/>
              </w:rPr>
              <w:t>是否与本工程的监理人或代建人或招标代理机构相互控股或参股</w:t>
            </w:r>
          </w:p>
        </w:tc>
        <w:tc>
          <w:tcPr>
            <w:tcW w:w="1401" w:type="dxa"/>
            <w:vAlign w:val="center"/>
          </w:tcPr>
          <w:p>
            <w:pPr>
              <w:spacing w:line="360" w:lineRule="auto"/>
              <w:jc w:val="center"/>
              <w:rPr>
                <w:szCs w:val="21"/>
              </w:rPr>
            </w:pPr>
            <w:r>
              <w:rPr>
                <w:rFonts w:hint="eastAsia"/>
                <w:szCs w:val="21"/>
                <w:lang w:val="en-US" w:eastAsia="zh-CN"/>
              </w:rPr>
              <w:t>4.5</w:t>
            </w:r>
            <w:r>
              <w:rPr>
                <w:rFonts w:hAnsi="宋体"/>
                <w:szCs w:val="21"/>
              </w:rPr>
              <w:t>（</w:t>
            </w:r>
            <w:r>
              <w:rPr>
                <w:szCs w:val="21"/>
              </w:rPr>
              <w:t>7</w:t>
            </w:r>
            <w:r>
              <w:rPr>
                <w:rFonts w:hAnsi="宋体"/>
                <w:szCs w:val="21"/>
              </w:rPr>
              <w:t>）</w:t>
            </w:r>
          </w:p>
        </w:tc>
        <w:tc>
          <w:tcPr>
            <w:tcW w:w="1142" w:type="dxa"/>
            <w:vAlign w:val="center"/>
          </w:tcPr>
          <w:p>
            <w:pPr>
              <w:spacing w:line="360" w:lineRule="auto"/>
              <w:jc w:val="center"/>
              <w:rPr>
                <w:szCs w:val="21"/>
              </w:rPr>
            </w:pPr>
            <w:r>
              <w:rPr>
                <w:rFonts w:hAnsi="宋体"/>
                <w:szCs w:val="21"/>
              </w:rPr>
              <w:t>否</w:t>
            </w:r>
          </w:p>
        </w:tc>
        <w:tc>
          <w:tcPr>
            <w:tcW w:w="1140" w:type="dxa"/>
            <w:vAlign w:val="center"/>
          </w:tcPr>
          <w:p>
            <w:pPr>
              <w:spacing w:line="360" w:lineRule="auto"/>
              <w:jc w:val="center"/>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648" w:type="dxa"/>
            <w:vAlign w:val="center"/>
          </w:tcPr>
          <w:p>
            <w:pPr>
              <w:spacing w:line="360" w:lineRule="auto"/>
              <w:jc w:val="center"/>
              <w:rPr>
                <w:szCs w:val="21"/>
              </w:rPr>
            </w:pPr>
            <w:r>
              <w:rPr>
                <w:szCs w:val="21"/>
              </w:rPr>
              <w:t>9</w:t>
            </w:r>
          </w:p>
        </w:tc>
        <w:tc>
          <w:tcPr>
            <w:tcW w:w="4611" w:type="dxa"/>
            <w:vAlign w:val="center"/>
          </w:tcPr>
          <w:p>
            <w:pPr>
              <w:rPr>
                <w:szCs w:val="21"/>
              </w:rPr>
            </w:pPr>
            <w:r>
              <w:rPr>
                <w:rFonts w:hAnsi="宋体"/>
                <w:szCs w:val="21"/>
              </w:rPr>
              <w:t>是否与本工程的监理人或代建人或招标代理机构相互任职或工作</w:t>
            </w:r>
          </w:p>
        </w:tc>
        <w:tc>
          <w:tcPr>
            <w:tcW w:w="1401" w:type="dxa"/>
            <w:vAlign w:val="center"/>
          </w:tcPr>
          <w:p>
            <w:pPr>
              <w:spacing w:line="360" w:lineRule="auto"/>
              <w:jc w:val="center"/>
              <w:rPr>
                <w:szCs w:val="21"/>
              </w:rPr>
            </w:pPr>
            <w:r>
              <w:rPr>
                <w:rFonts w:hint="eastAsia"/>
                <w:szCs w:val="21"/>
                <w:lang w:val="en-US" w:eastAsia="zh-CN"/>
              </w:rPr>
              <w:t>4.5</w:t>
            </w:r>
            <w:r>
              <w:rPr>
                <w:rFonts w:hAnsi="宋体"/>
                <w:szCs w:val="21"/>
              </w:rPr>
              <w:t>（</w:t>
            </w:r>
            <w:r>
              <w:rPr>
                <w:szCs w:val="21"/>
              </w:rPr>
              <w:t>8</w:t>
            </w:r>
            <w:r>
              <w:rPr>
                <w:rFonts w:hAnsi="宋体"/>
                <w:szCs w:val="21"/>
              </w:rPr>
              <w:t>）</w:t>
            </w:r>
          </w:p>
        </w:tc>
        <w:tc>
          <w:tcPr>
            <w:tcW w:w="1142" w:type="dxa"/>
            <w:vAlign w:val="center"/>
          </w:tcPr>
          <w:p>
            <w:pPr>
              <w:spacing w:line="360" w:lineRule="auto"/>
              <w:jc w:val="center"/>
              <w:rPr>
                <w:szCs w:val="21"/>
              </w:rPr>
            </w:pPr>
            <w:r>
              <w:rPr>
                <w:rFonts w:hAnsi="宋体"/>
                <w:szCs w:val="21"/>
              </w:rPr>
              <w:t>否</w:t>
            </w:r>
          </w:p>
        </w:tc>
        <w:tc>
          <w:tcPr>
            <w:tcW w:w="1140" w:type="dxa"/>
            <w:vAlign w:val="center"/>
          </w:tcPr>
          <w:p>
            <w:pPr>
              <w:spacing w:line="360" w:lineRule="auto"/>
              <w:jc w:val="center"/>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648" w:type="dxa"/>
            <w:vAlign w:val="center"/>
          </w:tcPr>
          <w:p>
            <w:pPr>
              <w:spacing w:line="360" w:lineRule="auto"/>
              <w:jc w:val="center"/>
              <w:rPr>
                <w:szCs w:val="21"/>
              </w:rPr>
            </w:pPr>
            <w:r>
              <w:rPr>
                <w:szCs w:val="21"/>
              </w:rPr>
              <w:t>10</w:t>
            </w:r>
          </w:p>
        </w:tc>
        <w:tc>
          <w:tcPr>
            <w:tcW w:w="4611" w:type="dxa"/>
            <w:vAlign w:val="center"/>
          </w:tcPr>
          <w:p>
            <w:pPr>
              <w:rPr>
                <w:szCs w:val="21"/>
              </w:rPr>
            </w:pPr>
            <w:r>
              <w:rPr>
                <w:rFonts w:hAnsi="宋体"/>
                <w:szCs w:val="21"/>
              </w:rPr>
              <w:t>是否被责令停业</w:t>
            </w:r>
          </w:p>
        </w:tc>
        <w:tc>
          <w:tcPr>
            <w:tcW w:w="1401" w:type="dxa"/>
            <w:vAlign w:val="center"/>
          </w:tcPr>
          <w:p>
            <w:pPr>
              <w:spacing w:line="360" w:lineRule="auto"/>
              <w:jc w:val="center"/>
              <w:rPr>
                <w:szCs w:val="21"/>
              </w:rPr>
            </w:pPr>
            <w:r>
              <w:rPr>
                <w:rFonts w:hint="eastAsia"/>
                <w:szCs w:val="21"/>
                <w:lang w:val="en-US" w:eastAsia="zh-CN"/>
              </w:rPr>
              <w:t>4.5</w:t>
            </w:r>
            <w:r>
              <w:rPr>
                <w:rFonts w:hAnsi="宋体"/>
                <w:szCs w:val="21"/>
              </w:rPr>
              <w:t>（</w:t>
            </w:r>
            <w:r>
              <w:rPr>
                <w:szCs w:val="21"/>
              </w:rPr>
              <w:t>9</w:t>
            </w:r>
            <w:r>
              <w:rPr>
                <w:rFonts w:hAnsi="宋体"/>
                <w:szCs w:val="21"/>
              </w:rPr>
              <w:t>）</w:t>
            </w:r>
          </w:p>
        </w:tc>
        <w:tc>
          <w:tcPr>
            <w:tcW w:w="1142" w:type="dxa"/>
            <w:vAlign w:val="center"/>
          </w:tcPr>
          <w:p>
            <w:pPr>
              <w:spacing w:line="360" w:lineRule="auto"/>
              <w:jc w:val="center"/>
              <w:rPr>
                <w:szCs w:val="21"/>
              </w:rPr>
            </w:pPr>
            <w:r>
              <w:rPr>
                <w:rFonts w:hAnsi="宋体"/>
                <w:szCs w:val="21"/>
              </w:rPr>
              <w:t>否</w:t>
            </w:r>
          </w:p>
        </w:tc>
        <w:tc>
          <w:tcPr>
            <w:tcW w:w="1140" w:type="dxa"/>
            <w:vAlign w:val="center"/>
          </w:tcPr>
          <w:p>
            <w:pPr>
              <w:spacing w:line="360" w:lineRule="auto"/>
              <w:jc w:val="center"/>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648" w:type="dxa"/>
            <w:vAlign w:val="center"/>
          </w:tcPr>
          <w:p>
            <w:pPr>
              <w:spacing w:line="360" w:lineRule="auto"/>
              <w:jc w:val="center"/>
              <w:rPr>
                <w:szCs w:val="21"/>
              </w:rPr>
            </w:pPr>
            <w:r>
              <w:rPr>
                <w:szCs w:val="21"/>
              </w:rPr>
              <w:t>11</w:t>
            </w:r>
          </w:p>
        </w:tc>
        <w:tc>
          <w:tcPr>
            <w:tcW w:w="4611" w:type="dxa"/>
            <w:vAlign w:val="center"/>
          </w:tcPr>
          <w:p>
            <w:pPr>
              <w:rPr>
                <w:szCs w:val="21"/>
              </w:rPr>
            </w:pPr>
            <w:r>
              <w:rPr>
                <w:rFonts w:hAnsi="宋体"/>
                <w:szCs w:val="21"/>
              </w:rPr>
              <w:t>是否被暂停或取消投标资格</w:t>
            </w:r>
          </w:p>
        </w:tc>
        <w:tc>
          <w:tcPr>
            <w:tcW w:w="1401" w:type="dxa"/>
            <w:vAlign w:val="center"/>
          </w:tcPr>
          <w:p>
            <w:pPr>
              <w:spacing w:line="360" w:lineRule="auto"/>
              <w:jc w:val="center"/>
              <w:rPr>
                <w:szCs w:val="21"/>
              </w:rPr>
            </w:pPr>
            <w:r>
              <w:rPr>
                <w:rFonts w:hint="eastAsia"/>
                <w:szCs w:val="21"/>
                <w:lang w:val="en-US" w:eastAsia="zh-CN"/>
              </w:rPr>
              <w:t>4.5</w:t>
            </w:r>
            <w:r>
              <w:rPr>
                <w:rFonts w:hAnsi="宋体"/>
                <w:szCs w:val="21"/>
              </w:rPr>
              <w:t>（</w:t>
            </w:r>
            <w:r>
              <w:rPr>
                <w:szCs w:val="21"/>
              </w:rPr>
              <w:t>10</w:t>
            </w:r>
            <w:r>
              <w:rPr>
                <w:rFonts w:hAnsi="宋体"/>
                <w:szCs w:val="21"/>
              </w:rPr>
              <w:t>）</w:t>
            </w:r>
          </w:p>
        </w:tc>
        <w:tc>
          <w:tcPr>
            <w:tcW w:w="1142" w:type="dxa"/>
            <w:vAlign w:val="center"/>
          </w:tcPr>
          <w:p>
            <w:pPr>
              <w:spacing w:line="360" w:lineRule="auto"/>
              <w:jc w:val="center"/>
              <w:rPr>
                <w:szCs w:val="21"/>
              </w:rPr>
            </w:pPr>
            <w:r>
              <w:rPr>
                <w:rFonts w:hAnsi="宋体"/>
                <w:szCs w:val="21"/>
              </w:rPr>
              <w:t>否</w:t>
            </w:r>
          </w:p>
        </w:tc>
        <w:tc>
          <w:tcPr>
            <w:tcW w:w="1140" w:type="dxa"/>
            <w:vAlign w:val="center"/>
          </w:tcPr>
          <w:p>
            <w:pPr>
              <w:spacing w:line="360" w:lineRule="auto"/>
              <w:jc w:val="center"/>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trPr>
        <w:tc>
          <w:tcPr>
            <w:tcW w:w="648" w:type="dxa"/>
            <w:vAlign w:val="center"/>
          </w:tcPr>
          <w:p>
            <w:pPr>
              <w:spacing w:line="360" w:lineRule="auto"/>
              <w:jc w:val="center"/>
              <w:rPr>
                <w:szCs w:val="21"/>
              </w:rPr>
            </w:pPr>
            <w:r>
              <w:rPr>
                <w:szCs w:val="21"/>
              </w:rPr>
              <w:t>1</w:t>
            </w:r>
            <w:r>
              <w:rPr>
                <w:rFonts w:hint="eastAsia"/>
                <w:szCs w:val="21"/>
                <w:lang w:val="en-US" w:eastAsia="zh-CN"/>
              </w:rPr>
              <w:t>2</w:t>
            </w:r>
          </w:p>
        </w:tc>
        <w:tc>
          <w:tcPr>
            <w:tcW w:w="4611" w:type="dxa"/>
            <w:vAlign w:val="center"/>
          </w:tcPr>
          <w:p>
            <w:pPr>
              <w:rPr>
                <w:szCs w:val="21"/>
              </w:rPr>
            </w:pPr>
            <w:r>
              <w:rPr>
                <w:rFonts w:hAnsi="宋体"/>
                <w:szCs w:val="21"/>
              </w:rPr>
              <w:t>是否存在投标人（包括法定代表人）有行贿犯罪记录的（由投标文件提交截止之日上溯</w:t>
            </w:r>
            <w:r>
              <w:rPr>
                <w:szCs w:val="21"/>
              </w:rPr>
              <w:t>3</w:t>
            </w:r>
            <w:r>
              <w:rPr>
                <w:rFonts w:hAnsi="宋体"/>
                <w:szCs w:val="21"/>
              </w:rPr>
              <w:t>年，行贿犯罪记录日期以法院判决生效日期为准）</w:t>
            </w:r>
          </w:p>
        </w:tc>
        <w:tc>
          <w:tcPr>
            <w:tcW w:w="1401" w:type="dxa"/>
            <w:vAlign w:val="center"/>
          </w:tcPr>
          <w:p>
            <w:pPr>
              <w:spacing w:line="360" w:lineRule="auto"/>
              <w:jc w:val="center"/>
              <w:rPr>
                <w:szCs w:val="21"/>
              </w:rPr>
            </w:pPr>
            <w:r>
              <w:rPr>
                <w:rFonts w:hint="eastAsia"/>
                <w:szCs w:val="21"/>
                <w:lang w:val="en-US" w:eastAsia="zh-CN"/>
              </w:rPr>
              <w:t>4.5</w:t>
            </w:r>
            <w:r>
              <w:rPr>
                <w:rFonts w:hAnsi="宋体"/>
                <w:szCs w:val="21"/>
              </w:rPr>
              <w:t>（</w:t>
            </w:r>
            <w:r>
              <w:rPr>
                <w:szCs w:val="21"/>
              </w:rPr>
              <w:t>1</w:t>
            </w:r>
            <w:r>
              <w:rPr>
                <w:rFonts w:hint="eastAsia"/>
                <w:szCs w:val="21"/>
                <w:lang w:val="en-US" w:eastAsia="zh-CN"/>
              </w:rPr>
              <w:t>1</w:t>
            </w:r>
            <w:r>
              <w:rPr>
                <w:rFonts w:hAnsi="宋体"/>
                <w:szCs w:val="21"/>
              </w:rPr>
              <w:t>）</w:t>
            </w:r>
          </w:p>
        </w:tc>
        <w:tc>
          <w:tcPr>
            <w:tcW w:w="1142" w:type="dxa"/>
            <w:vAlign w:val="center"/>
          </w:tcPr>
          <w:p>
            <w:pPr>
              <w:spacing w:line="360" w:lineRule="auto"/>
              <w:jc w:val="center"/>
              <w:rPr>
                <w:szCs w:val="21"/>
              </w:rPr>
            </w:pPr>
            <w:r>
              <w:rPr>
                <w:rFonts w:hAnsi="宋体"/>
                <w:szCs w:val="21"/>
              </w:rPr>
              <w:t>否</w:t>
            </w:r>
          </w:p>
        </w:tc>
        <w:tc>
          <w:tcPr>
            <w:tcW w:w="1140" w:type="dxa"/>
            <w:vAlign w:val="center"/>
          </w:tcPr>
          <w:p>
            <w:pPr>
              <w:spacing w:line="360" w:lineRule="auto"/>
              <w:jc w:val="center"/>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648" w:type="dxa"/>
            <w:vAlign w:val="center"/>
          </w:tcPr>
          <w:p>
            <w:pPr>
              <w:spacing w:line="360" w:lineRule="auto"/>
              <w:jc w:val="center"/>
              <w:rPr>
                <w:szCs w:val="21"/>
              </w:rPr>
            </w:pPr>
            <w:r>
              <w:rPr>
                <w:rFonts w:hint="eastAsia" w:eastAsia="宋体"/>
                <w:color w:val="000000"/>
                <w:szCs w:val="21"/>
              </w:rPr>
              <w:t>1</w:t>
            </w:r>
            <w:r>
              <w:rPr>
                <w:rFonts w:hint="eastAsia"/>
                <w:color w:val="000000"/>
                <w:szCs w:val="21"/>
                <w:lang w:val="en-US" w:eastAsia="zh-CN"/>
              </w:rPr>
              <w:t>3</w:t>
            </w:r>
          </w:p>
        </w:tc>
        <w:tc>
          <w:tcPr>
            <w:tcW w:w="4611" w:type="dxa"/>
            <w:vAlign w:val="center"/>
          </w:tcPr>
          <w:p>
            <w:pPr>
              <w:rPr>
                <w:rFonts w:hAnsi="宋体"/>
                <w:szCs w:val="21"/>
              </w:rPr>
            </w:pPr>
            <w:r>
              <w:rPr>
                <w:rFonts w:hint="eastAsia" w:ascii="宋体" w:hAnsi="宋体" w:eastAsia="宋体"/>
                <w:szCs w:val="21"/>
              </w:rPr>
              <w:t>是否存在《省外企业进浙承接业务备案证明》超出有效期或已注销（仅指浙江省外企业）</w:t>
            </w:r>
          </w:p>
        </w:tc>
        <w:tc>
          <w:tcPr>
            <w:tcW w:w="1401" w:type="dxa"/>
            <w:vAlign w:val="center"/>
          </w:tcPr>
          <w:p>
            <w:pPr>
              <w:spacing w:line="360" w:lineRule="auto"/>
              <w:jc w:val="center"/>
              <w:rPr>
                <w:rFonts w:hint="eastAsia"/>
                <w:szCs w:val="21"/>
                <w:lang w:val="en-US" w:eastAsia="zh-CN"/>
              </w:rPr>
            </w:pPr>
            <w:r>
              <w:rPr>
                <w:rFonts w:hint="eastAsia"/>
                <w:color w:val="000000"/>
                <w:szCs w:val="21"/>
                <w:lang w:val="en-US" w:eastAsia="zh-CN"/>
              </w:rPr>
              <w:t>4.5</w:t>
            </w:r>
            <w:r>
              <w:rPr>
                <w:rFonts w:hint="eastAsia" w:eastAsia="宋体"/>
                <w:color w:val="000000"/>
                <w:szCs w:val="21"/>
              </w:rPr>
              <w:t>（1</w:t>
            </w:r>
            <w:r>
              <w:rPr>
                <w:rFonts w:hint="eastAsia"/>
                <w:color w:val="000000"/>
                <w:szCs w:val="21"/>
                <w:lang w:val="en-US" w:eastAsia="zh-CN"/>
              </w:rPr>
              <w:t>2</w:t>
            </w:r>
            <w:r>
              <w:rPr>
                <w:rFonts w:hint="eastAsia" w:eastAsia="宋体"/>
                <w:color w:val="000000"/>
                <w:szCs w:val="21"/>
              </w:rPr>
              <w:t>）</w:t>
            </w:r>
          </w:p>
        </w:tc>
        <w:tc>
          <w:tcPr>
            <w:tcW w:w="1142" w:type="dxa"/>
            <w:vAlign w:val="center"/>
          </w:tcPr>
          <w:p>
            <w:pPr>
              <w:spacing w:line="360" w:lineRule="auto"/>
              <w:jc w:val="center"/>
              <w:rPr>
                <w:rFonts w:hAnsi="宋体"/>
                <w:szCs w:val="21"/>
              </w:rPr>
            </w:pPr>
            <w:r>
              <w:rPr>
                <w:rFonts w:hint="eastAsia" w:eastAsia="宋体"/>
                <w:color w:val="000000"/>
                <w:szCs w:val="21"/>
              </w:rPr>
              <w:t>否</w:t>
            </w:r>
          </w:p>
        </w:tc>
        <w:tc>
          <w:tcPr>
            <w:tcW w:w="1140" w:type="dxa"/>
            <w:vAlign w:val="center"/>
          </w:tcPr>
          <w:p>
            <w:pPr>
              <w:spacing w:line="360" w:lineRule="auto"/>
              <w:jc w:val="center"/>
              <w:rPr>
                <w:b/>
                <w:szCs w:val="21"/>
              </w:rPr>
            </w:pPr>
          </w:p>
        </w:tc>
      </w:tr>
    </w:tbl>
    <w:p>
      <w:pPr>
        <w:spacing w:line="440" w:lineRule="exact"/>
        <w:jc w:val="center"/>
        <w:rPr>
          <w:szCs w:val="21"/>
        </w:rPr>
      </w:pPr>
      <w:r>
        <w:rPr>
          <w:rFonts w:hint="eastAsia" w:hAnsi="宋体"/>
          <w:szCs w:val="21"/>
        </w:rPr>
        <w:t xml:space="preserve">                                           </w:t>
      </w:r>
      <w:r>
        <w:rPr>
          <w:rFonts w:hAnsi="宋体"/>
          <w:szCs w:val="21"/>
        </w:rPr>
        <w:t>法定代表人（签字或盖章）：</w:t>
      </w:r>
      <w:r>
        <w:rPr>
          <w:szCs w:val="21"/>
        </w:rPr>
        <w:t xml:space="preserve">           </w:t>
      </w:r>
    </w:p>
    <w:p>
      <w:pPr>
        <w:spacing w:line="440" w:lineRule="exact"/>
        <w:jc w:val="center"/>
        <w:rPr>
          <w:szCs w:val="21"/>
        </w:rPr>
      </w:pPr>
      <w:r>
        <w:rPr>
          <w:szCs w:val="21"/>
        </w:rPr>
        <w:t xml:space="preserve">                                      </w:t>
      </w:r>
      <w:r>
        <w:rPr>
          <w:rFonts w:hAnsi="宋体"/>
          <w:szCs w:val="21"/>
        </w:rPr>
        <w:t>投</w:t>
      </w:r>
      <w:r>
        <w:rPr>
          <w:szCs w:val="21"/>
        </w:rPr>
        <w:t xml:space="preserve">  </w:t>
      </w:r>
      <w:r>
        <w:rPr>
          <w:rFonts w:hAnsi="宋体"/>
          <w:szCs w:val="21"/>
        </w:rPr>
        <w:t>标</w:t>
      </w:r>
      <w:r>
        <w:rPr>
          <w:szCs w:val="21"/>
        </w:rPr>
        <w:t xml:space="preserve">  </w:t>
      </w:r>
      <w:r>
        <w:rPr>
          <w:rFonts w:hAnsi="宋体"/>
          <w:szCs w:val="21"/>
        </w:rPr>
        <w:t>人（盖章）：</w:t>
      </w:r>
      <w:r>
        <w:rPr>
          <w:szCs w:val="21"/>
        </w:rPr>
        <w:t xml:space="preserve">           </w:t>
      </w:r>
    </w:p>
    <w:p>
      <w:pPr>
        <w:spacing w:line="440" w:lineRule="exact"/>
        <w:ind w:right="560"/>
        <w:jc w:val="right"/>
        <w:rPr>
          <w:szCs w:val="21"/>
        </w:rPr>
        <w:sectPr>
          <w:pgSz w:w="11906" w:h="16838"/>
          <w:pgMar w:top="1440" w:right="1134" w:bottom="1440" w:left="1701" w:header="851" w:footer="850" w:gutter="0"/>
          <w:pgNumType w:fmt="decimal"/>
          <w:cols w:space="720" w:num="1"/>
          <w:rtlGutter w:val="0"/>
          <w:docGrid w:linePitch="312" w:charSpace="0"/>
        </w:sectPr>
      </w:pPr>
      <w:r>
        <w:rPr>
          <w:szCs w:val="21"/>
        </w:rPr>
        <w:t xml:space="preserve">                                                      </w:t>
      </w:r>
      <w:r>
        <w:rPr>
          <w:rFonts w:hAnsi="宋体"/>
          <w:szCs w:val="21"/>
        </w:rPr>
        <w:t>年</w:t>
      </w:r>
      <w:r>
        <w:rPr>
          <w:szCs w:val="21"/>
        </w:rPr>
        <w:t xml:space="preserve">    </w:t>
      </w:r>
      <w:r>
        <w:rPr>
          <w:rFonts w:hAnsi="宋体"/>
          <w:szCs w:val="21"/>
        </w:rPr>
        <w:t>月</w:t>
      </w:r>
      <w:r>
        <w:rPr>
          <w:szCs w:val="21"/>
        </w:rPr>
        <w:t xml:space="preserve">    </w:t>
      </w:r>
      <w:r>
        <w:rPr>
          <w:rFonts w:hAnsi="宋体"/>
          <w:szCs w:val="21"/>
        </w:rPr>
        <w:t>日</w:t>
      </w:r>
    </w:p>
    <w:p>
      <w:pPr>
        <w:pStyle w:val="15"/>
        <w:jc w:val="both"/>
        <w:rPr>
          <w:rFonts w:ascii="Times New Roman" w:hAnsi="Times New Roman" w:cs="Times New Roman"/>
          <w:b w:val="0"/>
          <w:bCs w:val="0"/>
          <w:sz w:val="21"/>
          <w:szCs w:val="21"/>
        </w:rPr>
      </w:pPr>
      <w:bookmarkStart w:id="183" w:name="_Toc3180"/>
      <w:bookmarkStart w:id="184" w:name="_Toc32643"/>
      <w:bookmarkStart w:id="185" w:name="_Toc20772"/>
      <w:r>
        <w:rPr>
          <w:rFonts w:ascii="Times New Roman" w:hAnsi="Times New Roman" w:cs="Times New Roman"/>
          <w:b w:val="0"/>
          <w:bCs w:val="0"/>
          <w:sz w:val="21"/>
          <w:szCs w:val="21"/>
        </w:rPr>
        <w:t>附件</w:t>
      </w:r>
      <w:r>
        <w:rPr>
          <w:rFonts w:hint="eastAsia" w:ascii="Times New Roman" w:hAnsi="Times New Roman" w:cs="Times New Roman"/>
          <w:b w:val="0"/>
          <w:bCs w:val="0"/>
          <w:sz w:val="21"/>
          <w:szCs w:val="21"/>
          <w:lang w:val="en-US" w:eastAsia="zh-CN"/>
        </w:rPr>
        <w:t>七</w:t>
      </w:r>
      <w:r>
        <w:rPr>
          <w:rFonts w:ascii="Times New Roman" w:hAnsi="Times New Roman" w:cs="Times New Roman"/>
          <w:b w:val="0"/>
          <w:bCs w:val="0"/>
          <w:sz w:val="21"/>
          <w:szCs w:val="21"/>
        </w:rPr>
        <w:t>：</w:t>
      </w:r>
      <w:bookmarkEnd w:id="183"/>
      <w:bookmarkEnd w:id="184"/>
      <w:bookmarkEnd w:id="185"/>
    </w:p>
    <w:p>
      <w:pPr>
        <w:spacing w:before="240" w:beforeLines="100" w:after="240" w:afterLines="100" w:line="360" w:lineRule="exact"/>
        <w:jc w:val="center"/>
        <w:outlineLvl w:val="0"/>
        <w:rPr>
          <w:rFonts w:hint="eastAsia" w:eastAsia="宋体"/>
          <w:b/>
          <w:sz w:val="32"/>
          <w:szCs w:val="32"/>
          <w:lang w:eastAsia="zh-CN"/>
        </w:rPr>
      </w:pPr>
      <w:r>
        <w:rPr>
          <w:rFonts w:hint="eastAsia"/>
          <w:b/>
          <w:sz w:val="32"/>
          <w:szCs w:val="32"/>
          <w:lang w:eastAsia="zh-CN"/>
        </w:rPr>
        <w:t xml:space="preserve"> 玉环海洋经济转型升级示范区2018年度绿化养护工程 （茶山路、永清路、靖海路等）</w:t>
      </w:r>
    </w:p>
    <w:p>
      <w:pPr>
        <w:spacing w:line="360" w:lineRule="auto"/>
        <w:jc w:val="center"/>
        <w:rPr>
          <w:b/>
          <w:sz w:val="24"/>
          <w:szCs w:val="24"/>
        </w:rPr>
      </w:pPr>
      <w:r>
        <w:rPr>
          <w:rFonts w:hAnsi="宋体"/>
          <w:b/>
          <w:sz w:val="24"/>
          <w:szCs w:val="24"/>
        </w:rPr>
        <w:t>投标项目负责人资格自查表</w:t>
      </w:r>
    </w:p>
    <w:tbl>
      <w:tblPr>
        <w:tblStyle w:val="19"/>
        <w:tblW w:w="85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4680"/>
        <w:gridCol w:w="1080"/>
        <w:gridCol w:w="1440"/>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6" w:hRule="atLeast"/>
        </w:trPr>
        <w:tc>
          <w:tcPr>
            <w:tcW w:w="648" w:type="dxa"/>
            <w:vAlign w:val="center"/>
          </w:tcPr>
          <w:p>
            <w:pPr>
              <w:adjustRightInd w:val="0"/>
              <w:snapToGrid w:val="0"/>
              <w:jc w:val="center"/>
              <w:rPr>
                <w:b/>
                <w:szCs w:val="21"/>
              </w:rPr>
            </w:pPr>
            <w:r>
              <w:rPr>
                <w:rFonts w:hAnsi="宋体"/>
                <w:b/>
                <w:szCs w:val="21"/>
              </w:rPr>
              <w:t>序号</w:t>
            </w:r>
          </w:p>
        </w:tc>
        <w:tc>
          <w:tcPr>
            <w:tcW w:w="4680" w:type="dxa"/>
            <w:vAlign w:val="center"/>
          </w:tcPr>
          <w:p>
            <w:pPr>
              <w:adjustRightInd w:val="0"/>
              <w:snapToGrid w:val="0"/>
              <w:jc w:val="center"/>
              <w:rPr>
                <w:b/>
                <w:szCs w:val="21"/>
              </w:rPr>
            </w:pPr>
            <w:r>
              <w:rPr>
                <w:rFonts w:hAnsi="宋体"/>
                <w:b/>
                <w:szCs w:val="21"/>
              </w:rPr>
              <w:t>自查内容</w:t>
            </w:r>
          </w:p>
        </w:tc>
        <w:tc>
          <w:tcPr>
            <w:tcW w:w="1080" w:type="dxa"/>
            <w:vAlign w:val="center"/>
          </w:tcPr>
          <w:p>
            <w:pPr>
              <w:adjustRightInd w:val="0"/>
              <w:snapToGrid w:val="0"/>
              <w:jc w:val="center"/>
              <w:rPr>
                <w:b/>
                <w:szCs w:val="21"/>
              </w:rPr>
            </w:pPr>
            <w:r>
              <w:rPr>
                <w:rFonts w:hAnsi="宋体"/>
                <w:b/>
                <w:szCs w:val="21"/>
              </w:rPr>
              <w:t>招标文件条款号</w:t>
            </w:r>
          </w:p>
        </w:tc>
        <w:tc>
          <w:tcPr>
            <w:tcW w:w="1440" w:type="dxa"/>
            <w:vAlign w:val="center"/>
          </w:tcPr>
          <w:p>
            <w:pPr>
              <w:adjustRightInd w:val="0"/>
              <w:snapToGrid w:val="0"/>
              <w:jc w:val="center"/>
              <w:rPr>
                <w:b/>
                <w:szCs w:val="21"/>
              </w:rPr>
            </w:pPr>
            <w:r>
              <w:rPr>
                <w:rFonts w:hAnsi="宋体"/>
                <w:b/>
                <w:szCs w:val="21"/>
              </w:rPr>
              <w:t>投标要求</w:t>
            </w:r>
          </w:p>
        </w:tc>
        <w:tc>
          <w:tcPr>
            <w:tcW w:w="696" w:type="dxa"/>
            <w:vAlign w:val="center"/>
          </w:tcPr>
          <w:p>
            <w:pPr>
              <w:adjustRightInd w:val="0"/>
              <w:snapToGrid w:val="0"/>
              <w:jc w:val="center"/>
              <w:rPr>
                <w:b/>
                <w:szCs w:val="21"/>
              </w:rPr>
            </w:pPr>
            <w:r>
              <w:rPr>
                <w:rFonts w:hAnsi="宋体"/>
                <w:b/>
                <w:szCs w:val="21"/>
              </w:rPr>
              <w:t>自查情况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8" w:hRule="exact"/>
        </w:trPr>
        <w:tc>
          <w:tcPr>
            <w:tcW w:w="648" w:type="dxa"/>
            <w:vAlign w:val="center"/>
          </w:tcPr>
          <w:p>
            <w:pPr>
              <w:spacing w:line="360" w:lineRule="auto"/>
              <w:jc w:val="center"/>
              <w:rPr>
                <w:szCs w:val="21"/>
              </w:rPr>
            </w:pPr>
            <w:r>
              <w:rPr>
                <w:szCs w:val="21"/>
              </w:rPr>
              <w:t>1</w:t>
            </w:r>
          </w:p>
        </w:tc>
        <w:tc>
          <w:tcPr>
            <w:tcW w:w="4680" w:type="dxa"/>
            <w:vAlign w:val="center"/>
          </w:tcPr>
          <w:p>
            <w:pPr>
              <w:spacing w:line="360" w:lineRule="auto"/>
              <w:rPr>
                <w:b/>
                <w:szCs w:val="21"/>
              </w:rPr>
            </w:pPr>
            <w:r>
              <w:rPr>
                <w:rFonts w:hAnsi="宋体"/>
                <w:szCs w:val="21"/>
              </w:rPr>
              <w:t>投标项目负责人</w:t>
            </w:r>
            <w:r>
              <w:rPr>
                <w:rFonts w:hint="eastAsia" w:hAnsi="宋体"/>
                <w:szCs w:val="21"/>
                <w:lang w:eastAsia="zh-CN"/>
              </w:rPr>
              <w:t>资格要求</w:t>
            </w:r>
            <w:r>
              <w:rPr>
                <w:rFonts w:hAnsi="宋体"/>
                <w:szCs w:val="21"/>
              </w:rPr>
              <w:t>是否符合</w:t>
            </w:r>
          </w:p>
        </w:tc>
        <w:tc>
          <w:tcPr>
            <w:tcW w:w="1080" w:type="dxa"/>
            <w:vAlign w:val="center"/>
          </w:tcPr>
          <w:p>
            <w:pPr>
              <w:spacing w:line="360" w:lineRule="auto"/>
              <w:jc w:val="center"/>
              <w:rPr>
                <w:szCs w:val="21"/>
              </w:rPr>
            </w:pPr>
            <w:r>
              <w:rPr>
                <w:szCs w:val="21"/>
              </w:rPr>
              <w:t>4.1</w:t>
            </w:r>
            <w:r>
              <w:rPr>
                <w:rFonts w:hAnsi="宋体"/>
                <w:szCs w:val="21"/>
              </w:rPr>
              <w:t>（</w:t>
            </w:r>
            <w:r>
              <w:rPr>
                <w:szCs w:val="21"/>
              </w:rPr>
              <w:t>2</w:t>
            </w:r>
            <w:r>
              <w:rPr>
                <w:rFonts w:hAnsi="宋体"/>
                <w:szCs w:val="21"/>
              </w:rPr>
              <w:t>）</w:t>
            </w:r>
          </w:p>
        </w:tc>
        <w:tc>
          <w:tcPr>
            <w:tcW w:w="1440" w:type="dxa"/>
            <w:vAlign w:val="center"/>
          </w:tcPr>
          <w:p>
            <w:pPr>
              <w:spacing w:line="360" w:lineRule="auto"/>
              <w:jc w:val="center"/>
              <w:rPr>
                <w:szCs w:val="21"/>
              </w:rPr>
            </w:pPr>
            <w:r>
              <w:rPr>
                <w:rFonts w:hAnsi="宋体"/>
                <w:szCs w:val="21"/>
              </w:rPr>
              <w:t>是</w:t>
            </w:r>
          </w:p>
        </w:tc>
        <w:tc>
          <w:tcPr>
            <w:tcW w:w="696" w:type="dxa"/>
            <w:vAlign w:val="top"/>
          </w:tcPr>
          <w:p>
            <w:pPr>
              <w:spacing w:line="360" w:lineRule="auto"/>
              <w:jc w:val="center"/>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exact"/>
        </w:trPr>
        <w:tc>
          <w:tcPr>
            <w:tcW w:w="648" w:type="dxa"/>
            <w:vAlign w:val="center"/>
          </w:tcPr>
          <w:p>
            <w:pPr>
              <w:spacing w:line="360" w:lineRule="auto"/>
              <w:jc w:val="center"/>
              <w:rPr>
                <w:rFonts w:hint="eastAsia"/>
                <w:b/>
                <w:szCs w:val="21"/>
              </w:rPr>
            </w:pPr>
            <w:r>
              <w:rPr>
                <w:rFonts w:hint="eastAsia"/>
                <w:b/>
                <w:szCs w:val="21"/>
              </w:rPr>
              <w:t>2</w:t>
            </w:r>
          </w:p>
        </w:tc>
        <w:tc>
          <w:tcPr>
            <w:tcW w:w="4680" w:type="dxa"/>
            <w:vAlign w:val="center"/>
          </w:tcPr>
          <w:p>
            <w:pPr>
              <w:adjustRightInd w:val="0"/>
              <w:snapToGrid w:val="0"/>
              <w:rPr>
                <w:b/>
                <w:szCs w:val="21"/>
              </w:rPr>
            </w:pPr>
            <w:r>
              <w:rPr>
                <w:rFonts w:hAnsi="宋体"/>
                <w:b/>
                <w:szCs w:val="21"/>
              </w:rPr>
              <w:t>项目负责人是否存在同时在两个或者两个以上单位受聘或者执业的情形（仅指项目负责人不得同时是其他单位的公务员或者事业单位在编人员，涉及到其他情形的，投标资格不受影响）</w:t>
            </w:r>
          </w:p>
        </w:tc>
        <w:tc>
          <w:tcPr>
            <w:tcW w:w="1080" w:type="dxa"/>
            <w:vAlign w:val="center"/>
          </w:tcPr>
          <w:p>
            <w:pPr>
              <w:spacing w:line="360" w:lineRule="auto"/>
              <w:jc w:val="center"/>
              <w:rPr>
                <w:rFonts w:hint="eastAsia" w:eastAsia="宋体"/>
                <w:szCs w:val="21"/>
                <w:lang w:eastAsia="zh-CN"/>
              </w:rPr>
            </w:pPr>
            <w:r>
              <w:rPr>
                <w:rFonts w:hint="eastAsia"/>
                <w:szCs w:val="21"/>
                <w:lang w:val="en-US" w:eastAsia="zh-CN"/>
              </w:rPr>
              <w:t>4.4</w:t>
            </w:r>
          </w:p>
        </w:tc>
        <w:tc>
          <w:tcPr>
            <w:tcW w:w="1440" w:type="dxa"/>
            <w:vAlign w:val="center"/>
          </w:tcPr>
          <w:p>
            <w:pPr>
              <w:spacing w:line="360" w:lineRule="auto"/>
              <w:jc w:val="center"/>
              <w:rPr>
                <w:szCs w:val="21"/>
              </w:rPr>
            </w:pPr>
            <w:r>
              <w:rPr>
                <w:rFonts w:hAnsi="宋体"/>
                <w:szCs w:val="21"/>
              </w:rPr>
              <w:t>否</w:t>
            </w:r>
          </w:p>
        </w:tc>
        <w:tc>
          <w:tcPr>
            <w:tcW w:w="696" w:type="dxa"/>
            <w:vAlign w:val="top"/>
          </w:tcPr>
          <w:p>
            <w:pPr>
              <w:spacing w:line="36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7" w:hRule="exact"/>
        </w:trPr>
        <w:tc>
          <w:tcPr>
            <w:tcW w:w="648" w:type="dxa"/>
            <w:vAlign w:val="center"/>
          </w:tcPr>
          <w:p>
            <w:pPr>
              <w:spacing w:line="360" w:lineRule="auto"/>
              <w:jc w:val="center"/>
              <w:rPr>
                <w:rFonts w:hint="eastAsia"/>
                <w:szCs w:val="21"/>
              </w:rPr>
            </w:pPr>
            <w:r>
              <w:rPr>
                <w:rFonts w:hint="eastAsia"/>
                <w:szCs w:val="21"/>
              </w:rPr>
              <w:t>3</w:t>
            </w:r>
          </w:p>
        </w:tc>
        <w:tc>
          <w:tcPr>
            <w:tcW w:w="4680" w:type="dxa"/>
            <w:vAlign w:val="center"/>
          </w:tcPr>
          <w:p>
            <w:pPr>
              <w:spacing w:line="360" w:lineRule="auto"/>
              <w:rPr>
                <w:szCs w:val="21"/>
              </w:rPr>
            </w:pPr>
            <w:r>
              <w:rPr>
                <w:rFonts w:hAnsi="宋体"/>
                <w:szCs w:val="21"/>
              </w:rPr>
              <w:t>投标项目负责人是否被暂停或取消投标资格</w:t>
            </w:r>
          </w:p>
        </w:tc>
        <w:tc>
          <w:tcPr>
            <w:tcW w:w="1080" w:type="dxa"/>
            <w:vAlign w:val="center"/>
          </w:tcPr>
          <w:p>
            <w:pPr>
              <w:spacing w:line="360" w:lineRule="auto"/>
              <w:jc w:val="center"/>
              <w:rPr>
                <w:szCs w:val="21"/>
              </w:rPr>
            </w:pPr>
            <w:r>
              <w:rPr>
                <w:rFonts w:hint="eastAsia"/>
                <w:szCs w:val="21"/>
                <w:lang w:val="en-US" w:eastAsia="zh-CN"/>
              </w:rPr>
              <w:t>4.5</w:t>
            </w:r>
            <w:r>
              <w:rPr>
                <w:rFonts w:hAnsi="宋体"/>
                <w:szCs w:val="21"/>
              </w:rPr>
              <w:t>（</w:t>
            </w:r>
            <w:r>
              <w:rPr>
                <w:szCs w:val="21"/>
              </w:rPr>
              <w:t>10</w:t>
            </w:r>
            <w:r>
              <w:rPr>
                <w:rFonts w:hAnsi="宋体"/>
                <w:szCs w:val="21"/>
              </w:rPr>
              <w:t>）</w:t>
            </w:r>
          </w:p>
        </w:tc>
        <w:tc>
          <w:tcPr>
            <w:tcW w:w="1440" w:type="dxa"/>
            <w:vAlign w:val="center"/>
          </w:tcPr>
          <w:p>
            <w:pPr>
              <w:spacing w:line="360" w:lineRule="auto"/>
              <w:jc w:val="center"/>
              <w:rPr>
                <w:szCs w:val="21"/>
              </w:rPr>
            </w:pPr>
            <w:r>
              <w:rPr>
                <w:rFonts w:hAnsi="宋体"/>
                <w:szCs w:val="21"/>
              </w:rPr>
              <w:t>否</w:t>
            </w:r>
          </w:p>
        </w:tc>
        <w:tc>
          <w:tcPr>
            <w:tcW w:w="696" w:type="dxa"/>
            <w:vAlign w:val="top"/>
          </w:tcPr>
          <w:p>
            <w:pPr>
              <w:spacing w:line="36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7" w:hRule="exact"/>
        </w:trPr>
        <w:tc>
          <w:tcPr>
            <w:tcW w:w="648" w:type="dxa"/>
            <w:vAlign w:val="center"/>
          </w:tcPr>
          <w:p>
            <w:pPr>
              <w:spacing w:line="360" w:lineRule="auto"/>
              <w:jc w:val="center"/>
              <w:rPr>
                <w:rFonts w:hint="eastAsia"/>
                <w:szCs w:val="21"/>
              </w:rPr>
            </w:pPr>
            <w:r>
              <w:rPr>
                <w:rFonts w:hint="eastAsia"/>
                <w:szCs w:val="21"/>
              </w:rPr>
              <w:t>4</w:t>
            </w:r>
          </w:p>
        </w:tc>
        <w:tc>
          <w:tcPr>
            <w:tcW w:w="4680" w:type="dxa"/>
            <w:vAlign w:val="center"/>
          </w:tcPr>
          <w:p>
            <w:pPr>
              <w:adjustRightInd w:val="0"/>
              <w:snapToGrid w:val="0"/>
              <w:rPr>
                <w:szCs w:val="21"/>
              </w:rPr>
            </w:pPr>
            <w:r>
              <w:rPr>
                <w:rFonts w:hAnsi="宋体"/>
                <w:szCs w:val="21"/>
              </w:rPr>
              <w:t>投标项目负责人是否有行贿犯罪记录的（由投标文件提交截止之日上溯</w:t>
            </w:r>
            <w:r>
              <w:rPr>
                <w:szCs w:val="21"/>
              </w:rPr>
              <w:t>3</w:t>
            </w:r>
            <w:r>
              <w:rPr>
                <w:rFonts w:hAnsi="宋体"/>
                <w:szCs w:val="21"/>
              </w:rPr>
              <w:t>年，行贿犯罪记录日期以法院判决生效日期为准）</w:t>
            </w:r>
          </w:p>
        </w:tc>
        <w:tc>
          <w:tcPr>
            <w:tcW w:w="1080" w:type="dxa"/>
            <w:vAlign w:val="center"/>
          </w:tcPr>
          <w:p>
            <w:pPr>
              <w:spacing w:line="360" w:lineRule="auto"/>
              <w:ind w:left="445" w:hanging="445" w:hangingChars="212"/>
              <w:jc w:val="center"/>
              <w:rPr>
                <w:szCs w:val="21"/>
              </w:rPr>
            </w:pPr>
            <w:r>
              <w:rPr>
                <w:rFonts w:hint="eastAsia"/>
                <w:szCs w:val="21"/>
                <w:lang w:val="en-US" w:eastAsia="zh-CN"/>
              </w:rPr>
              <w:t>4.5</w:t>
            </w:r>
            <w:r>
              <w:rPr>
                <w:rFonts w:hAnsi="宋体"/>
                <w:szCs w:val="21"/>
              </w:rPr>
              <w:t>（</w:t>
            </w:r>
            <w:r>
              <w:rPr>
                <w:szCs w:val="21"/>
              </w:rPr>
              <w:t>1</w:t>
            </w:r>
            <w:r>
              <w:rPr>
                <w:rFonts w:hint="eastAsia"/>
                <w:szCs w:val="21"/>
                <w:lang w:val="en-US" w:eastAsia="zh-CN"/>
              </w:rPr>
              <w:t>1</w:t>
            </w:r>
            <w:r>
              <w:rPr>
                <w:rFonts w:hAnsi="宋体"/>
                <w:szCs w:val="21"/>
              </w:rPr>
              <w:t>）</w:t>
            </w:r>
          </w:p>
        </w:tc>
        <w:tc>
          <w:tcPr>
            <w:tcW w:w="1440" w:type="dxa"/>
            <w:vAlign w:val="center"/>
          </w:tcPr>
          <w:p>
            <w:pPr>
              <w:spacing w:line="360" w:lineRule="auto"/>
              <w:jc w:val="center"/>
              <w:rPr>
                <w:szCs w:val="21"/>
              </w:rPr>
            </w:pPr>
            <w:r>
              <w:rPr>
                <w:rFonts w:hAnsi="宋体"/>
                <w:szCs w:val="21"/>
              </w:rPr>
              <w:t>否</w:t>
            </w:r>
          </w:p>
        </w:tc>
        <w:tc>
          <w:tcPr>
            <w:tcW w:w="696" w:type="dxa"/>
            <w:vAlign w:val="top"/>
          </w:tcPr>
          <w:p>
            <w:pPr>
              <w:spacing w:line="360" w:lineRule="auto"/>
              <w:rPr>
                <w:b/>
                <w:szCs w:val="21"/>
              </w:rPr>
            </w:pPr>
          </w:p>
        </w:tc>
      </w:tr>
    </w:tbl>
    <w:p>
      <w:pPr>
        <w:adjustRightInd w:val="0"/>
        <w:snapToGrid w:val="0"/>
        <w:spacing w:line="360" w:lineRule="auto"/>
        <w:rPr>
          <w:szCs w:val="21"/>
        </w:rPr>
      </w:pPr>
    </w:p>
    <w:p>
      <w:pPr>
        <w:adjustRightInd w:val="0"/>
        <w:snapToGrid w:val="0"/>
        <w:spacing w:line="360" w:lineRule="auto"/>
        <w:ind w:firstLine="415" w:firstLineChars="198"/>
        <w:rPr>
          <w:szCs w:val="21"/>
        </w:rPr>
      </w:pPr>
      <w:r>
        <w:rPr>
          <w:rFonts w:hAnsi="宋体"/>
          <w:szCs w:val="21"/>
        </w:rPr>
        <w:t>法定代表人（签字或盖章）：</w:t>
      </w:r>
      <w:r>
        <w:rPr>
          <w:szCs w:val="21"/>
        </w:rPr>
        <w:t xml:space="preserve">           </w:t>
      </w:r>
      <w:r>
        <w:rPr>
          <w:rFonts w:hAnsi="宋体"/>
          <w:szCs w:val="21"/>
        </w:rPr>
        <w:t>项目负责人（</w:t>
      </w:r>
      <w:r>
        <w:rPr>
          <w:rFonts w:hint="eastAsia" w:hAnsi="宋体"/>
          <w:szCs w:val="21"/>
          <w:lang w:eastAsia="zh-CN"/>
        </w:rPr>
        <w:t>签字</w:t>
      </w:r>
      <w:r>
        <w:rPr>
          <w:rFonts w:hAnsi="宋体"/>
          <w:szCs w:val="21"/>
        </w:rPr>
        <w:t>）：</w:t>
      </w:r>
      <w:r>
        <w:rPr>
          <w:szCs w:val="21"/>
        </w:rPr>
        <w:t xml:space="preserve">     </w:t>
      </w:r>
    </w:p>
    <w:p>
      <w:pPr>
        <w:adjustRightInd w:val="0"/>
        <w:snapToGrid w:val="0"/>
        <w:spacing w:line="586" w:lineRule="exact"/>
        <w:ind w:right="640" w:firstLine="4200" w:firstLineChars="2000"/>
        <w:rPr>
          <w:szCs w:val="21"/>
        </w:rPr>
      </w:pPr>
      <w:r>
        <w:rPr>
          <w:rFonts w:hAnsi="宋体"/>
          <w:szCs w:val="21"/>
        </w:rPr>
        <w:t>投</w:t>
      </w:r>
      <w:r>
        <w:rPr>
          <w:szCs w:val="21"/>
        </w:rPr>
        <w:t xml:space="preserve">  </w:t>
      </w:r>
      <w:r>
        <w:rPr>
          <w:rFonts w:hAnsi="宋体"/>
          <w:szCs w:val="21"/>
        </w:rPr>
        <w:t>标</w:t>
      </w:r>
      <w:r>
        <w:rPr>
          <w:szCs w:val="21"/>
        </w:rPr>
        <w:t xml:space="preserve">  </w:t>
      </w:r>
      <w:r>
        <w:rPr>
          <w:rFonts w:hAnsi="宋体"/>
          <w:szCs w:val="21"/>
        </w:rPr>
        <w:t>人（盖章）：</w:t>
      </w:r>
      <w:r>
        <w:rPr>
          <w:szCs w:val="21"/>
        </w:rPr>
        <w:t xml:space="preserve">              </w:t>
      </w:r>
    </w:p>
    <w:p>
      <w:pPr>
        <w:adjustRightInd w:val="0"/>
        <w:snapToGrid w:val="0"/>
        <w:spacing w:line="586" w:lineRule="exact"/>
        <w:ind w:right="640" w:firstLine="4200" w:firstLineChars="2000"/>
        <w:rPr>
          <w:rFonts w:hint="eastAsia" w:hAnsi="宋体"/>
          <w:szCs w:val="21"/>
        </w:rPr>
      </w:pPr>
      <w:r>
        <w:rPr>
          <w:rFonts w:hAnsi="宋体"/>
          <w:szCs w:val="21"/>
        </w:rPr>
        <w:t>年</w:t>
      </w:r>
      <w:r>
        <w:rPr>
          <w:szCs w:val="21"/>
        </w:rPr>
        <w:t xml:space="preserve">    </w:t>
      </w:r>
      <w:r>
        <w:rPr>
          <w:rFonts w:hAnsi="宋体"/>
          <w:szCs w:val="21"/>
        </w:rPr>
        <w:t>月</w:t>
      </w:r>
      <w:r>
        <w:rPr>
          <w:szCs w:val="21"/>
        </w:rPr>
        <w:t xml:space="preserve">    </w:t>
      </w:r>
      <w:r>
        <w:rPr>
          <w:rFonts w:hAnsi="宋体"/>
          <w:szCs w:val="21"/>
        </w:rPr>
        <w:t>日</w:t>
      </w:r>
    </w:p>
    <w:p>
      <w:pPr>
        <w:adjustRightInd w:val="0"/>
        <w:snapToGrid w:val="0"/>
        <w:spacing w:line="586" w:lineRule="exact"/>
        <w:ind w:right="640" w:firstLine="4200" w:firstLineChars="2000"/>
        <w:rPr>
          <w:rFonts w:hint="eastAsia" w:hAnsi="宋体"/>
          <w:szCs w:val="21"/>
        </w:rPr>
      </w:pPr>
    </w:p>
    <w:p>
      <w:pPr>
        <w:adjustRightInd w:val="0"/>
        <w:snapToGrid w:val="0"/>
        <w:spacing w:line="586" w:lineRule="exact"/>
        <w:ind w:right="640" w:firstLine="4200" w:firstLineChars="2000"/>
        <w:rPr>
          <w:rFonts w:hint="eastAsia" w:hAnsi="宋体"/>
          <w:szCs w:val="21"/>
        </w:rPr>
      </w:pPr>
    </w:p>
    <w:p>
      <w:pPr>
        <w:adjustRightInd w:val="0"/>
        <w:snapToGrid w:val="0"/>
        <w:spacing w:line="586" w:lineRule="exact"/>
        <w:ind w:right="640" w:firstLine="4200" w:firstLineChars="2000"/>
        <w:rPr>
          <w:rFonts w:hint="eastAsia" w:hAnsi="宋体"/>
          <w:szCs w:val="21"/>
        </w:rPr>
      </w:pPr>
    </w:p>
    <w:p>
      <w:pPr>
        <w:pStyle w:val="15"/>
        <w:jc w:val="both"/>
        <w:rPr>
          <w:rFonts w:ascii="Times New Roman" w:hAnsi="Times New Roman"/>
          <w:color w:val="000000"/>
        </w:rPr>
      </w:pPr>
      <w:bookmarkStart w:id="186" w:name="_Toc236"/>
      <w:bookmarkStart w:id="187" w:name="_Toc26772"/>
      <w:bookmarkStart w:id="188" w:name="_Toc24432"/>
    </w:p>
    <w:p>
      <w:pPr>
        <w:pStyle w:val="15"/>
        <w:jc w:val="both"/>
        <w:rPr>
          <w:rFonts w:ascii="Times New Roman" w:hAnsi="Times New Roman" w:cs="Times New Roman"/>
          <w:b w:val="0"/>
          <w:bCs w:val="0"/>
          <w:sz w:val="21"/>
          <w:szCs w:val="21"/>
        </w:rPr>
      </w:pPr>
    </w:p>
    <w:p>
      <w:pPr>
        <w:pStyle w:val="15"/>
        <w:keepNext w:val="0"/>
        <w:keepLines w:val="0"/>
        <w:pageBreakBefore/>
        <w:widowControl w:val="0"/>
        <w:kinsoku/>
        <w:wordWrap/>
        <w:overflowPunct/>
        <w:topLinePunct w:val="0"/>
        <w:autoSpaceDE/>
        <w:autoSpaceDN/>
        <w:bidi w:val="0"/>
        <w:adjustRightInd/>
        <w:snapToGrid/>
        <w:spacing w:before="240" w:after="60" w:line="240" w:lineRule="auto"/>
        <w:ind w:left="0" w:leftChars="0" w:right="0" w:rightChars="0" w:firstLine="0" w:firstLineChars="0"/>
        <w:jc w:val="both"/>
        <w:textAlignment w:val="auto"/>
        <w:outlineLvl w:val="0"/>
        <w:rPr>
          <w:rFonts w:ascii="Times New Roman" w:hAnsi="Times New Roman" w:cs="Times New Roman"/>
          <w:b w:val="0"/>
          <w:bCs w:val="0"/>
          <w:sz w:val="21"/>
          <w:szCs w:val="21"/>
        </w:rPr>
      </w:pPr>
      <w:r>
        <w:rPr>
          <w:rFonts w:ascii="Times New Roman" w:hAnsi="Times New Roman" w:cs="Times New Roman"/>
          <w:b w:val="0"/>
          <w:bCs w:val="0"/>
          <w:sz w:val="21"/>
          <w:szCs w:val="21"/>
        </w:rPr>
        <w:t>附件</w:t>
      </w:r>
      <w:r>
        <w:rPr>
          <w:rFonts w:hint="eastAsia" w:ascii="Times New Roman" w:hAnsi="Times New Roman" w:cs="Times New Roman"/>
          <w:b w:val="0"/>
          <w:bCs w:val="0"/>
          <w:sz w:val="21"/>
          <w:szCs w:val="21"/>
          <w:lang w:val="en-US" w:eastAsia="zh-CN"/>
        </w:rPr>
        <w:t>八</w:t>
      </w:r>
      <w:r>
        <w:rPr>
          <w:rFonts w:ascii="Times New Roman" w:hAnsi="Times New Roman" w:cs="Times New Roman"/>
          <w:b w:val="0"/>
          <w:bCs w:val="0"/>
          <w:sz w:val="21"/>
          <w:szCs w:val="21"/>
        </w:rPr>
        <w:t>：</w:t>
      </w:r>
      <w:bookmarkEnd w:id="176"/>
      <w:bookmarkEnd w:id="177"/>
      <w:bookmarkEnd w:id="178"/>
      <w:bookmarkEnd w:id="179"/>
      <w:bookmarkEnd w:id="186"/>
      <w:bookmarkEnd w:id="187"/>
      <w:bookmarkEnd w:id="188"/>
    </w:p>
    <w:p>
      <w:pPr>
        <w:spacing w:before="120" w:beforeLines="50" w:after="120" w:afterLines="50" w:line="360" w:lineRule="auto"/>
        <w:jc w:val="center"/>
        <w:rPr>
          <w:rFonts w:eastAsia="黑体"/>
          <w:b/>
          <w:szCs w:val="32"/>
        </w:rPr>
      </w:pPr>
      <w:r>
        <w:rPr>
          <w:rFonts w:eastAsia="黑体"/>
          <w:b/>
          <w:szCs w:val="32"/>
        </w:rPr>
        <w:t>法定代表人授权委托书</w:t>
      </w:r>
    </w:p>
    <w:p>
      <w:pPr>
        <w:adjustRightInd w:val="0"/>
        <w:snapToGrid w:val="0"/>
        <w:spacing w:line="360" w:lineRule="auto"/>
        <w:jc w:val="center"/>
        <w:rPr>
          <w:sz w:val="24"/>
          <w:szCs w:val="24"/>
        </w:rPr>
      </w:pPr>
      <w:r>
        <w:rPr>
          <w:sz w:val="24"/>
          <w:szCs w:val="24"/>
        </w:rPr>
        <w:t>（参考样张）</w:t>
      </w:r>
    </w:p>
    <w:p>
      <w:pPr>
        <w:adjustRightInd w:val="0"/>
        <w:snapToGrid w:val="0"/>
        <w:spacing w:line="640" w:lineRule="exact"/>
        <w:ind w:firstLine="420" w:firstLineChars="200"/>
        <w:rPr>
          <w:szCs w:val="21"/>
        </w:rPr>
      </w:pPr>
      <w:r>
        <w:rPr>
          <w:szCs w:val="21"/>
        </w:rPr>
        <w:t>本授权委托书声明：我</w:t>
      </w:r>
      <w:r>
        <w:rPr>
          <w:szCs w:val="21"/>
          <w:u w:val="single"/>
        </w:rPr>
        <w:t xml:space="preserve">     </w:t>
      </w:r>
      <w:r>
        <w:rPr>
          <w:rFonts w:hint="eastAsia"/>
          <w:szCs w:val="21"/>
          <w:u w:val="single"/>
        </w:rPr>
        <w:t xml:space="preserve">   </w:t>
      </w:r>
      <w:r>
        <w:rPr>
          <w:szCs w:val="21"/>
          <w:u w:val="single"/>
        </w:rPr>
        <w:t xml:space="preserve">    </w:t>
      </w:r>
      <w:r>
        <w:rPr>
          <w:szCs w:val="21"/>
        </w:rPr>
        <w:t>（姓名）系</w:t>
      </w:r>
      <w:r>
        <w:rPr>
          <w:szCs w:val="21"/>
          <w:u w:val="single"/>
        </w:rPr>
        <w:t xml:space="preserve">        </w:t>
      </w:r>
      <w:r>
        <w:rPr>
          <w:rFonts w:hint="eastAsia"/>
          <w:szCs w:val="21"/>
          <w:u w:val="single"/>
        </w:rPr>
        <w:t xml:space="preserve">  </w:t>
      </w:r>
      <w:r>
        <w:rPr>
          <w:szCs w:val="21"/>
          <w:u w:val="single"/>
        </w:rPr>
        <w:t xml:space="preserve">               </w:t>
      </w:r>
      <w:r>
        <w:rPr>
          <w:szCs w:val="21"/>
        </w:rPr>
        <w:t>（投标人）的法定代表人，现授权委托我单位</w:t>
      </w:r>
      <w:r>
        <w:rPr>
          <w:szCs w:val="21"/>
          <w:u w:val="single"/>
        </w:rPr>
        <w:t xml:space="preserve">     </w:t>
      </w:r>
      <w:r>
        <w:rPr>
          <w:rFonts w:hint="eastAsia"/>
          <w:szCs w:val="21"/>
          <w:u w:val="single"/>
        </w:rPr>
        <w:t xml:space="preserve">    </w:t>
      </w:r>
      <w:r>
        <w:rPr>
          <w:szCs w:val="21"/>
          <w:u w:val="single"/>
        </w:rPr>
        <w:t xml:space="preserve">   </w:t>
      </w:r>
      <w:r>
        <w:rPr>
          <w:szCs w:val="21"/>
        </w:rPr>
        <w:t>（姓名）为我的代理人，以本单位的名义参加</w:t>
      </w:r>
      <w:r>
        <w:rPr>
          <w:rFonts w:hint="eastAsia"/>
          <w:szCs w:val="21"/>
          <w:u w:val="single"/>
          <w:lang w:eastAsia="zh-CN"/>
        </w:rPr>
        <w:t>玉环海洋经济开发投资有限公司</w:t>
      </w:r>
      <w:r>
        <w:rPr>
          <w:szCs w:val="21"/>
        </w:rPr>
        <w:t>（招标人）的</w:t>
      </w:r>
      <w:r>
        <w:rPr>
          <w:rFonts w:hint="eastAsia"/>
          <w:szCs w:val="21"/>
          <w:u w:val="single"/>
          <w:lang w:eastAsia="zh-CN"/>
        </w:rPr>
        <w:t xml:space="preserve"> 玉环海洋经济转型升级示范区2018年度绿化养护工程 （茶山路、永清路、靖海路等）</w:t>
      </w:r>
      <w:r>
        <w:rPr>
          <w:szCs w:val="21"/>
        </w:rPr>
        <w:t>（</w:t>
      </w:r>
      <w:r>
        <w:rPr>
          <w:rFonts w:hint="eastAsia"/>
          <w:szCs w:val="21"/>
          <w:lang w:val="en-US" w:eastAsia="zh-CN"/>
        </w:rPr>
        <w:t>项目</w:t>
      </w:r>
      <w:r>
        <w:rPr>
          <w:szCs w:val="21"/>
        </w:rPr>
        <w:t>名称）的投标。代理人在该工程招投标活动中的一切事务，我均予以承认。</w:t>
      </w:r>
    </w:p>
    <w:p>
      <w:pPr>
        <w:adjustRightInd w:val="0"/>
        <w:snapToGrid w:val="0"/>
        <w:spacing w:line="640" w:lineRule="exact"/>
        <w:ind w:firstLine="420" w:firstLineChars="200"/>
        <w:rPr>
          <w:szCs w:val="21"/>
        </w:rPr>
      </w:pPr>
      <w:r>
        <w:rPr>
          <w:szCs w:val="21"/>
        </w:rPr>
        <w:t>代理人无转委权，特此委托。</w:t>
      </w:r>
    </w:p>
    <w:p>
      <w:pPr>
        <w:adjustRightInd w:val="0"/>
        <w:snapToGrid w:val="0"/>
        <w:spacing w:before="120" w:beforeLines="50" w:line="360" w:lineRule="auto"/>
        <w:rPr>
          <w:sz w:val="28"/>
        </w:rPr>
      </w:pPr>
    </w:p>
    <w:p>
      <w:pPr>
        <w:adjustRightInd w:val="0"/>
        <w:snapToGrid w:val="0"/>
        <w:spacing w:before="120" w:beforeLines="50" w:line="360" w:lineRule="auto"/>
        <w:rPr>
          <w:sz w:val="28"/>
        </w:rPr>
      </w:pPr>
    </w:p>
    <w:p>
      <w:pPr>
        <w:adjustRightInd w:val="0"/>
        <w:snapToGrid w:val="0"/>
        <w:spacing w:before="120" w:beforeLines="50" w:line="360" w:lineRule="auto"/>
        <w:rPr>
          <w:sz w:val="28"/>
        </w:rPr>
      </w:pPr>
    </w:p>
    <w:p>
      <w:pPr>
        <w:adjustRightInd w:val="0"/>
        <w:snapToGrid w:val="0"/>
        <w:spacing w:before="120" w:beforeLines="50" w:line="560" w:lineRule="exact"/>
        <w:rPr>
          <w:szCs w:val="21"/>
        </w:rPr>
      </w:pPr>
      <w:r>
        <w:rPr>
          <w:szCs w:val="21"/>
        </w:rPr>
        <w:t>投标人（盖章）：</w:t>
      </w:r>
      <w:r>
        <w:rPr>
          <w:szCs w:val="21"/>
          <w:u w:val="single"/>
        </w:rPr>
        <w:t xml:space="preserve">                                         </w:t>
      </w:r>
    </w:p>
    <w:p>
      <w:pPr>
        <w:adjustRightInd w:val="0"/>
        <w:snapToGrid w:val="0"/>
        <w:spacing w:before="120" w:beforeLines="50" w:line="560" w:lineRule="exact"/>
        <w:rPr>
          <w:szCs w:val="21"/>
        </w:rPr>
      </w:pPr>
      <w:r>
        <w:rPr>
          <w:szCs w:val="21"/>
        </w:rPr>
        <w:t>法定代表人（盖章）：</w:t>
      </w:r>
      <w:r>
        <w:rPr>
          <w:szCs w:val="21"/>
          <w:u w:val="single"/>
        </w:rPr>
        <w:t xml:space="preserve">                                     </w:t>
      </w:r>
    </w:p>
    <w:p>
      <w:pPr>
        <w:adjustRightInd w:val="0"/>
        <w:snapToGrid w:val="0"/>
        <w:spacing w:before="120" w:beforeLines="50" w:line="560" w:lineRule="exact"/>
        <w:rPr>
          <w:szCs w:val="21"/>
          <w:u w:val="single"/>
        </w:rPr>
      </w:pPr>
      <w:r>
        <w:rPr>
          <w:szCs w:val="21"/>
        </w:rPr>
        <w:t>代理人：</w:t>
      </w:r>
      <w:r>
        <w:rPr>
          <w:szCs w:val="21"/>
          <w:u w:val="single"/>
        </w:rPr>
        <w:t xml:space="preserve">              </w:t>
      </w:r>
      <w:r>
        <w:rPr>
          <w:szCs w:val="21"/>
        </w:rPr>
        <w:t>性别：</w:t>
      </w:r>
      <w:r>
        <w:rPr>
          <w:szCs w:val="21"/>
          <w:u w:val="single"/>
        </w:rPr>
        <w:t xml:space="preserve">              </w:t>
      </w:r>
      <w:r>
        <w:rPr>
          <w:szCs w:val="21"/>
        </w:rPr>
        <w:t>年龄</w:t>
      </w:r>
      <w:r>
        <w:rPr>
          <w:rFonts w:hint="eastAsia"/>
          <w:szCs w:val="21"/>
          <w:lang w:eastAsia="zh-CN"/>
        </w:rPr>
        <w:t>：</w:t>
      </w:r>
      <w:r>
        <w:rPr>
          <w:szCs w:val="21"/>
          <w:u w:val="single"/>
        </w:rPr>
        <w:t xml:space="preserve">          </w:t>
      </w:r>
    </w:p>
    <w:p>
      <w:pPr>
        <w:adjustRightInd w:val="0"/>
        <w:snapToGrid w:val="0"/>
        <w:spacing w:before="120" w:beforeLines="50" w:line="560" w:lineRule="exact"/>
        <w:rPr>
          <w:szCs w:val="21"/>
          <w:u w:val="single"/>
        </w:rPr>
      </w:pPr>
      <w:r>
        <w:rPr>
          <w:szCs w:val="21"/>
        </w:rPr>
        <w:t>身份证号码：</w:t>
      </w:r>
      <w:r>
        <w:rPr>
          <w:szCs w:val="21"/>
          <w:u w:val="single"/>
        </w:rPr>
        <w:t xml:space="preserve">                  </w:t>
      </w:r>
      <w:r>
        <w:rPr>
          <w:szCs w:val="21"/>
        </w:rPr>
        <w:t>职务：</w:t>
      </w:r>
      <w:r>
        <w:rPr>
          <w:szCs w:val="21"/>
          <w:u w:val="single"/>
        </w:rPr>
        <w:t xml:space="preserve">                    </w:t>
      </w:r>
    </w:p>
    <w:p>
      <w:pPr>
        <w:adjustRightInd w:val="0"/>
        <w:snapToGrid w:val="0"/>
        <w:spacing w:before="120" w:beforeLines="50" w:line="560" w:lineRule="exact"/>
        <w:rPr>
          <w:szCs w:val="21"/>
        </w:rPr>
      </w:pPr>
      <w:r>
        <w:rPr>
          <w:szCs w:val="21"/>
        </w:rPr>
        <w:t>授权委托日期：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pPr>
        <w:pStyle w:val="15"/>
        <w:jc w:val="both"/>
        <w:rPr>
          <w:rFonts w:hint="eastAsia" w:ascii="Times New Roman" w:hAnsi="Times New Roman" w:cs="Times New Roman"/>
        </w:rPr>
      </w:pPr>
    </w:p>
    <w:p>
      <w:pPr>
        <w:pStyle w:val="15"/>
        <w:jc w:val="both"/>
        <w:rPr>
          <w:rFonts w:hint="eastAsia" w:ascii="Times New Roman" w:hAnsi="Times New Roman" w:cs="Times New Roman"/>
        </w:rPr>
      </w:pPr>
    </w:p>
    <w:p>
      <w:pPr>
        <w:pStyle w:val="15"/>
        <w:jc w:val="both"/>
        <w:rPr>
          <w:rFonts w:hint="eastAsia" w:ascii="Times New Roman" w:hAnsi="Times New Roman" w:cs="Times New Roman"/>
        </w:rPr>
      </w:pPr>
    </w:p>
    <w:p>
      <w:pPr>
        <w:pStyle w:val="15"/>
        <w:jc w:val="both"/>
        <w:rPr>
          <w:rFonts w:hint="eastAsia" w:ascii="Times New Roman" w:hAnsi="Times New Roman" w:cs="Times New Roman"/>
        </w:rPr>
      </w:pPr>
    </w:p>
    <w:p>
      <w:pPr>
        <w:pStyle w:val="15"/>
        <w:jc w:val="both"/>
        <w:rPr>
          <w:rFonts w:hint="eastAsia" w:ascii="Times New Roman" w:hAnsi="Times New Roman" w:cs="Times New Roman"/>
        </w:rPr>
      </w:pPr>
    </w:p>
    <w:p>
      <w:pPr>
        <w:pStyle w:val="15"/>
        <w:jc w:val="both"/>
        <w:rPr>
          <w:rFonts w:hint="eastAsia" w:ascii="Times New Roman" w:hAnsi="Times New Roman" w:cs="Times New Roman"/>
          <w:b w:val="0"/>
          <w:bCs w:val="0"/>
          <w:sz w:val="21"/>
          <w:szCs w:val="21"/>
        </w:rPr>
      </w:pPr>
    </w:p>
    <w:p>
      <w:pPr>
        <w:pStyle w:val="15"/>
        <w:jc w:val="both"/>
        <w:rPr>
          <w:rFonts w:hint="eastAsia" w:ascii="Times New Roman" w:hAnsi="Times New Roman" w:cs="Times New Roman"/>
          <w:b w:val="0"/>
          <w:bCs w:val="0"/>
          <w:sz w:val="21"/>
          <w:szCs w:val="21"/>
        </w:rPr>
      </w:pPr>
    </w:p>
    <w:p>
      <w:pPr>
        <w:pStyle w:val="15"/>
        <w:jc w:val="both"/>
        <w:rPr>
          <w:rFonts w:hint="eastAsia" w:ascii="Times New Roman" w:hAnsi="Times New Roman" w:cs="Times New Roman"/>
          <w:b w:val="0"/>
          <w:bCs w:val="0"/>
          <w:sz w:val="21"/>
          <w:szCs w:val="21"/>
        </w:rPr>
      </w:pPr>
      <w:bookmarkStart w:id="189" w:name="_Toc550"/>
      <w:bookmarkStart w:id="190" w:name="_Toc12357"/>
      <w:r>
        <w:rPr>
          <w:rFonts w:hint="eastAsia" w:ascii="Times New Roman" w:hAnsi="Times New Roman" w:cs="Times New Roman"/>
          <w:b w:val="0"/>
          <w:bCs w:val="0"/>
          <w:sz w:val="21"/>
          <w:szCs w:val="21"/>
        </w:rPr>
        <w:t>附件</w:t>
      </w:r>
      <w:r>
        <w:rPr>
          <w:rFonts w:hint="eastAsia" w:ascii="Times New Roman" w:hAnsi="Times New Roman" w:cs="Times New Roman"/>
          <w:b w:val="0"/>
          <w:bCs w:val="0"/>
          <w:sz w:val="21"/>
          <w:szCs w:val="21"/>
          <w:lang w:val="en-US" w:eastAsia="zh-CN"/>
        </w:rPr>
        <w:t>九</w:t>
      </w:r>
      <w:r>
        <w:rPr>
          <w:rFonts w:hint="eastAsia" w:ascii="Times New Roman" w:hAnsi="Times New Roman" w:cs="Times New Roman"/>
          <w:b w:val="0"/>
          <w:bCs w:val="0"/>
          <w:sz w:val="21"/>
          <w:szCs w:val="21"/>
        </w:rPr>
        <w:t>：</w:t>
      </w:r>
      <w:bookmarkEnd w:id="189"/>
      <w:bookmarkEnd w:id="190"/>
    </w:p>
    <w:p>
      <w:pPr>
        <w:spacing w:before="120" w:beforeLines="50" w:after="120" w:afterLines="50" w:line="360" w:lineRule="auto"/>
        <w:jc w:val="center"/>
        <w:rPr>
          <w:rFonts w:hint="eastAsia" w:eastAsia="黑体"/>
          <w:b/>
          <w:sz w:val="32"/>
          <w:szCs w:val="32"/>
        </w:rPr>
      </w:pPr>
      <w:r>
        <w:rPr>
          <w:rFonts w:hint="eastAsia" w:eastAsia="黑体"/>
          <w:b/>
          <w:sz w:val="32"/>
          <w:szCs w:val="32"/>
        </w:rPr>
        <w:t>相关证书复印件</w:t>
      </w:r>
    </w:p>
    <w:p>
      <w:pPr>
        <w:spacing w:before="120" w:beforeLines="50" w:after="120" w:afterLines="50" w:line="360" w:lineRule="auto"/>
        <w:jc w:val="center"/>
        <w:rPr>
          <w:rFonts w:hint="eastAsia" w:eastAsia="黑体"/>
          <w:b/>
          <w:szCs w:val="32"/>
        </w:rPr>
      </w:pPr>
    </w:p>
    <w:p>
      <w:pPr>
        <w:adjustRightInd w:val="0"/>
        <w:snapToGrid w:val="0"/>
        <w:spacing w:before="120" w:beforeLines="50" w:line="360" w:lineRule="auto"/>
        <w:ind w:firstLine="480" w:firstLineChars="200"/>
        <w:rPr>
          <w:rFonts w:eastAsia="宋体"/>
          <w:sz w:val="24"/>
          <w:szCs w:val="24"/>
        </w:rPr>
      </w:pPr>
      <w:r>
        <w:rPr>
          <w:rFonts w:hint="eastAsia"/>
          <w:sz w:val="24"/>
          <w:szCs w:val="24"/>
          <w:lang w:val="en-US" w:eastAsia="zh-CN"/>
        </w:rPr>
        <w:t>1</w:t>
      </w:r>
      <w:r>
        <w:rPr>
          <w:rFonts w:hint="eastAsia" w:eastAsia="宋体"/>
          <w:sz w:val="24"/>
          <w:szCs w:val="24"/>
        </w:rPr>
        <w:t>、</w:t>
      </w:r>
      <w:r>
        <w:rPr>
          <w:rFonts w:hint="eastAsia" w:ascii="宋体" w:hAnsi="宋体" w:eastAsia="宋体" w:cs="Times New Roman"/>
          <w:sz w:val="21"/>
          <w:szCs w:val="21"/>
          <w:lang w:val="en-US" w:eastAsia="zh-CN" w:bidi="ar"/>
        </w:rPr>
        <w:t>企业资质证书</w:t>
      </w:r>
      <w:r>
        <w:rPr>
          <w:rFonts w:hint="eastAsia" w:ascii="宋体" w:hAnsi="宋体" w:cs="Times New Roman"/>
          <w:sz w:val="21"/>
          <w:szCs w:val="21"/>
          <w:lang w:val="en-US" w:eastAsia="zh-CN" w:bidi="ar"/>
        </w:rPr>
        <w:t>复印件</w:t>
      </w:r>
      <w:r>
        <w:rPr>
          <w:rFonts w:hint="eastAsia" w:ascii="宋体" w:hAnsi="宋体" w:eastAsia="宋体" w:cs="Times New Roman"/>
          <w:sz w:val="21"/>
          <w:szCs w:val="21"/>
          <w:lang w:val="en-US" w:eastAsia="zh-CN" w:bidi="ar"/>
        </w:rPr>
        <w:t>（或营业执照副本</w:t>
      </w:r>
      <w:r>
        <w:rPr>
          <w:rFonts w:hint="eastAsia" w:ascii="宋体" w:hAnsi="宋体" w:cs="Times New Roman"/>
          <w:sz w:val="21"/>
          <w:szCs w:val="21"/>
          <w:lang w:val="en-US" w:eastAsia="zh-CN" w:bidi="ar"/>
        </w:rPr>
        <w:t>复印件</w:t>
      </w:r>
      <w:r>
        <w:rPr>
          <w:rFonts w:hint="eastAsia" w:ascii="宋体" w:hAnsi="宋体" w:eastAsia="宋体" w:cs="Times New Roman"/>
          <w:sz w:val="21"/>
          <w:szCs w:val="21"/>
          <w:lang w:val="en-US" w:eastAsia="zh-CN" w:bidi="ar"/>
        </w:rPr>
        <w:t>）</w:t>
      </w:r>
      <w:r>
        <w:rPr>
          <w:rFonts w:hint="eastAsia" w:eastAsia="宋体"/>
          <w:sz w:val="24"/>
          <w:szCs w:val="24"/>
        </w:rPr>
        <w:t>；</w:t>
      </w:r>
    </w:p>
    <w:p>
      <w:pPr>
        <w:adjustRightInd w:val="0"/>
        <w:snapToGrid w:val="0"/>
        <w:spacing w:before="120" w:beforeLines="50" w:line="360" w:lineRule="auto"/>
        <w:ind w:firstLine="525" w:firstLineChars="250"/>
        <w:rPr>
          <w:rFonts w:hint="eastAsia" w:ascii="宋体" w:hAnsi="宋体" w:cs="Times New Roman"/>
          <w:sz w:val="21"/>
          <w:szCs w:val="21"/>
          <w:lang w:val="en-US" w:eastAsia="zh-CN" w:bidi="ar"/>
        </w:rPr>
      </w:pPr>
      <w:r>
        <w:rPr>
          <w:rFonts w:hint="eastAsia" w:ascii="宋体" w:hAnsi="宋体" w:cs="Times New Roman"/>
          <w:sz w:val="21"/>
          <w:szCs w:val="21"/>
          <w:lang w:val="en-US" w:eastAsia="zh-CN" w:bidi="ar"/>
        </w:rPr>
        <w:t>2、项目负责人身份证或职称证书复印件；</w:t>
      </w:r>
    </w:p>
    <w:p>
      <w:pPr>
        <w:adjustRightInd w:val="0"/>
        <w:snapToGrid w:val="0"/>
        <w:spacing w:before="120" w:beforeLines="50" w:line="360" w:lineRule="auto"/>
        <w:ind w:firstLine="525" w:firstLineChars="250"/>
        <w:rPr>
          <w:rFonts w:hint="eastAsia" w:ascii="宋体" w:hAnsi="宋体" w:cs="Times New Roman"/>
          <w:sz w:val="21"/>
          <w:szCs w:val="21"/>
          <w:lang w:val="en-US" w:eastAsia="zh-CN" w:bidi="ar"/>
        </w:rPr>
      </w:pPr>
      <w:r>
        <w:rPr>
          <w:rFonts w:hint="eastAsia" w:ascii="宋体" w:hAnsi="宋体" w:cs="Times New Roman"/>
          <w:sz w:val="21"/>
          <w:szCs w:val="21"/>
          <w:lang w:val="en-US" w:eastAsia="zh-CN" w:bidi="ar"/>
        </w:rPr>
        <w:t>3、</w:t>
      </w:r>
      <w:r>
        <w:rPr>
          <w:rFonts w:hint="eastAsia" w:ascii="Times New Roman" w:cs="Times New Roman"/>
          <w:color w:val="auto"/>
          <w:kern w:val="0"/>
          <w:sz w:val="21"/>
          <w:szCs w:val="21"/>
          <w:lang w:val="en-US" w:eastAsia="zh-CN" w:bidi="ar-SA"/>
        </w:rPr>
        <w:t>园林绿化养护业绩或园林绿化施工业绩</w:t>
      </w:r>
      <w:r>
        <w:rPr>
          <w:rFonts w:hint="eastAsia" w:cs="Times New Roman"/>
          <w:color w:val="auto"/>
          <w:kern w:val="0"/>
          <w:sz w:val="21"/>
          <w:szCs w:val="21"/>
          <w:lang w:val="en-US" w:eastAsia="zh-CN" w:bidi="ar-SA"/>
        </w:rPr>
        <w:t>的复印件</w:t>
      </w:r>
      <w:r>
        <w:rPr>
          <w:rFonts w:hint="eastAsia" w:ascii="宋体" w:hAnsi="宋体" w:cs="Times New Roman"/>
          <w:sz w:val="21"/>
          <w:szCs w:val="21"/>
          <w:lang w:val="en-US" w:eastAsia="zh-CN" w:bidi="ar"/>
        </w:rPr>
        <w:t>。</w:t>
      </w:r>
    </w:p>
    <w:p>
      <w:pPr>
        <w:adjustRightInd w:val="0"/>
        <w:snapToGrid w:val="0"/>
        <w:spacing w:before="120" w:beforeLines="50" w:line="360" w:lineRule="auto"/>
        <w:ind w:firstLine="527" w:firstLineChars="250"/>
        <w:rPr>
          <w:rFonts w:hint="eastAsia" w:ascii="宋体" w:hAnsi="宋体" w:cs="Times New Roman"/>
          <w:b/>
          <w:bCs/>
          <w:sz w:val="21"/>
          <w:szCs w:val="21"/>
          <w:lang w:val="en-US" w:eastAsia="zh-CN" w:bidi="ar"/>
        </w:rPr>
      </w:pPr>
      <w:r>
        <w:rPr>
          <w:rFonts w:hint="eastAsia" w:ascii="宋体" w:hAnsi="宋体" w:cs="Times New Roman"/>
          <w:b/>
          <w:bCs/>
          <w:sz w:val="21"/>
          <w:szCs w:val="21"/>
          <w:lang w:val="en-US" w:eastAsia="zh-CN" w:bidi="ar"/>
        </w:rPr>
        <w:t>注：复印件均须加盖投标单位公章</w:t>
      </w:r>
    </w:p>
    <w:p>
      <w:pPr>
        <w:adjustRightInd w:val="0"/>
        <w:snapToGrid w:val="0"/>
        <w:spacing w:before="120" w:beforeLines="50" w:line="360" w:lineRule="auto"/>
        <w:ind w:firstLine="527" w:firstLineChars="250"/>
        <w:rPr>
          <w:rFonts w:hint="eastAsia" w:ascii="宋体" w:hAnsi="宋体" w:cs="Times New Roman"/>
          <w:b/>
          <w:bCs/>
          <w:sz w:val="21"/>
          <w:szCs w:val="21"/>
          <w:lang w:val="en-US" w:eastAsia="zh-CN" w:bidi="ar"/>
        </w:rPr>
      </w:pPr>
      <w:r>
        <w:rPr>
          <w:rFonts w:hint="eastAsia" w:ascii="宋体" w:hAnsi="宋体" w:cs="Times New Roman"/>
          <w:b/>
          <w:bCs/>
          <w:sz w:val="21"/>
          <w:szCs w:val="21"/>
          <w:lang w:val="en-US" w:eastAsia="zh-CN" w:bidi="ar"/>
        </w:rPr>
        <w:br w:type="page"/>
      </w:r>
    </w:p>
    <w:p>
      <w:pPr>
        <w:pStyle w:val="15"/>
        <w:jc w:val="both"/>
        <w:rPr>
          <w:rFonts w:hint="eastAsia" w:ascii="Times New Roman" w:hAnsi="Times New Roman" w:cs="Times New Roman"/>
          <w:b w:val="0"/>
          <w:bCs w:val="0"/>
          <w:sz w:val="21"/>
          <w:szCs w:val="21"/>
        </w:rPr>
      </w:pPr>
      <w:r>
        <w:rPr>
          <w:rFonts w:hint="eastAsia" w:ascii="Times New Roman" w:hAnsi="Times New Roman" w:cs="Times New Roman"/>
          <w:b w:val="0"/>
          <w:bCs w:val="0"/>
          <w:sz w:val="21"/>
          <w:szCs w:val="21"/>
        </w:rPr>
        <w:t>附件</w:t>
      </w:r>
      <w:r>
        <w:rPr>
          <w:rFonts w:hint="eastAsia" w:ascii="Times New Roman" w:hAnsi="Times New Roman" w:cs="Times New Roman"/>
          <w:b w:val="0"/>
          <w:bCs w:val="0"/>
          <w:sz w:val="21"/>
          <w:szCs w:val="21"/>
          <w:lang w:val="en-US" w:eastAsia="zh-CN"/>
        </w:rPr>
        <w:t>十</w:t>
      </w:r>
      <w:r>
        <w:rPr>
          <w:rFonts w:hint="eastAsia" w:ascii="Times New Roman" w:hAnsi="Times New Roman" w:cs="Times New Roman"/>
          <w:b w:val="0"/>
          <w:bCs w:val="0"/>
          <w:sz w:val="21"/>
          <w:szCs w:val="21"/>
        </w:rPr>
        <w:t>：</w:t>
      </w:r>
    </w:p>
    <w:p>
      <w:pPr>
        <w:spacing w:before="120" w:beforeLines="50" w:after="120" w:afterLines="50" w:line="360" w:lineRule="auto"/>
        <w:jc w:val="center"/>
        <w:rPr>
          <w:rFonts w:hint="eastAsia" w:eastAsia="黑体"/>
          <w:b/>
          <w:sz w:val="32"/>
          <w:szCs w:val="32"/>
          <w:lang w:eastAsia="zh-CN"/>
        </w:rPr>
      </w:pPr>
      <w:r>
        <w:rPr>
          <w:rFonts w:hint="eastAsia" w:eastAsia="黑体"/>
          <w:b/>
          <w:sz w:val="32"/>
          <w:szCs w:val="32"/>
          <w:lang w:eastAsia="zh-CN"/>
        </w:rPr>
        <w:t>预算书</w:t>
      </w:r>
    </w:p>
    <w:p>
      <w:pPr>
        <w:adjustRightInd w:val="0"/>
        <w:snapToGrid w:val="0"/>
        <w:spacing w:before="120" w:beforeLines="50" w:line="360" w:lineRule="auto"/>
        <w:ind w:firstLine="527" w:firstLineChars="250"/>
        <w:rPr>
          <w:rFonts w:hint="eastAsia" w:ascii="宋体" w:hAnsi="宋体" w:cs="Times New Roman"/>
          <w:b/>
          <w:bCs/>
          <w:sz w:val="21"/>
          <w:szCs w:val="21"/>
          <w:lang w:val="en-US" w:eastAsia="zh-CN" w:bidi="ar"/>
        </w:rPr>
      </w:pPr>
    </w:p>
    <w:p>
      <w:pPr>
        <w:spacing w:before="120" w:beforeLines="50" w:after="120" w:afterLines="50" w:line="360" w:lineRule="auto"/>
        <w:jc w:val="center"/>
        <w:rPr>
          <w:rFonts w:hint="eastAsia" w:eastAsia="黑体"/>
          <w:b/>
          <w:szCs w:val="32"/>
        </w:rPr>
      </w:pPr>
    </w:p>
    <w:p>
      <w:pPr>
        <w:spacing w:before="120" w:beforeLines="50" w:after="120" w:afterLines="50" w:line="360" w:lineRule="auto"/>
        <w:jc w:val="center"/>
        <w:rPr>
          <w:rFonts w:hint="eastAsia" w:eastAsia="黑体"/>
          <w:b/>
          <w:szCs w:val="32"/>
        </w:rPr>
      </w:pPr>
    </w:p>
    <w:p>
      <w:pPr>
        <w:spacing w:before="120" w:beforeLines="50" w:after="120" w:afterLines="50" w:line="360" w:lineRule="auto"/>
        <w:jc w:val="center"/>
        <w:rPr>
          <w:rFonts w:hint="eastAsia" w:eastAsia="黑体"/>
          <w:b/>
          <w:szCs w:val="32"/>
        </w:rPr>
      </w:pPr>
    </w:p>
    <w:p>
      <w:pPr>
        <w:spacing w:before="120" w:beforeLines="50" w:after="120" w:afterLines="50" w:line="360" w:lineRule="auto"/>
        <w:jc w:val="center"/>
        <w:rPr>
          <w:rFonts w:hint="eastAsia" w:eastAsia="黑体"/>
          <w:b/>
          <w:szCs w:val="32"/>
        </w:rPr>
      </w:pPr>
    </w:p>
    <w:p>
      <w:pPr>
        <w:spacing w:before="120" w:beforeLines="50" w:after="120" w:afterLines="50" w:line="360" w:lineRule="auto"/>
        <w:jc w:val="center"/>
        <w:rPr>
          <w:rFonts w:hint="eastAsia" w:eastAsia="黑体"/>
          <w:b/>
          <w:szCs w:val="32"/>
        </w:rPr>
      </w:pPr>
    </w:p>
    <w:p>
      <w:pPr>
        <w:spacing w:before="120" w:beforeLines="50" w:after="120" w:afterLines="50" w:line="360" w:lineRule="auto"/>
        <w:jc w:val="center"/>
        <w:rPr>
          <w:rFonts w:hint="eastAsia" w:eastAsia="黑体"/>
          <w:b/>
          <w:szCs w:val="32"/>
        </w:rPr>
      </w:pPr>
    </w:p>
    <w:p>
      <w:pPr>
        <w:spacing w:before="120" w:beforeLines="50" w:after="120" w:afterLines="50" w:line="360" w:lineRule="auto"/>
        <w:jc w:val="center"/>
        <w:rPr>
          <w:rFonts w:hint="eastAsia" w:eastAsia="黑体"/>
          <w:b/>
          <w:szCs w:val="32"/>
        </w:rPr>
      </w:pPr>
    </w:p>
    <w:p>
      <w:pPr>
        <w:spacing w:before="120" w:beforeLines="50" w:after="120" w:afterLines="50" w:line="360" w:lineRule="auto"/>
        <w:jc w:val="center"/>
        <w:rPr>
          <w:rFonts w:hint="eastAsia" w:eastAsia="黑体"/>
          <w:b/>
          <w:szCs w:val="32"/>
        </w:rPr>
      </w:pPr>
    </w:p>
    <w:p>
      <w:pPr>
        <w:spacing w:before="120" w:beforeLines="50" w:after="120" w:afterLines="50" w:line="360" w:lineRule="auto"/>
        <w:jc w:val="center"/>
        <w:rPr>
          <w:rFonts w:hint="eastAsia" w:eastAsia="黑体"/>
          <w:b/>
          <w:szCs w:val="32"/>
        </w:rPr>
      </w:pPr>
    </w:p>
    <w:p>
      <w:pPr>
        <w:spacing w:before="120" w:beforeLines="50" w:after="120" w:afterLines="50" w:line="360" w:lineRule="auto"/>
        <w:jc w:val="center"/>
        <w:rPr>
          <w:rFonts w:hint="eastAsia" w:eastAsia="黑体"/>
          <w:b/>
          <w:szCs w:val="32"/>
        </w:rPr>
      </w:pPr>
    </w:p>
    <w:p>
      <w:pPr>
        <w:spacing w:before="120" w:beforeLines="50" w:after="120" w:afterLines="50" w:line="360" w:lineRule="auto"/>
        <w:jc w:val="center"/>
        <w:rPr>
          <w:rFonts w:hint="eastAsia" w:eastAsia="黑体"/>
          <w:b/>
          <w:szCs w:val="32"/>
        </w:rPr>
      </w:pPr>
    </w:p>
    <w:p>
      <w:pPr>
        <w:pStyle w:val="15"/>
        <w:ind w:firstLine="643" w:firstLineChars="200"/>
        <w:jc w:val="both"/>
        <w:rPr>
          <w:rFonts w:hint="eastAsia" w:ascii="Times New Roman" w:hAnsi="Times New Roman" w:cs="Times New Roman"/>
        </w:rPr>
      </w:pPr>
    </w:p>
    <w:p>
      <w:pPr>
        <w:pStyle w:val="15"/>
        <w:ind w:firstLine="643" w:firstLineChars="200"/>
        <w:jc w:val="both"/>
        <w:rPr>
          <w:rFonts w:hint="eastAsia" w:ascii="Times New Roman" w:hAnsi="Times New Roman" w:cs="Times New Roman"/>
        </w:rPr>
      </w:pPr>
    </w:p>
    <w:p>
      <w:pPr>
        <w:pStyle w:val="15"/>
        <w:ind w:firstLine="643" w:firstLineChars="200"/>
        <w:jc w:val="center"/>
        <w:rPr>
          <w:rFonts w:hint="eastAsia" w:ascii="Times New Roman" w:hAnsi="Times New Roman" w:cs="Times New Roman"/>
        </w:rPr>
      </w:pPr>
      <w:bookmarkStart w:id="191" w:name="_Toc13155"/>
    </w:p>
    <w:p>
      <w:pPr>
        <w:pStyle w:val="15"/>
        <w:ind w:firstLine="643" w:firstLineChars="200"/>
        <w:jc w:val="center"/>
        <w:rPr>
          <w:rFonts w:hint="eastAsia" w:ascii="Times New Roman" w:hAnsi="Times New Roman" w:cs="Times New Roman"/>
        </w:rPr>
      </w:pPr>
    </w:p>
    <w:bookmarkEnd w:id="191"/>
    <w:p/>
    <w:sectPr>
      <w:headerReference r:id="rId12" w:type="first"/>
      <w:footnotePr>
        <w:numRestart w:val="eachPage"/>
      </w:footnotePr>
      <w:endnotePr>
        <w:numRestart w:val="eachSect"/>
      </w:endnotePr>
      <w:pgSz w:w="11906" w:h="16838"/>
      <w:pgMar w:top="1440" w:right="1134" w:bottom="1440" w:left="1701" w:header="851" w:footer="850" w:gutter="0"/>
      <w:pgNumType w:fmt="decimal"/>
      <w:cols w:space="720" w:num="1"/>
      <w:rtlGutter w:val="0"/>
      <w:docGrid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B7&#10;pqW7twEAAFQDAAAOAAAAAAAAAAEAIAAAAB4BAABkcnMvZTJvRG9jLnhtbFBLBQYAAAAABgAGAFkB&#10;AABHBQAAAAA=&#10;">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193" w:rightChars="-9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3</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5op6x7gBAABUAwAADgAAAAAAAAABACAAAAAeAQAAZHJzL2Uyb0RvYy54bWxQSwUGAAAAAAYABgBZ&#10;AQAASAUAAAAA&#10;">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3</w:t>
                    </w:r>
                    <w:r>
                      <w:rPr>
                        <w:rFonts w:hint="eastAsia"/>
                        <w:sz w:val="18"/>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9"/>
                            <w:rPr>
                              <w:rStyle w:val="17"/>
                            </w:rPr>
                          </w:pPr>
                          <w:r>
                            <w:fldChar w:fldCharType="begin"/>
                          </w:r>
                          <w:r>
                            <w:rPr>
                              <w:rStyle w:val="17"/>
                            </w:rPr>
                            <w:instrText xml:space="preserve">PAGE  </w:instrText>
                          </w:r>
                          <w:r>
                            <w:fldChar w:fldCharType="separate"/>
                          </w:r>
                          <w:r>
                            <w:rPr>
                              <w:rStyle w:val="17"/>
                            </w:rPr>
                            <w:t>5</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zql5uc8A&#10;AAAFAQAADwAAAAAAAAABACAAAAAiAAAAZHJzL2Rvd25yZXYueG1sUEsBAhQAFAAAAAgAh07iQNzT&#10;xD62AQAAVAMAAA4AAAAAAAAAAQAgAAAAHgEAAGRycy9lMm9Eb2MueG1sUEsFBgAAAAAGAAYAWQEA&#10;AEYFAAAAAA==&#10;">
              <v:fill on="f" focussize="0,0"/>
              <v:stroke on="f"/>
              <v:imagedata o:title=""/>
              <o:lock v:ext="edit" aspectratio="f"/>
              <v:textbox inset="0mm,0mm,0mm,0mm" style="mso-fit-shape-to-text:t;">
                <w:txbxContent>
                  <w:p>
                    <w:pPr>
                      <w:pStyle w:val="9"/>
                      <w:rPr>
                        <w:rStyle w:val="17"/>
                      </w:rPr>
                    </w:pPr>
                    <w:r>
                      <w:fldChar w:fldCharType="begin"/>
                    </w:r>
                    <w:r>
                      <w:rPr>
                        <w:rStyle w:val="17"/>
                      </w:rPr>
                      <w:instrText xml:space="preserve">PAGE  </w:instrText>
                    </w:r>
                    <w:r>
                      <w:fldChar w:fldCharType="separate"/>
                    </w:r>
                    <w:r>
                      <w:rPr>
                        <w:rStyle w:val="17"/>
                      </w:rPr>
                      <w:t>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7"/>
      </w:rPr>
    </w:pPr>
    <w:r>
      <w:fldChar w:fldCharType="begin"/>
    </w:r>
    <w:r>
      <w:rPr>
        <w:rStyle w:val="17"/>
      </w:rPr>
      <w:instrText xml:space="preserve">PAGE  </w:instrText>
    </w:r>
    <w:r>
      <w:fldChar w:fldCharType="end"/>
    </w:r>
  </w:p>
  <w:p>
    <w:pPr>
      <w:pStyle w:val="9"/>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8640"/>
        <w:tab w:val="clear" w:pos="8306"/>
      </w:tabs>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20</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Dp&#10;Z8kWtwEAAFQDAAAOAAAAAAAAAAEAIAAAAB4BAABkcnMvZTJvRG9jLnhtbFBLBQYAAAAABgAGAFkB&#10;AABHBQAAAAA=&#10;">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20</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wordWrap w:val="0"/>
      <w:jc w:val="right"/>
      <w:rPr>
        <w:rFonts w:hint="eastAsia" w:ascii="楷体_GB2312" w:eastAsia="楷体_GB2312"/>
      </w:rPr>
    </w:pPr>
    <w:r>
      <w:rPr>
        <w:rFonts w:hint="eastAsia" w:ascii="楷体_GB2312" w:eastAsia="楷体_GB2312"/>
        <w:lang w:eastAsia="zh-CN"/>
      </w:rPr>
      <w:t xml:space="preserve"> 玉环海洋经济转型升级示范区2018年度绿化养护工程 （茶山路、永清路、靖海路等）</w:t>
    </w:r>
    <w:r>
      <w:rPr>
        <w:rFonts w:hint="eastAsia" w:ascii="楷体_GB2312" w:eastAsia="楷体_GB2312"/>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6" w:space="6"/>
      </w:pBdr>
      <w:jc w:val="right"/>
      <w:rPr>
        <w:rFonts w:hint="eastAsia"/>
      </w:rPr>
    </w:pPr>
    <w:r>
      <w:rPr>
        <w:rFonts w:hint="eastAsia"/>
      </w:rPr>
      <w:t>玉环县漩门二期滴灌工程招标文件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wordWrap w:val="0"/>
      <w:jc w:val="right"/>
    </w:pPr>
    <w:r>
      <w:rPr>
        <w:rFonts w:hint="eastAsia"/>
      </w:rPr>
      <w:t>玉环县漩门二期滴灌工程招标文件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62F24D"/>
    <w:multiLevelType w:val="singleLevel"/>
    <w:tmpl w:val="8062F24D"/>
    <w:lvl w:ilvl="0" w:tentative="0">
      <w:start w:val="1"/>
      <w:numFmt w:val="chineseCounting"/>
      <w:suff w:val="nothing"/>
      <w:lvlText w:val="%1、"/>
      <w:lvlJc w:val="left"/>
      <w:rPr>
        <w:rFonts w:hint="eastAsia"/>
      </w:rPr>
    </w:lvl>
  </w:abstractNum>
  <w:abstractNum w:abstractNumId="1">
    <w:nsid w:val="00000001"/>
    <w:multiLevelType w:val="multilevel"/>
    <w:tmpl w:val="00000001"/>
    <w:lvl w:ilvl="0" w:tentative="0">
      <w:start w:val="1"/>
      <w:numFmt w:val="japaneseCounting"/>
      <w:pStyle w:val="3"/>
      <w:lvlText w:val="第%1节"/>
      <w:lvlJc w:val="left"/>
      <w:pPr>
        <w:tabs>
          <w:tab w:val="left" w:pos="2159"/>
        </w:tabs>
        <w:ind w:left="2159" w:hanging="1320"/>
      </w:pPr>
      <w:rPr>
        <w:rFonts w:hint="eastAsia"/>
      </w:rPr>
    </w:lvl>
    <w:lvl w:ilvl="1" w:tentative="0">
      <w:start w:val="1"/>
      <w:numFmt w:val="lowerLetter"/>
      <w:lvlText w:val="%2)"/>
      <w:lvlJc w:val="left"/>
      <w:pPr>
        <w:tabs>
          <w:tab w:val="left" w:pos="1679"/>
        </w:tabs>
        <w:ind w:left="1679" w:hanging="420"/>
      </w:pPr>
    </w:lvl>
    <w:lvl w:ilvl="2" w:tentative="0">
      <w:start w:val="1"/>
      <w:numFmt w:val="lowerRoman"/>
      <w:lvlText w:val="%3."/>
      <w:lvlJc w:val="right"/>
      <w:pPr>
        <w:tabs>
          <w:tab w:val="left" w:pos="2099"/>
        </w:tabs>
        <w:ind w:left="2099" w:hanging="420"/>
      </w:pPr>
    </w:lvl>
    <w:lvl w:ilvl="3" w:tentative="0">
      <w:start w:val="1"/>
      <w:numFmt w:val="decimal"/>
      <w:lvlText w:val="%4."/>
      <w:lvlJc w:val="left"/>
      <w:pPr>
        <w:tabs>
          <w:tab w:val="left" w:pos="2519"/>
        </w:tabs>
        <w:ind w:left="2519" w:hanging="420"/>
      </w:pPr>
    </w:lvl>
    <w:lvl w:ilvl="4" w:tentative="0">
      <w:start w:val="1"/>
      <w:numFmt w:val="lowerLetter"/>
      <w:lvlText w:val="%5)"/>
      <w:lvlJc w:val="left"/>
      <w:pPr>
        <w:tabs>
          <w:tab w:val="left" w:pos="2939"/>
        </w:tabs>
        <w:ind w:left="2939" w:hanging="420"/>
      </w:pPr>
    </w:lvl>
    <w:lvl w:ilvl="5" w:tentative="0">
      <w:start w:val="1"/>
      <w:numFmt w:val="lowerRoman"/>
      <w:lvlText w:val="%6."/>
      <w:lvlJc w:val="right"/>
      <w:pPr>
        <w:tabs>
          <w:tab w:val="left" w:pos="3359"/>
        </w:tabs>
        <w:ind w:left="3359" w:hanging="420"/>
      </w:pPr>
    </w:lvl>
    <w:lvl w:ilvl="6" w:tentative="0">
      <w:start w:val="1"/>
      <w:numFmt w:val="decimal"/>
      <w:lvlText w:val="%7."/>
      <w:lvlJc w:val="left"/>
      <w:pPr>
        <w:tabs>
          <w:tab w:val="left" w:pos="3779"/>
        </w:tabs>
        <w:ind w:left="3779" w:hanging="420"/>
      </w:pPr>
    </w:lvl>
    <w:lvl w:ilvl="7" w:tentative="0">
      <w:start w:val="1"/>
      <w:numFmt w:val="lowerLetter"/>
      <w:lvlText w:val="%8)"/>
      <w:lvlJc w:val="left"/>
      <w:pPr>
        <w:tabs>
          <w:tab w:val="left" w:pos="4199"/>
        </w:tabs>
        <w:ind w:left="4199" w:hanging="420"/>
      </w:pPr>
    </w:lvl>
    <w:lvl w:ilvl="8" w:tentative="0">
      <w:start w:val="1"/>
      <w:numFmt w:val="lowerRoman"/>
      <w:lvlText w:val="%9."/>
      <w:lvlJc w:val="right"/>
      <w:pPr>
        <w:tabs>
          <w:tab w:val="left" w:pos="4619"/>
        </w:tabs>
        <w:ind w:left="4619" w:hanging="420"/>
      </w:pPr>
    </w:lvl>
  </w:abstractNum>
  <w:abstractNum w:abstractNumId="2">
    <w:nsid w:val="00000002"/>
    <w:multiLevelType w:val="multilevel"/>
    <w:tmpl w:val="00000002"/>
    <w:lvl w:ilvl="0" w:tentative="0">
      <w:start w:val="1"/>
      <w:numFmt w:val="decimal"/>
      <w:pStyle w:val="4"/>
      <w:suff w:val="nothing"/>
      <w:lvlText w:val="%1."/>
      <w:lvlJc w:val="left"/>
      <w:pPr>
        <w:ind w:left="574" w:firstLine="0"/>
      </w:pPr>
      <w:rPr>
        <w:rFonts w:hint="eastAsia"/>
      </w:rPr>
    </w:lvl>
    <w:lvl w:ilvl="1" w:tentative="0">
      <w:start w:val="1"/>
      <w:numFmt w:val="decimal"/>
      <w:suff w:val="space"/>
      <w:lvlText w:val="%1.%2"/>
      <w:lvlJc w:val="left"/>
      <w:pPr>
        <w:ind w:left="0" w:firstLine="425"/>
      </w:pPr>
      <w:rPr>
        <w:rFonts w:hint="eastAsia"/>
        <w:b w:val="0"/>
        <w:i w:val="0"/>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3A02150E"/>
    <w:multiLevelType w:val="multilevel"/>
    <w:tmpl w:val="3A02150E"/>
    <w:lvl w:ilvl="0" w:tentative="0">
      <w:start w:val="1"/>
      <w:numFmt w:val="decimal"/>
      <w:suff w:val="nothing"/>
      <w:lvlText w:val="%1."/>
      <w:lvlJc w:val="left"/>
      <w:pPr>
        <w:ind w:left="574" w:firstLine="0"/>
      </w:pPr>
      <w:rPr>
        <w:rFonts w:hint="eastAsia"/>
      </w:rPr>
    </w:lvl>
    <w:lvl w:ilvl="1" w:tentative="0">
      <w:start w:val="1"/>
      <w:numFmt w:val="decimal"/>
      <w:suff w:val="space"/>
      <w:lvlText w:val="%1.%2"/>
      <w:lvlJc w:val="left"/>
      <w:pPr>
        <w:ind w:left="0" w:firstLine="425"/>
      </w:pPr>
      <w:rPr>
        <w:rFonts w:hint="eastAsia"/>
        <w:b w:val="0"/>
        <w:i w:val="0"/>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56A05D11"/>
    <w:multiLevelType w:val="singleLevel"/>
    <w:tmpl w:val="56A05D11"/>
    <w:lvl w:ilvl="0" w:tentative="0">
      <w:start w:val="1"/>
      <w:numFmt w:val="chineseCounting"/>
      <w:suff w:val="nothing"/>
      <w:lvlText w:val="%1、"/>
      <w:lvlJc w:val="left"/>
    </w:lvl>
  </w:abstractNum>
  <w:abstractNum w:abstractNumId="5">
    <w:nsid w:val="56A09A4F"/>
    <w:multiLevelType w:val="singleLevel"/>
    <w:tmpl w:val="56A09A4F"/>
    <w:lvl w:ilvl="0" w:tentative="0">
      <w:start w:val="1"/>
      <w:numFmt w:val="chineseCounting"/>
      <w:suff w:val="space"/>
      <w:lvlText w:val="第%1章"/>
      <w:lvlJc w:val="left"/>
    </w:lvl>
  </w:abstractNum>
  <w:abstractNum w:abstractNumId="6">
    <w:nsid w:val="5750D9BC"/>
    <w:multiLevelType w:val="singleLevel"/>
    <w:tmpl w:val="5750D9BC"/>
    <w:lvl w:ilvl="0" w:tentative="0">
      <w:start w:val="4"/>
      <w:numFmt w:val="chineseCounting"/>
      <w:suff w:val="space"/>
      <w:lvlText w:val="第%1章"/>
      <w:lvlJc w:val="left"/>
    </w:lvl>
  </w:abstractNum>
  <w:num w:numId="1">
    <w:abstractNumId w:val="1"/>
  </w:num>
  <w:num w:numId="2">
    <w:abstractNumId w:val="2"/>
  </w:num>
  <w:num w:numId="3">
    <w:abstractNumId w:val="3"/>
  </w:num>
  <w:num w:numId="4">
    <w:abstractNumId w:val="5"/>
  </w:num>
  <w:num w:numId="5">
    <w:abstractNumId w:val="0"/>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EF026B"/>
    <w:rsid w:val="008C77DA"/>
    <w:rsid w:val="016D2343"/>
    <w:rsid w:val="016D7F50"/>
    <w:rsid w:val="1007076B"/>
    <w:rsid w:val="12BF005A"/>
    <w:rsid w:val="18205BD0"/>
    <w:rsid w:val="2DE8781A"/>
    <w:rsid w:val="313430BC"/>
    <w:rsid w:val="386D3AEB"/>
    <w:rsid w:val="3A4E79C3"/>
    <w:rsid w:val="3DA6744F"/>
    <w:rsid w:val="43D344B3"/>
    <w:rsid w:val="45472A77"/>
    <w:rsid w:val="45AD501F"/>
    <w:rsid w:val="469039A5"/>
    <w:rsid w:val="47534CD3"/>
    <w:rsid w:val="4AD75F8C"/>
    <w:rsid w:val="4DEF026B"/>
    <w:rsid w:val="5D8F5B5A"/>
    <w:rsid w:val="5E770DD3"/>
    <w:rsid w:val="5E8D7BD9"/>
    <w:rsid w:val="628369EA"/>
    <w:rsid w:val="6CB4069C"/>
    <w:rsid w:val="6D535020"/>
    <w:rsid w:val="790D1640"/>
    <w:rsid w:val="7CDF5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120" w:after="120"/>
      <w:jc w:val="center"/>
      <w:outlineLvl w:val="0"/>
    </w:pPr>
    <w:rPr>
      <w:rFonts w:ascii="黑体" w:hAnsi="宋体" w:eastAsia="黑体" w:cs="Times New Roman"/>
      <w:b/>
      <w:kern w:val="44"/>
      <w:sz w:val="32"/>
      <w:szCs w:val="20"/>
    </w:rPr>
  </w:style>
  <w:style w:type="paragraph" w:styleId="3">
    <w:name w:val="heading 2"/>
    <w:basedOn w:val="1"/>
    <w:next w:val="1"/>
    <w:unhideWhenUsed/>
    <w:qFormat/>
    <w:uiPriority w:val="0"/>
    <w:pPr>
      <w:numPr>
        <w:ilvl w:val="0"/>
        <w:numId w:val="1"/>
      </w:numPr>
      <w:spacing w:before="360" w:after="156" w:afterLines="50" w:line="320" w:lineRule="exact"/>
      <w:jc w:val="center"/>
      <w:outlineLvl w:val="1"/>
    </w:pPr>
    <w:rPr>
      <w:rFonts w:eastAsia="黑体"/>
      <w:b/>
      <w:sz w:val="32"/>
    </w:rPr>
  </w:style>
  <w:style w:type="paragraph" w:styleId="4">
    <w:name w:val="heading 3"/>
    <w:basedOn w:val="1"/>
    <w:next w:val="1"/>
    <w:unhideWhenUsed/>
    <w:qFormat/>
    <w:uiPriority w:val="0"/>
    <w:pPr>
      <w:keepNext/>
      <w:keepLines/>
      <w:numPr>
        <w:ilvl w:val="0"/>
        <w:numId w:val="2"/>
      </w:numPr>
      <w:tabs>
        <w:tab w:val="left" w:pos="287"/>
      </w:tabs>
      <w:spacing w:before="360" w:line="288" w:lineRule="auto"/>
      <w:jc w:val="left"/>
      <w:outlineLvl w:val="2"/>
    </w:pPr>
    <w:rPr>
      <w:rFonts w:ascii="黑体" w:hAnsi="宋体" w:eastAsia="黑体" w:cs="Times New Roman"/>
      <w:b/>
      <w:color w:val="000000"/>
      <w:szCs w:val="20"/>
    </w:rPr>
  </w:style>
  <w:style w:type="character" w:default="1" w:styleId="16">
    <w:name w:val="Default Paragraph Font"/>
    <w:semiHidden/>
    <w:qFormat/>
    <w:uiPriority w:val="0"/>
  </w:style>
  <w:style w:type="table" w:default="1" w:styleId="19">
    <w:name w:val="Normal Table"/>
    <w:semiHidden/>
    <w:qFormat/>
    <w:uiPriority w:val="0"/>
    <w:tblPr>
      <w:tblLayout w:type="fixed"/>
      <w:tblCellMar>
        <w:top w:w="0" w:type="dxa"/>
        <w:left w:w="108" w:type="dxa"/>
        <w:bottom w:w="0" w:type="dxa"/>
        <w:right w:w="108" w:type="dxa"/>
      </w:tblCellMar>
    </w:tblPr>
  </w:style>
  <w:style w:type="paragraph" w:styleId="5">
    <w:name w:val="Normal Indent"/>
    <w:basedOn w:val="1"/>
    <w:qFormat/>
    <w:uiPriority w:val="0"/>
    <w:pPr>
      <w:ind w:firstLine="420"/>
    </w:pPr>
    <w:rPr>
      <w:rFonts w:ascii="Times New Roman" w:hAnsi="Times New Roman" w:eastAsia="仿宋_GB2312" w:cs="Times New Roman"/>
      <w:sz w:val="32"/>
      <w:szCs w:val="20"/>
    </w:rPr>
  </w:style>
  <w:style w:type="paragraph" w:styleId="6">
    <w:name w:val="Body Text 3"/>
    <w:basedOn w:val="1"/>
    <w:qFormat/>
    <w:uiPriority w:val="0"/>
    <w:pPr>
      <w:spacing w:line="360" w:lineRule="auto"/>
      <w:jc w:val="center"/>
    </w:pPr>
    <w:rPr>
      <w:rFonts w:ascii="宋体" w:hAnsi="宋体" w:eastAsia="宋体" w:cs="Times New Roman"/>
      <w:bCs/>
      <w:iCs/>
      <w:szCs w:val="28"/>
    </w:rPr>
  </w:style>
  <w:style w:type="paragraph" w:styleId="7">
    <w:name w:val="Body Text"/>
    <w:basedOn w:val="1"/>
    <w:qFormat/>
    <w:uiPriority w:val="0"/>
    <w:pPr>
      <w:tabs>
        <w:tab w:val="left" w:pos="574"/>
      </w:tabs>
      <w:spacing w:line="288" w:lineRule="auto"/>
    </w:pPr>
    <w:rPr>
      <w:rFonts w:ascii="宋体" w:hAnsi="宋体" w:eastAsia="宋体" w:cs="Times New Roman"/>
      <w:szCs w:val="20"/>
    </w:rPr>
  </w:style>
  <w:style w:type="paragraph" w:styleId="8">
    <w:name w:val="Body Text Indent"/>
    <w:basedOn w:val="1"/>
    <w:qFormat/>
    <w:uiPriority w:val="0"/>
    <w:pPr>
      <w:ind w:firstLine="600"/>
    </w:pPr>
    <w:rPr>
      <w:rFonts w:ascii="Times New Roman" w:hAnsi="Times New Roman" w:eastAsia="仿宋_GB2312" w:cs="Times New Roman"/>
      <w:sz w:val="30"/>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pPr>
      <w:tabs>
        <w:tab w:val="right" w:leader="dot" w:pos="9232"/>
      </w:tabs>
      <w:spacing w:before="120" w:after="120"/>
      <w:jc w:val="left"/>
    </w:pPr>
    <w:rPr>
      <w:rFonts w:ascii="宋体" w:hAnsi="宋体" w:eastAsia="宋体" w:cs="Times New Roman"/>
      <w:b/>
      <w:bCs/>
      <w:caps/>
      <w:color w:val="000000"/>
      <w:szCs w:val="21"/>
    </w:rPr>
  </w:style>
  <w:style w:type="paragraph" w:styleId="12">
    <w:name w:val="Body Text Indent 3"/>
    <w:basedOn w:val="1"/>
    <w:qFormat/>
    <w:uiPriority w:val="0"/>
    <w:pPr>
      <w:ind w:firstLine="600"/>
    </w:pPr>
    <w:rPr>
      <w:rFonts w:ascii="Times New Roman" w:hAnsi="Times New Roman" w:eastAsia="仿宋_GB2312" w:cs="Times New Roman"/>
      <w:sz w:val="28"/>
      <w:szCs w:val="20"/>
    </w:rPr>
  </w:style>
  <w:style w:type="paragraph" w:styleId="13">
    <w:name w:val="toc 2"/>
    <w:basedOn w:val="1"/>
    <w:next w:val="1"/>
    <w:qFormat/>
    <w:uiPriority w:val="0"/>
    <w:pPr>
      <w:tabs>
        <w:tab w:val="left" w:pos="1290"/>
        <w:tab w:val="right" w:leader="dot" w:pos="9232"/>
      </w:tabs>
      <w:spacing w:line="400" w:lineRule="exact"/>
      <w:ind w:left="318"/>
      <w:jc w:val="left"/>
    </w:pPr>
    <w:rPr>
      <w:rFonts w:ascii="宋体" w:hAnsi="宋体" w:eastAsia="宋体" w:cs="Times New Roman"/>
      <w:smallCaps/>
      <w:color w:val="000000"/>
      <w:sz w:val="24"/>
      <w:szCs w:val="24"/>
    </w:rPr>
  </w:style>
  <w:style w:type="paragraph" w:styleId="14">
    <w:name w:val="Normal (Web)"/>
    <w:basedOn w:val="1"/>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paragraph" w:styleId="15">
    <w:name w:val="Title"/>
    <w:basedOn w:val="1"/>
    <w:qFormat/>
    <w:uiPriority w:val="0"/>
    <w:pPr>
      <w:spacing w:before="240" w:after="60"/>
      <w:jc w:val="center"/>
      <w:outlineLvl w:val="0"/>
    </w:pPr>
    <w:rPr>
      <w:rFonts w:ascii="Arial" w:hAnsi="Arial" w:eastAsia="宋体" w:cs="Arial"/>
      <w:b/>
      <w:bCs/>
      <w:sz w:val="32"/>
      <w:szCs w:val="32"/>
    </w:rPr>
  </w:style>
  <w:style w:type="character" w:styleId="17">
    <w:name w:val="page number"/>
    <w:basedOn w:val="16"/>
    <w:qFormat/>
    <w:uiPriority w:val="0"/>
    <w:rPr>
      <w:rFonts w:ascii="Times New Roman" w:hAnsi="Times New Roman" w:eastAsia="宋体" w:cs="Times New Roman"/>
    </w:rPr>
  </w:style>
  <w:style w:type="character" w:styleId="18">
    <w:name w:val="Hyperlink"/>
    <w:basedOn w:val="16"/>
    <w:qFormat/>
    <w:uiPriority w:val="0"/>
    <w:rPr>
      <w:rFonts w:ascii="Arial" w:hAnsi="Arial" w:eastAsia="宋体" w:cs="Arial"/>
      <w:color w:val="000000"/>
      <w:sz w:val="18"/>
      <w:szCs w:val="18"/>
      <w:u w:val="none"/>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1">
    <w:name w:val="标题2"/>
    <w:basedOn w:val="15"/>
    <w:qFormat/>
    <w:uiPriority w:val="0"/>
    <w:pPr>
      <w:spacing w:after="240"/>
      <w:jc w:val="left"/>
    </w:pPr>
    <w:rPr>
      <w:rFonts w:ascii="Cambria" w:hAnsi="Cambria" w:cs="Times New Roman"/>
      <w:sz w:val="30"/>
      <w:szCs w:val="24"/>
    </w:rPr>
  </w:style>
  <w:style w:type="character" w:customStyle="1" w:styleId="22">
    <w:name w:val="font61"/>
    <w:basedOn w:val="16"/>
    <w:qFormat/>
    <w:uiPriority w:val="0"/>
    <w:rPr>
      <w:rFonts w:hint="eastAsia" w:ascii="宋体" w:hAnsi="宋体" w:eastAsia="宋体" w:cs="宋体"/>
      <w:b/>
      <w:color w:val="000000"/>
      <w:sz w:val="18"/>
      <w:szCs w:val="18"/>
      <w:u w:val="none"/>
    </w:rPr>
  </w:style>
  <w:style w:type="character" w:customStyle="1" w:styleId="23">
    <w:name w:val="font21"/>
    <w:basedOn w:val="16"/>
    <w:qFormat/>
    <w:uiPriority w:val="0"/>
    <w:rPr>
      <w:rFonts w:hint="eastAsia" w:ascii="宋体" w:hAnsi="宋体" w:eastAsia="宋体" w:cs="宋体"/>
      <w:b/>
      <w:color w:val="000000"/>
      <w:sz w:val="32"/>
      <w:szCs w:val="32"/>
      <w:u w:val="none"/>
    </w:rPr>
  </w:style>
  <w:style w:type="character" w:customStyle="1" w:styleId="24">
    <w:name w:val="font51"/>
    <w:basedOn w:val="16"/>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2018-09-05T08:01:00Z</dcterms:created>
  <dc:creator>tiantan</dc:creator>
  <cp:lastModifiedBy>tiantan</cp:lastModifiedBy>
  <dcterms:modified xsi:type="dcterms:W3CDTF">2018-09-21T02:41:45Z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