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1"/>
        <w:rPr>
          <w:rFonts w:ascii="Times New Roman"/>
          <w:color w:val="auto"/>
          <w:sz w:val="16"/>
          <w:highlight w:val="none"/>
        </w:rPr>
      </w:pPr>
    </w:p>
    <w:p>
      <w:pPr>
        <w:spacing w:before="33"/>
        <w:ind w:left="31" w:right="2" w:firstLine="0"/>
        <w:jc w:val="center"/>
        <w:rPr>
          <w:rFonts w:hint="eastAsia" w:ascii="仿宋" w:eastAsia="仿宋"/>
          <w:color w:val="auto"/>
          <w:sz w:val="48"/>
          <w:highlight w:val="none"/>
        </w:rPr>
      </w:pPr>
      <w:bookmarkStart w:id="0" w:name="台州市建设工程"/>
      <w:bookmarkEnd w:id="0"/>
      <w:r>
        <w:rPr>
          <w:rFonts w:hint="eastAsia" w:ascii="仿宋" w:eastAsia="仿宋"/>
          <w:color w:val="auto"/>
          <w:sz w:val="48"/>
          <w:highlight w:val="none"/>
        </w:rPr>
        <w:t>台州市建设工程</w:t>
      </w:r>
    </w:p>
    <w:p>
      <w:pPr>
        <w:spacing w:before="11"/>
        <w:ind w:left="31" w:right="2" w:firstLine="0"/>
        <w:jc w:val="center"/>
        <w:rPr>
          <w:rFonts w:hint="eastAsia" w:ascii="仿宋" w:eastAsia="仿宋"/>
          <w:b/>
          <w:color w:val="auto"/>
          <w:sz w:val="84"/>
          <w:highlight w:val="none"/>
        </w:rPr>
      </w:pPr>
      <w:r>
        <w:rPr>
          <w:rFonts w:hint="eastAsia" w:ascii="仿宋" w:eastAsia="仿宋"/>
          <w:b/>
          <w:color w:val="auto"/>
          <w:sz w:val="84"/>
          <w:highlight w:val="none"/>
        </w:rPr>
        <w:t>招 标 文 件</w:t>
      </w:r>
    </w:p>
    <w:p>
      <w:pPr>
        <w:pStyle w:val="5"/>
        <w:rPr>
          <w:rFonts w:ascii="仿宋"/>
          <w:b/>
          <w:color w:val="auto"/>
          <w:sz w:val="84"/>
          <w:highlight w:val="none"/>
        </w:rPr>
      </w:pPr>
    </w:p>
    <w:p>
      <w:pPr>
        <w:pStyle w:val="5"/>
        <w:spacing w:before="5"/>
        <w:rPr>
          <w:rFonts w:ascii="仿宋"/>
          <w:b/>
          <w:color w:val="auto"/>
          <w:sz w:val="104"/>
          <w:highlight w:val="none"/>
        </w:rPr>
      </w:pPr>
    </w:p>
    <w:p>
      <w:pPr>
        <w:spacing w:before="1"/>
        <w:ind w:left="1636" w:right="0" w:firstLine="0"/>
        <w:jc w:val="left"/>
        <w:rPr>
          <w:color w:val="auto"/>
          <w:sz w:val="24"/>
          <w:highlight w:val="none"/>
        </w:rPr>
      </w:pPr>
      <w:r>
        <w:rPr>
          <w:color w:val="auto"/>
          <w:spacing w:val="-3"/>
          <w:w w:val="100"/>
          <w:sz w:val="28"/>
          <w:highlight w:val="none"/>
        </w:rPr>
        <w:t>招标工程：</w:t>
      </w:r>
      <w:r>
        <w:rPr>
          <w:rFonts w:hint="eastAsia"/>
          <w:color w:val="auto"/>
          <w:sz w:val="28"/>
          <w:highlight w:val="none"/>
          <w:u w:val="single"/>
          <w:lang w:eastAsia="zh-CN"/>
        </w:rPr>
        <w:t>玉环市漩门三期围垦配套工程（监理</w:t>
      </w:r>
      <w:r>
        <w:rPr>
          <w:rFonts w:hint="eastAsia"/>
          <w:color w:val="auto"/>
          <w:spacing w:val="-24"/>
          <w:sz w:val="24"/>
          <w:highlight w:val="none"/>
          <w:u w:val="single"/>
          <w:lang w:eastAsia="zh-CN"/>
        </w:rPr>
        <w:t>）</w:t>
      </w:r>
    </w:p>
    <w:p>
      <w:pPr>
        <w:pStyle w:val="5"/>
        <w:spacing w:before="12"/>
        <w:rPr>
          <w:color w:val="auto"/>
          <w:sz w:val="23"/>
          <w:highlight w:val="none"/>
        </w:rPr>
      </w:pPr>
    </w:p>
    <w:p>
      <w:pPr>
        <w:spacing w:before="61"/>
        <w:ind w:left="1636" w:right="0" w:firstLine="0"/>
        <w:jc w:val="left"/>
        <w:rPr>
          <w:color w:val="auto"/>
          <w:sz w:val="28"/>
          <w:highlight w:val="none"/>
        </w:rPr>
      </w:pPr>
      <w:r>
        <w:rPr>
          <w:color w:val="auto"/>
          <w:sz w:val="28"/>
          <w:highlight w:val="none"/>
        </w:rPr>
        <w:t>招 标 人：</w:t>
      </w:r>
      <w:r>
        <w:rPr>
          <w:rFonts w:hint="eastAsia"/>
          <w:color w:val="auto"/>
          <w:sz w:val="28"/>
          <w:highlight w:val="none"/>
          <w:u w:val="single"/>
          <w:lang w:eastAsia="zh-CN"/>
        </w:rPr>
        <w:t>玉环市漩门三期开发有限公司</w:t>
      </w:r>
      <w:r>
        <w:rPr>
          <w:color w:val="auto"/>
          <w:sz w:val="28"/>
          <w:highlight w:val="none"/>
          <w:u w:val="single"/>
        </w:rPr>
        <w:t>（盖章）</w:t>
      </w: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spacing w:before="7"/>
        <w:rPr>
          <w:color w:val="auto"/>
          <w:sz w:val="20"/>
          <w:highlight w:val="none"/>
        </w:rPr>
      </w:pPr>
    </w:p>
    <w:p>
      <w:pPr>
        <w:spacing w:before="62"/>
        <w:ind w:left="1636" w:right="0" w:firstLine="0"/>
        <w:jc w:val="left"/>
        <w:rPr>
          <w:color w:val="auto"/>
          <w:sz w:val="28"/>
          <w:highlight w:val="none"/>
        </w:rPr>
      </w:pPr>
      <w:r>
        <w:rPr>
          <w:color w:val="auto"/>
          <w:sz w:val="28"/>
          <w:highlight w:val="none"/>
        </w:rPr>
        <w:t>招标代理机构：</w:t>
      </w:r>
      <w:r>
        <w:rPr>
          <w:rFonts w:hint="eastAsia"/>
          <w:color w:val="auto"/>
          <w:sz w:val="28"/>
          <w:highlight w:val="none"/>
          <w:u w:val="single"/>
          <w:lang w:eastAsia="zh-CN"/>
        </w:rPr>
        <w:t>建经投资咨询有限公司</w:t>
      </w:r>
      <w:r>
        <w:rPr>
          <w:color w:val="auto"/>
          <w:sz w:val="28"/>
          <w:highlight w:val="none"/>
          <w:u w:val="single"/>
        </w:rPr>
        <w:t>（盖章）</w:t>
      </w:r>
    </w:p>
    <w:p>
      <w:pPr>
        <w:pStyle w:val="5"/>
        <w:rPr>
          <w:color w:val="auto"/>
          <w:sz w:val="23"/>
          <w:highlight w:val="none"/>
        </w:rPr>
      </w:pPr>
    </w:p>
    <w:p>
      <w:pPr>
        <w:tabs>
          <w:tab w:val="left" w:pos="7724"/>
        </w:tabs>
        <w:spacing w:before="71"/>
        <w:ind w:left="1636" w:right="0" w:firstLine="0"/>
        <w:jc w:val="left"/>
        <w:rPr>
          <w:rFonts w:hint="eastAsia" w:ascii="Times New Roman" w:eastAsia="宋体"/>
          <w:color w:val="auto"/>
          <w:sz w:val="28"/>
          <w:highlight w:val="none"/>
          <w:lang w:val="en-US" w:eastAsia="zh-CN"/>
        </w:rPr>
      </w:pPr>
      <w:r>
        <w:rPr>
          <w:color w:val="auto"/>
          <w:spacing w:val="-1"/>
          <w:sz w:val="28"/>
          <w:highlight w:val="none"/>
        </w:rPr>
        <w:t>代</w:t>
      </w:r>
      <w:r>
        <w:rPr>
          <w:color w:val="auto"/>
          <w:spacing w:val="-3"/>
          <w:sz w:val="28"/>
          <w:highlight w:val="none"/>
        </w:rPr>
        <w:t>理</w:t>
      </w:r>
      <w:r>
        <w:rPr>
          <w:color w:val="auto"/>
          <w:spacing w:val="-1"/>
          <w:sz w:val="28"/>
          <w:highlight w:val="none"/>
        </w:rPr>
        <w:t>项目</w:t>
      </w:r>
      <w:r>
        <w:rPr>
          <w:color w:val="auto"/>
          <w:spacing w:val="-3"/>
          <w:sz w:val="28"/>
          <w:highlight w:val="none"/>
        </w:rPr>
        <w:t>负</w:t>
      </w:r>
      <w:r>
        <w:rPr>
          <w:color w:val="auto"/>
          <w:spacing w:val="-1"/>
          <w:sz w:val="28"/>
          <w:highlight w:val="none"/>
        </w:rPr>
        <w:t>责人</w:t>
      </w:r>
      <w:r>
        <w:rPr>
          <w:color w:val="auto"/>
          <w:spacing w:val="-3"/>
          <w:sz w:val="28"/>
          <w:highlight w:val="none"/>
        </w:rPr>
        <w:t>：</w:t>
      </w:r>
      <w:r>
        <w:rPr>
          <w:rFonts w:ascii="Times New Roman" w:eastAsia="Times New Roman"/>
          <w:color w:val="auto"/>
          <w:sz w:val="28"/>
          <w:highlight w:val="none"/>
          <w:u w:val="single"/>
        </w:rPr>
        <w:t xml:space="preserve"> </w:t>
      </w:r>
      <w:r>
        <w:rPr>
          <w:rFonts w:hint="eastAsia" w:ascii="Times New Roman"/>
          <w:color w:val="auto"/>
          <w:sz w:val="28"/>
          <w:highlight w:val="none"/>
          <w:u w:val="single"/>
          <w:lang w:val="en-US" w:eastAsia="zh-CN"/>
        </w:rPr>
        <w:t xml:space="preserve">            </w:t>
      </w:r>
      <w:r>
        <w:rPr>
          <w:rFonts w:hint="eastAsia" w:ascii="Times New Roman"/>
          <w:color w:val="auto"/>
          <w:sz w:val="28"/>
          <w:highlight w:val="none"/>
          <w:u w:val="single"/>
          <w:lang w:eastAsia="zh-CN"/>
        </w:rPr>
        <w:t>范子云</w:t>
      </w:r>
      <w:r>
        <w:rPr>
          <w:rFonts w:hint="eastAsia" w:ascii="Times New Roman"/>
          <w:color w:val="auto"/>
          <w:sz w:val="28"/>
          <w:highlight w:val="none"/>
          <w:u w:val="single"/>
          <w:lang w:val="en-US" w:eastAsia="zh-CN"/>
        </w:rPr>
        <w:t xml:space="preserve">              </w:t>
      </w: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autoSpaceDE w:val="0"/>
        <w:autoSpaceDN w:val="0"/>
        <w:adjustRightInd w:val="0"/>
        <w:spacing w:line="360" w:lineRule="auto"/>
        <w:ind w:left="573" w:firstLine="840" w:firstLineChars="300"/>
        <w:rPr>
          <w:rFonts w:hint="eastAsia"/>
          <w:b/>
          <w:bCs/>
          <w:sz w:val="30"/>
          <w:szCs w:val="30"/>
          <w:lang w:val="zh-CN"/>
        </w:rPr>
      </w:pPr>
      <w:r>
        <w:rPr>
          <w:rFonts w:hint="eastAsia" w:ascii="宋体" w:hAnsi="宋体" w:eastAsia="宋体"/>
          <w:color w:val="auto"/>
          <w:sz w:val="28"/>
        </w:rPr>
        <w:t>招标监管机构：</w:t>
      </w:r>
      <w:r>
        <w:rPr>
          <w:rFonts w:hint="eastAsia" w:ascii="宋体" w:hAnsi="宋体" w:eastAsia="宋体"/>
          <w:color w:val="auto"/>
          <w:sz w:val="28"/>
          <w:lang w:eastAsia="zh-CN"/>
        </w:rPr>
        <w:t>浙江玉环经济开发区管理委员会（盖章）</w:t>
      </w:r>
    </w:p>
    <w:p>
      <w:pPr>
        <w:pStyle w:val="5"/>
        <w:spacing w:before="2"/>
        <w:rPr>
          <w:rFonts w:ascii="Times New Roman"/>
          <w:color w:val="auto"/>
          <w:sz w:val="16"/>
          <w:highlight w:val="none"/>
        </w:rPr>
      </w:pPr>
    </w:p>
    <w:p>
      <w:pPr>
        <w:spacing w:before="62"/>
        <w:ind w:left="31" w:right="155" w:firstLine="0"/>
        <w:jc w:val="center"/>
        <w:rPr>
          <w:color w:val="auto"/>
          <w:sz w:val="28"/>
          <w:highlight w:val="none"/>
        </w:rPr>
      </w:pPr>
      <w:r>
        <w:rPr>
          <w:color w:val="auto"/>
          <w:sz w:val="28"/>
          <w:highlight w:val="none"/>
          <w:u w:val="single"/>
        </w:rPr>
        <w:t xml:space="preserve">2018 年 </w:t>
      </w:r>
      <w:r>
        <w:rPr>
          <w:rFonts w:hint="eastAsia"/>
          <w:color w:val="auto"/>
          <w:sz w:val="28"/>
          <w:highlight w:val="none"/>
          <w:u w:val="single"/>
          <w:lang w:val="en-US" w:eastAsia="zh-CN"/>
        </w:rPr>
        <w:t xml:space="preserve">10 </w:t>
      </w:r>
      <w:r>
        <w:rPr>
          <w:color w:val="auto"/>
          <w:sz w:val="28"/>
          <w:highlight w:val="none"/>
          <w:u w:val="single"/>
        </w:rPr>
        <w:t>月</w:t>
      </w:r>
    </w:p>
    <w:p>
      <w:pPr>
        <w:spacing w:after="0"/>
        <w:jc w:val="center"/>
        <w:rPr>
          <w:color w:val="auto"/>
          <w:sz w:val="28"/>
          <w:highlight w:val="none"/>
        </w:rPr>
        <w:sectPr>
          <w:headerReference r:id="rId3" w:type="default"/>
          <w:footerReference r:id="rId4" w:type="default"/>
          <w:type w:val="continuous"/>
          <w:pgSz w:w="11910" w:h="16840"/>
          <w:pgMar w:top="1080" w:right="520" w:bottom="1040" w:left="920" w:header="891" w:footer="856" w:gutter="0"/>
        </w:sectPr>
      </w:pPr>
    </w:p>
    <w:p>
      <w:pPr>
        <w:pStyle w:val="5"/>
        <w:spacing w:before="10"/>
        <w:rPr>
          <w:color w:val="auto"/>
          <w:sz w:val="13"/>
          <w:highlight w:val="none"/>
        </w:rPr>
      </w:pPr>
    </w:p>
    <w:p>
      <w:pPr>
        <w:tabs>
          <w:tab w:val="left" w:pos="1355"/>
        </w:tabs>
        <w:spacing w:before="38"/>
        <w:ind w:left="31" w:right="0" w:firstLine="0"/>
        <w:jc w:val="center"/>
        <w:rPr>
          <w:rFonts w:hint="eastAsia" w:ascii="黑体" w:eastAsia="黑体"/>
          <w:b/>
          <w:color w:val="auto"/>
          <w:sz w:val="44"/>
          <w:highlight w:val="none"/>
        </w:rPr>
      </w:pPr>
      <w:r>
        <w:rPr>
          <w:rFonts w:hint="eastAsia" w:ascii="黑体" w:eastAsia="黑体"/>
          <w:b/>
          <w:color w:val="auto"/>
          <w:sz w:val="44"/>
          <w:highlight w:val="none"/>
        </w:rPr>
        <w:t>目</w:t>
      </w:r>
      <w:r>
        <w:rPr>
          <w:rFonts w:hint="eastAsia" w:ascii="黑体" w:eastAsia="黑体"/>
          <w:b/>
          <w:color w:val="auto"/>
          <w:sz w:val="44"/>
          <w:highlight w:val="none"/>
        </w:rPr>
        <w:tab/>
      </w:r>
      <w:r>
        <w:rPr>
          <w:rFonts w:hint="eastAsia" w:ascii="黑体" w:eastAsia="黑体"/>
          <w:b/>
          <w:color w:val="auto"/>
          <w:sz w:val="44"/>
          <w:highlight w:val="none"/>
        </w:rPr>
        <w:t>录</w:t>
      </w:r>
    </w:p>
    <w:sdt>
      <w:sdtPr>
        <w:rPr>
          <w:color w:val="auto"/>
          <w:highlight w:val="none"/>
        </w:rPr>
        <w:id w:val="0"/>
        <w:docPartObj>
          <w:docPartGallery w:val="Table of Contents"/>
          <w:docPartUnique/>
        </w:docPartObj>
      </w:sdtPr>
      <w:sdtEndPr>
        <w:rPr>
          <w:color w:val="auto"/>
          <w:highlight w:val="none"/>
        </w:rPr>
      </w:sdtEndPr>
      <w:sdtContent>
        <w:p>
          <w:pPr>
            <w:pStyle w:val="6"/>
            <w:tabs>
              <w:tab w:val="right" w:leader="dot" w:pos="9983"/>
            </w:tabs>
            <w:rPr>
              <w:color w:val="auto"/>
              <w:highlight w:val="none"/>
            </w:rPr>
          </w:pP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黑体" w:eastAsia="黑体"/>
              <w:color w:val="auto"/>
              <w:highlight w:val="none"/>
            </w:rPr>
            <w:t>第一章 招标公告</w:t>
          </w:r>
          <w:r>
            <w:rPr>
              <w:rFonts w:hint="eastAsia" w:ascii="黑体" w:eastAsia="黑体"/>
              <w:color w:val="auto"/>
              <w:highlight w:val="none"/>
            </w:rPr>
            <w:tab/>
          </w:r>
          <w:r>
            <w:rPr>
              <w:color w:val="auto"/>
              <w:highlight w:val="none"/>
            </w:rPr>
            <w:t>2</w:t>
          </w:r>
          <w:r>
            <w:rPr>
              <w:color w:val="auto"/>
              <w:highlight w:val="none"/>
            </w:rPr>
            <w:fldChar w:fldCharType="end"/>
          </w:r>
        </w:p>
        <w:p>
          <w:pPr>
            <w:pStyle w:val="6"/>
            <w:tabs>
              <w:tab w:val="right" w:leader="dot" w:pos="9983"/>
            </w:tabs>
            <w:rPr>
              <w:color w:val="auto"/>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黑体" w:eastAsia="黑体"/>
              <w:color w:val="auto"/>
              <w:highlight w:val="none"/>
            </w:rPr>
            <w:t xml:space="preserve">第二章 </w:t>
          </w:r>
          <w:r>
            <w:rPr>
              <w:color w:val="auto"/>
              <w:highlight w:val="none"/>
            </w:rPr>
            <w:t>投标人须知</w:t>
          </w:r>
          <w:r>
            <w:rPr>
              <w:color w:val="auto"/>
              <w:highlight w:val="none"/>
            </w:rPr>
            <w:tab/>
          </w:r>
          <w:r>
            <w:rPr>
              <w:color w:val="auto"/>
              <w:highlight w:val="none"/>
            </w:rPr>
            <w:t>4</w:t>
          </w:r>
          <w:r>
            <w:rPr>
              <w:color w:val="auto"/>
              <w:highlight w:val="none"/>
            </w:rPr>
            <w:fldChar w:fldCharType="end"/>
          </w:r>
        </w:p>
        <w:p>
          <w:pPr>
            <w:pStyle w:val="7"/>
            <w:tabs>
              <w:tab w:val="left" w:pos="1988"/>
              <w:tab w:val="right" w:leader="dot" w:pos="9982"/>
            </w:tabs>
            <w:spacing w:before="123" w:line="240" w:lineRule="auto"/>
            <w:rPr>
              <w:color w:val="auto"/>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hint="eastAsia" w:ascii="黑体" w:eastAsia="黑体"/>
              <w:color w:val="auto"/>
              <w:highlight w:val="none"/>
            </w:rPr>
            <w:t>第一节</w:t>
          </w:r>
          <w:r>
            <w:rPr>
              <w:rFonts w:hint="eastAsia" w:ascii="黑体" w:eastAsia="黑体"/>
              <w:color w:val="auto"/>
              <w:spacing w:val="-2"/>
              <w:highlight w:val="none"/>
            </w:rPr>
            <w:t xml:space="preserve"> </w:t>
          </w:r>
          <w:r>
            <w:rPr>
              <w:color w:val="auto"/>
              <w:highlight w:val="none"/>
            </w:rPr>
            <w:t>总</w:t>
          </w:r>
          <w:r>
            <w:rPr>
              <w:color w:val="auto"/>
              <w:highlight w:val="none"/>
            </w:rPr>
            <w:tab/>
          </w:r>
          <w:r>
            <w:rPr>
              <w:color w:val="auto"/>
              <w:highlight w:val="none"/>
            </w:rPr>
            <w:t>则</w:t>
          </w:r>
          <w:r>
            <w:rPr>
              <w:color w:val="auto"/>
              <w:highlight w:val="none"/>
            </w:rPr>
            <w:tab/>
          </w:r>
          <w:r>
            <w:rPr>
              <w:color w:val="auto"/>
              <w:highlight w:val="none"/>
            </w:rPr>
            <w:t>7</w:t>
          </w:r>
          <w:r>
            <w:rPr>
              <w:color w:val="auto"/>
              <w:highlight w:val="none"/>
            </w:rPr>
            <w:fldChar w:fldCharType="end"/>
          </w:r>
        </w:p>
        <w:p>
          <w:pPr>
            <w:pStyle w:val="7"/>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hint="eastAsia" w:ascii="黑体" w:eastAsia="黑体"/>
              <w:color w:val="auto"/>
              <w:highlight w:val="none"/>
            </w:rPr>
            <w:t>第二节</w:t>
          </w:r>
          <w:r>
            <w:rPr>
              <w:rFonts w:hint="eastAsia" w:ascii="黑体" w:eastAsia="黑体"/>
              <w:color w:val="auto"/>
              <w:spacing w:val="-1"/>
              <w:highlight w:val="none"/>
            </w:rPr>
            <w:t xml:space="preserve"> </w:t>
          </w:r>
          <w:r>
            <w:rPr>
              <w:color w:val="auto"/>
              <w:highlight w:val="none"/>
            </w:rPr>
            <w:t>招标文件</w:t>
          </w:r>
          <w:r>
            <w:rPr>
              <w:color w:val="auto"/>
              <w:highlight w:val="none"/>
            </w:rPr>
            <w:tab/>
          </w:r>
          <w:r>
            <w:rPr>
              <w:color w:val="auto"/>
              <w:highlight w:val="none"/>
            </w:rPr>
            <w:t>8</w:t>
          </w:r>
          <w:r>
            <w:rPr>
              <w:color w:val="auto"/>
              <w:highlight w:val="none"/>
            </w:rPr>
            <w:fldChar w:fldCharType="end"/>
          </w:r>
        </w:p>
        <w:p>
          <w:pPr>
            <w:pStyle w:val="7"/>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hint="eastAsia" w:ascii="黑体" w:eastAsia="黑体"/>
              <w:color w:val="auto"/>
              <w:highlight w:val="none"/>
            </w:rPr>
            <w:t>第三节</w:t>
          </w:r>
          <w:r>
            <w:rPr>
              <w:rFonts w:hint="eastAsia" w:ascii="黑体" w:eastAsia="黑体"/>
              <w:color w:val="auto"/>
              <w:spacing w:val="-1"/>
              <w:highlight w:val="none"/>
            </w:rPr>
            <w:t xml:space="preserve"> </w:t>
          </w:r>
          <w:r>
            <w:rPr>
              <w:color w:val="auto"/>
              <w:highlight w:val="none"/>
            </w:rPr>
            <w:t>投标文件的编制</w:t>
          </w:r>
          <w:r>
            <w:rPr>
              <w:color w:val="auto"/>
              <w:highlight w:val="none"/>
            </w:rPr>
            <w:tab/>
          </w:r>
          <w:r>
            <w:rPr>
              <w:color w:val="auto"/>
              <w:highlight w:val="none"/>
            </w:rPr>
            <w:t>9</w:t>
          </w:r>
          <w:r>
            <w:rPr>
              <w:color w:val="auto"/>
              <w:highlight w:val="none"/>
            </w:rPr>
            <w:fldChar w:fldCharType="end"/>
          </w:r>
        </w:p>
        <w:p>
          <w:pPr>
            <w:pStyle w:val="7"/>
            <w:tabs>
              <w:tab w:val="right" w:leader="dot" w:pos="9982"/>
            </w:tabs>
            <w:spacing w:before="2"/>
            <w:rPr>
              <w:color w:val="auto"/>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hint="eastAsia" w:ascii="黑体" w:eastAsia="黑体"/>
              <w:color w:val="auto"/>
              <w:highlight w:val="none"/>
            </w:rPr>
            <w:t>第四节</w:t>
          </w:r>
          <w:r>
            <w:rPr>
              <w:rFonts w:hint="eastAsia" w:ascii="黑体" w:eastAsia="黑体"/>
              <w:color w:val="auto"/>
              <w:spacing w:val="-1"/>
              <w:highlight w:val="none"/>
            </w:rPr>
            <w:t xml:space="preserve"> </w:t>
          </w:r>
          <w:r>
            <w:rPr>
              <w:color w:val="auto"/>
              <w:highlight w:val="none"/>
            </w:rPr>
            <w:t>投标文件的递交</w:t>
          </w:r>
          <w:r>
            <w:rPr>
              <w:color w:val="auto"/>
              <w:highlight w:val="none"/>
            </w:rPr>
            <w:tab/>
          </w:r>
          <w:r>
            <w:rPr>
              <w:color w:val="auto"/>
              <w:highlight w:val="none"/>
            </w:rPr>
            <w:t>1</w:t>
          </w:r>
          <w:r>
            <w:rPr>
              <w:color w:val="auto"/>
              <w:highlight w:val="none"/>
            </w:rPr>
            <w:fldChar w:fldCharType="end"/>
          </w:r>
          <w:r>
            <w:rPr>
              <w:color w:val="auto"/>
              <w:highlight w:val="none"/>
            </w:rPr>
            <w:t>0</w:t>
          </w:r>
        </w:p>
        <w:p>
          <w:pPr>
            <w:pStyle w:val="7"/>
            <w:tabs>
              <w:tab w:val="left" w:pos="2094"/>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hint="eastAsia" w:ascii="黑体" w:eastAsia="黑体"/>
              <w:color w:val="auto"/>
              <w:highlight w:val="none"/>
            </w:rPr>
            <w:t>第五节</w:t>
          </w:r>
          <w:r>
            <w:rPr>
              <w:rFonts w:hint="eastAsia" w:ascii="黑体" w:eastAsia="黑体"/>
              <w:color w:val="auto"/>
              <w:spacing w:val="-2"/>
              <w:highlight w:val="none"/>
            </w:rPr>
            <w:t xml:space="preserve"> </w:t>
          </w:r>
          <w:r>
            <w:rPr>
              <w:color w:val="auto"/>
              <w:highlight w:val="none"/>
            </w:rPr>
            <w:t>开</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7"/>
            <w:tabs>
              <w:tab w:val="left" w:pos="2094"/>
              <w:tab w:val="right" w:leader="dot" w:pos="9982"/>
            </w:tabs>
            <w:spacing w:before="3"/>
            <w:rPr>
              <w:color w:val="auto"/>
              <w:highlight w:val="none"/>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hint="eastAsia" w:ascii="黑体" w:eastAsia="黑体"/>
              <w:color w:val="auto"/>
              <w:highlight w:val="none"/>
            </w:rPr>
            <w:t>第六节</w:t>
          </w:r>
          <w:r>
            <w:rPr>
              <w:rFonts w:hint="eastAsia" w:ascii="黑体" w:eastAsia="黑体"/>
              <w:color w:val="auto"/>
              <w:spacing w:val="-2"/>
              <w:highlight w:val="none"/>
            </w:rPr>
            <w:t xml:space="preserve"> </w:t>
          </w:r>
          <w:r>
            <w:rPr>
              <w:color w:val="auto"/>
              <w:highlight w:val="none"/>
            </w:rPr>
            <w:t>评</w:t>
          </w:r>
          <w:r>
            <w:rPr>
              <w:color w:val="auto"/>
              <w:highlight w:val="none"/>
            </w:rPr>
            <w:tab/>
          </w:r>
          <w:r>
            <w:rPr>
              <w:color w:val="auto"/>
              <w:highlight w:val="none"/>
            </w:rPr>
            <w:t>标</w:t>
          </w:r>
          <w:r>
            <w:rPr>
              <w:color w:val="auto"/>
              <w:highlight w:val="none"/>
            </w:rPr>
            <w:tab/>
          </w:r>
          <w:r>
            <w:rPr>
              <w:color w:val="auto"/>
              <w:highlight w:val="none"/>
            </w:rPr>
            <w:t>10</w:t>
          </w:r>
          <w:r>
            <w:rPr>
              <w:color w:val="auto"/>
              <w:highlight w:val="none"/>
            </w:rPr>
            <w:fldChar w:fldCharType="end"/>
          </w:r>
        </w:p>
        <w:p>
          <w:pPr>
            <w:pStyle w:val="7"/>
            <w:tabs>
              <w:tab w:val="right" w:leader="dot" w:pos="9982"/>
            </w:tabs>
            <w:spacing w:line="274" w:lineRule="exact"/>
            <w:rPr>
              <w:color w:val="auto"/>
              <w:highlight w:val="none"/>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hint="eastAsia" w:ascii="黑体" w:eastAsia="黑体"/>
              <w:color w:val="auto"/>
              <w:highlight w:val="none"/>
            </w:rPr>
            <w:t>第七节</w:t>
          </w:r>
          <w:r>
            <w:rPr>
              <w:rFonts w:hint="eastAsia" w:ascii="黑体" w:eastAsia="黑体"/>
              <w:color w:val="auto"/>
              <w:spacing w:val="-1"/>
              <w:highlight w:val="none"/>
            </w:rPr>
            <w:t xml:space="preserve"> </w:t>
          </w:r>
          <w:r>
            <w:rPr>
              <w:color w:val="auto"/>
              <w:highlight w:val="none"/>
            </w:rPr>
            <w:t>授予合同</w:t>
          </w:r>
          <w:r>
            <w:rPr>
              <w:color w:val="auto"/>
              <w:highlight w:val="none"/>
            </w:rPr>
            <w:tab/>
          </w:r>
          <w:r>
            <w:rPr>
              <w:color w:val="auto"/>
              <w:highlight w:val="none"/>
            </w:rPr>
            <w:t>12</w:t>
          </w:r>
          <w:r>
            <w:rPr>
              <w:color w:val="auto"/>
              <w:highlight w:val="none"/>
            </w:rPr>
            <w:fldChar w:fldCharType="end"/>
          </w:r>
        </w:p>
        <w:p>
          <w:pPr>
            <w:pStyle w:val="6"/>
            <w:tabs>
              <w:tab w:val="right" w:leader="dot" w:pos="9983"/>
            </w:tabs>
            <w:spacing w:before="123"/>
            <w:rPr>
              <w:color w:val="auto"/>
              <w:highlight w:val="none"/>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hint="eastAsia" w:ascii="黑体" w:eastAsia="黑体"/>
              <w:color w:val="auto"/>
              <w:highlight w:val="none"/>
            </w:rPr>
            <w:t xml:space="preserve">第三章 </w:t>
          </w:r>
          <w:r>
            <w:rPr>
              <w:color w:val="auto"/>
              <w:highlight w:val="none"/>
            </w:rPr>
            <w:t>评标办法</w:t>
          </w:r>
          <w:r>
            <w:rPr>
              <w:color w:val="auto"/>
              <w:highlight w:val="none"/>
            </w:rPr>
            <w:tab/>
          </w:r>
          <w:r>
            <w:rPr>
              <w:color w:val="auto"/>
              <w:highlight w:val="none"/>
            </w:rPr>
            <w:t>14</w:t>
          </w:r>
          <w:r>
            <w:rPr>
              <w:color w:val="auto"/>
              <w:highlight w:val="none"/>
            </w:rPr>
            <w:fldChar w:fldCharType="end"/>
          </w:r>
        </w:p>
        <w:p>
          <w:pPr>
            <w:pStyle w:val="6"/>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hint="eastAsia" w:ascii="黑体" w:eastAsia="黑体"/>
              <w:color w:val="auto"/>
              <w:highlight w:val="none"/>
            </w:rPr>
            <w:t xml:space="preserve">第四章 </w:t>
          </w:r>
          <w:r>
            <w:rPr>
              <w:color w:val="auto"/>
              <w:highlight w:val="none"/>
            </w:rPr>
            <w:t>合同条款</w:t>
          </w:r>
          <w:r>
            <w:rPr>
              <w:color w:val="auto"/>
              <w:highlight w:val="none"/>
            </w:rPr>
            <w:tab/>
          </w:r>
          <w:r>
            <w:rPr>
              <w:color w:val="auto"/>
              <w:highlight w:val="none"/>
            </w:rPr>
            <w:t>15</w:t>
          </w:r>
          <w:r>
            <w:rPr>
              <w:color w:val="auto"/>
              <w:highlight w:val="none"/>
            </w:rPr>
            <w:fldChar w:fldCharType="end"/>
          </w:r>
        </w:p>
        <w:p>
          <w:pPr>
            <w:pStyle w:val="6"/>
            <w:tabs>
              <w:tab w:val="right" w:leader="dot" w:pos="9983"/>
            </w:tabs>
            <w:rPr>
              <w:color w:val="auto"/>
              <w:highlight w:val="none"/>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color w:val="auto"/>
              <w:highlight w:val="none"/>
            </w:rPr>
            <w:t>附件一：</w:t>
          </w:r>
          <w:r>
            <w:rPr>
              <w:color w:val="auto"/>
              <w:highlight w:val="none"/>
            </w:rPr>
            <w:tab/>
          </w:r>
          <w:r>
            <w:rPr>
              <w:color w:val="auto"/>
              <w:highlight w:val="none"/>
            </w:rPr>
            <w:t>33</w:t>
          </w:r>
          <w:r>
            <w:rPr>
              <w:color w:val="auto"/>
              <w:highlight w:val="none"/>
            </w:rPr>
            <w:fldChar w:fldCharType="end"/>
          </w:r>
        </w:p>
        <w:p>
          <w:pPr>
            <w:pStyle w:val="6"/>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color w:val="auto"/>
              <w:highlight w:val="none"/>
            </w:rPr>
            <w:t>附件二：</w:t>
          </w:r>
          <w:r>
            <w:rPr>
              <w:color w:val="auto"/>
              <w:highlight w:val="none"/>
            </w:rPr>
            <w:tab/>
          </w:r>
          <w:r>
            <w:rPr>
              <w:color w:val="auto"/>
              <w:highlight w:val="none"/>
            </w:rPr>
            <w:t>34</w:t>
          </w:r>
          <w:r>
            <w:rPr>
              <w:color w:val="auto"/>
              <w:highlight w:val="none"/>
            </w:rPr>
            <w:fldChar w:fldCharType="end"/>
          </w:r>
        </w:p>
        <w:p>
          <w:pPr>
            <w:pStyle w:val="6"/>
            <w:tabs>
              <w:tab w:val="right" w:leader="dot" w:pos="9983"/>
            </w:tabs>
            <w:rPr>
              <w:color w:val="auto"/>
              <w:highlight w:val="none"/>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color w:val="auto"/>
              <w:highlight w:val="none"/>
            </w:rPr>
            <w:t>附件三：</w:t>
          </w:r>
          <w:r>
            <w:rPr>
              <w:color w:val="auto"/>
              <w:highlight w:val="none"/>
            </w:rPr>
            <w:tab/>
          </w:r>
          <w:r>
            <w:rPr>
              <w:color w:val="auto"/>
              <w:highlight w:val="none"/>
            </w:rPr>
            <w:t>35</w:t>
          </w:r>
          <w:r>
            <w:rPr>
              <w:color w:val="auto"/>
              <w:highlight w:val="none"/>
            </w:rPr>
            <w:fldChar w:fldCharType="end"/>
          </w:r>
        </w:p>
        <w:p>
          <w:pPr>
            <w:pStyle w:val="6"/>
            <w:tabs>
              <w:tab w:val="right" w:leader="dot" w:pos="9983"/>
            </w:tabs>
            <w:spacing w:before="122"/>
            <w:rPr>
              <w:color w:val="auto"/>
              <w:highlight w:val="none"/>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color w:val="auto"/>
              <w:highlight w:val="none"/>
            </w:rPr>
            <w:t>附件四：</w:t>
          </w:r>
          <w:r>
            <w:rPr>
              <w:color w:val="auto"/>
              <w:highlight w:val="none"/>
            </w:rPr>
            <w:tab/>
          </w:r>
          <w:r>
            <w:rPr>
              <w:color w:val="auto"/>
              <w:highlight w:val="none"/>
            </w:rPr>
            <w:t>36</w:t>
          </w:r>
          <w:r>
            <w:rPr>
              <w:color w:val="auto"/>
              <w:highlight w:val="none"/>
            </w:rPr>
            <w:fldChar w:fldCharType="end"/>
          </w:r>
        </w:p>
        <w:p>
          <w:pPr>
            <w:pStyle w:val="6"/>
            <w:tabs>
              <w:tab w:val="right" w:leader="dot" w:pos="9983"/>
            </w:tabs>
            <w:spacing w:before="124"/>
            <w:rPr>
              <w:color w:val="auto"/>
              <w:highlight w:val="none"/>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color w:val="auto"/>
              <w:highlight w:val="none"/>
            </w:rPr>
            <w:t>附件五：</w:t>
          </w:r>
          <w:r>
            <w:rPr>
              <w:color w:val="auto"/>
              <w:highlight w:val="none"/>
            </w:rPr>
            <w:tab/>
          </w:r>
          <w:r>
            <w:rPr>
              <w:color w:val="auto"/>
              <w:highlight w:val="none"/>
            </w:rPr>
            <w:t>3</w:t>
          </w:r>
          <w:r>
            <w:rPr>
              <w:color w:val="auto"/>
              <w:highlight w:val="none"/>
            </w:rPr>
            <w:fldChar w:fldCharType="end"/>
          </w:r>
          <w:r>
            <w:rPr>
              <w:color w:val="auto"/>
              <w:highlight w:val="none"/>
            </w:rPr>
            <w:t>8</w:t>
          </w:r>
        </w:p>
        <w:p>
          <w:pPr>
            <w:pStyle w:val="6"/>
            <w:tabs>
              <w:tab w:val="right" w:leader="dot" w:pos="9983"/>
            </w:tabs>
            <w:rPr>
              <w:color w:val="auto"/>
              <w:highlight w:val="none"/>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color w:val="auto"/>
              <w:highlight w:val="none"/>
            </w:rPr>
            <w:t>附件六：</w:t>
          </w:r>
          <w:r>
            <w:rPr>
              <w:color w:val="auto"/>
              <w:highlight w:val="none"/>
            </w:rPr>
            <w:tab/>
          </w:r>
          <w:r>
            <w:rPr>
              <w:color w:val="auto"/>
              <w:highlight w:val="none"/>
            </w:rPr>
            <w:t>3</w:t>
          </w:r>
          <w:r>
            <w:rPr>
              <w:color w:val="auto"/>
              <w:highlight w:val="none"/>
            </w:rPr>
            <w:fldChar w:fldCharType="end"/>
          </w:r>
          <w:r>
            <w:rPr>
              <w:color w:val="auto"/>
              <w:highlight w:val="none"/>
            </w:rPr>
            <w:t>9</w:t>
          </w:r>
        </w:p>
      </w:sdtContent>
    </w:sdt>
    <w:p>
      <w:pPr>
        <w:spacing w:after="0"/>
        <w:rPr>
          <w:color w:val="auto"/>
          <w:highlight w:val="none"/>
        </w:rPr>
        <w:sectPr>
          <w:footerReference r:id="rId5" w:type="default"/>
          <w:pgSz w:w="11910" w:h="16840"/>
          <w:pgMar w:top="1080" w:right="520" w:bottom="960" w:left="920" w:header="891" w:footer="776" w:gutter="0"/>
          <w:pgNumType w:start="1"/>
        </w:sectPr>
      </w:pPr>
    </w:p>
    <w:p>
      <w:pPr>
        <w:pStyle w:val="11"/>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870" w:after="0" w:line="360" w:lineRule="auto"/>
        <w:ind w:left="696" w:right="0" w:hanging="181"/>
        <w:jc w:val="left"/>
        <w:textAlignment w:val="auto"/>
        <w:rPr>
          <w:rFonts w:ascii="Times New Roman" w:eastAsia="Times New Roman"/>
          <w:b/>
          <w:color w:val="auto"/>
          <w:sz w:val="22"/>
          <w:highlight w:val="none"/>
        </w:rPr>
      </w:pPr>
      <w:bookmarkStart w:id="1" w:name="1.招标条件"/>
      <w:bookmarkEnd w:id="1"/>
      <w:bookmarkStart w:id="2" w:name="1.招标条件"/>
      <w:bookmarkEnd w:id="2"/>
      <w:r>
        <w:rPr>
          <w:b/>
          <w:color w:val="auto"/>
          <w:sz w:val="24"/>
          <w:highlight w:val="none"/>
        </w:rPr>
        <w:t>招标条件</w:t>
      </w:r>
    </w:p>
    <w:p>
      <w:pPr>
        <w:keepNext w:val="0"/>
        <w:keepLines w:val="0"/>
        <w:pageBreakBefore w:val="0"/>
        <w:widowControl w:val="0"/>
        <w:kinsoku/>
        <w:wordWrap/>
        <w:overflowPunct/>
        <w:topLinePunct w:val="0"/>
        <w:autoSpaceDE w:val="0"/>
        <w:autoSpaceDN w:val="0"/>
        <w:bidi w:val="0"/>
        <w:adjustRightInd/>
        <w:snapToGrid/>
        <w:spacing w:before="334" w:line="360" w:lineRule="auto"/>
        <w:ind w:left="515" w:right="0" w:firstLine="0"/>
        <w:jc w:val="left"/>
        <w:textAlignment w:val="auto"/>
        <w:rPr>
          <w:rFonts w:hint="eastAsia" w:ascii="黑体" w:eastAsia="黑体"/>
          <w:color w:val="auto"/>
          <w:sz w:val="32"/>
          <w:highlight w:val="none"/>
        </w:rPr>
      </w:pPr>
      <w:r>
        <w:rPr>
          <w:color w:val="auto"/>
          <w:highlight w:val="none"/>
        </w:rPr>
        <w:br w:type="column"/>
      </w:r>
      <w:r>
        <w:rPr>
          <w:rFonts w:hint="eastAsia" w:ascii="黑体" w:eastAsia="黑体"/>
          <w:b/>
          <w:color w:val="auto"/>
          <w:sz w:val="32"/>
          <w:highlight w:val="none"/>
        </w:rPr>
        <w:t xml:space="preserve">第一章 </w:t>
      </w:r>
      <w:r>
        <w:rPr>
          <w:rFonts w:hint="eastAsia" w:ascii="黑体" w:eastAsia="黑体"/>
          <w:color w:val="auto"/>
          <w:sz w:val="32"/>
          <w:highlight w:val="none"/>
        </w:rPr>
        <w:t>招标公告</w:t>
      </w:r>
    </w:p>
    <w:p>
      <w:pPr>
        <w:keepNext w:val="0"/>
        <w:keepLines w:val="0"/>
        <w:pageBreakBefore w:val="0"/>
        <w:widowControl w:val="0"/>
        <w:kinsoku/>
        <w:wordWrap/>
        <w:overflowPunct/>
        <w:topLinePunct w:val="0"/>
        <w:autoSpaceDE w:val="0"/>
        <w:autoSpaceDN w:val="0"/>
        <w:bidi w:val="0"/>
        <w:adjustRightInd/>
        <w:snapToGrid/>
        <w:spacing w:after="0" w:line="360" w:lineRule="auto"/>
        <w:jc w:val="left"/>
        <w:textAlignment w:val="auto"/>
        <w:rPr>
          <w:rFonts w:hint="eastAsia" w:ascii="黑体" w:eastAsia="黑体"/>
          <w:color w:val="auto"/>
          <w:sz w:val="32"/>
          <w:highlight w:val="none"/>
        </w:rPr>
        <w:sectPr>
          <w:pgSz w:w="11910" w:h="16840"/>
          <w:pgMar w:top="1080" w:right="520" w:bottom="1040" w:left="920" w:header="891" w:footer="776" w:gutter="0"/>
          <w:cols w:equalWidth="0" w:num="2">
            <w:col w:w="1698" w:space="1813"/>
            <w:col w:w="6959"/>
          </w:cols>
        </w:sectPr>
      </w:pPr>
    </w:p>
    <w:p>
      <w:pPr>
        <w:pStyle w:val="5"/>
        <w:keepNext w:val="0"/>
        <w:keepLines w:val="0"/>
        <w:pageBreakBefore w:val="0"/>
        <w:widowControl w:val="0"/>
        <w:kinsoku/>
        <w:wordWrap/>
        <w:overflowPunct/>
        <w:topLinePunct w:val="0"/>
        <w:autoSpaceDE w:val="0"/>
        <w:autoSpaceDN w:val="0"/>
        <w:bidi w:val="0"/>
        <w:adjustRightInd/>
        <w:snapToGrid/>
        <w:spacing w:before="1" w:line="360" w:lineRule="auto"/>
        <w:ind w:left="515" w:right="484" w:firstLine="420"/>
        <w:jc w:val="both"/>
        <w:textAlignment w:val="auto"/>
        <w:rPr>
          <w:color w:val="auto"/>
          <w:highlight w:val="none"/>
        </w:rPr>
      </w:pPr>
      <w:r>
        <w:rPr>
          <w:color w:val="auto"/>
          <w:spacing w:val="-1"/>
          <w:w w:val="99"/>
          <w:highlight w:val="none"/>
        </w:rPr>
        <w:t>本招标项目</w:t>
      </w:r>
      <w:r>
        <w:rPr>
          <w:rFonts w:hint="eastAsia" w:ascii="宋体" w:hAnsi="宋体" w:eastAsia="宋体" w:cs="宋体"/>
          <w:color w:val="auto"/>
          <w:sz w:val="21"/>
          <w:szCs w:val="21"/>
          <w:highlight w:val="none"/>
          <w:u w:val="single"/>
          <w:lang w:val="zh-CN" w:eastAsia="zh-CN" w:bidi="zh-CN"/>
        </w:rPr>
        <w:t>玉环市漩门三期围垦配套工程（监理</w:t>
      </w:r>
      <w:r>
        <w:rPr>
          <w:rFonts w:hint="eastAsia"/>
          <w:color w:val="auto"/>
          <w:spacing w:val="-3"/>
          <w:w w:val="99"/>
          <w:highlight w:val="none"/>
          <w:u w:val="single"/>
          <w:lang w:eastAsia="zh-CN"/>
        </w:rPr>
        <w:t>）</w:t>
      </w:r>
      <w:r>
        <w:rPr>
          <w:color w:val="auto"/>
          <w:highlight w:val="none"/>
        </w:rPr>
        <w:t>已由玉环县发展和改革</w:t>
      </w:r>
      <w:r>
        <w:rPr>
          <w:color w:val="auto"/>
          <w:spacing w:val="-1"/>
          <w:highlight w:val="none"/>
        </w:rPr>
        <w:t>局</w:t>
      </w:r>
      <w:r>
        <w:rPr>
          <w:rFonts w:ascii="Times New Roman" w:cs="Times New Roman"/>
          <w:color w:val="auto"/>
          <w:sz w:val="21"/>
          <w:szCs w:val="21"/>
          <w:highlight w:val="none"/>
        </w:rPr>
        <w:t>（</w:t>
      </w:r>
      <w:r>
        <w:rPr>
          <w:rFonts w:hint="eastAsia" w:ascii="Times New Roman" w:cs="Times New Roman"/>
          <w:color w:val="auto"/>
          <w:sz w:val="21"/>
          <w:szCs w:val="21"/>
          <w:highlight w:val="none"/>
          <w:lang w:eastAsia="zh-CN"/>
        </w:rPr>
        <w:t>玉发改审[201</w:t>
      </w:r>
      <w:r>
        <w:rPr>
          <w:rFonts w:hint="eastAsia" w:ascii="Times New Roman" w:cs="Times New Roman"/>
          <w:color w:val="auto"/>
          <w:sz w:val="21"/>
          <w:szCs w:val="21"/>
          <w:highlight w:val="none"/>
          <w:lang w:val="en-US" w:eastAsia="zh-CN"/>
        </w:rPr>
        <w:t>8</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lang w:val="en-US" w:eastAsia="zh-CN"/>
        </w:rPr>
        <w:t>196</w:t>
      </w:r>
      <w:r>
        <w:rPr>
          <w:rFonts w:hint="eastAsia" w:ascii="Times New Roman" w:cs="Times New Roman"/>
          <w:color w:val="auto"/>
          <w:sz w:val="21"/>
          <w:szCs w:val="21"/>
          <w:highlight w:val="none"/>
          <w:lang w:eastAsia="zh-CN"/>
        </w:rPr>
        <w:t>号</w:t>
      </w:r>
      <w:r>
        <w:rPr>
          <w:rFonts w:ascii="Times New Roman" w:cs="Times New Roman"/>
          <w:color w:val="auto"/>
          <w:sz w:val="21"/>
          <w:szCs w:val="21"/>
          <w:highlight w:val="none"/>
        </w:rPr>
        <w:t>文件）</w:t>
      </w:r>
      <w:r>
        <w:rPr>
          <w:color w:val="auto"/>
          <w:highlight w:val="none"/>
        </w:rPr>
        <w:t>批准建设，招标人为</w:t>
      </w:r>
      <w:r>
        <w:rPr>
          <w:rFonts w:hint="eastAsia"/>
          <w:color w:val="auto"/>
          <w:highlight w:val="none"/>
          <w:u w:val="single"/>
          <w:lang w:eastAsia="zh-CN"/>
        </w:rPr>
        <w:t>玉环市漩门三期开发有限公司</w:t>
      </w:r>
      <w:r>
        <w:rPr>
          <w:color w:val="auto"/>
          <w:highlight w:val="none"/>
        </w:rPr>
        <w:t>，建设资金自筹，委托</w:t>
      </w:r>
      <w:r>
        <w:rPr>
          <w:rFonts w:hint="eastAsia"/>
          <w:color w:val="auto"/>
          <w:highlight w:val="none"/>
          <w:u w:val="single"/>
          <w:lang w:eastAsia="zh-CN"/>
        </w:rPr>
        <w:t>建经投资咨询有限公司</w:t>
      </w:r>
      <w:r>
        <w:rPr>
          <w:color w:val="auto"/>
          <w:highlight w:val="none"/>
        </w:rPr>
        <w:t>进行招标代理。项目已具备招标条件，现对该项目的施工阶段监理进行公开招标。</w:t>
      </w:r>
    </w:p>
    <w:p>
      <w:pPr>
        <w:pStyle w:val="11"/>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3" w:name="2.项目概况与招标范围"/>
      <w:bookmarkEnd w:id="3"/>
      <w:bookmarkStart w:id="4" w:name="2.项目概况与招标范围"/>
      <w:bookmarkEnd w:id="4"/>
      <w:r>
        <w:rPr>
          <w:b/>
          <w:color w:val="auto"/>
          <w:sz w:val="24"/>
          <w:highlight w:val="none"/>
        </w:rPr>
        <w:t>项目概况与招标范围</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515" w:right="553" w:firstLine="420"/>
        <w:jc w:val="left"/>
        <w:textAlignment w:val="auto"/>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项目概况： 本工程系</w:t>
      </w:r>
      <w:r>
        <w:rPr>
          <w:rFonts w:hint="eastAsia" w:ascii="宋体" w:hAnsi="宋体" w:eastAsia="宋体" w:cs="宋体"/>
          <w:color w:val="auto"/>
          <w:sz w:val="21"/>
          <w:szCs w:val="21"/>
          <w:highlight w:val="none"/>
          <w:lang w:val="zh-CN" w:eastAsia="zh-CN" w:bidi="zh-CN"/>
        </w:rPr>
        <w:t>玉环市漩门三期围垦配套工程（监理）</w:t>
      </w:r>
      <w:r>
        <w:rPr>
          <w:rFonts w:ascii="宋体" w:hAnsi="宋体" w:eastAsia="宋体" w:cs="宋体"/>
          <w:color w:val="auto"/>
          <w:sz w:val="21"/>
          <w:szCs w:val="21"/>
          <w:highlight w:val="none"/>
          <w:lang w:val="zh-CN" w:eastAsia="zh-CN" w:bidi="zh-CN"/>
        </w:rPr>
        <w:t>，位于</w:t>
      </w:r>
      <w:r>
        <w:rPr>
          <w:rFonts w:hint="eastAsia" w:ascii="宋体" w:hAnsi="宋体" w:eastAsia="宋体" w:cs="宋体"/>
          <w:color w:val="auto"/>
          <w:sz w:val="21"/>
          <w:szCs w:val="21"/>
          <w:highlight w:val="none"/>
          <w:lang w:val="zh-CN" w:eastAsia="zh-CN" w:bidi="zh-CN"/>
        </w:rPr>
        <w:t>位于漩门三期目鱼屿、冲坦屿</w:t>
      </w:r>
      <w:r>
        <w:rPr>
          <w:rFonts w:ascii="宋体" w:hAnsi="宋体" w:eastAsia="宋体" w:cs="宋体"/>
          <w:color w:val="auto"/>
          <w:sz w:val="21"/>
          <w:szCs w:val="21"/>
          <w:highlight w:val="none"/>
          <w:lang w:val="zh-CN" w:eastAsia="zh-CN" w:bidi="zh-CN"/>
        </w:rPr>
        <w:t>；</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1" w:after="0" w:line="360" w:lineRule="auto"/>
        <w:ind w:left="1408" w:right="0" w:hanging="473"/>
        <w:jc w:val="left"/>
        <w:textAlignment w:val="auto"/>
        <w:rPr>
          <w:rFonts w:ascii="Times New Roman" w:eastAsia="Times New Roman"/>
          <w:color w:val="auto"/>
          <w:sz w:val="21"/>
          <w:highlight w:val="none"/>
        </w:rPr>
      </w:pPr>
      <w:r>
        <w:rPr>
          <w:color w:val="auto"/>
          <w:spacing w:val="-5"/>
          <w:sz w:val="21"/>
          <w:highlight w:val="none"/>
        </w:rPr>
        <w:t>本工程预算造价：</w:t>
      </w:r>
      <w:r>
        <w:rPr>
          <w:rFonts w:hint="eastAsia"/>
          <w:color w:val="auto"/>
          <w:spacing w:val="-5"/>
          <w:sz w:val="21"/>
          <w:highlight w:val="none"/>
          <w:lang w:eastAsia="zh-CN"/>
        </w:rPr>
        <w:t>约</w:t>
      </w:r>
      <w:r>
        <w:rPr>
          <w:rFonts w:hint="eastAsia"/>
          <w:color w:val="auto"/>
          <w:spacing w:val="-5"/>
          <w:sz w:val="21"/>
          <w:highlight w:val="none"/>
          <w:lang w:val="en-US" w:eastAsia="zh-CN"/>
        </w:rPr>
        <w:t>535</w:t>
      </w:r>
      <w:r>
        <w:rPr>
          <w:rFonts w:ascii="Times New Roman" w:eastAsia="Times New Roman"/>
          <w:color w:val="auto"/>
          <w:spacing w:val="-1"/>
          <w:sz w:val="21"/>
          <w:highlight w:val="none"/>
        </w:rPr>
        <w:t xml:space="preserve"> </w:t>
      </w:r>
      <w:r>
        <w:rPr>
          <w:color w:val="auto"/>
          <w:sz w:val="21"/>
          <w:highlight w:val="none"/>
        </w:rPr>
        <w:t>万元；</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3" w:after="0" w:line="360" w:lineRule="auto"/>
        <w:ind w:left="1408" w:right="0" w:hanging="473"/>
        <w:jc w:val="left"/>
        <w:textAlignment w:val="auto"/>
        <w:rPr>
          <w:rFonts w:ascii="Times New Roman" w:eastAsia="Times New Roman"/>
          <w:b/>
          <w:color w:val="auto"/>
          <w:sz w:val="21"/>
          <w:highlight w:val="none"/>
        </w:rPr>
      </w:pPr>
      <w:r>
        <w:rPr>
          <w:color w:val="auto"/>
          <w:sz w:val="21"/>
          <w:highlight w:val="none"/>
        </w:rPr>
        <w:t>招标范围：</w:t>
      </w:r>
      <w:r>
        <w:rPr>
          <w:rFonts w:hint="eastAsia"/>
          <w:color w:val="auto"/>
          <w:sz w:val="21"/>
          <w:highlight w:val="none"/>
        </w:rPr>
        <w:t>现场“三通一平”、临设、道路等工程施工全过程及保修阶段的监理</w:t>
      </w:r>
      <w:r>
        <w:rPr>
          <w:b/>
          <w:color w:val="auto"/>
          <w:sz w:val="21"/>
          <w:highlight w:val="none"/>
        </w:rPr>
        <w:t>;</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本次招标分为：一个标段；</w:t>
      </w:r>
    </w:p>
    <w:p>
      <w:pPr>
        <w:pStyle w:val="11"/>
        <w:keepNext w:val="0"/>
        <w:keepLines w:val="0"/>
        <w:pageBreakBefore w:val="0"/>
        <w:widowControl w:val="0"/>
        <w:numPr>
          <w:ilvl w:val="1"/>
          <w:numId w:val="1"/>
        </w:numPr>
        <w:tabs>
          <w:tab w:val="left" w:pos="1460"/>
          <w:tab w:val="left" w:pos="1461"/>
        </w:tabs>
        <w:kinsoku/>
        <w:wordWrap/>
        <w:overflowPunct/>
        <w:topLinePunct w:val="0"/>
        <w:autoSpaceDE w:val="0"/>
        <w:autoSpaceDN w:val="0"/>
        <w:bidi w:val="0"/>
        <w:adjustRightInd/>
        <w:snapToGrid/>
        <w:spacing w:before="2" w:after="0" w:line="360" w:lineRule="auto"/>
        <w:ind w:left="1460" w:right="0" w:hanging="525"/>
        <w:jc w:val="left"/>
        <w:textAlignment w:val="auto"/>
        <w:rPr>
          <w:color w:val="auto"/>
          <w:sz w:val="21"/>
          <w:highlight w:val="none"/>
        </w:rPr>
      </w:pPr>
      <w:r>
        <w:rPr>
          <w:color w:val="auto"/>
          <w:sz w:val="21"/>
          <w:highlight w:val="none"/>
        </w:rPr>
        <w:t>监理服务期要求：施工全过程及保修阶段；</w:t>
      </w:r>
    </w:p>
    <w:p>
      <w:pPr>
        <w:pStyle w:val="11"/>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4" w:after="0" w:line="360" w:lineRule="auto"/>
        <w:ind w:left="696" w:right="0" w:hanging="181"/>
        <w:jc w:val="left"/>
        <w:textAlignment w:val="auto"/>
        <w:rPr>
          <w:rFonts w:ascii="Times New Roman" w:eastAsia="Times New Roman"/>
          <w:b/>
          <w:color w:val="auto"/>
          <w:sz w:val="22"/>
          <w:highlight w:val="none"/>
        </w:rPr>
      </w:pPr>
      <w:bookmarkStart w:id="5" w:name="3.投标人资格要求"/>
      <w:bookmarkEnd w:id="5"/>
      <w:bookmarkStart w:id="6" w:name="3.投标人资格要求"/>
      <w:bookmarkEnd w:id="6"/>
      <w:r>
        <w:rPr>
          <w:b/>
          <w:color w:val="auto"/>
          <w:sz w:val="24"/>
          <w:highlight w:val="none"/>
        </w:rPr>
        <w:t>投标人资格要求</w:t>
      </w:r>
    </w:p>
    <w:p>
      <w:pPr>
        <w:pStyle w:val="11"/>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本次招标要求投标人须具备</w:t>
      </w:r>
      <w:r>
        <w:rPr>
          <w:rFonts w:hint="eastAsia"/>
          <w:color w:val="auto"/>
          <w:sz w:val="21"/>
          <w:highlight w:val="none"/>
          <w:lang w:eastAsia="zh-CN"/>
        </w:rPr>
        <w:t>监理</w:t>
      </w:r>
      <w:r>
        <w:rPr>
          <w:color w:val="auto"/>
          <w:sz w:val="21"/>
          <w:highlight w:val="none"/>
        </w:rPr>
        <w:t>综合资质或市政公用工程专业监理乙级及以上资质。</w:t>
      </w:r>
    </w:p>
    <w:p>
      <w:pPr>
        <w:pStyle w:val="11"/>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本工程招标要求项目总监须具备国家注册监理工程师（市政公用工程专业）。</w:t>
      </w:r>
    </w:p>
    <w:p>
      <w:pPr>
        <w:pStyle w:val="11"/>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3" w:after="0" w:line="360" w:lineRule="auto"/>
        <w:ind w:left="1302" w:right="0" w:hanging="367"/>
        <w:jc w:val="left"/>
        <w:textAlignment w:val="auto"/>
        <w:rPr>
          <w:rFonts w:ascii="Times New Roman" w:eastAsia="Times New Roman"/>
          <w:color w:val="auto"/>
          <w:sz w:val="21"/>
          <w:highlight w:val="none"/>
        </w:rPr>
      </w:pPr>
      <w:r>
        <w:rPr>
          <w:color w:val="auto"/>
          <w:sz w:val="21"/>
          <w:highlight w:val="none"/>
        </w:rPr>
        <w:t>投标人若为浙江省外企业的，须具有效的《省外企业进浙承接业务备案证明》。</w:t>
      </w:r>
    </w:p>
    <w:p>
      <w:pPr>
        <w:pStyle w:val="11"/>
        <w:keepNext w:val="0"/>
        <w:keepLines w:val="0"/>
        <w:pageBreakBefore w:val="0"/>
        <w:widowControl w:val="0"/>
        <w:numPr>
          <w:ilvl w:val="1"/>
          <w:numId w:val="1"/>
        </w:numPr>
        <w:tabs>
          <w:tab w:val="left" w:pos="1303"/>
        </w:tabs>
        <w:kinsoku/>
        <w:wordWrap/>
        <w:overflowPunct/>
        <w:topLinePunct w:val="0"/>
        <w:autoSpaceDE w:val="0"/>
        <w:autoSpaceDN w:val="0"/>
        <w:bidi w:val="0"/>
        <w:adjustRightInd/>
        <w:snapToGrid/>
        <w:spacing w:before="4" w:after="0" w:line="360" w:lineRule="auto"/>
        <w:ind w:left="1302" w:right="0" w:hanging="367"/>
        <w:jc w:val="left"/>
        <w:textAlignment w:val="auto"/>
        <w:rPr>
          <w:color w:val="auto"/>
          <w:sz w:val="21"/>
          <w:highlight w:val="none"/>
        </w:rPr>
      </w:pPr>
      <w:r>
        <w:rPr>
          <w:color w:val="auto"/>
          <w:sz w:val="21"/>
          <w:highlight w:val="none"/>
        </w:rPr>
        <w:t>本次招标不接受联合体投标。</w:t>
      </w:r>
    </w:p>
    <w:p>
      <w:pPr>
        <w:pStyle w:val="5"/>
        <w:keepNext w:val="0"/>
        <w:keepLines w:val="0"/>
        <w:pageBreakBefore w:val="0"/>
        <w:widowControl w:val="0"/>
        <w:kinsoku/>
        <w:wordWrap/>
        <w:overflowPunct/>
        <w:topLinePunct w:val="0"/>
        <w:autoSpaceDE w:val="0"/>
        <w:autoSpaceDN w:val="0"/>
        <w:bidi w:val="0"/>
        <w:adjustRightInd/>
        <w:snapToGrid/>
        <w:spacing w:before="2" w:line="360" w:lineRule="auto"/>
        <w:ind w:left="515" w:right="501" w:firstLine="420"/>
        <w:textAlignment w:val="auto"/>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本次招标实行资格后审，资格审查的具体要求见招标文件。资格后审不合格的投标人投标文件将按   无效标处理。</w:t>
      </w:r>
    </w:p>
    <w:p>
      <w:pPr>
        <w:pStyle w:val="11"/>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0"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招标文件的获取</w:t>
      </w:r>
    </w:p>
    <w:p>
      <w:pPr>
        <w:pStyle w:val="11"/>
        <w:keepNext w:val="0"/>
        <w:keepLines w:val="0"/>
        <w:pageBreakBefore w:val="0"/>
        <w:widowControl w:val="0"/>
        <w:numPr>
          <w:ilvl w:val="1"/>
          <w:numId w:val="1"/>
        </w:numPr>
        <w:tabs>
          <w:tab w:val="left" w:pos="1250"/>
        </w:tabs>
        <w:kinsoku/>
        <w:wordWrap/>
        <w:overflowPunct/>
        <w:topLinePunct w:val="0"/>
        <w:autoSpaceDE w:val="0"/>
        <w:autoSpaceDN w:val="0"/>
        <w:bidi w:val="0"/>
        <w:adjustRightInd/>
        <w:snapToGrid/>
        <w:spacing w:before="3" w:after="0" w:line="360" w:lineRule="auto"/>
        <w:ind w:left="1249" w:right="0" w:hanging="314"/>
        <w:jc w:val="left"/>
        <w:textAlignment w:val="auto"/>
        <w:rPr>
          <w:color w:val="auto"/>
          <w:highlight w:val="none"/>
        </w:rPr>
      </w:pPr>
      <w:r>
        <w:rPr>
          <w:color w:val="auto"/>
          <w:sz w:val="21"/>
          <w:highlight w:val="none"/>
        </w:rPr>
        <w:t>玉环市公共资源交易中心（</w:t>
      </w:r>
      <w:r>
        <w:rPr>
          <w:color w:val="auto"/>
          <w:highlight w:val="none"/>
        </w:rPr>
        <w:fldChar w:fldCharType="begin"/>
      </w:r>
      <w:r>
        <w:rPr>
          <w:color w:val="auto"/>
          <w:highlight w:val="none"/>
        </w:rPr>
        <w:instrText xml:space="preserve"> HYPERLINK "http://www.yhjyzx.com/" \h </w:instrText>
      </w:r>
      <w:r>
        <w:rPr>
          <w:color w:val="auto"/>
          <w:highlight w:val="none"/>
        </w:rPr>
        <w:fldChar w:fldCharType="separate"/>
      </w:r>
      <w:r>
        <w:rPr>
          <w:rFonts w:ascii="Times New Roman" w:eastAsia="Times New Roman"/>
          <w:color w:val="auto"/>
          <w:sz w:val="21"/>
          <w:highlight w:val="none"/>
        </w:rPr>
        <w:t>http://www.yhjyzx.com</w:t>
      </w:r>
      <w:r>
        <w:rPr>
          <w:rFonts w:ascii="Times New Roman" w:eastAsia="Times New Roman"/>
          <w:color w:val="auto"/>
          <w:sz w:val="21"/>
          <w:highlight w:val="none"/>
        </w:rPr>
        <w:fldChar w:fldCharType="end"/>
      </w:r>
      <w:r>
        <w:rPr>
          <w:color w:val="auto"/>
          <w:sz w:val="21"/>
          <w:highlight w:val="none"/>
        </w:rPr>
        <w:t>）网站</w:t>
      </w:r>
      <w:r>
        <w:rPr>
          <w:rFonts w:hint="eastAsia"/>
          <w:color w:val="auto"/>
          <w:sz w:val="21"/>
          <w:highlight w:val="none"/>
        </w:rPr>
        <w:t>的“乡镇平台交易信息”</w:t>
      </w:r>
      <w:r>
        <w:rPr>
          <w:color w:val="auto"/>
          <w:sz w:val="21"/>
          <w:highlight w:val="none"/>
        </w:rPr>
        <w:t>公告附件处下载招标文件等</w:t>
      </w:r>
      <w:r>
        <w:rPr>
          <w:rFonts w:hint="eastAsia"/>
          <w:color w:val="auto"/>
          <w:sz w:val="21"/>
          <w:highlight w:val="none"/>
          <w:lang w:eastAsia="zh-CN"/>
        </w:rPr>
        <w:t>资料。</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招标人不统一组织现场踏勘和召开投标预备会，投标人视需要自行前往现场进行踏勘。</w:t>
      </w:r>
    </w:p>
    <w:p>
      <w:pPr>
        <w:pStyle w:val="11"/>
        <w:keepNext w:val="0"/>
        <w:keepLines w:val="0"/>
        <w:pageBreakBefore w:val="0"/>
        <w:widowControl w:val="0"/>
        <w:numPr>
          <w:ilvl w:val="0"/>
          <w:numId w:val="1"/>
        </w:numPr>
        <w:tabs>
          <w:tab w:val="left" w:pos="697"/>
        </w:tabs>
        <w:kinsoku/>
        <w:wordWrap/>
        <w:overflowPunct/>
        <w:topLinePunct w:val="0"/>
        <w:autoSpaceDE w:val="0"/>
        <w:autoSpaceDN w:val="0"/>
        <w:bidi w:val="0"/>
        <w:adjustRightInd/>
        <w:snapToGrid/>
        <w:spacing w:before="3" w:after="0" w:line="360" w:lineRule="auto"/>
        <w:ind w:left="696" w:right="0" w:hanging="181"/>
        <w:jc w:val="left"/>
        <w:textAlignment w:val="auto"/>
        <w:rPr>
          <w:rFonts w:ascii="Times New Roman" w:eastAsia="Times New Roman"/>
          <w:b/>
          <w:color w:val="auto"/>
          <w:sz w:val="22"/>
          <w:highlight w:val="none"/>
        </w:rPr>
      </w:pPr>
      <w:r>
        <w:rPr>
          <w:rFonts w:hint="eastAsia" w:ascii="仿宋" w:eastAsia="仿宋"/>
          <w:b/>
          <w:color w:val="auto"/>
          <w:sz w:val="24"/>
          <w:highlight w:val="none"/>
        </w:rPr>
        <w:t>投标文件的递交</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4" w:after="0" w:line="360" w:lineRule="auto"/>
        <w:ind w:left="515" w:right="484" w:firstLine="420"/>
        <w:jc w:val="left"/>
        <w:textAlignment w:val="auto"/>
        <w:rPr>
          <w:rFonts w:ascii="Times New Roman" w:eastAsia="Times New Roman"/>
          <w:color w:val="auto"/>
          <w:sz w:val="21"/>
          <w:highlight w:val="none"/>
        </w:rPr>
      </w:pPr>
      <w:r>
        <w:rPr>
          <w:color w:val="auto"/>
          <w:spacing w:val="-5"/>
          <w:sz w:val="21"/>
          <w:highlight w:val="none"/>
        </w:rPr>
        <w:t xml:space="preserve">投标文件递交的截止时间为 </w:t>
      </w:r>
      <w:r>
        <w:rPr>
          <w:rFonts w:ascii="Times New Roman" w:eastAsia="Times New Roman"/>
          <w:color w:val="auto"/>
          <w:sz w:val="21"/>
          <w:highlight w:val="none"/>
        </w:rPr>
        <w:t>2018</w:t>
      </w:r>
      <w:r>
        <w:rPr>
          <w:rFonts w:ascii="Times New Roman" w:eastAsia="Times New Roman"/>
          <w:color w:val="auto"/>
          <w:spacing w:val="-3"/>
          <w:sz w:val="21"/>
          <w:highlight w:val="none"/>
        </w:rPr>
        <w:t xml:space="preserve"> </w:t>
      </w:r>
      <w:r>
        <w:rPr>
          <w:color w:val="auto"/>
          <w:spacing w:val="-26"/>
          <w:sz w:val="21"/>
          <w:highlight w:val="none"/>
        </w:rPr>
        <w:t xml:space="preserve">年 </w:t>
      </w:r>
      <w:r>
        <w:rPr>
          <w:rFonts w:hint="eastAsia" w:ascii="Times New Roman"/>
          <w:color w:val="auto"/>
          <w:sz w:val="21"/>
          <w:highlight w:val="none"/>
          <w:lang w:val="en-US" w:eastAsia="zh-CN"/>
        </w:rPr>
        <w:t>10</w:t>
      </w:r>
      <w:r>
        <w:rPr>
          <w:color w:val="auto"/>
          <w:spacing w:val="-27"/>
          <w:sz w:val="21"/>
          <w:highlight w:val="none"/>
        </w:rPr>
        <w:t>月</w:t>
      </w:r>
      <w:r>
        <w:rPr>
          <w:rFonts w:hint="eastAsia"/>
          <w:color w:val="auto"/>
          <w:spacing w:val="-27"/>
          <w:sz w:val="21"/>
          <w:highlight w:val="none"/>
          <w:lang w:val="en-US" w:eastAsia="zh-CN"/>
        </w:rPr>
        <w:t xml:space="preserve"> </w:t>
      </w:r>
      <w:r>
        <w:rPr>
          <w:rFonts w:hint="eastAsia" w:ascii="Times New Roman"/>
          <w:color w:val="auto"/>
          <w:sz w:val="21"/>
          <w:highlight w:val="none"/>
          <w:lang w:val="en-US" w:eastAsia="zh-CN"/>
        </w:rPr>
        <w:t xml:space="preserve">23 </w:t>
      </w:r>
      <w:r>
        <w:rPr>
          <w:color w:val="auto"/>
          <w:spacing w:val="-2"/>
          <w:sz w:val="21"/>
          <w:highlight w:val="none"/>
        </w:rPr>
        <w:t xml:space="preserve">日 </w:t>
      </w:r>
      <w:r>
        <w:rPr>
          <w:rFonts w:hint="eastAsia" w:ascii="Times New Roman"/>
          <w:color w:val="auto"/>
          <w:sz w:val="21"/>
          <w:highlight w:val="none"/>
          <w:lang w:val="en-US" w:eastAsia="zh-CN"/>
        </w:rPr>
        <w:t xml:space="preserve">14 </w:t>
      </w:r>
      <w:r>
        <w:rPr>
          <w:color w:val="auto"/>
          <w:spacing w:val="-28"/>
          <w:sz w:val="21"/>
          <w:highlight w:val="none"/>
        </w:rPr>
        <w:t xml:space="preserve">时 </w:t>
      </w:r>
      <w:r>
        <w:rPr>
          <w:rFonts w:hint="eastAsia" w:ascii="Times New Roman"/>
          <w:color w:val="auto"/>
          <w:sz w:val="21"/>
          <w:highlight w:val="none"/>
          <w:lang w:val="en-US" w:eastAsia="zh-CN"/>
        </w:rPr>
        <w:t>3</w:t>
      </w:r>
      <w:r>
        <w:rPr>
          <w:rFonts w:ascii="Times New Roman" w:eastAsia="Times New Roman"/>
          <w:color w:val="auto"/>
          <w:sz w:val="21"/>
          <w:highlight w:val="none"/>
        </w:rPr>
        <w:t>0</w:t>
      </w:r>
      <w:r>
        <w:rPr>
          <w:rFonts w:ascii="Times New Roman" w:eastAsia="Times New Roman"/>
          <w:color w:val="auto"/>
          <w:spacing w:val="-1"/>
          <w:sz w:val="21"/>
          <w:highlight w:val="none"/>
        </w:rPr>
        <w:t xml:space="preserve"> </w:t>
      </w:r>
      <w:r>
        <w:rPr>
          <w:color w:val="auto"/>
          <w:spacing w:val="-10"/>
          <w:sz w:val="21"/>
          <w:highlight w:val="none"/>
        </w:rPr>
        <w:t>分，递交地点为</w:t>
      </w:r>
      <w:r>
        <w:rPr>
          <w:rFonts w:hint="eastAsia"/>
          <w:color w:val="auto"/>
          <w:spacing w:val="-10"/>
          <w:sz w:val="21"/>
          <w:highlight w:val="none"/>
          <w:lang w:eastAsia="zh-CN"/>
        </w:rPr>
        <w:t>玉环经济开发区办公大楼</w:t>
      </w:r>
      <w:r>
        <w:rPr>
          <w:rFonts w:hint="eastAsia"/>
          <w:color w:val="auto"/>
          <w:spacing w:val="-5"/>
          <w:sz w:val="21"/>
          <w:highlight w:val="none"/>
          <w:lang w:eastAsia="zh-CN"/>
        </w:rPr>
        <w:t>B108室</w:t>
      </w:r>
      <w:r>
        <w:rPr>
          <w:color w:val="auto"/>
          <w:sz w:val="21"/>
          <w:highlight w:val="none"/>
        </w:rPr>
        <w:t>。</w:t>
      </w:r>
    </w:p>
    <w:p>
      <w:pPr>
        <w:pStyle w:val="11"/>
        <w:keepNext w:val="0"/>
        <w:keepLines w:val="0"/>
        <w:pageBreakBefore w:val="0"/>
        <w:widowControl w:val="0"/>
        <w:numPr>
          <w:ilvl w:val="1"/>
          <w:numId w:val="1"/>
        </w:numPr>
        <w:tabs>
          <w:tab w:val="left" w:pos="1407"/>
          <w:tab w:val="left" w:pos="1408"/>
        </w:tabs>
        <w:kinsoku/>
        <w:wordWrap/>
        <w:overflowPunct/>
        <w:topLinePunct w:val="0"/>
        <w:autoSpaceDE w:val="0"/>
        <w:autoSpaceDN w:val="0"/>
        <w:bidi w:val="0"/>
        <w:adjustRightInd/>
        <w:snapToGrid/>
        <w:spacing w:before="0" w:after="0" w:line="360" w:lineRule="auto"/>
        <w:ind w:left="1408" w:right="0" w:hanging="473"/>
        <w:jc w:val="left"/>
        <w:textAlignment w:val="auto"/>
        <w:rPr>
          <w:rFonts w:ascii="Times New Roman" w:eastAsia="Times New Roman"/>
          <w:color w:val="auto"/>
          <w:sz w:val="21"/>
          <w:highlight w:val="none"/>
        </w:rPr>
      </w:pPr>
      <w:r>
        <w:rPr>
          <w:color w:val="auto"/>
          <w:sz w:val="21"/>
          <w:highlight w:val="none"/>
        </w:rPr>
        <w:t>逾期送达的或者未送达指定地点的投标文件，招标人不予受理。</w:t>
      </w:r>
      <w:bookmarkStart w:id="125" w:name="_GoBack"/>
      <w:bookmarkEnd w:id="125"/>
    </w:p>
    <w:p>
      <w:pPr>
        <w:pStyle w:val="11"/>
        <w:keepNext w:val="0"/>
        <w:keepLines w:val="0"/>
        <w:pageBreakBefore w:val="0"/>
        <w:widowControl w:val="0"/>
        <w:numPr>
          <w:ilvl w:val="0"/>
          <w:numId w:val="1"/>
        </w:numPr>
        <w:tabs>
          <w:tab w:val="left" w:pos="759"/>
        </w:tabs>
        <w:kinsoku/>
        <w:wordWrap/>
        <w:overflowPunct/>
        <w:topLinePunct w:val="0"/>
        <w:autoSpaceDE w:val="0"/>
        <w:autoSpaceDN w:val="0"/>
        <w:bidi w:val="0"/>
        <w:adjustRightInd/>
        <w:snapToGrid/>
        <w:spacing w:before="3" w:after="0" w:line="360" w:lineRule="auto"/>
        <w:ind w:left="758" w:right="0" w:hanging="243"/>
        <w:jc w:val="left"/>
        <w:textAlignment w:val="auto"/>
        <w:rPr>
          <w:b/>
          <w:color w:val="auto"/>
          <w:sz w:val="22"/>
          <w:highlight w:val="none"/>
        </w:rPr>
      </w:pPr>
      <w:r>
        <w:rPr>
          <w:b/>
          <w:color w:val="auto"/>
          <w:sz w:val="24"/>
          <w:highlight w:val="none"/>
        </w:rPr>
        <w:t>发布公告媒介</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829" w:firstLine="0"/>
        <w:textAlignment w:val="auto"/>
        <w:rPr>
          <w:rFonts w:hint="eastAsia" w:ascii="宋体" w:hAnsi="宋体" w:eastAsia="宋体" w:cs="宋体"/>
          <w:b w:val="0"/>
          <w:bCs w:val="0"/>
          <w:color w:val="auto"/>
          <w:sz w:val="21"/>
          <w:szCs w:val="22"/>
          <w:highlight w:val="none"/>
          <w:lang w:val="zh-CN" w:eastAsia="zh-CN" w:bidi="zh-CN"/>
        </w:rPr>
      </w:pPr>
      <w:bookmarkStart w:id="7" w:name="   本次招标公告在玉环市公共资源交易中心（http://www.yhjyzx."/>
      <w:bookmarkEnd w:id="7"/>
      <w:r>
        <w:rPr>
          <w:rFonts w:hint="eastAsia" w:ascii="宋体" w:hAnsi="宋体" w:eastAsia="宋体" w:cs="宋体"/>
          <w:b w:val="0"/>
          <w:bCs w:val="0"/>
          <w:color w:val="auto"/>
          <w:sz w:val="21"/>
          <w:szCs w:val="22"/>
          <w:highlight w:val="none"/>
          <w:lang w:val="zh-CN" w:eastAsia="zh-CN" w:bidi="zh-CN"/>
        </w:rPr>
        <w:t>本次招标公告在玉环市公共资源交易中心网站乡镇平台发布。</w:t>
      </w:r>
    </w:p>
    <w:p>
      <w:pPr>
        <w:pStyle w:val="11"/>
        <w:keepNext w:val="0"/>
        <w:keepLines w:val="0"/>
        <w:pageBreakBefore w:val="0"/>
        <w:widowControl w:val="0"/>
        <w:numPr>
          <w:ilvl w:val="0"/>
          <w:numId w:val="2"/>
        </w:numPr>
        <w:tabs>
          <w:tab w:val="left" w:pos="697"/>
        </w:tabs>
        <w:kinsoku/>
        <w:wordWrap/>
        <w:overflowPunct/>
        <w:topLinePunct w:val="0"/>
        <w:autoSpaceDE w:val="0"/>
        <w:autoSpaceDN w:val="0"/>
        <w:bidi w:val="0"/>
        <w:adjustRightInd/>
        <w:snapToGrid/>
        <w:spacing w:before="6" w:after="0" w:line="360" w:lineRule="auto"/>
        <w:ind w:left="696" w:right="0" w:hanging="181"/>
        <w:jc w:val="left"/>
        <w:textAlignment w:val="auto"/>
        <w:rPr>
          <w:b/>
          <w:color w:val="auto"/>
          <w:sz w:val="24"/>
          <w:highlight w:val="none"/>
        </w:rPr>
      </w:pPr>
      <w:bookmarkStart w:id="8" w:name="8.联系方式"/>
      <w:bookmarkEnd w:id="8"/>
      <w:bookmarkStart w:id="9" w:name="8.联系方式"/>
      <w:bookmarkEnd w:id="9"/>
      <w:r>
        <w:rPr>
          <w:b/>
          <w:color w:val="auto"/>
          <w:sz w:val="24"/>
          <w:highlight w:val="none"/>
        </w:rPr>
        <w:t>联系方式</w:t>
      </w:r>
    </w:p>
    <w:p>
      <w:pPr>
        <w:pStyle w:val="5"/>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b/>
          <w:color w:val="auto"/>
          <w:sz w:val="18"/>
          <w:highlight w:val="none"/>
        </w:rPr>
      </w:pPr>
    </w:p>
    <w:p>
      <w:pPr>
        <w:pStyle w:val="5"/>
        <w:keepNext w:val="0"/>
        <w:keepLines w:val="0"/>
        <w:pageBreakBefore w:val="0"/>
        <w:widowControl w:val="0"/>
        <w:tabs>
          <w:tab w:val="left" w:pos="5420"/>
        </w:tabs>
        <w:kinsoku/>
        <w:wordWrap/>
        <w:overflowPunct/>
        <w:topLinePunct w:val="0"/>
        <w:autoSpaceDE w:val="0"/>
        <w:autoSpaceDN w:val="0"/>
        <w:bidi w:val="0"/>
        <w:adjustRightInd/>
        <w:snapToGrid/>
        <w:spacing w:before="1" w:line="360" w:lineRule="auto"/>
        <w:ind w:left="831" w:right="1475"/>
        <w:textAlignment w:val="auto"/>
        <w:rPr>
          <w:color w:val="auto"/>
          <w:highlight w:val="none"/>
        </w:rPr>
      </w:pPr>
      <w:r>
        <w:rPr>
          <w:color w:val="auto"/>
          <w:highlight w:val="none"/>
        </w:rPr>
        <w:t>招</w:t>
      </w:r>
      <w:r>
        <w:rPr>
          <w:color w:val="auto"/>
          <w:spacing w:val="-2"/>
          <w:highlight w:val="none"/>
        </w:rPr>
        <w:t xml:space="preserve"> </w:t>
      </w:r>
      <w:r>
        <w:rPr>
          <w:color w:val="auto"/>
          <w:highlight w:val="none"/>
        </w:rPr>
        <w:t>标</w:t>
      </w:r>
      <w:r>
        <w:rPr>
          <w:color w:val="auto"/>
          <w:spacing w:val="-4"/>
          <w:highlight w:val="none"/>
        </w:rPr>
        <w:t xml:space="preserve"> </w:t>
      </w:r>
      <w:r>
        <w:rPr>
          <w:color w:val="auto"/>
          <w:highlight w:val="none"/>
        </w:rPr>
        <w:t>人：</w:t>
      </w:r>
      <w:r>
        <w:rPr>
          <w:rFonts w:hint="eastAsia"/>
          <w:color w:val="auto"/>
          <w:highlight w:val="none"/>
          <w:lang w:eastAsia="zh-CN"/>
        </w:rPr>
        <w:t>玉环市漩门三期开发有限公司</w:t>
      </w:r>
      <w:r>
        <w:rPr>
          <w:color w:val="auto"/>
          <w:highlight w:val="none"/>
        </w:rPr>
        <w:tab/>
      </w:r>
      <w:r>
        <w:rPr>
          <w:color w:val="auto"/>
          <w:highlight w:val="none"/>
        </w:rPr>
        <w:t>招标代理机构：</w:t>
      </w:r>
      <w:r>
        <w:rPr>
          <w:rFonts w:hint="eastAsia"/>
          <w:color w:val="auto"/>
          <w:highlight w:val="none"/>
          <w:lang w:eastAsia="zh-CN"/>
        </w:rPr>
        <w:t>建经投资咨询有限公司</w:t>
      </w:r>
      <w:r>
        <w:rPr>
          <w:color w:val="auto"/>
          <w:highlight w:val="none"/>
        </w:rPr>
        <w:t>联 系</w:t>
      </w:r>
      <w:r>
        <w:rPr>
          <w:color w:val="auto"/>
          <w:spacing w:val="-2"/>
          <w:highlight w:val="none"/>
        </w:rPr>
        <w:t xml:space="preserve"> </w:t>
      </w:r>
      <w:r>
        <w:rPr>
          <w:color w:val="auto"/>
          <w:highlight w:val="none"/>
        </w:rPr>
        <w:t>人：</w:t>
      </w:r>
      <w:r>
        <w:rPr>
          <w:color w:val="auto"/>
          <w:spacing w:val="1"/>
          <w:highlight w:val="none"/>
        </w:rPr>
        <w:t xml:space="preserve"> </w:t>
      </w:r>
      <w:r>
        <w:rPr>
          <w:rFonts w:hint="eastAsia"/>
          <w:color w:val="auto"/>
          <w:highlight w:val="none"/>
          <w:lang w:eastAsia="zh-CN"/>
        </w:rPr>
        <w:t>颜</w:t>
      </w:r>
      <w:r>
        <w:rPr>
          <w:color w:val="auto"/>
          <w:highlight w:val="none"/>
        </w:rPr>
        <w:t>先生</w:t>
      </w:r>
      <w:r>
        <w:rPr>
          <w:color w:val="auto"/>
          <w:highlight w:val="none"/>
        </w:rPr>
        <w:tab/>
      </w:r>
      <w:r>
        <w:rPr>
          <w:color w:val="auto"/>
          <w:highlight w:val="none"/>
        </w:rPr>
        <w:t>联</w:t>
      </w:r>
      <w:r>
        <w:rPr>
          <w:color w:val="auto"/>
          <w:spacing w:val="1"/>
          <w:highlight w:val="none"/>
        </w:rPr>
        <w:t xml:space="preserve"> </w:t>
      </w:r>
      <w:r>
        <w:rPr>
          <w:color w:val="auto"/>
          <w:highlight w:val="none"/>
        </w:rPr>
        <w:t>系 人：</w:t>
      </w:r>
      <w:r>
        <w:rPr>
          <w:rFonts w:hint="eastAsia"/>
          <w:color w:val="auto"/>
          <w:highlight w:val="none"/>
          <w:lang w:eastAsia="zh-CN"/>
        </w:rPr>
        <w:t>王</w:t>
      </w:r>
      <w:r>
        <w:rPr>
          <w:color w:val="auto"/>
          <w:highlight w:val="none"/>
        </w:rPr>
        <w:t>先生</w:t>
      </w:r>
    </w:p>
    <w:p>
      <w:pPr>
        <w:pStyle w:val="5"/>
        <w:keepNext w:val="0"/>
        <w:keepLines w:val="0"/>
        <w:pageBreakBefore w:val="0"/>
        <w:widowControl w:val="0"/>
        <w:tabs>
          <w:tab w:val="left" w:pos="1463"/>
          <w:tab w:val="left" w:pos="5420"/>
          <w:tab w:val="left" w:pos="6051"/>
        </w:tabs>
        <w:kinsoku/>
        <w:wordWrap/>
        <w:overflowPunct/>
        <w:topLinePunct w:val="0"/>
        <w:autoSpaceDE w:val="0"/>
        <w:autoSpaceDN w:val="0"/>
        <w:bidi w:val="0"/>
        <w:adjustRightInd/>
        <w:snapToGrid/>
        <w:spacing w:line="360" w:lineRule="auto"/>
        <w:ind w:left="831"/>
        <w:textAlignment w:val="auto"/>
        <w:rPr>
          <w:rFonts w:hint="eastAsia" w:ascii="Times New Roman" w:eastAsia="宋体"/>
          <w:color w:val="auto"/>
          <w:highlight w:val="none"/>
          <w:lang w:val="en-US" w:eastAsia="zh-CN"/>
        </w:rPr>
      </w:pPr>
      <w:r>
        <w:rPr>
          <w:color w:val="auto"/>
          <w:highlight w:val="none"/>
        </w:rPr>
        <w:t>电</w:t>
      </w:r>
      <w:r>
        <w:rPr>
          <w:color w:val="auto"/>
          <w:highlight w:val="none"/>
        </w:rPr>
        <w:tab/>
      </w:r>
      <w:r>
        <w:rPr>
          <w:color w:val="auto"/>
          <w:highlight w:val="none"/>
        </w:rPr>
        <w:t xml:space="preserve">话： </w:t>
      </w:r>
      <w:r>
        <w:rPr>
          <w:rFonts w:hint="eastAsia"/>
          <w:color w:val="auto"/>
          <w:highlight w:val="none"/>
        </w:rPr>
        <w:t xml:space="preserve">13967656758 </w:t>
      </w:r>
      <w:r>
        <w:rPr>
          <w:rFonts w:ascii="Times New Roman" w:eastAsia="Times New Roman"/>
          <w:color w:val="auto"/>
          <w:highlight w:val="none"/>
        </w:rPr>
        <w:tab/>
      </w:r>
      <w:r>
        <w:rPr>
          <w:color w:val="auto"/>
          <w:highlight w:val="none"/>
        </w:rPr>
        <w:t>电</w:t>
      </w:r>
      <w:r>
        <w:rPr>
          <w:color w:val="auto"/>
          <w:highlight w:val="none"/>
        </w:rPr>
        <w:tab/>
      </w:r>
      <w:r>
        <w:rPr>
          <w:color w:val="auto"/>
          <w:highlight w:val="none"/>
        </w:rPr>
        <w:t>话：</w:t>
      </w:r>
      <w:r>
        <w:rPr>
          <w:rFonts w:hint="eastAsia" w:ascii="Times New Roman"/>
          <w:color w:val="auto"/>
          <w:highlight w:val="none"/>
          <w:lang w:val="en-US" w:eastAsia="zh-CN"/>
        </w:rPr>
        <w:t>18257670313</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ascii="Times New Roman" w:eastAsia="Times New Roman"/>
          <w:color w:val="auto"/>
          <w:highlight w:val="none"/>
        </w:rPr>
        <w:sectPr>
          <w:type w:val="continuous"/>
          <w:pgSz w:w="11910" w:h="16840"/>
          <w:pgMar w:top="1080" w:right="520" w:bottom="1040" w:left="920" w:header="720" w:footer="720" w:gutter="0"/>
        </w:sect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3"/>
        <w:rPr>
          <w:rFonts w:ascii="Times New Roman"/>
          <w:color w:val="auto"/>
          <w:sz w:val="16"/>
          <w:highlight w:val="none"/>
        </w:rPr>
      </w:pPr>
    </w:p>
    <w:p>
      <w:pPr>
        <w:pStyle w:val="2"/>
        <w:spacing w:before="54" w:line="314" w:lineRule="auto"/>
        <w:ind w:left="3964" w:right="3650" w:firstLine="62"/>
        <w:jc w:val="left"/>
        <w:rPr>
          <w:color w:val="auto"/>
          <w:highlight w:val="none"/>
        </w:rPr>
      </w:pPr>
      <w:r>
        <w:rPr>
          <w:color w:val="auto"/>
          <w:highlight w:val="none"/>
        </w:rPr>
        <w:t>第二章 投标人须知</w:t>
      </w:r>
      <w:bookmarkStart w:id="10" w:name="投标人须知前附表"/>
      <w:bookmarkEnd w:id="10"/>
      <w:r>
        <w:rPr>
          <w:color w:val="auto"/>
          <w:highlight w:val="none"/>
        </w:rPr>
        <w:t>投标人须知前附表</w:t>
      </w:r>
    </w:p>
    <w:tbl>
      <w:tblPr>
        <w:tblStyle w:val="9"/>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683" w:type="dxa"/>
          </w:tcPr>
          <w:p>
            <w:pPr>
              <w:pStyle w:val="12"/>
              <w:spacing w:before="154"/>
              <w:ind w:left="108" w:right="105"/>
              <w:jc w:val="center"/>
              <w:rPr>
                <w:color w:val="auto"/>
                <w:sz w:val="21"/>
                <w:highlight w:val="none"/>
              </w:rPr>
            </w:pPr>
            <w:r>
              <w:rPr>
                <w:color w:val="auto"/>
                <w:sz w:val="21"/>
                <w:highlight w:val="none"/>
              </w:rPr>
              <w:t>序号</w:t>
            </w:r>
          </w:p>
        </w:tc>
        <w:tc>
          <w:tcPr>
            <w:tcW w:w="2295" w:type="dxa"/>
          </w:tcPr>
          <w:p>
            <w:pPr>
              <w:pStyle w:val="12"/>
              <w:spacing w:before="154"/>
              <w:ind w:left="179" w:right="173"/>
              <w:jc w:val="center"/>
              <w:rPr>
                <w:color w:val="auto"/>
                <w:sz w:val="21"/>
                <w:highlight w:val="none"/>
              </w:rPr>
            </w:pPr>
            <w:r>
              <w:rPr>
                <w:color w:val="auto"/>
                <w:sz w:val="21"/>
                <w:highlight w:val="none"/>
              </w:rPr>
              <w:t>内容</w:t>
            </w:r>
          </w:p>
        </w:tc>
        <w:tc>
          <w:tcPr>
            <w:tcW w:w="6897" w:type="dxa"/>
          </w:tcPr>
          <w:p>
            <w:pPr>
              <w:pStyle w:val="12"/>
              <w:spacing w:before="154"/>
              <w:ind w:left="2903" w:right="2894"/>
              <w:jc w:val="center"/>
              <w:rPr>
                <w:color w:val="auto"/>
                <w:sz w:val="21"/>
                <w:highlight w:val="none"/>
              </w:rPr>
            </w:pPr>
            <w:r>
              <w:rPr>
                <w:color w:val="auto"/>
                <w:sz w:val="21"/>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2" w:hRule="atLeast"/>
        </w:trPr>
        <w:tc>
          <w:tcPr>
            <w:tcW w:w="683" w:type="dxa"/>
            <w:vMerge w:val="restart"/>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142"/>
              <w:ind w:left="7"/>
              <w:jc w:val="center"/>
              <w:rPr>
                <w:color w:val="auto"/>
                <w:sz w:val="21"/>
                <w:highlight w:val="none"/>
              </w:rPr>
            </w:pPr>
            <w:r>
              <w:rPr>
                <w:color w:val="auto"/>
                <w:w w:val="99"/>
                <w:sz w:val="21"/>
                <w:highlight w:val="none"/>
              </w:rPr>
              <w:t>1</w:t>
            </w:r>
          </w:p>
        </w:tc>
        <w:tc>
          <w:tcPr>
            <w:tcW w:w="2295" w:type="dxa"/>
            <w:vMerge w:val="restart"/>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10"/>
              <w:rPr>
                <w:rFonts w:ascii="黑体"/>
                <w:b/>
                <w:color w:val="auto"/>
                <w:sz w:val="25"/>
                <w:highlight w:val="none"/>
              </w:rPr>
            </w:pPr>
          </w:p>
          <w:p>
            <w:pPr>
              <w:pStyle w:val="12"/>
              <w:spacing w:before="1"/>
              <w:ind w:left="516"/>
              <w:rPr>
                <w:color w:val="auto"/>
                <w:sz w:val="21"/>
                <w:highlight w:val="none"/>
              </w:rPr>
            </w:pPr>
            <w:r>
              <w:rPr>
                <w:color w:val="auto"/>
                <w:sz w:val="21"/>
                <w:highlight w:val="none"/>
              </w:rPr>
              <w:t>工程综合说明</w:t>
            </w:r>
          </w:p>
        </w:tc>
        <w:tc>
          <w:tcPr>
            <w:tcW w:w="6897" w:type="dxa"/>
          </w:tcPr>
          <w:p>
            <w:pPr>
              <w:pStyle w:val="12"/>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工程名称：玉环市漩门三期围垦配套工程（监理）</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建设地点：位于漩门三期目鱼屿、冲坦屿</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 xml:space="preserve">工程预算造价：约 </w:t>
            </w:r>
            <w:r>
              <w:rPr>
                <w:rFonts w:hint="eastAsia"/>
                <w:color w:val="auto"/>
                <w:sz w:val="21"/>
                <w:highlight w:val="none"/>
                <w:lang w:val="en-US" w:eastAsia="zh-CN"/>
              </w:rPr>
              <w:t>535</w:t>
            </w:r>
            <w:r>
              <w:rPr>
                <w:rFonts w:hint="eastAsia"/>
                <w:color w:val="auto"/>
                <w:sz w:val="21"/>
                <w:highlight w:val="none"/>
                <w:lang w:eastAsia="zh-CN"/>
              </w:rPr>
              <w:t xml:space="preserve"> 万元。</w:t>
            </w:r>
          </w:p>
          <w:p>
            <w:pPr>
              <w:pStyle w:val="12"/>
              <w:keepNext w:val="0"/>
              <w:keepLines w:val="0"/>
              <w:pageBreakBefore w:val="0"/>
              <w:widowControl w:val="0"/>
              <w:kinsoku/>
              <w:wordWrap/>
              <w:overflowPunct/>
              <w:topLinePunct w:val="0"/>
              <w:autoSpaceDE w:val="0"/>
              <w:autoSpaceDN w:val="0"/>
              <w:bidi w:val="0"/>
              <w:adjustRightInd/>
              <w:snapToGrid/>
              <w:spacing w:line="360" w:lineRule="auto"/>
              <w:ind w:left="108" w:right="-17"/>
              <w:textAlignment w:val="auto"/>
              <w:outlineLvl w:val="9"/>
              <w:rPr>
                <w:rFonts w:hint="eastAsia"/>
                <w:color w:val="auto"/>
                <w:sz w:val="21"/>
                <w:highlight w:val="none"/>
                <w:lang w:eastAsia="zh-CN"/>
              </w:rPr>
            </w:pPr>
            <w:r>
              <w:rPr>
                <w:rFonts w:hint="eastAsia"/>
                <w:color w:val="auto"/>
                <w:sz w:val="21"/>
                <w:highlight w:val="none"/>
                <w:lang w:eastAsia="zh-CN"/>
              </w:rPr>
              <w:t>要求质量等级：合格。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8"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2"/>
              <w:spacing w:before="58"/>
              <w:ind w:left="108"/>
              <w:rPr>
                <w:rFonts w:hint="eastAsia"/>
                <w:color w:val="auto"/>
                <w:sz w:val="21"/>
                <w:highlight w:val="none"/>
              </w:rPr>
            </w:pPr>
            <w:r>
              <w:rPr>
                <w:rFonts w:hint="eastAsia"/>
                <w:color w:val="auto"/>
                <w:sz w:val="21"/>
                <w:highlight w:val="none"/>
              </w:rPr>
              <w:t xml:space="preserve">名称：玉环市漩门三期开发有限公司 </w:t>
            </w:r>
          </w:p>
          <w:p>
            <w:pPr>
              <w:pStyle w:val="12"/>
              <w:spacing w:before="58"/>
              <w:ind w:left="108"/>
              <w:rPr>
                <w:rFonts w:hint="eastAsia"/>
                <w:color w:val="auto"/>
                <w:sz w:val="21"/>
                <w:highlight w:val="none"/>
              </w:rPr>
            </w:pPr>
            <w:r>
              <w:rPr>
                <w:rFonts w:hint="eastAsia"/>
                <w:color w:val="auto"/>
                <w:sz w:val="21"/>
                <w:highlight w:val="none"/>
              </w:rPr>
              <w:t xml:space="preserve">地址：玉环经济开发区城兴路10号 </w:t>
            </w:r>
          </w:p>
          <w:p>
            <w:pPr>
              <w:pStyle w:val="12"/>
              <w:spacing w:before="58"/>
              <w:ind w:left="108"/>
              <w:rPr>
                <w:rFonts w:hint="eastAsia"/>
                <w:color w:val="auto"/>
                <w:sz w:val="21"/>
                <w:highlight w:val="none"/>
              </w:rPr>
            </w:pPr>
            <w:r>
              <w:rPr>
                <w:rFonts w:hint="eastAsia"/>
                <w:color w:val="auto"/>
                <w:sz w:val="21"/>
                <w:highlight w:val="none"/>
              </w:rPr>
              <w:t>联系人：颜先生</w:t>
            </w:r>
          </w:p>
          <w:p>
            <w:pPr>
              <w:pStyle w:val="12"/>
              <w:spacing w:before="58"/>
              <w:ind w:left="108"/>
              <w:rPr>
                <w:color w:val="auto"/>
                <w:sz w:val="21"/>
                <w:highlight w:val="none"/>
              </w:rPr>
            </w:pPr>
            <w:r>
              <w:rPr>
                <w:rFonts w:hint="eastAsia"/>
                <w:color w:val="auto"/>
                <w:sz w:val="21"/>
                <w:highlight w:val="none"/>
              </w:rPr>
              <w:t xml:space="preserve">电话：13967656758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683" w:type="dxa"/>
            <w:vMerge w:val="continue"/>
            <w:tcBorders>
              <w:top w:val="nil"/>
            </w:tcBorders>
          </w:tcPr>
          <w:p>
            <w:pPr>
              <w:rPr>
                <w:color w:val="auto"/>
                <w:sz w:val="2"/>
                <w:szCs w:val="2"/>
                <w:highlight w:val="none"/>
              </w:rPr>
            </w:pPr>
          </w:p>
        </w:tc>
        <w:tc>
          <w:tcPr>
            <w:tcW w:w="2295" w:type="dxa"/>
            <w:vMerge w:val="continue"/>
            <w:tcBorders>
              <w:top w:val="nil"/>
            </w:tcBorders>
          </w:tcPr>
          <w:p>
            <w:pPr>
              <w:rPr>
                <w:color w:val="auto"/>
                <w:sz w:val="2"/>
                <w:szCs w:val="2"/>
                <w:highlight w:val="none"/>
              </w:rPr>
            </w:pPr>
          </w:p>
        </w:tc>
        <w:tc>
          <w:tcPr>
            <w:tcW w:w="6897" w:type="dxa"/>
          </w:tcPr>
          <w:p>
            <w:pPr>
              <w:pStyle w:val="12"/>
              <w:spacing w:before="60"/>
              <w:ind w:left="108"/>
              <w:rPr>
                <w:rFonts w:hint="eastAsia"/>
                <w:color w:val="auto"/>
                <w:sz w:val="21"/>
                <w:highlight w:val="none"/>
              </w:rPr>
            </w:pPr>
            <w:r>
              <w:rPr>
                <w:rFonts w:hint="eastAsia"/>
                <w:color w:val="auto"/>
                <w:sz w:val="21"/>
                <w:highlight w:val="none"/>
              </w:rPr>
              <w:t>名称：建经投资咨询有限公司</w:t>
            </w:r>
          </w:p>
          <w:p>
            <w:pPr>
              <w:pStyle w:val="12"/>
              <w:spacing w:before="60"/>
              <w:ind w:left="108"/>
              <w:rPr>
                <w:rFonts w:hint="eastAsia"/>
                <w:color w:val="auto"/>
                <w:sz w:val="21"/>
                <w:highlight w:val="none"/>
              </w:rPr>
            </w:pPr>
            <w:r>
              <w:rPr>
                <w:rFonts w:hint="eastAsia"/>
                <w:color w:val="auto"/>
                <w:sz w:val="21"/>
                <w:highlight w:val="none"/>
              </w:rPr>
              <w:t>地址：玉环市玉城街道泰兴苑117号401室（13号小区20栋）</w:t>
            </w:r>
          </w:p>
          <w:p>
            <w:pPr>
              <w:pStyle w:val="12"/>
              <w:spacing w:before="60"/>
              <w:ind w:left="108"/>
              <w:rPr>
                <w:rFonts w:hint="eastAsia"/>
                <w:color w:val="auto"/>
                <w:sz w:val="21"/>
                <w:highlight w:val="none"/>
              </w:rPr>
            </w:pPr>
            <w:r>
              <w:rPr>
                <w:rFonts w:hint="eastAsia"/>
                <w:color w:val="auto"/>
                <w:sz w:val="21"/>
                <w:highlight w:val="none"/>
              </w:rPr>
              <w:t>联系人：王先生</w:t>
            </w:r>
          </w:p>
          <w:p>
            <w:pPr>
              <w:pStyle w:val="12"/>
              <w:spacing w:before="60"/>
              <w:ind w:left="108"/>
              <w:rPr>
                <w:color w:val="auto"/>
                <w:sz w:val="21"/>
                <w:highlight w:val="none"/>
              </w:rPr>
            </w:pPr>
            <w:r>
              <w:rPr>
                <w:rFonts w:hint="eastAsia"/>
                <w:color w:val="auto"/>
                <w:sz w:val="21"/>
                <w:highlight w:val="none"/>
              </w:rPr>
              <w:t xml:space="preserve">电话：18257670313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683" w:type="dxa"/>
          </w:tcPr>
          <w:p>
            <w:pPr>
              <w:pStyle w:val="12"/>
              <w:spacing w:before="10"/>
              <w:rPr>
                <w:rFonts w:ascii="黑体"/>
                <w:b/>
                <w:color w:val="auto"/>
                <w:sz w:val="16"/>
                <w:highlight w:val="none"/>
              </w:rPr>
            </w:pPr>
          </w:p>
          <w:p>
            <w:pPr>
              <w:pStyle w:val="12"/>
              <w:ind w:left="7"/>
              <w:jc w:val="center"/>
              <w:rPr>
                <w:color w:val="auto"/>
                <w:sz w:val="21"/>
                <w:highlight w:val="none"/>
              </w:rPr>
            </w:pPr>
            <w:r>
              <w:rPr>
                <w:color w:val="auto"/>
                <w:w w:val="99"/>
                <w:sz w:val="21"/>
                <w:highlight w:val="none"/>
              </w:rPr>
              <w:t>2</w:t>
            </w:r>
          </w:p>
        </w:tc>
        <w:tc>
          <w:tcPr>
            <w:tcW w:w="2295" w:type="dxa"/>
          </w:tcPr>
          <w:p>
            <w:pPr>
              <w:pStyle w:val="12"/>
              <w:spacing w:before="10"/>
              <w:rPr>
                <w:rFonts w:ascii="黑体"/>
                <w:b/>
                <w:color w:val="auto"/>
                <w:sz w:val="16"/>
                <w:highlight w:val="none"/>
              </w:rPr>
            </w:pPr>
          </w:p>
          <w:p>
            <w:pPr>
              <w:pStyle w:val="12"/>
              <w:ind w:left="177" w:right="173"/>
              <w:jc w:val="center"/>
              <w:rPr>
                <w:color w:val="auto"/>
                <w:sz w:val="21"/>
                <w:highlight w:val="none"/>
              </w:rPr>
            </w:pPr>
            <w:r>
              <w:rPr>
                <w:color w:val="auto"/>
                <w:sz w:val="21"/>
                <w:highlight w:val="none"/>
              </w:rPr>
              <w:t>招标范围</w:t>
            </w:r>
          </w:p>
        </w:tc>
        <w:tc>
          <w:tcPr>
            <w:tcW w:w="6897" w:type="dxa"/>
          </w:tcPr>
          <w:p>
            <w:pPr>
              <w:pStyle w:val="12"/>
              <w:spacing w:before="10"/>
              <w:rPr>
                <w:rFonts w:ascii="黑体"/>
                <w:b/>
                <w:color w:val="auto"/>
                <w:sz w:val="16"/>
                <w:highlight w:val="none"/>
              </w:rPr>
            </w:pPr>
          </w:p>
          <w:p>
            <w:pPr>
              <w:pStyle w:val="12"/>
              <w:ind w:left="108"/>
              <w:rPr>
                <w:color w:val="auto"/>
                <w:sz w:val="21"/>
                <w:highlight w:val="none"/>
              </w:rPr>
            </w:pPr>
            <w:r>
              <w:rPr>
                <w:rFonts w:hint="eastAsia" w:ascii="宋体" w:hAnsi="宋体" w:eastAsia="宋体"/>
                <w:color w:val="auto"/>
                <w:sz w:val="21"/>
                <w:szCs w:val="24"/>
                <w:highlight w:val="none"/>
                <w:lang w:eastAsia="zh-CN"/>
              </w:rPr>
              <w:t>现场“三通一平”、临设、</w:t>
            </w:r>
            <w:r>
              <w:rPr>
                <w:rFonts w:hint="eastAsia"/>
                <w:color w:val="auto"/>
                <w:sz w:val="21"/>
                <w:szCs w:val="24"/>
                <w:highlight w:val="none"/>
                <w:lang w:eastAsia="zh-CN"/>
              </w:rPr>
              <w:t>道路</w:t>
            </w:r>
            <w:r>
              <w:rPr>
                <w:rFonts w:hint="eastAsia" w:ascii="宋体" w:hAnsi="宋体" w:eastAsia="宋体"/>
                <w:color w:val="auto"/>
                <w:sz w:val="21"/>
                <w:szCs w:val="24"/>
                <w:highlight w:val="none"/>
                <w:lang w:eastAsia="zh-CN"/>
              </w:rPr>
              <w:t>等工程施工全过程及保修阶段的监理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6" w:hRule="atLeast"/>
        </w:trPr>
        <w:tc>
          <w:tcPr>
            <w:tcW w:w="683" w:type="dxa"/>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3"/>
              <w:rPr>
                <w:rFonts w:ascii="黑体"/>
                <w:b/>
                <w:color w:val="auto"/>
                <w:sz w:val="18"/>
                <w:highlight w:val="none"/>
              </w:rPr>
            </w:pPr>
          </w:p>
          <w:p>
            <w:pPr>
              <w:pStyle w:val="12"/>
              <w:spacing w:before="1"/>
              <w:ind w:left="7"/>
              <w:jc w:val="center"/>
              <w:rPr>
                <w:color w:val="auto"/>
                <w:sz w:val="21"/>
                <w:highlight w:val="none"/>
              </w:rPr>
            </w:pPr>
            <w:r>
              <w:rPr>
                <w:color w:val="auto"/>
                <w:w w:val="99"/>
                <w:sz w:val="21"/>
                <w:highlight w:val="none"/>
              </w:rPr>
              <w:t>3</w:t>
            </w:r>
          </w:p>
        </w:tc>
        <w:tc>
          <w:tcPr>
            <w:tcW w:w="2295" w:type="dxa"/>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3"/>
              <w:rPr>
                <w:rFonts w:ascii="黑体"/>
                <w:b/>
                <w:color w:val="auto"/>
                <w:sz w:val="18"/>
                <w:highlight w:val="none"/>
              </w:rPr>
            </w:pPr>
          </w:p>
          <w:p>
            <w:pPr>
              <w:pStyle w:val="12"/>
              <w:spacing w:before="1"/>
              <w:ind w:left="177" w:right="173"/>
              <w:jc w:val="center"/>
              <w:rPr>
                <w:color w:val="auto"/>
                <w:sz w:val="21"/>
                <w:highlight w:val="none"/>
              </w:rPr>
            </w:pPr>
            <w:r>
              <w:rPr>
                <w:color w:val="auto"/>
                <w:sz w:val="21"/>
                <w:highlight w:val="none"/>
              </w:rPr>
              <w:t>工作内容</w:t>
            </w:r>
          </w:p>
        </w:tc>
        <w:tc>
          <w:tcPr>
            <w:tcW w:w="6897" w:type="dxa"/>
          </w:tcPr>
          <w:p>
            <w:pPr>
              <w:pStyle w:val="12"/>
              <w:spacing w:line="290" w:lineRule="auto"/>
              <w:ind w:left="108" w:right="99"/>
              <w:rPr>
                <w:color w:val="auto"/>
                <w:sz w:val="21"/>
                <w:highlight w:val="none"/>
              </w:rPr>
            </w:pPr>
            <w:r>
              <w:rPr>
                <w:color w:val="auto"/>
                <w:sz w:val="21"/>
                <w:highlight w:val="none"/>
              </w:rPr>
              <w:t>1、监理期限：监理期限为施工全过程，自开工报告签发之日开始，至承接范围内所有工程竣工验收合格结束。</w:t>
            </w:r>
          </w:p>
          <w:p>
            <w:pPr>
              <w:pStyle w:val="12"/>
              <w:spacing w:line="290" w:lineRule="auto"/>
              <w:ind w:left="108" w:right="-15" w:firstLine="103"/>
              <w:rPr>
                <w:color w:val="auto"/>
                <w:sz w:val="21"/>
                <w:highlight w:val="none"/>
              </w:rPr>
            </w:pPr>
            <w:r>
              <w:rPr>
                <w:color w:val="auto"/>
                <w:sz w:val="21"/>
                <w:highlight w:val="none"/>
              </w:rPr>
              <w:t>2</w:t>
            </w:r>
            <w:r>
              <w:rPr>
                <w:color w:val="auto"/>
                <w:spacing w:val="-12"/>
                <w:sz w:val="21"/>
                <w:highlight w:val="none"/>
              </w:rPr>
              <w:t>、本次监理工作内容包括配合项目前期准备工作、施工阶段全过程监理、配合结算审核及保修阶段的监理。</w:t>
            </w:r>
          </w:p>
          <w:p>
            <w:pPr>
              <w:pStyle w:val="12"/>
              <w:spacing w:line="290" w:lineRule="auto"/>
              <w:ind w:left="108" w:right="-15" w:firstLine="103"/>
              <w:rPr>
                <w:color w:val="auto"/>
                <w:spacing w:val="-12"/>
                <w:sz w:val="21"/>
                <w:highlight w:val="none"/>
              </w:rPr>
            </w:pPr>
            <w:r>
              <w:rPr>
                <w:color w:val="auto"/>
                <w:spacing w:val="-2"/>
                <w:w w:val="99"/>
                <w:sz w:val="21"/>
                <w:highlight w:val="none"/>
              </w:rPr>
              <w:t>3</w:t>
            </w:r>
            <w:r>
              <w:rPr>
                <w:color w:val="auto"/>
                <w:spacing w:val="-10"/>
                <w:w w:val="99"/>
                <w:sz w:val="21"/>
                <w:highlight w:val="none"/>
              </w:rPr>
              <w:t>、</w:t>
            </w:r>
            <w:r>
              <w:rPr>
                <w:color w:val="auto"/>
                <w:spacing w:val="-12"/>
                <w:sz w:val="21"/>
                <w:highlight w:val="none"/>
              </w:rPr>
              <w:t>具体监理工作按《建设工程监理规范》（GB50319-2013）、《房屋建筑工</w:t>
            </w:r>
          </w:p>
          <w:p>
            <w:pPr>
              <w:pStyle w:val="12"/>
              <w:spacing w:line="290" w:lineRule="auto"/>
              <w:ind w:left="108" w:right="-15" w:firstLine="103"/>
              <w:rPr>
                <w:color w:val="auto"/>
                <w:sz w:val="21"/>
                <w:highlight w:val="none"/>
              </w:rPr>
            </w:pPr>
            <w:r>
              <w:rPr>
                <w:color w:val="auto"/>
                <w:spacing w:val="-12"/>
                <w:sz w:val="21"/>
                <w:highlight w:val="none"/>
              </w:rPr>
              <w:t>程和市政基础设施工程竣工验收暂行规定》及《施工旁站监理管理办法》  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683" w:type="dxa"/>
          </w:tcPr>
          <w:p>
            <w:pPr>
              <w:pStyle w:val="12"/>
              <w:spacing w:before="69"/>
              <w:ind w:left="7"/>
              <w:jc w:val="center"/>
              <w:rPr>
                <w:color w:val="auto"/>
                <w:sz w:val="21"/>
                <w:highlight w:val="none"/>
              </w:rPr>
            </w:pPr>
            <w:r>
              <w:rPr>
                <w:color w:val="auto"/>
                <w:w w:val="99"/>
                <w:sz w:val="21"/>
                <w:highlight w:val="none"/>
              </w:rPr>
              <w:t>4</w:t>
            </w:r>
          </w:p>
        </w:tc>
        <w:tc>
          <w:tcPr>
            <w:tcW w:w="2295" w:type="dxa"/>
          </w:tcPr>
          <w:p>
            <w:pPr>
              <w:pStyle w:val="12"/>
              <w:spacing w:before="69"/>
              <w:ind w:left="177" w:right="173"/>
              <w:jc w:val="center"/>
              <w:rPr>
                <w:color w:val="auto"/>
                <w:sz w:val="21"/>
                <w:highlight w:val="none"/>
              </w:rPr>
            </w:pPr>
            <w:r>
              <w:rPr>
                <w:color w:val="auto"/>
                <w:sz w:val="21"/>
                <w:highlight w:val="none"/>
              </w:rPr>
              <w:t>资金来源</w:t>
            </w:r>
          </w:p>
        </w:tc>
        <w:tc>
          <w:tcPr>
            <w:tcW w:w="6897" w:type="dxa"/>
          </w:tcPr>
          <w:p>
            <w:pPr>
              <w:pStyle w:val="12"/>
              <w:spacing w:before="69"/>
              <w:ind w:left="108"/>
              <w:rPr>
                <w:color w:val="auto"/>
                <w:sz w:val="21"/>
                <w:highlight w:val="none"/>
              </w:rPr>
            </w:pPr>
            <w:r>
              <w:rPr>
                <w:rFonts w:hint="eastAsia"/>
                <w:color w:val="auto"/>
                <w:sz w:val="21"/>
                <w:highlight w:val="none"/>
                <w:lang w:eastAsia="zh-CN"/>
              </w:rPr>
              <w:t>自筹</w:t>
            </w:r>
            <w:r>
              <w:rPr>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4" w:hRule="atLeast"/>
        </w:trPr>
        <w:tc>
          <w:tcPr>
            <w:tcW w:w="683" w:type="dxa"/>
          </w:tcPr>
          <w:p>
            <w:pPr>
              <w:pStyle w:val="12"/>
              <w:spacing w:before="9"/>
              <w:rPr>
                <w:rFonts w:ascii="黑体"/>
                <w:b/>
                <w:color w:val="auto"/>
                <w:sz w:val="27"/>
                <w:highlight w:val="none"/>
              </w:rPr>
            </w:pPr>
          </w:p>
          <w:p>
            <w:pPr>
              <w:pStyle w:val="12"/>
              <w:ind w:left="7"/>
              <w:jc w:val="center"/>
              <w:rPr>
                <w:color w:val="auto"/>
                <w:sz w:val="21"/>
                <w:highlight w:val="none"/>
              </w:rPr>
            </w:pPr>
            <w:r>
              <w:rPr>
                <w:color w:val="auto"/>
                <w:w w:val="99"/>
                <w:sz w:val="21"/>
                <w:highlight w:val="none"/>
              </w:rPr>
              <w:t>5</w:t>
            </w:r>
          </w:p>
        </w:tc>
        <w:tc>
          <w:tcPr>
            <w:tcW w:w="2295" w:type="dxa"/>
          </w:tcPr>
          <w:p>
            <w:pPr>
              <w:pStyle w:val="12"/>
              <w:spacing w:before="9"/>
              <w:rPr>
                <w:rFonts w:ascii="黑体"/>
                <w:b/>
                <w:color w:val="auto"/>
                <w:sz w:val="27"/>
                <w:highlight w:val="none"/>
              </w:rPr>
            </w:pPr>
          </w:p>
          <w:p>
            <w:pPr>
              <w:pStyle w:val="12"/>
              <w:ind w:left="177" w:right="173"/>
              <w:jc w:val="center"/>
              <w:rPr>
                <w:color w:val="auto"/>
                <w:sz w:val="21"/>
                <w:highlight w:val="none"/>
              </w:rPr>
            </w:pPr>
            <w:r>
              <w:rPr>
                <w:color w:val="auto"/>
                <w:sz w:val="21"/>
                <w:highlight w:val="none"/>
              </w:rPr>
              <w:t>资质要求</w:t>
            </w:r>
          </w:p>
        </w:tc>
        <w:tc>
          <w:tcPr>
            <w:tcW w:w="6897" w:type="dxa"/>
          </w:tcPr>
          <w:p>
            <w:pPr>
              <w:pStyle w:val="12"/>
              <w:spacing w:line="290" w:lineRule="auto"/>
              <w:ind w:left="108" w:right="-15" w:firstLine="103"/>
              <w:rPr>
                <w:color w:val="auto"/>
                <w:spacing w:val="-12"/>
                <w:sz w:val="21"/>
                <w:highlight w:val="none"/>
              </w:rPr>
            </w:pPr>
            <w:r>
              <w:rPr>
                <w:color w:val="auto"/>
                <w:spacing w:val="-12"/>
                <w:sz w:val="21"/>
                <w:highlight w:val="none"/>
              </w:rPr>
              <w:t>投标人：</w:t>
            </w:r>
            <w:r>
              <w:rPr>
                <w:rFonts w:hint="eastAsia"/>
                <w:color w:val="auto"/>
                <w:spacing w:val="-12"/>
                <w:sz w:val="21"/>
                <w:highlight w:val="none"/>
                <w:lang w:eastAsia="zh-CN"/>
              </w:rPr>
              <w:t>具备监理</w:t>
            </w:r>
            <w:r>
              <w:rPr>
                <w:color w:val="auto"/>
                <w:spacing w:val="-12"/>
                <w:sz w:val="21"/>
                <w:highlight w:val="none"/>
              </w:rPr>
              <w:t xml:space="preserve">综合资质或市政公用工程专业监理乙级及以上资质； </w:t>
            </w:r>
          </w:p>
          <w:p>
            <w:pPr>
              <w:pStyle w:val="12"/>
              <w:spacing w:line="290" w:lineRule="auto"/>
              <w:ind w:left="108" w:right="-15" w:firstLine="103"/>
              <w:rPr>
                <w:color w:val="auto"/>
                <w:spacing w:val="-12"/>
                <w:sz w:val="21"/>
                <w:highlight w:val="none"/>
              </w:rPr>
            </w:pPr>
            <w:r>
              <w:rPr>
                <w:color w:val="auto"/>
                <w:spacing w:val="-12"/>
                <w:sz w:val="21"/>
                <w:highlight w:val="none"/>
              </w:rPr>
              <w:t>是否接受联合体投标：本项目不接受联合体投标；</w:t>
            </w:r>
          </w:p>
          <w:p>
            <w:pPr>
              <w:pStyle w:val="12"/>
              <w:spacing w:line="290" w:lineRule="auto"/>
              <w:ind w:left="108" w:right="-15" w:firstLine="103"/>
              <w:rPr>
                <w:color w:val="auto"/>
                <w:sz w:val="21"/>
                <w:highlight w:val="none"/>
              </w:rPr>
            </w:pPr>
            <w:r>
              <w:rPr>
                <w:color w:val="auto"/>
                <w:spacing w:val="-12"/>
                <w:sz w:val="21"/>
                <w:highlight w:val="none"/>
              </w:rPr>
              <w:t>总监理工程师：国家注册监理工程师（市政公用工程专业）</w:t>
            </w:r>
            <w:r>
              <w:rPr>
                <w:color w:val="auto"/>
                <w:w w:val="99"/>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683" w:type="dxa"/>
          </w:tcPr>
          <w:p>
            <w:pPr>
              <w:pStyle w:val="12"/>
              <w:spacing w:before="12"/>
              <w:rPr>
                <w:rFonts w:ascii="黑体"/>
                <w:b/>
                <w:color w:val="auto"/>
                <w:sz w:val="20"/>
                <w:highlight w:val="none"/>
              </w:rPr>
            </w:pPr>
          </w:p>
          <w:p>
            <w:pPr>
              <w:pStyle w:val="12"/>
              <w:ind w:left="7"/>
              <w:jc w:val="center"/>
              <w:rPr>
                <w:color w:val="auto"/>
                <w:sz w:val="21"/>
                <w:highlight w:val="none"/>
              </w:rPr>
            </w:pPr>
            <w:r>
              <w:rPr>
                <w:color w:val="auto"/>
                <w:w w:val="99"/>
                <w:sz w:val="21"/>
                <w:highlight w:val="none"/>
              </w:rPr>
              <w:t>6</w:t>
            </w:r>
          </w:p>
        </w:tc>
        <w:tc>
          <w:tcPr>
            <w:tcW w:w="2295" w:type="dxa"/>
          </w:tcPr>
          <w:p>
            <w:pPr>
              <w:pStyle w:val="12"/>
              <w:spacing w:before="12"/>
              <w:rPr>
                <w:rFonts w:ascii="黑体"/>
                <w:b/>
                <w:color w:val="auto"/>
                <w:sz w:val="20"/>
                <w:highlight w:val="none"/>
              </w:rPr>
            </w:pPr>
          </w:p>
          <w:p>
            <w:pPr>
              <w:pStyle w:val="12"/>
              <w:ind w:left="179" w:right="173"/>
              <w:jc w:val="center"/>
              <w:rPr>
                <w:color w:val="auto"/>
                <w:sz w:val="21"/>
                <w:highlight w:val="none"/>
              </w:rPr>
            </w:pPr>
            <w:r>
              <w:rPr>
                <w:color w:val="auto"/>
                <w:sz w:val="21"/>
                <w:highlight w:val="none"/>
              </w:rPr>
              <w:t>投标人确定方式</w:t>
            </w:r>
          </w:p>
        </w:tc>
        <w:tc>
          <w:tcPr>
            <w:tcW w:w="6897" w:type="dxa"/>
          </w:tcPr>
          <w:p>
            <w:pPr>
              <w:pStyle w:val="12"/>
              <w:spacing w:line="242" w:lineRule="auto"/>
              <w:ind w:left="108" w:right="70"/>
              <w:rPr>
                <w:b/>
                <w:color w:val="auto"/>
                <w:sz w:val="21"/>
                <w:highlight w:val="none"/>
              </w:rPr>
            </w:pPr>
            <w:r>
              <w:rPr>
                <w:b/>
                <w:color w:val="auto"/>
                <w:spacing w:val="-8"/>
                <w:w w:val="95"/>
                <w:sz w:val="21"/>
                <w:highlight w:val="none"/>
              </w:rPr>
              <w:t>资格后审</w:t>
            </w:r>
            <w:r>
              <w:rPr>
                <w:b/>
                <w:color w:val="auto"/>
                <w:w w:val="95"/>
                <w:sz w:val="21"/>
                <w:highlight w:val="none"/>
              </w:rPr>
              <w:t>（</w:t>
            </w:r>
            <w:r>
              <w:rPr>
                <w:b/>
                <w:color w:val="auto"/>
                <w:spacing w:val="-3"/>
                <w:w w:val="95"/>
                <w:sz w:val="21"/>
                <w:highlight w:val="none"/>
              </w:rPr>
              <w:t xml:space="preserve">审查企业资质证书原件、派驻本工程监理人员一览表对应证书  </w:t>
            </w:r>
            <w:r>
              <w:rPr>
                <w:b/>
                <w:color w:val="auto"/>
                <w:spacing w:val="-4"/>
                <w:w w:val="95"/>
                <w:sz w:val="21"/>
                <w:highlight w:val="none"/>
              </w:rPr>
              <w:t>原件，省外企业需提供《省外企业进浙承接业务备案证明》，未提供上述</w:t>
            </w:r>
            <w:r>
              <w:rPr>
                <w:b/>
                <w:color w:val="auto"/>
                <w:sz w:val="21"/>
                <w:highlight w:val="none"/>
              </w:rPr>
              <w:t>原件之一的，作资格无效处理。）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683" w:type="dxa"/>
          </w:tcPr>
          <w:p>
            <w:pPr>
              <w:pStyle w:val="12"/>
              <w:spacing w:before="142"/>
              <w:ind w:left="7"/>
              <w:jc w:val="center"/>
              <w:rPr>
                <w:color w:val="auto"/>
                <w:sz w:val="21"/>
                <w:highlight w:val="none"/>
              </w:rPr>
            </w:pPr>
            <w:r>
              <w:rPr>
                <w:color w:val="auto"/>
                <w:w w:val="99"/>
                <w:sz w:val="21"/>
                <w:highlight w:val="none"/>
              </w:rPr>
              <w:t>7</w:t>
            </w:r>
          </w:p>
        </w:tc>
        <w:tc>
          <w:tcPr>
            <w:tcW w:w="2295" w:type="dxa"/>
          </w:tcPr>
          <w:p>
            <w:pPr>
              <w:pStyle w:val="12"/>
              <w:spacing w:before="142"/>
              <w:ind w:left="177" w:right="173"/>
              <w:jc w:val="center"/>
              <w:rPr>
                <w:color w:val="auto"/>
                <w:sz w:val="21"/>
                <w:highlight w:val="none"/>
              </w:rPr>
            </w:pPr>
            <w:r>
              <w:rPr>
                <w:color w:val="auto"/>
                <w:sz w:val="21"/>
                <w:highlight w:val="none"/>
              </w:rPr>
              <w:t>招标方式</w:t>
            </w:r>
          </w:p>
        </w:tc>
        <w:tc>
          <w:tcPr>
            <w:tcW w:w="6897" w:type="dxa"/>
          </w:tcPr>
          <w:p>
            <w:pPr>
              <w:pStyle w:val="12"/>
              <w:spacing w:before="142"/>
              <w:ind w:left="108"/>
              <w:rPr>
                <w:color w:val="auto"/>
                <w:sz w:val="21"/>
                <w:highlight w:val="none"/>
              </w:rPr>
            </w:pPr>
            <w:r>
              <w:rPr>
                <w:color w:val="auto"/>
                <w:sz w:val="21"/>
                <w:highlight w:val="none"/>
              </w:rPr>
              <w:t>公开招标</w:t>
            </w:r>
          </w:p>
        </w:tc>
      </w:tr>
    </w:tbl>
    <w:p>
      <w:pPr>
        <w:spacing w:after="0"/>
        <w:rPr>
          <w:color w:val="auto"/>
          <w:sz w:val="21"/>
          <w:highlight w:val="none"/>
        </w:rPr>
        <w:sectPr>
          <w:pgSz w:w="11910" w:h="16840"/>
          <w:pgMar w:top="1080" w:right="520" w:bottom="1040" w:left="920" w:header="891" w:footer="776" w:gutter="0"/>
        </w:sectPr>
      </w:pPr>
    </w:p>
    <w:p>
      <w:pPr>
        <w:pStyle w:val="5"/>
        <w:spacing w:before="5"/>
        <w:rPr>
          <w:rFonts w:ascii="Times New Roman"/>
          <w:color w:val="auto"/>
          <w:sz w:val="18"/>
          <w:highlight w:val="none"/>
        </w:rPr>
      </w:pPr>
    </w:p>
    <w:tbl>
      <w:tblPr>
        <w:tblStyle w:val="9"/>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1" w:hRule="atLeast"/>
        </w:trPr>
        <w:tc>
          <w:tcPr>
            <w:tcW w:w="683" w:type="dxa"/>
          </w:tcPr>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spacing w:before="3"/>
              <w:rPr>
                <w:rFonts w:ascii="Times New Roman"/>
                <w:color w:val="auto"/>
                <w:sz w:val="21"/>
                <w:highlight w:val="none"/>
                <w:shd w:val="clear" w:color="auto" w:fill="auto"/>
              </w:rPr>
            </w:pPr>
          </w:p>
          <w:p>
            <w:pPr>
              <w:pStyle w:val="12"/>
              <w:ind w:left="7"/>
              <w:jc w:val="center"/>
              <w:rPr>
                <w:color w:val="auto"/>
                <w:sz w:val="21"/>
                <w:highlight w:val="none"/>
                <w:shd w:val="clear" w:color="auto" w:fill="auto"/>
              </w:rPr>
            </w:pPr>
            <w:r>
              <w:rPr>
                <w:color w:val="auto"/>
                <w:w w:val="99"/>
                <w:sz w:val="21"/>
                <w:highlight w:val="none"/>
                <w:shd w:val="clear" w:color="auto" w:fill="auto"/>
              </w:rPr>
              <w:t>8</w:t>
            </w:r>
          </w:p>
        </w:tc>
        <w:tc>
          <w:tcPr>
            <w:tcW w:w="2295" w:type="dxa"/>
          </w:tcPr>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spacing w:before="3"/>
              <w:rPr>
                <w:rFonts w:ascii="Times New Roman"/>
                <w:color w:val="auto"/>
                <w:sz w:val="21"/>
                <w:highlight w:val="none"/>
                <w:shd w:val="clear" w:color="auto" w:fill="auto"/>
              </w:rPr>
            </w:pPr>
          </w:p>
          <w:p>
            <w:pPr>
              <w:pStyle w:val="12"/>
              <w:ind w:left="179" w:right="173"/>
              <w:jc w:val="center"/>
              <w:rPr>
                <w:color w:val="auto"/>
                <w:sz w:val="21"/>
                <w:highlight w:val="none"/>
                <w:shd w:val="clear" w:color="auto" w:fill="auto"/>
              </w:rPr>
            </w:pPr>
            <w:r>
              <w:rPr>
                <w:color w:val="auto"/>
                <w:sz w:val="21"/>
                <w:highlight w:val="none"/>
                <w:shd w:val="clear" w:color="auto" w:fill="auto"/>
              </w:rPr>
              <w:t>投标文件组成</w:t>
            </w:r>
          </w:p>
        </w:tc>
        <w:tc>
          <w:tcPr>
            <w:tcW w:w="6897" w:type="dxa"/>
          </w:tcPr>
          <w:p>
            <w:pPr>
              <w:pStyle w:val="12"/>
              <w:spacing w:before="1"/>
              <w:ind w:left="108"/>
              <w:jc w:val="both"/>
              <w:rPr>
                <w:color w:val="auto"/>
                <w:sz w:val="21"/>
                <w:highlight w:val="none"/>
                <w:shd w:val="clear" w:color="auto" w:fill="auto"/>
              </w:rPr>
            </w:pPr>
            <w:r>
              <w:rPr>
                <w:color w:val="auto"/>
                <w:sz w:val="21"/>
                <w:highlight w:val="none"/>
                <w:shd w:val="clear" w:color="auto" w:fill="auto"/>
              </w:rPr>
              <w:t>投标文件由商务标组成。</w:t>
            </w:r>
          </w:p>
          <w:p>
            <w:pPr>
              <w:pStyle w:val="12"/>
              <w:spacing w:before="57"/>
              <w:ind w:left="108"/>
              <w:jc w:val="both"/>
              <w:rPr>
                <w:color w:val="auto"/>
                <w:sz w:val="22"/>
                <w:szCs w:val="24"/>
                <w:highlight w:val="none"/>
                <w:shd w:val="clear" w:color="auto" w:fill="auto"/>
              </w:rPr>
            </w:pPr>
            <w:r>
              <w:rPr>
                <w:color w:val="auto"/>
                <w:sz w:val="22"/>
                <w:szCs w:val="24"/>
                <w:highlight w:val="none"/>
                <w:shd w:val="clear" w:color="auto" w:fill="auto"/>
              </w:rPr>
              <w:t>1、商务标包括：</w:t>
            </w:r>
          </w:p>
          <w:p>
            <w:pPr>
              <w:pStyle w:val="12"/>
              <w:numPr>
                <w:ilvl w:val="0"/>
                <w:numId w:val="3"/>
              </w:numPr>
              <w:tabs>
                <w:tab w:val="left" w:pos="633"/>
              </w:tabs>
              <w:spacing w:before="58" w:after="0" w:line="240" w:lineRule="auto"/>
              <w:ind w:left="632" w:right="0" w:hanging="524"/>
              <w:jc w:val="both"/>
              <w:rPr>
                <w:color w:val="auto"/>
                <w:sz w:val="22"/>
                <w:szCs w:val="24"/>
                <w:highlight w:val="none"/>
                <w:shd w:val="clear" w:color="auto" w:fill="auto"/>
              </w:rPr>
            </w:pPr>
            <w:r>
              <w:rPr>
                <w:color w:val="auto"/>
                <w:sz w:val="22"/>
                <w:szCs w:val="24"/>
                <w:highlight w:val="none"/>
                <w:shd w:val="clear" w:color="auto" w:fill="auto"/>
              </w:rPr>
              <w:t>投标函（附件一</w:t>
            </w:r>
            <w:r>
              <w:rPr>
                <w:color w:val="auto"/>
                <w:spacing w:val="-104"/>
                <w:sz w:val="22"/>
                <w:szCs w:val="24"/>
                <w:highlight w:val="none"/>
                <w:shd w:val="clear" w:color="auto" w:fill="auto"/>
              </w:rPr>
              <w:t>）</w:t>
            </w:r>
            <w:r>
              <w:rPr>
                <w:color w:val="auto"/>
                <w:sz w:val="22"/>
                <w:szCs w:val="24"/>
                <w:highlight w:val="none"/>
                <w:shd w:val="clear" w:color="auto" w:fill="auto"/>
              </w:rPr>
              <w:t>。</w:t>
            </w:r>
          </w:p>
          <w:p>
            <w:pPr>
              <w:pStyle w:val="12"/>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派驻本工程监理人员一览表（附件二）</w:t>
            </w:r>
            <w:r>
              <w:rPr>
                <w:color w:val="auto"/>
                <w:w w:val="99"/>
                <w:sz w:val="22"/>
                <w:szCs w:val="24"/>
                <w:highlight w:val="none"/>
                <w:shd w:val="clear" w:color="auto" w:fill="auto"/>
              </w:rPr>
              <w:t>；</w:t>
            </w:r>
          </w:p>
          <w:p>
            <w:pPr>
              <w:pStyle w:val="12"/>
              <w:numPr>
                <w:ilvl w:val="0"/>
                <w:numId w:val="3"/>
              </w:numPr>
              <w:tabs>
                <w:tab w:val="left" w:pos="628"/>
              </w:tabs>
              <w:spacing w:before="60" w:after="0" w:line="240" w:lineRule="auto"/>
              <w:ind w:left="627" w:right="0" w:hanging="524"/>
              <w:jc w:val="both"/>
              <w:rPr>
                <w:color w:val="auto"/>
                <w:sz w:val="22"/>
                <w:szCs w:val="24"/>
                <w:highlight w:val="none"/>
                <w:shd w:val="clear" w:color="auto" w:fill="auto"/>
              </w:rPr>
            </w:pPr>
            <w:r>
              <w:rPr>
                <w:color w:val="auto"/>
                <w:spacing w:val="-1"/>
                <w:w w:val="99"/>
                <w:sz w:val="22"/>
                <w:szCs w:val="24"/>
                <w:highlight w:val="none"/>
                <w:shd w:val="clear" w:color="auto" w:fill="auto"/>
              </w:rPr>
              <w:t>台</w:t>
            </w:r>
            <w:r>
              <w:rPr>
                <w:color w:val="auto"/>
                <w:sz w:val="21"/>
                <w:highlight w:val="none"/>
                <w:shd w:val="clear" w:color="auto" w:fill="auto"/>
              </w:rPr>
              <w:t>州市建设工程投标人资格自查表（附件三）</w:t>
            </w:r>
            <w:r>
              <w:rPr>
                <w:color w:val="auto"/>
                <w:w w:val="99"/>
                <w:sz w:val="22"/>
                <w:szCs w:val="24"/>
                <w:highlight w:val="none"/>
                <w:shd w:val="clear" w:color="auto" w:fill="auto"/>
              </w:rPr>
              <w:t>；</w:t>
            </w:r>
          </w:p>
          <w:p>
            <w:pPr>
              <w:pStyle w:val="12"/>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台州市建设工程投标项目总监资格自查表（附件四）</w:t>
            </w:r>
            <w:r>
              <w:rPr>
                <w:color w:val="auto"/>
                <w:w w:val="99"/>
                <w:sz w:val="22"/>
                <w:szCs w:val="24"/>
                <w:highlight w:val="none"/>
                <w:shd w:val="clear" w:color="auto" w:fill="auto"/>
              </w:rPr>
              <w:t>；</w:t>
            </w:r>
          </w:p>
          <w:p>
            <w:pPr>
              <w:pStyle w:val="12"/>
              <w:numPr>
                <w:ilvl w:val="0"/>
                <w:numId w:val="3"/>
              </w:numPr>
              <w:tabs>
                <w:tab w:val="left" w:pos="628"/>
              </w:tabs>
              <w:spacing w:before="57" w:after="0" w:line="240" w:lineRule="auto"/>
              <w:ind w:left="627" w:right="0" w:hanging="524"/>
              <w:jc w:val="both"/>
              <w:rPr>
                <w:color w:val="auto"/>
                <w:sz w:val="22"/>
                <w:szCs w:val="24"/>
                <w:highlight w:val="none"/>
                <w:shd w:val="clear" w:color="auto" w:fill="auto"/>
              </w:rPr>
            </w:pPr>
            <w:r>
              <w:rPr>
                <w:color w:val="auto"/>
                <w:sz w:val="21"/>
                <w:highlight w:val="none"/>
                <w:shd w:val="clear" w:color="auto" w:fill="auto"/>
              </w:rPr>
              <w:t>台州市建设工程诚信投标承诺书（附件五）</w:t>
            </w:r>
            <w:r>
              <w:rPr>
                <w:color w:val="auto"/>
                <w:w w:val="99"/>
                <w:sz w:val="22"/>
                <w:szCs w:val="24"/>
                <w:highlight w:val="none"/>
                <w:shd w:val="clear" w:color="auto" w:fill="auto"/>
              </w:rPr>
              <w:t>；</w:t>
            </w:r>
          </w:p>
          <w:p>
            <w:pPr>
              <w:pStyle w:val="12"/>
              <w:numPr>
                <w:ilvl w:val="0"/>
                <w:numId w:val="3"/>
              </w:numPr>
              <w:tabs>
                <w:tab w:val="left" w:pos="628"/>
              </w:tabs>
              <w:spacing w:before="58" w:after="0" w:line="240" w:lineRule="auto"/>
              <w:ind w:left="627" w:right="0" w:hanging="524"/>
              <w:jc w:val="both"/>
              <w:rPr>
                <w:color w:val="auto"/>
                <w:sz w:val="22"/>
                <w:szCs w:val="24"/>
                <w:highlight w:val="none"/>
                <w:shd w:val="clear" w:color="auto" w:fill="auto"/>
              </w:rPr>
            </w:pPr>
            <w:r>
              <w:rPr>
                <w:color w:val="auto"/>
                <w:sz w:val="22"/>
                <w:szCs w:val="24"/>
                <w:highlight w:val="none"/>
                <w:shd w:val="clear" w:color="auto" w:fill="auto"/>
              </w:rPr>
              <w:t>证书材料：</w:t>
            </w:r>
          </w:p>
          <w:p>
            <w:pPr>
              <w:pStyle w:val="12"/>
              <w:spacing w:before="57" w:line="290" w:lineRule="auto"/>
              <w:ind w:left="103" w:right="90"/>
              <w:jc w:val="both"/>
              <w:rPr>
                <w:color w:val="auto"/>
                <w:sz w:val="21"/>
                <w:highlight w:val="none"/>
                <w:shd w:val="clear" w:color="auto" w:fill="auto"/>
              </w:rPr>
            </w:pPr>
            <w:r>
              <w:rPr>
                <w:color w:val="auto"/>
                <w:spacing w:val="2"/>
                <w:w w:val="99"/>
                <w:sz w:val="22"/>
                <w:szCs w:val="24"/>
                <w:highlight w:val="none"/>
                <w:shd w:val="clear" w:color="auto" w:fill="auto"/>
              </w:rPr>
              <w:t>①证书材料</w:t>
            </w:r>
            <w:r>
              <w:rPr>
                <w:b/>
                <w:color w:val="auto"/>
                <w:spacing w:val="3"/>
                <w:w w:val="99"/>
                <w:sz w:val="22"/>
                <w:szCs w:val="24"/>
                <w:highlight w:val="none"/>
                <w:shd w:val="clear" w:color="auto" w:fill="auto"/>
              </w:rPr>
              <w:t>复印件</w:t>
            </w:r>
            <w:r>
              <w:rPr>
                <w:b/>
                <w:color w:val="auto"/>
                <w:spacing w:val="4"/>
                <w:w w:val="99"/>
                <w:sz w:val="22"/>
                <w:szCs w:val="24"/>
                <w:highlight w:val="none"/>
                <w:shd w:val="clear" w:color="auto" w:fill="auto"/>
              </w:rPr>
              <w:t>（</w:t>
            </w:r>
            <w:r>
              <w:rPr>
                <w:b/>
                <w:color w:val="auto"/>
                <w:spacing w:val="3"/>
                <w:w w:val="99"/>
                <w:sz w:val="22"/>
                <w:szCs w:val="24"/>
                <w:highlight w:val="none"/>
                <w:shd w:val="clear" w:color="auto" w:fill="auto"/>
              </w:rPr>
              <w:t>盖单位公章</w:t>
            </w:r>
            <w:r>
              <w:rPr>
                <w:b/>
                <w:color w:val="auto"/>
                <w:spacing w:val="-101"/>
                <w:w w:val="99"/>
                <w:sz w:val="22"/>
                <w:szCs w:val="24"/>
                <w:highlight w:val="none"/>
                <w:shd w:val="clear" w:color="auto" w:fill="auto"/>
              </w:rPr>
              <w:t>）</w:t>
            </w:r>
            <w:r>
              <w:rPr>
                <w:color w:val="auto"/>
                <w:spacing w:val="1"/>
                <w:w w:val="99"/>
                <w:sz w:val="22"/>
                <w:szCs w:val="24"/>
                <w:highlight w:val="none"/>
                <w:shd w:val="clear" w:color="auto" w:fill="auto"/>
              </w:rPr>
              <w:t>：</w:t>
            </w:r>
            <w:r>
              <w:rPr>
                <w:color w:val="auto"/>
                <w:sz w:val="21"/>
                <w:highlight w:val="none"/>
                <w:shd w:val="clear" w:color="auto" w:fill="auto"/>
              </w:rPr>
              <w:t>对应附件二派驻本工程的在本单位注册的国家《注册监理工程师注册执业证书》、《浙江省监理工程师证书》、监理员岗位证书等。若证书不能反映注册单位的，应提供相应的劳动合同复印件；</w:t>
            </w:r>
          </w:p>
          <w:p>
            <w:pPr>
              <w:pStyle w:val="12"/>
              <w:spacing w:before="6"/>
              <w:ind w:left="108"/>
              <w:rPr>
                <w:b/>
                <w:color w:val="auto"/>
                <w:sz w:val="22"/>
                <w:szCs w:val="24"/>
                <w:highlight w:val="none"/>
                <w:shd w:val="clear" w:color="auto" w:fill="auto"/>
              </w:rPr>
            </w:pPr>
            <w:r>
              <w:rPr>
                <w:color w:val="auto"/>
                <w:spacing w:val="-1"/>
                <w:w w:val="99"/>
                <w:sz w:val="22"/>
                <w:szCs w:val="24"/>
                <w:highlight w:val="none"/>
                <w:shd w:val="clear" w:color="auto" w:fill="auto"/>
              </w:rPr>
              <w:t>②</w:t>
            </w:r>
            <w:r>
              <w:rPr>
                <w:color w:val="auto"/>
                <w:sz w:val="21"/>
                <w:highlight w:val="none"/>
                <w:shd w:val="clear" w:color="auto" w:fill="auto"/>
              </w:rPr>
              <w:t>资质证书（副本）</w:t>
            </w:r>
            <w:r>
              <w:rPr>
                <w:b/>
                <w:color w:val="auto"/>
                <w:spacing w:val="2"/>
                <w:w w:val="99"/>
                <w:sz w:val="22"/>
                <w:szCs w:val="24"/>
                <w:highlight w:val="none"/>
                <w:shd w:val="clear" w:color="auto" w:fill="auto"/>
              </w:rPr>
              <w:t>复印件（</w:t>
            </w:r>
            <w:r>
              <w:rPr>
                <w:b/>
                <w:color w:val="auto"/>
                <w:spacing w:val="1"/>
                <w:w w:val="99"/>
                <w:sz w:val="22"/>
                <w:szCs w:val="24"/>
                <w:highlight w:val="none"/>
                <w:shd w:val="clear" w:color="auto" w:fill="auto"/>
              </w:rPr>
              <w:t>盖单位公章</w:t>
            </w:r>
            <w:r>
              <w:rPr>
                <w:b/>
                <w:color w:val="auto"/>
                <w:spacing w:val="-106"/>
                <w:w w:val="99"/>
                <w:sz w:val="22"/>
                <w:szCs w:val="24"/>
                <w:highlight w:val="none"/>
                <w:shd w:val="clear" w:color="auto" w:fill="auto"/>
              </w:rPr>
              <w:t>）</w:t>
            </w:r>
            <w:r>
              <w:rPr>
                <w:b/>
                <w:color w:val="auto"/>
                <w:w w:val="99"/>
                <w:sz w:val="22"/>
                <w:szCs w:val="24"/>
                <w:highlight w:val="none"/>
                <w:shd w:val="clear" w:color="auto" w:fill="auto"/>
              </w:rPr>
              <w:t>；</w:t>
            </w:r>
          </w:p>
          <w:p>
            <w:pPr>
              <w:pStyle w:val="12"/>
              <w:spacing w:before="6" w:line="320" w:lineRule="atLeast"/>
              <w:ind w:left="103" w:right="-15"/>
              <w:rPr>
                <w:color w:val="auto"/>
                <w:sz w:val="21"/>
                <w:highlight w:val="none"/>
                <w:shd w:val="clear" w:color="auto" w:fill="auto"/>
              </w:rPr>
            </w:pPr>
            <w:r>
              <w:rPr>
                <w:color w:val="auto"/>
                <w:spacing w:val="-9"/>
                <w:w w:val="95"/>
                <w:sz w:val="22"/>
                <w:szCs w:val="24"/>
                <w:highlight w:val="none"/>
                <w:shd w:val="clear" w:color="auto" w:fill="auto"/>
              </w:rPr>
              <w:t>③</w:t>
            </w:r>
            <w:r>
              <w:rPr>
                <w:color w:val="auto"/>
                <w:sz w:val="21"/>
                <w:highlight w:val="none"/>
                <w:shd w:val="clear" w:color="auto" w:fill="auto"/>
              </w:rPr>
              <w:t>投标人若为浙江省外企业的，须提供《省外企业进浙承接业务备案证明》</w:t>
            </w:r>
            <w:r>
              <w:rPr>
                <w:b/>
                <w:bCs/>
                <w:color w:val="auto"/>
                <w:sz w:val="21"/>
                <w:highlight w:val="none"/>
                <w:shd w:val="clear" w:color="auto" w:fill="auto"/>
              </w:rPr>
              <w:t>复印件（盖单位公章）</w:t>
            </w:r>
            <w:r>
              <w:rPr>
                <w:color w:val="auto"/>
                <w:w w:val="99"/>
                <w:sz w:val="22"/>
                <w:szCs w:val="24"/>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7" w:hRule="atLeast"/>
        </w:trPr>
        <w:tc>
          <w:tcPr>
            <w:tcW w:w="683" w:type="dxa"/>
          </w:tcPr>
          <w:p>
            <w:pPr>
              <w:pStyle w:val="12"/>
              <w:rPr>
                <w:rFonts w:ascii="Times New Roman"/>
                <w:color w:val="auto"/>
                <w:sz w:val="20"/>
                <w:highlight w:val="none"/>
                <w:shd w:val="clear" w:color="auto" w:fill="auto"/>
              </w:rPr>
            </w:pPr>
          </w:p>
          <w:p>
            <w:pPr>
              <w:pStyle w:val="12"/>
              <w:rPr>
                <w:rFonts w:ascii="Times New Roman"/>
                <w:color w:val="auto"/>
                <w:sz w:val="25"/>
                <w:highlight w:val="none"/>
                <w:shd w:val="clear" w:color="auto" w:fill="auto"/>
              </w:rPr>
            </w:pPr>
          </w:p>
          <w:p>
            <w:pPr>
              <w:pStyle w:val="12"/>
              <w:ind w:left="7"/>
              <w:jc w:val="center"/>
              <w:rPr>
                <w:color w:val="auto"/>
                <w:sz w:val="21"/>
                <w:highlight w:val="none"/>
                <w:shd w:val="clear" w:color="auto" w:fill="auto"/>
              </w:rPr>
            </w:pPr>
            <w:r>
              <w:rPr>
                <w:color w:val="auto"/>
                <w:w w:val="99"/>
                <w:sz w:val="21"/>
                <w:highlight w:val="none"/>
                <w:shd w:val="clear" w:color="auto" w:fill="auto"/>
              </w:rPr>
              <w:t>9</w:t>
            </w:r>
          </w:p>
        </w:tc>
        <w:tc>
          <w:tcPr>
            <w:tcW w:w="2295" w:type="dxa"/>
          </w:tcPr>
          <w:p>
            <w:pPr>
              <w:pStyle w:val="12"/>
              <w:rPr>
                <w:rFonts w:ascii="Times New Roman"/>
                <w:color w:val="auto"/>
                <w:sz w:val="20"/>
                <w:highlight w:val="none"/>
                <w:shd w:val="clear" w:color="auto" w:fill="auto"/>
              </w:rPr>
            </w:pPr>
          </w:p>
          <w:p>
            <w:pPr>
              <w:pStyle w:val="12"/>
              <w:rPr>
                <w:rFonts w:ascii="Times New Roman"/>
                <w:color w:val="auto"/>
                <w:sz w:val="25"/>
                <w:highlight w:val="none"/>
                <w:shd w:val="clear" w:color="auto" w:fill="auto"/>
              </w:rPr>
            </w:pPr>
          </w:p>
          <w:p>
            <w:pPr>
              <w:pStyle w:val="12"/>
              <w:ind w:left="179" w:right="173"/>
              <w:jc w:val="center"/>
              <w:rPr>
                <w:color w:val="auto"/>
                <w:sz w:val="21"/>
                <w:highlight w:val="none"/>
                <w:shd w:val="clear" w:color="auto" w:fill="auto"/>
              </w:rPr>
            </w:pPr>
            <w:r>
              <w:rPr>
                <w:color w:val="auto"/>
                <w:sz w:val="21"/>
                <w:highlight w:val="none"/>
                <w:shd w:val="clear" w:color="auto" w:fill="auto"/>
              </w:rPr>
              <w:t>投标文件格式</w:t>
            </w:r>
          </w:p>
        </w:tc>
        <w:tc>
          <w:tcPr>
            <w:tcW w:w="6897" w:type="dxa"/>
          </w:tcPr>
          <w:p>
            <w:pPr>
              <w:pStyle w:val="12"/>
              <w:spacing w:before="2" w:line="288" w:lineRule="auto"/>
              <w:ind w:left="108" w:right="299"/>
              <w:rPr>
                <w:color w:val="auto"/>
                <w:sz w:val="21"/>
                <w:highlight w:val="none"/>
                <w:shd w:val="clear" w:color="auto" w:fill="auto"/>
              </w:rPr>
            </w:pPr>
            <w:r>
              <w:rPr>
                <w:color w:val="auto"/>
                <w:sz w:val="21"/>
                <w:highlight w:val="none"/>
                <w:shd w:val="clear" w:color="auto" w:fill="auto"/>
              </w:rPr>
              <w:t>1、投标人应使用招标文件中提供的附件格式。表格如不够用时，可以按同样格式扩展。</w:t>
            </w:r>
          </w:p>
          <w:p>
            <w:pPr>
              <w:pStyle w:val="12"/>
              <w:spacing w:before="7"/>
              <w:ind w:left="108"/>
              <w:rPr>
                <w:color w:val="auto"/>
                <w:sz w:val="21"/>
                <w:highlight w:val="none"/>
                <w:shd w:val="clear" w:color="auto" w:fill="auto"/>
              </w:rPr>
            </w:pPr>
            <w:r>
              <w:rPr>
                <w:color w:val="auto"/>
                <w:sz w:val="21"/>
                <w:highlight w:val="none"/>
                <w:shd w:val="clear" w:color="auto" w:fill="auto"/>
              </w:rPr>
              <w:t>2、投标人投标文件所用的纸张建议采用 A4 型纸，图表可根据需要作适</w:t>
            </w:r>
          </w:p>
          <w:p>
            <w:pPr>
              <w:pStyle w:val="12"/>
              <w:spacing w:before="57"/>
              <w:ind w:left="108"/>
              <w:rPr>
                <w:color w:val="auto"/>
                <w:sz w:val="21"/>
                <w:highlight w:val="none"/>
                <w:shd w:val="clear" w:color="auto" w:fill="auto"/>
              </w:rPr>
            </w:pPr>
            <w:r>
              <w:rPr>
                <w:color w:val="auto"/>
                <w:sz w:val="21"/>
                <w:highlight w:val="none"/>
                <w:shd w:val="clear" w:color="auto" w:fill="auto"/>
              </w:rPr>
              <w:t>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83" w:type="dxa"/>
          </w:tcPr>
          <w:p>
            <w:pPr>
              <w:pStyle w:val="12"/>
              <w:spacing w:before="6"/>
              <w:rPr>
                <w:rFonts w:ascii="Times New Roman"/>
                <w:color w:val="auto"/>
                <w:sz w:val="18"/>
                <w:highlight w:val="none"/>
                <w:shd w:val="clear" w:color="auto" w:fill="auto"/>
              </w:rPr>
            </w:pPr>
          </w:p>
          <w:p>
            <w:pPr>
              <w:pStyle w:val="12"/>
              <w:spacing w:before="1"/>
              <w:ind w:left="108" w:right="101"/>
              <w:jc w:val="center"/>
              <w:rPr>
                <w:color w:val="auto"/>
                <w:sz w:val="21"/>
                <w:highlight w:val="none"/>
                <w:shd w:val="clear" w:color="auto" w:fill="auto"/>
              </w:rPr>
            </w:pPr>
            <w:r>
              <w:rPr>
                <w:color w:val="auto"/>
                <w:sz w:val="21"/>
                <w:highlight w:val="none"/>
                <w:shd w:val="clear" w:color="auto" w:fill="auto"/>
              </w:rPr>
              <w:t>10</w:t>
            </w:r>
          </w:p>
        </w:tc>
        <w:tc>
          <w:tcPr>
            <w:tcW w:w="2295" w:type="dxa"/>
          </w:tcPr>
          <w:p>
            <w:pPr>
              <w:pStyle w:val="12"/>
              <w:spacing w:before="6"/>
              <w:rPr>
                <w:rFonts w:ascii="Times New Roman"/>
                <w:color w:val="auto"/>
                <w:sz w:val="18"/>
                <w:highlight w:val="none"/>
                <w:shd w:val="clear" w:color="auto" w:fill="auto"/>
              </w:rPr>
            </w:pPr>
          </w:p>
          <w:p>
            <w:pPr>
              <w:pStyle w:val="12"/>
              <w:spacing w:before="1"/>
              <w:ind w:left="179" w:right="173"/>
              <w:jc w:val="center"/>
              <w:rPr>
                <w:color w:val="auto"/>
                <w:sz w:val="21"/>
                <w:highlight w:val="none"/>
                <w:shd w:val="clear" w:color="auto" w:fill="auto"/>
              </w:rPr>
            </w:pPr>
            <w:r>
              <w:rPr>
                <w:color w:val="auto"/>
                <w:sz w:val="21"/>
                <w:highlight w:val="none"/>
                <w:shd w:val="clear" w:color="auto" w:fill="auto"/>
              </w:rPr>
              <w:t>投标担保要求</w:t>
            </w:r>
          </w:p>
        </w:tc>
        <w:tc>
          <w:tcPr>
            <w:tcW w:w="6897" w:type="dxa"/>
          </w:tcPr>
          <w:p>
            <w:pPr>
              <w:pStyle w:val="12"/>
              <w:spacing w:before="77"/>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1</w:t>
            </w:r>
            <w:r>
              <w:rPr>
                <w:rFonts w:hint="eastAsia" w:ascii="黑体" w:eastAsia="黑体"/>
                <w:b/>
                <w:color w:val="auto"/>
                <w:sz w:val="21"/>
                <w:highlight w:val="none"/>
                <w:shd w:val="clear" w:color="auto" w:fill="auto"/>
              </w:rPr>
              <w:t>、担保金额：</w:t>
            </w:r>
            <w:r>
              <w:rPr>
                <w:rFonts w:ascii="Times New Roman" w:eastAsia="Times New Roman"/>
                <w:b/>
                <w:color w:val="auto"/>
                <w:sz w:val="21"/>
                <w:highlight w:val="none"/>
                <w:shd w:val="clear" w:color="auto" w:fill="auto"/>
              </w:rPr>
              <w:t xml:space="preserve">1 </w:t>
            </w:r>
            <w:r>
              <w:rPr>
                <w:rFonts w:hint="eastAsia" w:ascii="黑体" w:eastAsia="黑体"/>
                <w:b/>
                <w:color w:val="auto"/>
                <w:sz w:val="21"/>
                <w:highlight w:val="none"/>
                <w:shd w:val="clear" w:color="auto" w:fill="auto"/>
              </w:rPr>
              <w:t>万元。</w:t>
            </w:r>
          </w:p>
          <w:p>
            <w:pPr>
              <w:pStyle w:val="12"/>
              <w:spacing w:before="4"/>
              <w:ind w:left="422"/>
              <w:rPr>
                <w:rFonts w:hint="eastAsia" w:ascii="黑体" w:eastAsia="黑体"/>
                <w:b/>
                <w:color w:val="auto"/>
                <w:sz w:val="21"/>
                <w:highlight w:val="none"/>
                <w:shd w:val="clear" w:color="auto" w:fill="auto"/>
              </w:rPr>
            </w:pPr>
            <w:r>
              <w:rPr>
                <w:rFonts w:ascii="Times New Roman" w:eastAsia="Times New Roman"/>
                <w:b/>
                <w:color w:val="auto"/>
                <w:sz w:val="21"/>
                <w:highlight w:val="none"/>
                <w:shd w:val="clear" w:color="auto" w:fill="auto"/>
              </w:rPr>
              <w:t>2</w:t>
            </w:r>
            <w:r>
              <w:rPr>
                <w:rFonts w:hint="eastAsia" w:ascii="黑体" w:eastAsia="黑体"/>
                <w:b/>
                <w:color w:val="auto"/>
                <w:sz w:val="21"/>
                <w:highlight w:val="none"/>
                <w:shd w:val="clear" w:color="auto" w:fill="auto"/>
              </w:rPr>
              <w:t>、担保形式：现金当场提交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683" w:type="dxa"/>
          </w:tcPr>
          <w:p>
            <w:pPr>
              <w:pStyle w:val="12"/>
              <w:spacing w:before="142"/>
              <w:ind w:left="108" w:right="101"/>
              <w:jc w:val="center"/>
              <w:rPr>
                <w:color w:val="auto"/>
                <w:sz w:val="21"/>
                <w:highlight w:val="none"/>
                <w:shd w:val="clear" w:color="auto" w:fill="auto"/>
              </w:rPr>
            </w:pPr>
            <w:r>
              <w:rPr>
                <w:color w:val="auto"/>
                <w:sz w:val="21"/>
                <w:highlight w:val="none"/>
                <w:shd w:val="clear" w:color="auto" w:fill="auto"/>
              </w:rPr>
              <w:t>11</w:t>
            </w:r>
          </w:p>
        </w:tc>
        <w:tc>
          <w:tcPr>
            <w:tcW w:w="2295" w:type="dxa"/>
          </w:tcPr>
          <w:p>
            <w:pPr>
              <w:pStyle w:val="12"/>
              <w:spacing w:before="142"/>
              <w:ind w:left="177" w:right="173"/>
              <w:jc w:val="center"/>
              <w:rPr>
                <w:color w:val="auto"/>
                <w:sz w:val="21"/>
                <w:highlight w:val="none"/>
                <w:shd w:val="clear" w:color="auto" w:fill="auto"/>
              </w:rPr>
            </w:pPr>
            <w:r>
              <w:rPr>
                <w:color w:val="auto"/>
                <w:sz w:val="21"/>
                <w:highlight w:val="none"/>
                <w:shd w:val="clear" w:color="auto" w:fill="auto"/>
              </w:rPr>
              <w:t>有效投标报价范围</w:t>
            </w:r>
          </w:p>
        </w:tc>
        <w:tc>
          <w:tcPr>
            <w:tcW w:w="6897" w:type="dxa"/>
          </w:tcPr>
          <w:p>
            <w:pPr>
              <w:pStyle w:val="12"/>
              <w:spacing w:before="142"/>
              <w:ind w:left="108"/>
              <w:rPr>
                <w:b/>
                <w:color w:val="auto"/>
                <w:sz w:val="21"/>
                <w:highlight w:val="none"/>
                <w:shd w:val="clear" w:color="auto" w:fill="auto"/>
              </w:rPr>
            </w:pPr>
            <w:r>
              <w:rPr>
                <w:b/>
                <w:color w:val="auto"/>
                <w:sz w:val="21"/>
                <w:highlight w:val="none"/>
                <w:shd w:val="clear" w:color="auto" w:fill="auto"/>
              </w:rPr>
              <w:t>上限价为</w:t>
            </w:r>
            <w:r>
              <w:rPr>
                <w:rFonts w:hint="eastAsia"/>
                <w:b/>
                <w:color w:val="auto"/>
                <w:sz w:val="21"/>
                <w:highlight w:val="none"/>
                <w:shd w:val="clear" w:color="auto" w:fill="auto"/>
                <w:lang w:val="en-US" w:eastAsia="zh-CN"/>
              </w:rPr>
              <w:t>150000元</w:t>
            </w:r>
            <w:r>
              <w:rPr>
                <w:b/>
                <w:color w:val="auto"/>
                <w:sz w:val="21"/>
                <w:highlight w:val="none"/>
                <w:shd w:val="clear" w:color="auto" w:fill="auto"/>
              </w:rPr>
              <w:t>，超过上限价作</w:t>
            </w:r>
            <w:r>
              <w:rPr>
                <w:rFonts w:hint="eastAsia"/>
                <w:b/>
                <w:color w:val="auto"/>
                <w:sz w:val="21"/>
                <w:highlight w:val="none"/>
                <w:shd w:val="clear" w:color="auto" w:fill="auto"/>
                <w:lang w:eastAsia="zh-CN"/>
              </w:rPr>
              <w:t>投标无效</w:t>
            </w:r>
            <w:r>
              <w:rPr>
                <w:b/>
                <w:color w:val="auto"/>
                <w:sz w:val="21"/>
                <w:highlight w:val="none"/>
                <w:shd w:val="clear" w:color="auto" w:fil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5" w:hRule="atLeast"/>
        </w:trPr>
        <w:tc>
          <w:tcPr>
            <w:tcW w:w="683" w:type="dxa"/>
          </w:tcPr>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spacing w:before="4"/>
              <w:rPr>
                <w:rFonts w:ascii="Times New Roman"/>
                <w:color w:val="auto"/>
                <w:sz w:val="24"/>
                <w:highlight w:val="none"/>
                <w:shd w:val="clear" w:color="auto" w:fill="auto"/>
              </w:rPr>
            </w:pPr>
          </w:p>
          <w:p>
            <w:pPr>
              <w:pStyle w:val="12"/>
              <w:spacing w:before="1"/>
              <w:ind w:left="108" w:right="101"/>
              <w:jc w:val="center"/>
              <w:rPr>
                <w:color w:val="auto"/>
                <w:sz w:val="21"/>
                <w:highlight w:val="none"/>
                <w:shd w:val="clear" w:color="auto" w:fill="auto"/>
              </w:rPr>
            </w:pPr>
            <w:r>
              <w:rPr>
                <w:color w:val="auto"/>
                <w:sz w:val="21"/>
                <w:highlight w:val="none"/>
                <w:shd w:val="clear" w:color="auto" w:fill="auto"/>
              </w:rPr>
              <w:t>12</w:t>
            </w:r>
          </w:p>
        </w:tc>
        <w:tc>
          <w:tcPr>
            <w:tcW w:w="2295" w:type="dxa"/>
          </w:tcPr>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rPr>
                <w:rFonts w:ascii="Times New Roman"/>
                <w:color w:val="auto"/>
                <w:sz w:val="20"/>
                <w:highlight w:val="none"/>
                <w:shd w:val="clear" w:color="auto" w:fill="auto"/>
              </w:rPr>
            </w:pPr>
          </w:p>
          <w:p>
            <w:pPr>
              <w:pStyle w:val="12"/>
              <w:spacing w:before="4"/>
              <w:rPr>
                <w:rFonts w:ascii="Times New Roman"/>
                <w:color w:val="auto"/>
                <w:sz w:val="24"/>
                <w:highlight w:val="none"/>
                <w:shd w:val="clear" w:color="auto" w:fill="auto"/>
              </w:rPr>
            </w:pPr>
          </w:p>
          <w:p>
            <w:pPr>
              <w:pStyle w:val="12"/>
              <w:spacing w:before="1"/>
              <w:ind w:left="177" w:right="173"/>
              <w:jc w:val="center"/>
              <w:rPr>
                <w:color w:val="auto"/>
                <w:sz w:val="21"/>
                <w:highlight w:val="none"/>
                <w:shd w:val="clear" w:color="auto" w:fill="auto"/>
              </w:rPr>
            </w:pPr>
            <w:r>
              <w:rPr>
                <w:color w:val="auto"/>
                <w:sz w:val="21"/>
                <w:highlight w:val="none"/>
                <w:shd w:val="clear" w:color="auto" w:fill="auto"/>
              </w:rPr>
              <w:t>监理机构组成要求</w:t>
            </w:r>
          </w:p>
        </w:tc>
        <w:tc>
          <w:tcPr>
            <w:tcW w:w="6897" w:type="dxa"/>
          </w:tcPr>
          <w:p>
            <w:pPr>
              <w:pStyle w:val="12"/>
              <w:ind w:left="108"/>
              <w:rPr>
                <w:color w:val="auto"/>
                <w:sz w:val="21"/>
                <w:highlight w:val="none"/>
                <w:shd w:val="clear" w:color="auto" w:fill="auto"/>
              </w:rPr>
            </w:pPr>
            <w:r>
              <w:rPr>
                <w:color w:val="auto"/>
                <w:sz w:val="21"/>
                <w:highlight w:val="none"/>
                <w:shd w:val="clear" w:color="auto" w:fill="auto"/>
              </w:rPr>
              <w:t>监理机构组成要求：</w:t>
            </w:r>
          </w:p>
          <w:p>
            <w:pPr>
              <w:pStyle w:val="12"/>
              <w:spacing w:before="57" w:line="292" w:lineRule="auto"/>
              <w:ind w:left="108" w:right="97"/>
              <w:rPr>
                <w:color w:val="auto"/>
                <w:sz w:val="21"/>
                <w:highlight w:val="none"/>
                <w:shd w:val="clear" w:color="auto" w:fill="auto"/>
              </w:rPr>
            </w:pPr>
            <w:r>
              <w:rPr>
                <w:color w:val="auto"/>
                <w:sz w:val="21"/>
                <w:highlight w:val="none"/>
                <w:shd w:val="clear" w:color="auto" w:fill="auto"/>
              </w:rPr>
              <w:t>1</w:t>
            </w:r>
            <w:r>
              <w:rPr>
                <w:color w:val="auto"/>
                <w:spacing w:val="-6"/>
                <w:sz w:val="21"/>
                <w:highlight w:val="none"/>
                <w:shd w:val="clear" w:color="auto" w:fill="auto"/>
              </w:rPr>
              <w:t>、总监理工程师：</w:t>
            </w:r>
            <w:r>
              <w:rPr>
                <w:color w:val="auto"/>
                <w:spacing w:val="-11"/>
                <w:sz w:val="21"/>
                <w:highlight w:val="none"/>
                <w:shd w:val="clear" w:color="auto" w:fill="auto"/>
              </w:rPr>
              <w:t>1</w:t>
            </w:r>
            <w:r>
              <w:rPr>
                <w:color w:val="auto"/>
                <w:spacing w:val="-12"/>
                <w:sz w:val="21"/>
                <w:highlight w:val="none"/>
                <w:shd w:val="clear" w:color="auto" w:fill="auto"/>
              </w:rPr>
              <w:t xml:space="preserve"> 人，已取得《中华人民共和国注册监理工程师注册执业证书》的监理工程师（市政专业</w:t>
            </w:r>
            <w:r>
              <w:rPr>
                <w:color w:val="auto"/>
                <w:spacing w:val="-104"/>
                <w:sz w:val="21"/>
                <w:highlight w:val="none"/>
                <w:shd w:val="clear" w:color="auto" w:fill="auto"/>
              </w:rPr>
              <w:t>）</w:t>
            </w:r>
            <w:r>
              <w:rPr>
                <w:color w:val="auto"/>
                <w:sz w:val="21"/>
                <w:highlight w:val="none"/>
                <w:shd w:val="clear" w:color="auto" w:fill="auto"/>
              </w:rPr>
              <w:t>。</w:t>
            </w:r>
          </w:p>
          <w:p>
            <w:pPr>
              <w:pStyle w:val="12"/>
              <w:spacing w:line="290" w:lineRule="auto"/>
              <w:ind w:left="108" w:right="-15"/>
              <w:rPr>
                <w:color w:val="auto"/>
                <w:spacing w:val="-12"/>
                <w:sz w:val="21"/>
                <w:highlight w:val="none"/>
                <w:shd w:val="clear" w:color="auto" w:fill="auto"/>
              </w:rPr>
            </w:pPr>
            <w:r>
              <w:rPr>
                <w:color w:val="auto"/>
                <w:spacing w:val="-2"/>
                <w:w w:val="99"/>
                <w:sz w:val="21"/>
                <w:highlight w:val="none"/>
                <w:shd w:val="clear" w:color="auto" w:fill="auto"/>
              </w:rPr>
              <w:t>2、</w:t>
            </w:r>
            <w:r>
              <w:rPr>
                <w:color w:val="auto"/>
                <w:spacing w:val="-12"/>
                <w:sz w:val="21"/>
                <w:highlight w:val="none"/>
                <w:shd w:val="clear" w:color="auto" w:fill="auto"/>
              </w:rPr>
              <w:t>主导专业监理工程师（总监不得兼任）：至少 1 人。要求为已取得《中华人民共和国注册监理工程师注册职业证书》或《浙江省监理工程师证书》</w:t>
            </w:r>
          </w:p>
          <w:p>
            <w:pPr>
              <w:pStyle w:val="12"/>
              <w:ind w:left="108"/>
              <w:rPr>
                <w:color w:val="auto"/>
                <w:sz w:val="21"/>
                <w:highlight w:val="none"/>
                <w:shd w:val="clear" w:color="auto" w:fill="auto"/>
              </w:rPr>
            </w:pPr>
            <w:r>
              <w:rPr>
                <w:color w:val="auto"/>
                <w:sz w:val="21"/>
                <w:highlight w:val="none"/>
                <w:shd w:val="clear" w:color="auto" w:fill="auto"/>
              </w:rPr>
              <w:t>（市政公用专业</w:t>
            </w:r>
            <w:r>
              <w:rPr>
                <w:color w:val="auto"/>
                <w:spacing w:val="-104"/>
                <w:sz w:val="21"/>
                <w:highlight w:val="none"/>
                <w:shd w:val="clear" w:color="auto" w:fill="auto"/>
              </w:rPr>
              <w:t>）</w:t>
            </w:r>
            <w:r>
              <w:rPr>
                <w:color w:val="auto"/>
                <w:sz w:val="21"/>
                <w:highlight w:val="none"/>
                <w:shd w:val="clear" w:color="auto" w:fill="auto"/>
              </w:rPr>
              <w:t>。</w:t>
            </w:r>
          </w:p>
          <w:p>
            <w:pPr>
              <w:pStyle w:val="12"/>
              <w:spacing w:before="58" w:line="290" w:lineRule="auto"/>
              <w:ind w:left="108" w:right="97"/>
              <w:rPr>
                <w:color w:val="auto"/>
                <w:sz w:val="21"/>
                <w:highlight w:val="none"/>
                <w:shd w:val="clear" w:color="auto" w:fill="auto"/>
              </w:rPr>
            </w:pPr>
            <w:r>
              <w:rPr>
                <w:color w:val="auto"/>
                <w:sz w:val="21"/>
                <w:highlight w:val="none"/>
                <w:shd w:val="clear" w:color="auto" w:fill="auto"/>
              </w:rPr>
              <w:t>3</w:t>
            </w:r>
            <w:r>
              <w:rPr>
                <w:color w:val="auto"/>
                <w:spacing w:val="-5"/>
                <w:sz w:val="21"/>
                <w:highlight w:val="none"/>
                <w:shd w:val="clear" w:color="auto" w:fill="auto"/>
              </w:rPr>
              <w:t xml:space="preserve">、监理员基本要求：至少 </w:t>
            </w:r>
            <w:r>
              <w:rPr>
                <w:rFonts w:hint="eastAsia"/>
                <w:color w:val="auto"/>
                <w:sz w:val="21"/>
                <w:highlight w:val="none"/>
                <w:shd w:val="clear" w:color="auto" w:fill="auto"/>
                <w:lang w:val="en-US" w:eastAsia="zh-CN"/>
              </w:rPr>
              <w:t>1</w:t>
            </w:r>
            <w:r>
              <w:rPr>
                <w:color w:val="auto"/>
                <w:spacing w:val="-6"/>
                <w:sz w:val="21"/>
                <w:highlight w:val="none"/>
                <w:shd w:val="clear" w:color="auto" w:fill="auto"/>
              </w:rPr>
              <w:t>人，持有监理员岗位证书</w:t>
            </w:r>
            <w:r>
              <w:rPr>
                <w:color w:val="auto"/>
                <w:sz w:val="21"/>
                <w:highlight w:val="none"/>
                <w:shd w:val="clear" w:color="auto" w:fill="auto"/>
              </w:rPr>
              <w:t>（</w:t>
            </w:r>
            <w:r>
              <w:rPr>
                <w:color w:val="auto"/>
                <w:spacing w:val="-10"/>
                <w:sz w:val="21"/>
                <w:highlight w:val="none"/>
                <w:shd w:val="clear" w:color="auto" w:fill="auto"/>
              </w:rPr>
              <w:t>须为市政监理员并兼负责安全监理工作</w:t>
            </w:r>
            <w:r>
              <w:rPr>
                <w:color w:val="auto"/>
                <w:spacing w:val="-104"/>
                <w:sz w:val="21"/>
                <w:highlight w:val="none"/>
                <w:shd w:val="clear" w:color="auto" w:fill="auto"/>
              </w:rPr>
              <w:t>）</w:t>
            </w:r>
            <w:r>
              <w:rPr>
                <w:color w:val="auto"/>
                <w:sz w:val="21"/>
                <w:highlight w:val="none"/>
                <w:shd w:val="clear" w:color="auto" w:fill="auto"/>
              </w:rPr>
              <w:t>。</w:t>
            </w:r>
          </w:p>
          <w:p>
            <w:pPr>
              <w:pStyle w:val="12"/>
              <w:spacing w:before="4"/>
              <w:ind w:left="108"/>
              <w:rPr>
                <w:color w:val="auto"/>
                <w:sz w:val="21"/>
                <w:highlight w:val="none"/>
                <w:shd w:val="clear" w:color="auto" w:fill="auto"/>
              </w:rPr>
            </w:pPr>
            <w:r>
              <w:rPr>
                <w:color w:val="auto"/>
                <w:spacing w:val="-2"/>
                <w:w w:val="99"/>
                <w:sz w:val="21"/>
                <w:highlight w:val="none"/>
                <w:shd w:val="clear" w:color="auto" w:fill="auto"/>
              </w:rPr>
              <w:t>4</w:t>
            </w:r>
            <w:r>
              <w:rPr>
                <w:color w:val="auto"/>
                <w:spacing w:val="-1"/>
                <w:w w:val="99"/>
                <w:sz w:val="21"/>
                <w:highlight w:val="none"/>
                <w:shd w:val="clear" w:color="auto" w:fill="auto"/>
              </w:rPr>
              <w:t>、</w:t>
            </w:r>
            <w:r>
              <w:rPr>
                <w:color w:val="auto"/>
                <w:spacing w:val="-12"/>
                <w:sz w:val="21"/>
                <w:highlight w:val="none"/>
                <w:shd w:val="clear" w:color="auto" w:fill="auto"/>
              </w:rPr>
              <w:t>造价人员：1 人（兼职），须持有《注册造价工程师证书》</w:t>
            </w:r>
            <w:r>
              <w:rPr>
                <w:color w:val="auto"/>
                <w:spacing w:val="-8"/>
                <w:w w:val="99"/>
                <w:sz w:val="21"/>
                <w:highlight w:val="none"/>
                <w:shd w:val="clear" w:color="auto" w:fill="auto"/>
              </w:rPr>
              <w:t>。</w:t>
            </w:r>
          </w:p>
          <w:p>
            <w:pPr>
              <w:pStyle w:val="12"/>
              <w:spacing w:before="6" w:line="320" w:lineRule="atLeast"/>
              <w:ind w:left="108" w:right="97"/>
              <w:rPr>
                <w:color w:val="auto"/>
                <w:sz w:val="21"/>
                <w:highlight w:val="none"/>
                <w:shd w:val="clear" w:color="auto" w:fill="auto"/>
              </w:rPr>
            </w:pPr>
            <w:r>
              <w:rPr>
                <w:color w:val="auto"/>
                <w:sz w:val="21"/>
                <w:highlight w:val="none"/>
                <w:shd w:val="clear" w:color="auto" w:fill="auto"/>
              </w:rPr>
              <w:t>5、监理机构组成应根据工程实际进展需要确保工程相应专业人员配套齐全、安排充足。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683" w:type="dxa"/>
          </w:tcPr>
          <w:p>
            <w:pPr>
              <w:pStyle w:val="12"/>
              <w:spacing w:before="122"/>
              <w:ind w:left="108" w:right="101"/>
              <w:jc w:val="center"/>
              <w:rPr>
                <w:color w:val="auto"/>
                <w:sz w:val="21"/>
                <w:highlight w:val="none"/>
                <w:shd w:val="clear" w:color="auto" w:fill="auto"/>
              </w:rPr>
            </w:pPr>
            <w:r>
              <w:rPr>
                <w:color w:val="auto"/>
                <w:sz w:val="21"/>
                <w:highlight w:val="none"/>
                <w:shd w:val="clear" w:color="auto" w:fill="auto"/>
              </w:rPr>
              <w:t>13</w:t>
            </w:r>
          </w:p>
        </w:tc>
        <w:tc>
          <w:tcPr>
            <w:tcW w:w="2295" w:type="dxa"/>
          </w:tcPr>
          <w:p>
            <w:pPr>
              <w:pStyle w:val="12"/>
              <w:spacing w:before="122"/>
              <w:ind w:left="182" w:right="173"/>
              <w:jc w:val="center"/>
              <w:rPr>
                <w:color w:val="auto"/>
                <w:sz w:val="21"/>
                <w:highlight w:val="none"/>
                <w:shd w:val="clear" w:color="auto" w:fill="auto"/>
              </w:rPr>
            </w:pPr>
            <w:r>
              <w:rPr>
                <w:color w:val="auto"/>
                <w:sz w:val="21"/>
                <w:highlight w:val="none"/>
                <w:shd w:val="clear" w:color="auto" w:fill="auto"/>
              </w:rPr>
              <w:t>投标有效期</w:t>
            </w:r>
          </w:p>
        </w:tc>
        <w:tc>
          <w:tcPr>
            <w:tcW w:w="6897" w:type="dxa"/>
          </w:tcPr>
          <w:p>
            <w:pPr>
              <w:pStyle w:val="12"/>
              <w:spacing w:before="122"/>
              <w:ind w:left="108"/>
              <w:rPr>
                <w:color w:val="auto"/>
                <w:sz w:val="21"/>
                <w:highlight w:val="none"/>
                <w:shd w:val="clear" w:color="auto" w:fill="auto"/>
              </w:rPr>
            </w:pPr>
            <w:r>
              <w:rPr>
                <w:color w:val="auto"/>
                <w:sz w:val="21"/>
                <w:highlight w:val="none"/>
                <w:shd w:val="clear" w:color="auto" w:fill="auto"/>
              </w:rPr>
              <w:t>90 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683" w:type="dxa"/>
          </w:tcPr>
          <w:p>
            <w:pPr>
              <w:pStyle w:val="12"/>
              <w:spacing w:before="97"/>
              <w:ind w:left="108" w:right="101"/>
              <w:jc w:val="center"/>
              <w:rPr>
                <w:color w:val="auto"/>
                <w:sz w:val="21"/>
                <w:highlight w:val="none"/>
                <w:shd w:val="clear" w:color="auto" w:fill="auto"/>
              </w:rPr>
            </w:pPr>
            <w:r>
              <w:rPr>
                <w:color w:val="auto"/>
                <w:sz w:val="21"/>
                <w:highlight w:val="none"/>
                <w:shd w:val="clear" w:color="auto" w:fill="auto"/>
              </w:rPr>
              <w:t>14</w:t>
            </w:r>
          </w:p>
        </w:tc>
        <w:tc>
          <w:tcPr>
            <w:tcW w:w="2295" w:type="dxa"/>
          </w:tcPr>
          <w:p>
            <w:pPr>
              <w:pStyle w:val="12"/>
              <w:spacing w:before="97"/>
              <w:ind w:left="179" w:right="173"/>
              <w:jc w:val="center"/>
              <w:rPr>
                <w:color w:val="auto"/>
                <w:sz w:val="21"/>
                <w:highlight w:val="none"/>
                <w:shd w:val="clear" w:color="auto" w:fill="auto"/>
              </w:rPr>
            </w:pPr>
            <w:r>
              <w:rPr>
                <w:color w:val="auto"/>
                <w:sz w:val="21"/>
                <w:highlight w:val="none"/>
                <w:shd w:val="clear" w:color="auto" w:fill="auto"/>
              </w:rPr>
              <w:t>投标文件的份数</w:t>
            </w:r>
          </w:p>
        </w:tc>
        <w:tc>
          <w:tcPr>
            <w:tcW w:w="6897" w:type="dxa"/>
          </w:tcPr>
          <w:p>
            <w:pPr>
              <w:pStyle w:val="12"/>
              <w:spacing w:before="97"/>
              <w:ind w:left="108"/>
              <w:rPr>
                <w:b/>
                <w:color w:val="auto"/>
                <w:sz w:val="21"/>
                <w:highlight w:val="none"/>
                <w:shd w:val="clear" w:color="auto" w:fill="auto"/>
              </w:rPr>
            </w:pPr>
            <w:r>
              <w:rPr>
                <w:b/>
                <w:color w:val="auto"/>
                <w:sz w:val="21"/>
                <w:highlight w:val="none"/>
                <w:shd w:val="clear" w:color="auto" w:fill="auto"/>
              </w:rPr>
              <w:t>正本一份、副本四份。（原件仅提供一份）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683" w:type="dxa"/>
          </w:tcPr>
          <w:p>
            <w:pPr>
              <w:pStyle w:val="12"/>
              <w:spacing w:before="169"/>
              <w:ind w:left="108" w:right="101"/>
              <w:jc w:val="center"/>
              <w:rPr>
                <w:color w:val="auto"/>
                <w:sz w:val="21"/>
                <w:highlight w:val="none"/>
                <w:shd w:val="clear" w:color="auto" w:fill="auto"/>
              </w:rPr>
            </w:pPr>
            <w:r>
              <w:rPr>
                <w:color w:val="auto"/>
                <w:sz w:val="21"/>
                <w:highlight w:val="none"/>
                <w:shd w:val="clear" w:color="auto" w:fill="auto"/>
              </w:rPr>
              <w:t>15</w:t>
            </w:r>
          </w:p>
        </w:tc>
        <w:tc>
          <w:tcPr>
            <w:tcW w:w="2295" w:type="dxa"/>
          </w:tcPr>
          <w:p>
            <w:pPr>
              <w:pStyle w:val="12"/>
              <w:spacing w:before="169"/>
              <w:ind w:left="182" w:right="173"/>
              <w:jc w:val="center"/>
              <w:rPr>
                <w:color w:val="auto"/>
                <w:sz w:val="21"/>
                <w:highlight w:val="none"/>
                <w:shd w:val="clear" w:color="auto" w:fill="auto"/>
              </w:rPr>
            </w:pPr>
            <w:r>
              <w:rPr>
                <w:color w:val="auto"/>
                <w:sz w:val="21"/>
                <w:highlight w:val="none"/>
                <w:shd w:val="clear" w:color="auto" w:fill="auto"/>
              </w:rPr>
              <w:t>投标文件密封及装订</w:t>
            </w:r>
          </w:p>
        </w:tc>
        <w:tc>
          <w:tcPr>
            <w:tcW w:w="6897" w:type="dxa"/>
          </w:tcPr>
          <w:p>
            <w:pPr>
              <w:pStyle w:val="12"/>
              <w:spacing w:before="169"/>
              <w:ind w:left="108"/>
              <w:rPr>
                <w:color w:val="auto"/>
                <w:sz w:val="21"/>
                <w:highlight w:val="none"/>
                <w:shd w:val="clear" w:color="auto" w:fill="auto"/>
              </w:rPr>
            </w:pPr>
            <w:r>
              <w:rPr>
                <w:color w:val="auto"/>
                <w:sz w:val="21"/>
                <w:highlight w:val="none"/>
                <w:shd w:val="clear" w:color="auto" w:fill="auto"/>
              </w:rPr>
              <w:t>投标文件的商务标必须采取单独密封（原件可不密封</w:t>
            </w:r>
            <w:r>
              <w:rPr>
                <w:color w:val="auto"/>
                <w:spacing w:val="-104"/>
                <w:sz w:val="21"/>
                <w:highlight w:val="none"/>
                <w:shd w:val="clear" w:color="auto" w:fill="auto"/>
              </w:rPr>
              <w:t>）</w:t>
            </w:r>
            <w:r>
              <w:rPr>
                <w:color w:val="auto"/>
                <w:sz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683" w:type="dxa"/>
          </w:tcPr>
          <w:p>
            <w:pPr>
              <w:pStyle w:val="12"/>
              <w:spacing w:before="10"/>
              <w:rPr>
                <w:rFonts w:ascii="Times New Roman"/>
                <w:color w:val="auto"/>
                <w:sz w:val="19"/>
                <w:highlight w:val="none"/>
                <w:shd w:val="clear" w:color="auto" w:fill="auto"/>
              </w:rPr>
            </w:pPr>
          </w:p>
          <w:p>
            <w:pPr>
              <w:pStyle w:val="12"/>
              <w:ind w:left="108" w:right="101"/>
              <w:jc w:val="center"/>
              <w:rPr>
                <w:color w:val="auto"/>
                <w:sz w:val="21"/>
                <w:highlight w:val="none"/>
                <w:shd w:val="clear" w:color="auto" w:fill="auto"/>
              </w:rPr>
            </w:pPr>
            <w:r>
              <w:rPr>
                <w:color w:val="auto"/>
                <w:sz w:val="21"/>
                <w:highlight w:val="none"/>
                <w:shd w:val="clear" w:color="auto" w:fill="auto"/>
              </w:rPr>
              <w:t>16</w:t>
            </w:r>
          </w:p>
        </w:tc>
        <w:tc>
          <w:tcPr>
            <w:tcW w:w="2295" w:type="dxa"/>
          </w:tcPr>
          <w:p>
            <w:pPr>
              <w:pStyle w:val="12"/>
              <w:spacing w:before="92" w:line="242" w:lineRule="auto"/>
              <w:ind w:left="725" w:right="191" w:hanging="524"/>
              <w:rPr>
                <w:color w:val="auto"/>
                <w:sz w:val="21"/>
                <w:highlight w:val="none"/>
                <w:shd w:val="clear" w:color="auto" w:fill="auto"/>
              </w:rPr>
            </w:pPr>
            <w:r>
              <w:rPr>
                <w:color w:val="auto"/>
                <w:sz w:val="21"/>
                <w:highlight w:val="none"/>
                <w:shd w:val="clear" w:color="auto" w:fill="auto"/>
              </w:rPr>
              <w:t>投标文件提交地点与开标地点</w:t>
            </w:r>
          </w:p>
        </w:tc>
        <w:tc>
          <w:tcPr>
            <w:tcW w:w="6897" w:type="dxa"/>
          </w:tcPr>
          <w:p>
            <w:pPr>
              <w:pStyle w:val="12"/>
              <w:spacing w:before="10"/>
              <w:rPr>
                <w:rFonts w:ascii="Times New Roman"/>
                <w:color w:val="auto"/>
                <w:sz w:val="19"/>
                <w:highlight w:val="none"/>
                <w:shd w:val="clear" w:color="auto" w:fill="auto"/>
              </w:rPr>
            </w:pPr>
          </w:p>
          <w:p>
            <w:pPr>
              <w:pStyle w:val="12"/>
              <w:ind w:left="108"/>
              <w:rPr>
                <w:color w:val="auto"/>
                <w:sz w:val="21"/>
                <w:highlight w:val="none"/>
                <w:shd w:val="clear" w:color="auto" w:fill="auto"/>
              </w:rPr>
            </w:pPr>
            <w:r>
              <w:rPr>
                <w:rFonts w:hint="eastAsia"/>
                <w:color w:val="auto"/>
                <w:sz w:val="21"/>
                <w:highlight w:val="none"/>
                <w:shd w:val="clear" w:color="auto" w:fill="auto"/>
                <w:lang w:eastAsia="zh-CN"/>
              </w:rPr>
              <w:t>玉环经济开发区办公大楼B108室</w:t>
            </w:r>
            <w:r>
              <w:rPr>
                <w:color w:val="auto"/>
                <w:sz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683" w:type="dxa"/>
          </w:tcPr>
          <w:p>
            <w:pPr>
              <w:pStyle w:val="12"/>
              <w:spacing w:before="161"/>
              <w:ind w:left="108" w:right="101"/>
              <w:jc w:val="center"/>
              <w:rPr>
                <w:color w:val="auto"/>
                <w:sz w:val="21"/>
                <w:highlight w:val="none"/>
                <w:shd w:val="clear" w:color="auto" w:fill="auto"/>
              </w:rPr>
            </w:pPr>
            <w:r>
              <w:rPr>
                <w:color w:val="auto"/>
                <w:sz w:val="21"/>
                <w:highlight w:val="none"/>
                <w:shd w:val="clear" w:color="auto" w:fill="auto"/>
              </w:rPr>
              <w:t>17</w:t>
            </w:r>
          </w:p>
        </w:tc>
        <w:tc>
          <w:tcPr>
            <w:tcW w:w="2295" w:type="dxa"/>
          </w:tcPr>
          <w:p>
            <w:pPr>
              <w:pStyle w:val="12"/>
              <w:spacing w:before="23" w:line="270" w:lineRule="atLeast"/>
              <w:ind w:left="516" w:right="191" w:hanging="315"/>
              <w:rPr>
                <w:color w:val="auto"/>
                <w:sz w:val="21"/>
                <w:highlight w:val="none"/>
                <w:shd w:val="clear" w:color="auto" w:fill="auto"/>
              </w:rPr>
            </w:pPr>
            <w:r>
              <w:rPr>
                <w:color w:val="auto"/>
                <w:sz w:val="21"/>
                <w:highlight w:val="none"/>
                <w:shd w:val="clear" w:color="auto" w:fill="auto"/>
              </w:rPr>
              <w:t>投标文件提交截止时间与开标时间</w:t>
            </w:r>
          </w:p>
        </w:tc>
        <w:tc>
          <w:tcPr>
            <w:tcW w:w="6897" w:type="dxa"/>
          </w:tcPr>
          <w:p>
            <w:pPr>
              <w:pStyle w:val="12"/>
              <w:spacing w:before="161"/>
              <w:ind w:left="108"/>
              <w:rPr>
                <w:b/>
                <w:color w:val="auto"/>
                <w:sz w:val="21"/>
                <w:highlight w:val="none"/>
                <w:shd w:val="clear" w:color="auto" w:fill="auto"/>
              </w:rPr>
            </w:pPr>
            <w:r>
              <w:rPr>
                <w:b/>
                <w:color w:val="auto"/>
                <w:sz w:val="21"/>
                <w:highlight w:val="none"/>
                <w:shd w:val="clear" w:color="auto" w:fill="auto"/>
              </w:rPr>
              <w:t>详见招标公告</w:t>
            </w:r>
          </w:p>
        </w:tc>
      </w:tr>
    </w:tbl>
    <w:p>
      <w:pPr>
        <w:spacing w:after="0"/>
        <w:rPr>
          <w:color w:val="auto"/>
          <w:sz w:val="21"/>
          <w:highlight w:val="none"/>
        </w:rPr>
        <w:sectPr>
          <w:pgSz w:w="11910" w:h="16840"/>
          <w:pgMar w:top="1080" w:right="520" w:bottom="960" w:left="920" w:header="891" w:footer="776" w:gutter="0"/>
        </w:sectPr>
      </w:pPr>
    </w:p>
    <w:p>
      <w:pPr>
        <w:pStyle w:val="5"/>
        <w:spacing w:before="5"/>
        <w:rPr>
          <w:rFonts w:ascii="Times New Roman"/>
          <w:color w:val="auto"/>
          <w:sz w:val="18"/>
          <w:highlight w:val="none"/>
        </w:rPr>
      </w:pPr>
    </w:p>
    <w:tbl>
      <w:tblPr>
        <w:tblStyle w:val="9"/>
        <w:tblW w:w="987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2295"/>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683" w:type="dxa"/>
          </w:tcPr>
          <w:p>
            <w:pPr>
              <w:pStyle w:val="12"/>
              <w:rPr>
                <w:rFonts w:ascii="Times New Roman"/>
                <w:color w:val="auto"/>
                <w:sz w:val="20"/>
                <w:highlight w:val="none"/>
              </w:rPr>
            </w:pPr>
          </w:p>
          <w:p>
            <w:pPr>
              <w:pStyle w:val="12"/>
              <w:rPr>
                <w:rFonts w:ascii="Times New Roman"/>
                <w:color w:val="auto"/>
                <w:sz w:val="20"/>
                <w:highlight w:val="none"/>
              </w:rPr>
            </w:pPr>
          </w:p>
          <w:p>
            <w:pPr>
              <w:pStyle w:val="12"/>
              <w:rPr>
                <w:rFonts w:ascii="Times New Roman"/>
                <w:color w:val="auto"/>
                <w:sz w:val="20"/>
                <w:highlight w:val="none"/>
              </w:rPr>
            </w:pPr>
          </w:p>
          <w:p>
            <w:pPr>
              <w:pStyle w:val="12"/>
              <w:spacing w:before="153"/>
              <w:ind w:left="108" w:right="101"/>
              <w:jc w:val="center"/>
              <w:rPr>
                <w:color w:val="auto"/>
                <w:sz w:val="21"/>
                <w:highlight w:val="none"/>
              </w:rPr>
            </w:pPr>
            <w:r>
              <w:rPr>
                <w:color w:val="auto"/>
                <w:sz w:val="21"/>
                <w:highlight w:val="none"/>
              </w:rPr>
              <w:t>18</w:t>
            </w:r>
          </w:p>
        </w:tc>
        <w:tc>
          <w:tcPr>
            <w:tcW w:w="2295" w:type="dxa"/>
          </w:tcPr>
          <w:p>
            <w:pPr>
              <w:pStyle w:val="12"/>
              <w:rPr>
                <w:rFonts w:ascii="Times New Roman"/>
                <w:color w:val="auto"/>
                <w:sz w:val="20"/>
                <w:highlight w:val="none"/>
              </w:rPr>
            </w:pPr>
          </w:p>
          <w:p>
            <w:pPr>
              <w:pStyle w:val="12"/>
              <w:rPr>
                <w:rFonts w:ascii="Times New Roman"/>
                <w:color w:val="auto"/>
                <w:sz w:val="20"/>
                <w:highlight w:val="none"/>
              </w:rPr>
            </w:pPr>
          </w:p>
          <w:p>
            <w:pPr>
              <w:pStyle w:val="12"/>
              <w:spacing w:before="7"/>
              <w:rPr>
                <w:rFonts w:ascii="Times New Roman"/>
                <w:color w:val="auto"/>
                <w:sz w:val="21"/>
                <w:highlight w:val="none"/>
              </w:rPr>
            </w:pPr>
          </w:p>
          <w:p>
            <w:pPr>
              <w:pStyle w:val="12"/>
              <w:spacing w:line="242" w:lineRule="auto"/>
              <w:ind w:left="936" w:right="508" w:hanging="420"/>
              <w:rPr>
                <w:color w:val="auto"/>
                <w:sz w:val="21"/>
                <w:highlight w:val="none"/>
              </w:rPr>
            </w:pPr>
            <w:r>
              <w:rPr>
                <w:color w:val="auto"/>
                <w:sz w:val="21"/>
                <w:highlight w:val="none"/>
              </w:rPr>
              <w:t>投标文件递交要求</w:t>
            </w:r>
          </w:p>
        </w:tc>
        <w:tc>
          <w:tcPr>
            <w:tcW w:w="6897" w:type="dxa"/>
          </w:tcPr>
          <w:p>
            <w:pPr>
              <w:pStyle w:val="12"/>
              <w:spacing w:before="1"/>
              <w:ind w:left="108"/>
              <w:rPr>
                <w:color w:val="auto"/>
                <w:sz w:val="21"/>
                <w:highlight w:val="none"/>
              </w:rPr>
            </w:pPr>
            <w:r>
              <w:rPr>
                <w:color w:val="auto"/>
                <w:sz w:val="21"/>
                <w:highlight w:val="none"/>
              </w:rPr>
              <w:t>1、投标人按要求提交投标担保；</w:t>
            </w:r>
          </w:p>
          <w:p>
            <w:pPr>
              <w:pStyle w:val="12"/>
              <w:spacing w:before="57"/>
              <w:ind w:left="108"/>
              <w:rPr>
                <w:color w:val="auto"/>
                <w:sz w:val="21"/>
                <w:highlight w:val="none"/>
              </w:rPr>
            </w:pPr>
            <w:r>
              <w:rPr>
                <w:color w:val="auto"/>
                <w:spacing w:val="-2"/>
                <w:w w:val="99"/>
                <w:sz w:val="21"/>
                <w:highlight w:val="none"/>
              </w:rPr>
              <w:t>2</w:t>
            </w:r>
            <w:r>
              <w:rPr>
                <w:color w:val="auto"/>
                <w:spacing w:val="-6"/>
                <w:w w:val="99"/>
                <w:sz w:val="21"/>
                <w:highlight w:val="none"/>
              </w:rPr>
              <w:t>、</w:t>
            </w:r>
            <w:r>
              <w:rPr>
                <w:color w:val="auto"/>
                <w:sz w:val="21"/>
                <w:highlight w:val="none"/>
              </w:rPr>
              <w:t>投标人提交《台州市建设工程诚信投标承诺书》（参考格式见附件）</w:t>
            </w:r>
            <w:r>
              <w:rPr>
                <w:color w:val="auto"/>
                <w:w w:val="99"/>
                <w:sz w:val="21"/>
                <w:highlight w:val="none"/>
              </w:rPr>
              <w:t>；</w:t>
            </w:r>
          </w:p>
          <w:p>
            <w:pPr>
              <w:pStyle w:val="12"/>
              <w:spacing w:before="58" w:line="290" w:lineRule="auto"/>
              <w:ind w:left="108" w:right="97"/>
              <w:rPr>
                <w:color w:val="auto"/>
                <w:sz w:val="21"/>
                <w:highlight w:val="none"/>
              </w:rPr>
            </w:pPr>
            <w:r>
              <w:rPr>
                <w:color w:val="auto"/>
                <w:sz w:val="21"/>
                <w:highlight w:val="none"/>
              </w:rPr>
              <w:t>3、投标人下列人员经招标人（招标代理机构）确认身份后再签名报到， 以证明其出席开标会议：</w:t>
            </w:r>
          </w:p>
          <w:p>
            <w:pPr>
              <w:pStyle w:val="12"/>
              <w:spacing w:before="4"/>
              <w:ind w:left="571"/>
              <w:rPr>
                <w:color w:val="auto"/>
                <w:sz w:val="21"/>
                <w:highlight w:val="none"/>
              </w:rPr>
            </w:pPr>
            <w:r>
              <w:rPr>
                <w:color w:val="auto"/>
                <w:sz w:val="21"/>
                <w:highlight w:val="none"/>
              </w:rPr>
              <w:t>投标人法定代表人或委托代理人（必须出具本工程授权委托书原件，</w:t>
            </w:r>
          </w:p>
          <w:p>
            <w:pPr>
              <w:pStyle w:val="12"/>
              <w:spacing w:before="57"/>
              <w:ind w:left="108"/>
              <w:rPr>
                <w:color w:val="auto"/>
                <w:sz w:val="21"/>
                <w:highlight w:val="none"/>
              </w:rPr>
            </w:pPr>
            <w:r>
              <w:rPr>
                <w:color w:val="auto"/>
                <w:sz w:val="21"/>
                <w:highlight w:val="none"/>
              </w:rPr>
              <w:t>参考格式见附件）应持本人有效身份证原件参加开标会议。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83" w:type="dxa"/>
          </w:tcPr>
          <w:p>
            <w:pPr>
              <w:pStyle w:val="12"/>
              <w:spacing w:before="94"/>
              <w:ind w:left="108" w:right="101"/>
              <w:jc w:val="center"/>
              <w:rPr>
                <w:color w:val="auto"/>
                <w:sz w:val="21"/>
                <w:highlight w:val="none"/>
              </w:rPr>
            </w:pPr>
            <w:r>
              <w:rPr>
                <w:color w:val="auto"/>
                <w:sz w:val="21"/>
                <w:highlight w:val="none"/>
              </w:rPr>
              <w:t>19</w:t>
            </w:r>
          </w:p>
        </w:tc>
        <w:tc>
          <w:tcPr>
            <w:tcW w:w="2295" w:type="dxa"/>
          </w:tcPr>
          <w:p>
            <w:pPr>
              <w:pStyle w:val="12"/>
              <w:spacing w:before="94"/>
              <w:ind w:left="177" w:right="173"/>
              <w:jc w:val="center"/>
              <w:rPr>
                <w:color w:val="auto"/>
                <w:sz w:val="21"/>
                <w:highlight w:val="none"/>
              </w:rPr>
            </w:pPr>
            <w:r>
              <w:rPr>
                <w:color w:val="auto"/>
                <w:sz w:val="21"/>
                <w:highlight w:val="none"/>
              </w:rPr>
              <w:t>开标顺序</w:t>
            </w:r>
          </w:p>
        </w:tc>
        <w:tc>
          <w:tcPr>
            <w:tcW w:w="6897" w:type="dxa"/>
          </w:tcPr>
          <w:p>
            <w:pPr>
              <w:pStyle w:val="12"/>
              <w:spacing w:before="94"/>
              <w:ind w:left="108"/>
              <w:rPr>
                <w:color w:val="auto"/>
                <w:sz w:val="21"/>
                <w:highlight w:val="none"/>
              </w:rPr>
            </w:pPr>
            <w:r>
              <w:rPr>
                <w:color w:val="auto"/>
                <w:sz w:val="21"/>
                <w:highlight w:val="none"/>
              </w:rPr>
              <w:t>直接开商务标。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83" w:type="dxa"/>
          </w:tcPr>
          <w:p>
            <w:pPr>
              <w:pStyle w:val="12"/>
              <w:spacing w:before="61"/>
              <w:ind w:left="108" w:right="101"/>
              <w:jc w:val="center"/>
              <w:rPr>
                <w:color w:val="auto"/>
                <w:sz w:val="21"/>
                <w:highlight w:val="none"/>
              </w:rPr>
            </w:pPr>
            <w:r>
              <w:rPr>
                <w:color w:val="auto"/>
                <w:sz w:val="21"/>
                <w:highlight w:val="none"/>
              </w:rPr>
              <w:t>20</w:t>
            </w:r>
          </w:p>
        </w:tc>
        <w:tc>
          <w:tcPr>
            <w:tcW w:w="2295" w:type="dxa"/>
          </w:tcPr>
          <w:p>
            <w:pPr>
              <w:pStyle w:val="12"/>
              <w:spacing w:before="61"/>
              <w:ind w:left="177" w:right="173"/>
              <w:jc w:val="center"/>
              <w:rPr>
                <w:color w:val="auto"/>
                <w:sz w:val="21"/>
                <w:highlight w:val="none"/>
              </w:rPr>
            </w:pPr>
            <w:r>
              <w:rPr>
                <w:color w:val="auto"/>
                <w:sz w:val="21"/>
                <w:highlight w:val="none"/>
              </w:rPr>
              <w:t>评标办法</w:t>
            </w:r>
          </w:p>
        </w:tc>
        <w:tc>
          <w:tcPr>
            <w:tcW w:w="6897" w:type="dxa"/>
          </w:tcPr>
          <w:p>
            <w:pPr>
              <w:pStyle w:val="12"/>
              <w:spacing w:before="61"/>
              <w:ind w:left="108"/>
              <w:rPr>
                <w:color w:val="auto"/>
                <w:sz w:val="21"/>
                <w:highlight w:val="none"/>
              </w:rPr>
            </w:pPr>
            <w:r>
              <w:rPr>
                <w:color w:val="auto"/>
                <w:sz w:val="21"/>
                <w:highlight w:val="none"/>
              </w:rPr>
              <w:t>简易评标法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683" w:type="dxa"/>
          </w:tcPr>
          <w:p>
            <w:pPr>
              <w:pStyle w:val="12"/>
              <w:spacing w:before="62"/>
              <w:ind w:left="108" w:right="101"/>
              <w:jc w:val="center"/>
              <w:rPr>
                <w:color w:val="auto"/>
                <w:sz w:val="21"/>
                <w:highlight w:val="none"/>
              </w:rPr>
            </w:pPr>
            <w:r>
              <w:rPr>
                <w:color w:val="auto"/>
                <w:sz w:val="21"/>
                <w:highlight w:val="none"/>
              </w:rPr>
              <w:t>21</w:t>
            </w:r>
          </w:p>
        </w:tc>
        <w:tc>
          <w:tcPr>
            <w:tcW w:w="2295" w:type="dxa"/>
          </w:tcPr>
          <w:p>
            <w:pPr>
              <w:pStyle w:val="12"/>
              <w:spacing w:before="62"/>
              <w:ind w:left="182" w:right="173"/>
              <w:jc w:val="center"/>
              <w:rPr>
                <w:color w:val="auto"/>
                <w:sz w:val="21"/>
                <w:highlight w:val="none"/>
              </w:rPr>
            </w:pPr>
            <w:r>
              <w:rPr>
                <w:color w:val="auto"/>
                <w:sz w:val="21"/>
                <w:highlight w:val="none"/>
              </w:rPr>
              <w:t>履约保证金</w:t>
            </w:r>
          </w:p>
        </w:tc>
        <w:tc>
          <w:tcPr>
            <w:tcW w:w="6897" w:type="dxa"/>
          </w:tcPr>
          <w:p>
            <w:pPr>
              <w:pStyle w:val="12"/>
              <w:spacing w:before="62"/>
              <w:ind w:left="108"/>
              <w:rPr>
                <w:color w:val="auto"/>
                <w:sz w:val="21"/>
                <w:highlight w:val="none"/>
              </w:rPr>
            </w:pPr>
            <w:r>
              <w:rPr>
                <w:color w:val="auto"/>
                <w:sz w:val="21"/>
                <w:highlight w:val="none"/>
              </w:rPr>
              <w:t>合同价的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83" w:type="dxa"/>
          </w:tcPr>
          <w:p>
            <w:pPr>
              <w:pStyle w:val="12"/>
              <w:spacing w:before="7"/>
              <w:rPr>
                <w:rFonts w:ascii="Times New Roman"/>
                <w:color w:val="auto"/>
                <w:sz w:val="23"/>
                <w:highlight w:val="none"/>
              </w:rPr>
            </w:pPr>
          </w:p>
          <w:p>
            <w:pPr>
              <w:pStyle w:val="12"/>
              <w:ind w:left="108" w:right="101"/>
              <w:jc w:val="center"/>
              <w:rPr>
                <w:color w:val="auto"/>
                <w:sz w:val="21"/>
                <w:highlight w:val="none"/>
              </w:rPr>
            </w:pPr>
            <w:r>
              <w:rPr>
                <w:color w:val="auto"/>
                <w:sz w:val="21"/>
                <w:highlight w:val="none"/>
              </w:rPr>
              <w:t>22</w:t>
            </w:r>
          </w:p>
        </w:tc>
        <w:tc>
          <w:tcPr>
            <w:tcW w:w="2295" w:type="dxa"/>
          </w:tcPr>
          <w:p>
            <w:pPr>
              <w:pStyle w:val="12"/>
              <w:spacing w:before="7"/>
              <w:rPr>
                <w:rFonts w:ascii="Times New Roman"/>
                <w:color w:val="auto"/>
                <w:sz w:val="23"/>
                <w:highlight w:val="none"/>
              </w:rPr>
            </w:pPr>
          </w:p>
          <w:p>
            <w:pPr>
              <w:pStyle w:val="12"/>
              <w:ind w:left="179" w:right="173"/>
              <w:jc w:val="center"/>
              <w:rPr>
                <w:color w:val="auto"/>
                <w:sz w:val="21"/>
                <w:highlight w:val="none"/>
              </w:rPr>
            </w:pPr>
            <w:r>
              <w:rPr>
                <w:color w:val="auto"/>
                <w:sz w:val="21"/>
                <w:highlight w:val="none"/>
              </w:rPr>
              <w:t>其它</w:t>
            </w:r>
          </w:p>
        </w:tc>
        <w:tc>
          <w:tcPr>
            <w:tcW w:w="6897" w:type="dxa"/>
          </w:tcPr>
          <w:p>
            <w:pPr>
              <w:pStyle w:val="12"/>
              <w:spacing w:before="1" w:line="270" w:lineRule="atLeast"/>
              <w:ind w:left="108" w:right="75"/>
              <w:rPr>
                <w:rFonts w:hint="eastAsia" w:eastAsia="宋体"/>
                <w:b/>
                <w:color w:val="auto"/>
                <w:sz w:val="21"/>
                <w:highlight w:val="none"/>
                <w:lang w:eastAsia="zh-CN"/>
              </w:rPr>
            </w:pPr>
            <w:r>
              <w:rPr>
                <w:rFonts w:hint="eastAsia"/>
                <w:b/>
                <w:color w:val="auto"/>
                <w:w w:val="95"/>
                <w:sz w:val="21"/>
                <w:highlight w:val="none"/>
                <w:lang w:val="en-US" w:eastAsia="zh-CN"/>
              </w:rPr>
              <w:t>/</w:t>
            </w:r>
          </w:p>
        </w:tc>
      </w:tr>
    </w:tbl>
    <w:p>
      <w:pPr>
        <w:spacing w:after="0" w:line="270" w:lineRule="atLeast"/>
        <w:rPr>
          <w:rFonts w:hint="eastAsia" w:eastAsia="宋体"/>
          <w:color w:val="auto"/>
          <w:sz w:val="21"/>
          <w:highlight w:val="none"/>
          <w:lang w:val="en-US" w:eastAsia="zh-CN"/>
        </w:rPr>
        <w:sectPr>
          <w:pgSz w:w="11910" w:h="16840"/>
          <w:pgMar w:top="1080" w:right="520" w:bottom="960" w:left="920" w:header="891" w:footer="776" w:gutter="0"/>
        </w:sectPr>
      </w:pPr>
      <w:r>
        <w:rPr>
          <w:rFonts w:hint="eastAsia"/>
          <w:color w:val="auto"/>
          <w:sz w:val="21"/>
          <w:highlight w:val="none"/>
          <w:lang w:val="en-US" w:eastAsia="zh-CN"/>
        </w:rPr>
        <w:t xml:space="preserve"> </w:t>
      </w:r>
    </w:p>
    <w:p>
      <w:pPr>
        <w:pStyle w:val="5"/>
        <w:rPr>
          <w:rFonts w:ascii="Times New Roman"/>
          <w:color w:val="auto"/>
          <w:sz w:val="20"/>
          <w:highlight w:val="none"/>
        </w:rPr>
      </w:pPr>
    </w:p>
    <w:p>
      <w:pPr>
        <w:pStyle w:val="5"/>
        <w:rPr>
          <w:rFonts w:ascii="Times New Roman"/>
          <w:color w:val="auto"/>
          <w:sz w:val="20"/>
          <w:highlight w:val="none"/>
        </w:rPr>
      </w:pPr>
    </w:p>
    <w:p>
      <w:pPr>
        <w:pStyle w:val="5"/>
        <w:rPr>
          <w:rFonts w:ascii="Times New Roman"/>
          <w:color w:val="auto"/>
          <w:sz w:val="20"/>
          <w:highlight w:val="none"/>
        </w:rPr>
      </w:pPr>
    </w:p>
    <w:p>
      <w:pPr>
        <w:pStyle w:val="2"/>
        <w:tabs>
          <w:tab w:val="left" w:pos="2128"/>
          <w:tab w:val="left" w:pos="2771"/>
        </w:tabs>
        <w:spacing w:before="187"/>
        <w:rPr>
          <w:color w:val="auto"/>
          <w:highlight w:val="none"/>
        </w:rPr>
      </w:pPr>
      <w:r>
        <w:rPr>
          <w:color w:val="auto"/>
          <w:highlight w:val="none"/>
        </w:rPr>
        <w:t>第一节</w:t>
      </w:r>
      <w:r>
        <w:rPr>
          <w:color w:val="auto"/>
          <w:highlight w:val="none"/>
        </w:rPr>
        <w:tab/>
      </w:r>
      <w:bookmarkStart w:id="11" w:name="第一节总  则"/>
      <w:bookmarkEnd w:id="11"/>
      <w:bookmarkStart w:id="12" w:name="_bookmark2"/>
      <w:bookmarkEnd w:id="12"/>
      <w:r>
        <w:rPr>
          <w:color w:val="auto"/>
          <w:highlight w:val="none"/>
        </w:rPr>
        <w:t>总</w:t>
      </w:r>
      <w:r>
        <w:rPr>
          <w:color w:val="auto"/>
          <w:highlight w:val="none"/>
        </w:rPr>
        <w:tab/>
      </w:r>
      <w:r>
        <w:rPr>
          <w:color w:val="auto"/>
          <w:highlight w:val="none"/>
        </w:rPr>
        <w:t>则</w:t>
      </w:r>
    </w:p>
    <w:p>
      <w:pPr>
        <w:pStyle w:val="5"/>
        <w:spacing w:before="3"/>
        <w:rPr>
          <w:rFonts w:ascii="黑体"/>
          <w:b/>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13" w:name="1.工程说明"/>
      <w:bookmarkEnd w:id="13"/>
      <w:bookmarkStart w:id="14" w:name="1.工程说明"/>
      <w:bookmarkEnd w:id="14"/>
      <w:r>
        <w:rPr>
          <w:color w:val="auto"/>
          <w:highlight w:val="none"/>
        </w:rPr>
        <w:t>工程说明</w:t>
      </w:r>
    </w:p>
    <w:p>
      <w:pPr>
        <w:pStyle w:val="11"/>
        <w:numPr>
          <w:ilvl w:val="2"/>
          <w:numId w:val="2"/>
        </w:numPr>
        <w:tabs>
          <w:tab w:val="left" w:pos="1497"/>
        </w:tabs>
        <w:spacing w:before="2" w:after="0" w:line="240" w:lineRule="auto"/>
        <w:ind w:left="1496" w:right="0" w:hanging="420"/>
        <w:jc w:val="left"/>
        <w:rPr>
          <w:color w:val="auto"/>
          <w:sz w:val="21"/>
          <w:highlight w:val="none"/>
        </w:rPr>
      </w:pPr>
      <w:r>
        <w:rPr>
          <w:color w:val="auto"/>
          <w:spacing w:val="-3"/>
          <w:sz w:val="21"/>
          <w:highlight w:val="none"/>
        </w:rPr>
        <w:t xml:space="preserve">本招标工程项目综合说明详见本须知前附表第 </w:t>
      </w:r>
      <w:r>
        <w:rPr>
          <w:color w:val="auto"/>
          <w:sz w:val="21"/>
          <w:highlight w:val="none"/>
        </w:rPr>
        <w:t>1</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5" w:name="2.招标范围"/>
      <w:bookmarkEnd w:id="15"/>
      <w:bookmarkStart w:id="16" w:name="2.招标范围"/>
      <w:bookmarkEnd w:id="16"/>
      <w:r>
        <w:rPr>
          <w:color w:val="auto"/>
          <w:highlight w:val="none"/>
        </w:rPr>
        <w:t>招标范围</w:t>
      </w:r>
    </w:p>
    <w:p>
      <w:pPr>
        <w:pStyle w:val="11"/>
        <w:numPr>
          <w:ilvl w:val="2"/>
          <w:numId w:val="2"/>
        </w:numPr>
        <w:tabs>
          <w:tab w:val="left" w:pos="1497"/>
        </w:tabs>
        <w:spacing w:before="60" w:after="0" w:line="240" w:lineRule="auto"/>
        <w:ind w:left="1496" w:right="0" w:hanging="420"/>
        <w:jc w:val="left"/>
        <w:rPr>
          <w:color w:val="auto"/>
          <w:sz w:val="21"/>
          <w:highlight w:val="none"/>
        </w:rPr>
      </w:pPr>
      <w:r>
        <w:rPr>
          <w:color w:val="auto"/>
          <w:spacing w:val="-3"/>
          <w:sz w:val="21"/>
          <w:highlight w:val="none"/>
        </w:rPr>
        <w:t xml:space="preserve">本招标工程项目范围详见本须知前附表第 </w:t>
      </w:r>
      <w:r>
        <w:rPr>
          <w:color w:val="auto"/>
          <w:sz w:val="21"/>
          <w:highlight w:val="none"/>
        </w:rPr>
        <w:t>2</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7" w:name="3.工作内容"/>
      <w:bookmarkEnd w:id="17"/>
      <w:bookmarkStart w:id="18" w:name="3.工作内容"/>
      <w:bookmarkEnd w:id="18"/>
      <w:r>
        <w:rPr>
          <w:color w:val="auto"/>
          <w:highlight w:val="none"/>
        </w:rPr>
        <w:t>工作内容</w:t>
      </w:r>
    </w:p>
    <w:p>
      <w:pPr>
        <w:pStyle w:val="11"/>
        <w:numPr>
          <w:ilvl w:val="2"/>
          <w:numId w:val="2"/>
        </w:numPr>
        <w:tabs>
          <w:tab w:val="left" w:pos="1497"/>
        </w:tabs>
        <w:spacing w:before="58" w:after="0" w:line="240" w:lineRule="auto"/>
        <w:ind w:left="1496" w:right="0" w:hanging="420"/>
        <w:jc w:val="left"/>
        <w:rPr>
          <w:color w:val="auto"/>
          <w:sz w:val="21"/>
          <w:highlight w:val="none"/>
        </w:rPr>
      </w:pPr>
      <w:r>
        <w:rPr>
          <w:color w:val="auto"/>
          <w:spacing w:val="-3"/>
          <w:sz w:val="21"/>
          <w:highlight w:val="none"/>
        </w:rPr>
        <w:t xml:space="preserve">本招标工作内容详见本须知前附表第 </w:t>
      </w:r>
      <w:r>
        <w:rPr>
          <w:color w:val="auto"/>
          <w:sz w:val="21"/>
          <w:highlight w:val="none"/>
        </w:rPr>
        <w:t>3</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19" w:name="4.资金来源"/>
      <w:bookmarkEnd w:id="19"/>
      <w:bookmarkStart w:id="20" w:name="4.资金来源"/>
      <w:bookmarkEnd w:id="20"/>
      <w:r>
        <w:rPr>
          <w:color w:val="auto"/>
          <w:highlight w:val="none"/>
        </w:rPr>
        <w:t>资金来源</w:t>
      </w:r>
    </w:p>
    <w:p>
      <w:pPr>
        <w:pStyle w:val="11"/>
        <w:numPr>
          <w:ilvl w:val="2"/>
          <w:numId w:val="2"/>
        </w:numPr>
        <w:tabs>
          <w:tab w:val="left" w:pos="1497"/>
        </w:tabs>
        <w:spacing w:before="57" w:after="0" w:line="240" w:lineRule="auto"/>
        <w:ind w:left="1496" w:right="0" w:hanging="420"/>
        <w:jc w:val="left"/>
        <w:rPr>
          <w:color w:val="auto"/>
          <w:sz w:val="21"/>
          <w:highlight w:val="none"/>
        </w:rPr>
      </w:pPr>
      <w:r>
        <w:rPr>
          <w:color w:val="auto"/>
          <w:spacing w:val="-3"/>
          <w:sz w:val="21"/>
          <w:highlight w:val="none"/>
        </w:rPr>
        <w:t xml:space="preserve">本招标工程项目资金来源详见本须知前附表第 </w:t>
      </w:r>
      <w:r>
        <w:rPr>
          <w:color w:val="auto"/>
          <w:sz w:val="21"/>
          <w:highlight w:val="none"/>
        </w:rPr>
        <w:t>4</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303"/>
        </w:tabs>
        <w:spacing w:before="161" w:after="0" w:line="240" w:lineRule="auto"/>
        <w:ind w:left="1302" w:right="0" w:hanging="214"/>
        <w:jc w:val="left"/>
        <w:rPr>
          <w:color w:val="auto"/>
          <w:highlight w:val="none"/>
        </w:rPr>
      </w:pPr>
      <w:bookmarkStart w:id="21" w:name="5.投标资格"/>
      <w:bookmarkEnd w:id="21"/>
      <w:bookmarkStart w:id="22" w:name="5.投标资格"/>
      <w:bookmarkEnd w:id="22"/>
      <w:r>
        <w:rPr>
          <w:color w:val="auto"/>
          <w:highlight w:val="none"/>
        </w:rPr>
        <w:t>投标资格</w:t>
      </w:r>
    </w:p>
    <w:p>
      <w:pPr>
        <w:pStyle w:val="11"/>
        <w:numPr>
          <w:ilvl w:val="1"/>
          <w:numId w:val="4"/>
        </w:numPr>
        <w:tabs>
          <w:tab w:val="left" w:pos="1312"/>
        </w:tabs>
        <w:spacing w:before="60" w:after="0" w:line="240" w:lineRule="auto"/>
        <w:ind w:left="1312" w:right="0" w:hanging="420"/>
        <w:jc w:val="left"/>
        <w:rPr>
          <w:color w:val="auto"/>
          <w:sz w:val="21"/>
          <w:highlight w:val="none"/>
        </w:rPr>
      </w:pPr>
      <w:r>
        <w:rPr>
          <w:color w:val="auto"/>
          <w:sz w:val="21"/>
          <w:highlight w:val="none"/>
        </w:rPr>
        <w:t>投标人应具备承担本工程监理的资质条件和其他要求等。</w:t>
      </w:r>
    </w:p>
    <w:p>
      <w:pPr>
        <w:pStyle w:val="11"/>
        <w:numPr>
          <w:ilvl w:val="2"/>
          <w:numId w:val="4"/>
        </w:numPr>
        <w:tabs>
          <w:tab w:val="left" w:pos="1468"/>
        </w:tabs>
        <w:spacing w:before="57" w:after="0" w:line="240" w:lineRule="auto"/>
        <w:ind w:left="1468" w:right="0" w:hanging="576"/>
        <w:jc w:val="left"/>
        <w:rPr>
          <w:color w:val="auto"/>
          <w:sz w:val="21"/>
          <w:highlight w:val="none"/>
        </w:rPr>
      </w:pPr>
      <w:r>
        <w:rPr>
          <w:color w:val="auto"/>
          <w:spacing w:val="-3"/>
          <w:sz w:val="21"/>
          <w:highlight w:val="none"/>
        </w:rPr>
        <w:t xml:space="preserve">投标人资质条件：见投标人须知前附表第 </w:t>
      </w:r>
      <w:r>
        <w:rPr>
          <w:color w:val="auto"/>
          <w:sz w:val="21"/>
          <w:highlight w:val="none"/>
        </w:rPr>
        <w:t>5</w:t>
      </w:r>
      <w:r>
        <w:rPr>
          <w:color w:val="auto"/>
          <w:spacing w:val="-18"/>
          <w:sz w:val="21"/>
          <w:highlight w:val="none"/>
        </w:rPr>
        <w:t xml:space="preserve"> 项；</w:t>
      </w:r>
    </w:p>
    <w:p>
      <w:pPr>
        <w:pStyle w:val="11"/>
        <w:numPr>
          <w:ilvl w:val="2"/>
          <w:numId w:val="4"/>
        </w:numPr>
        <w:tabs>
          <w:tab w:val="left" w:pos="1468"/>
        </w:tabs>
        <w:spacing w:before="58" w:after="0" w:line="240" w:lineRule="auto"/>
        <w:ind w:left="1468" w:right="0" w:hanging="576"/>
        <w:jc w:val="left"/>
        <w:rPr>
          <w:color w:val="auto"/>
          <w:sz w:val="21"/>
          <w:highlight w:val="none"/>
        </w:rPr>
      </w:pPr>
      <w:r>
        <w:rPr>
          <w:color w:val="auto"/>
          <w:spacing w:val="-3"/>
          <w:sz w:val="21"/>
          <w:highlight w:val="none"/>
        </w:rPr>
        <w:t xml:space="preserve">总监理工程师资格：见投标人须知前附表第 </w:t>
      </w:r>
      <w:r>
        <w:rPr>
          <w:color w:val="auto"/>
          <w:sz w:val="21"/>
          <w:highlight w:val="none"/>
        </w:rPr>
        <w:t>5</w:t>
      </w:r>
      <w:r>
        <w:rPr>
          <w:color w:val="auto"/>
          <w:spacing w:val="-18"/>
          <w:sz w:val="21"/>
          <w:highlight w:val="none"/>
        </w:rPr>
        <w:t xml:space="preserve"> 项；</w:t>
      </w:r>
    </w:p>
    <w:p>
      <w:pPr>
        <w:pStyle w:val="11"/>
        <w:numPr>
          <w:ilvl w:val="2"/>
          <w:numId w:val="4"/>
        </w:numPr>
        <w:tabs>
          <w:tab w:val="left" w:pos="1468"/>
        </w:tabs>
        <w:spacing w:before="57" w:after="0" w:line="240" w:lineRule="auto"/>
        <w:ind w:left="1468" w:right="0" w:hanging="576"/>
        <w:jc w:val="left"/>
        <w:rPr>
          <w:color w:val="auto"/>
          <w:sz w:val="21"/>
          <w:highlight w:val="none"/>
        </w:rPr>
      </w:pPr>
      <w:r>
        <w:rPr>
          <w:color w:val="auto"/>
          <w:sz w:val="21"/>
          <w:highlight w:val="none"/>
        </w:rPr>
        <w:t>总监理工程师承接本项目应符合以下要求：</w:t>
      </w:r>
    </w:p>
    <w:p>
      <w:pPr>
        <w:pStyle w:val="4"/>
        <w:spacing w:before="2"/>
        <w:ind w:left="829" w:firstLine="416" w:firstLineChars="200"/>
        <w:rPr>
          <w:color w:val="auto"/>
          <w:highlight w:val="none"/>
        </w:rPr>
      </w:pPr>
      <w:r>
        <w:rPr>
          <w:rFonts w:hint="eastAsia"/>
          <w:color w:val="auto"/>
          <w:w w:val="99"/>
          <w:highlight w:val="none"/>
        </w:rPr>
        <w:t>项目总监须具备国家注册监理工程师（市政公用工程专业）</w:t>
      </w:r>
      <w:r>
        <w:rPr>
          <w:color w:val="auto"/>
          <w:w w:val="99"/>
          <w:highlight w:val="none"/>
        </w:rPr>
        <w:t>，不作为在建项目。</w:t>
      </w:r>
    </w:p>
    <w:p>
      <w:pPr>
        <w:pStyle w:val="11"/>
        <w:numPr>
          <w:ilvl w:val="1"/>
          <w:numId w:val="5"/>
        </w:numPr>
        <w:tabs>
          <w:tab w:val="left" w:pos="1200"/>
        </w:tabs>
        <w:spacing w:before="58" w:after="0" w:line="290" w:lineRule="auto"/>
        <w:ind w:left="515" w:right="450" w:firstLine="314"/>
        <w:jc w:val="left"/>
        <w:rPr>
          <w:rFonts w:hint="eastAsia" w:ascii="黑体" w:eastAsia="黑体"/>
          <w:b/>
          <w:color w:val="auto"/>
          <w:sz w:val="21"/>
          <w:highlight w:val="none"/>
        </w:rPr>
      </w:pPr>
      <w:r>
        <w:rPr>
          <w:rFonts w:hint="eastAsia" w:ascii="黑体" w:eastAsia="黑体"/>
          <w:b/>
          <w:color w:val="auto"/>
          <w:spacing w:val="-3"/>
          <w:sz w:val="21"/>
          <w:highlight w:val="none"/>
        </w:rPr>
        <w:t>总监不得同时在两个或者两个以上单位受聘或者执业</w:t>
      </w:r>
      <w:r>
        <w:rPr>
          <w:rFonts w:hint="eastAsia" w:ascii="黑体" w:eastAsia="黑体"/>
          <w:b/>
          <w:color w:val="auto"/>
          <w:sz w:val="21"/>
          <w:highlight w:val="none"/>
        </w:rPr>
        <w:t>（仅指总监不得同时是其他单位的公务员或者事业单位在编人员，涉及到其他情形的，投标资格不受影响</w:t>
      </w:r>
      <w:r>
        <w:rPr>
          <w:rFonts w:hint="eastAsia" w:ascii="黑体" w:eastAsia="黑体"/>
          <w:b/>
          <w:color w:val="auto"/>
          <w:spacing w:val="-106"/>
          <w:sz w:val="21"/>
          <w:highlight w:val="none"/>
        </w:rPr>
        <w:t>）</w:t>
      </w:r>
      <w:r>
        <w:rPr>
          <w:rFonts w:hint="eastAsia" w:ascii="黑体" w:eastAsia="黑体"/>
          <w:b/>
          <w:color w:val="auto"/>
          <w:sz w:val="21"/>
          <w:highlight w:val="none"/>
        </w:rPr>
        <w:t>。</w:t>
      </w:r>
    </w:p>
    <w:p>
      <w:pPr>
        <w:pStyle w:val="11"/>
        <w:numPr>
          <w:ilvl w:val="1"/>
          <w:numId w:val="5"/>
        </w:numPr>
        <w:tabs>
          <w:tab w:val="left" w:pos="1257"/>
        </w:tabs>
        <w:spacing w:before="4" w:after="0" w:line="240" w:lineRule="auto"/>
        <w:ind w:left="1256" w:right="0" w:hanging="364"/>
        <w:jc w:val="left"/>
        <w:rPr>
          <w:color w:val="auto"/>
          <w:sz w:val="21"/>
          <w:highlight w:val="none"/>
        </w:rPr>
      </w:pPr>
      <w:r>
        <w:rPr>
          <w:color w:val="auto"/>
          <w:sz w:val="21"/>
          <w:highlight w:val="none"/>
        </w:rPr>
        <w:t>投标人不得存在下列情形之一：</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为招标人不具有独立法人资格的附属机构</w:t>
      </w:r>
      <w:r>
        <w:rPr>
          <w:color w:val="auto"/>
          <w:spacing w:val="2"/>
          <w:w w:val="99"/>
          <w:sz w:val="21"/>
          <w:highlight w:val="none"/>
        </w:rPr>
        <w:t>（</w:t>
      </w:r>
      <w:r>
        <w:rPr>
          <w:color w:val="auto"/>
          <w:w w:val="99"/>
          <w:sz w:val="21"/>
          <w:highlight w:val="none"/>
        </w:rPr>
        <w:t>单位</w:t>
      </w:r>
      <w:r>
        <w:rPr>
          <w:color w:val="auto"/>
          <w:spacing w:val="-104"/>
          <w:w w:val="99"/>
          <w:sz w:val="21"/>
          <w:highlight w:val="none"/>
        </w:rPr>
        <w:t>）</w:t>
      </w:r>
      <w:r>
        <w:rPr>
          <w:color w:val="auto"/>
          <w:w w:val="99"/>
          <w:sz w:val="21"/>
          <w:highlight w:val="none"/>
        </w:rPr>
        <w:t>；</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为本工程提供招标代理服务的；</w:t>
      </w:r>
    </w:p>
    <w:p>
      <w:pPr>
        <w:pStyle w:val="5"/>
        <w:spacing w:before="3"/>
        <w:rPr>
          <w:color w:val="auto"/>
          <w:sz w:val="11"/>
          <w:highlight w:val="none"/>
        </w:rPr>
      </w:pPr>
    </w:p>
    <w:p>
      <w:pPr>
        <w:pStyle w:val="11"/>
        <w:numPr>
          <w:ilvl w:val="0"/>
          <w:numId w:val="6"/>
        </w:numPr>
        <w:tabs>
          <w:tab w:val="left" w:pos="1354"/>
        </w:tabs>
        <w:spacing w:before="70" w:after="0" w:line="240" w:lineRule="auto"/>
        <w:ind w:left="1354" w:right="0" w:hanging="525"/>
        <w:jc w:val="left"/>
        <w:rPr>
          <w:color w:val="auto"/>
          <w:sz w:val="21"/>
          <w:highlight w:val="none"/>
        </w:rPr>
      </w:pPr>
      <w:r>
        <w:rPr>
          <w:color w:val="auto"/>
          <w:sz w:val="21"/>
          <w:highlight w:val="none"/>
        </w:rPr>
        <w:t>为本工程的代建人；</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与本工程的代建人或招标代理机构同为一个法定代表人的；</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与本工程的代建人或招标代理机构相互任职或工作的；</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与本工程的代建人或招标代理机构相互控股或参股</w:t>
      </w:r>
      <w:r>
        <w:rPr>
          <w:color w:val="auto"/>
          <w:w w:val="95"/>
          <w:sz w:val="21"/>
          <w:highlight w:val="none"/>
        </w:rPr>
        <w:t>的；</w:t>
      </w:r>
    </w:p>
    <w:p>
      <w:pPr>
        <w:pStyle w:val="11"/>
        <w:numPr>
          <w:ilvl w:val="0"/>
          <w:numId w:val="6"/>
        </w:numPr>
        <w:tabs>
          <w:tab w:val="left" w:pos="1354"/>
        </w:tabs>
        <w:spacing w:before="57" w:after="0" w:line="240" w:lineRule="auto"/>
        <w:ind w:left="1354" w:right="0" w:hanging="525"/>
        <w:jc w:val="left"/>
        <w:rPr>
          <w:color w:val="auto"/>
          <w:sz w:val="21"/>
          <w:highlight w:val="none"/>
        </w:rPr>
      </w:pPr>
      <w:r>
        <w:rPr>
          <w:color w:val="auto"/>
          <w:sz w:val="21"/>
          <w:highlight w:val="none"/>
        </w:rPr>
        <w:t>被责令停业的；</w:t>
      </w:r>
    </w:p>
    <w:p>
      <w:pPr>
        <w:pStyle w:val="11"/>
        <w:numPr>
          <w:ilvl w:val="0"/>
          <w:numId w:val="6"/>
        </w:numPr>
        <w:tabs>
          <w:tab w:val="left" w:pos="1354"/>
        </w:tabs>
        <w:spacing w:before="60" w:after="0" w:line="240" w:lineRule="auto"/>
        <w:ind w:left="1354" w:right="0" w:hanging="525"/>
        <w:jc w:val="left"/>
        <w:rPr>
          <w:color w:val="auto"/>
          <w:sz w:val="21"/>
          <w:highlight w:val="none"/>
        </w:rPr>
      </w:pPr>
      <w:r>
        <w:rPr>
          <w:color w:val="auto"/>
          <w:spacing w:val="-6"/>
          <w:sz w:val="21"/>
          <w:highlight w:val="none"/>
        </w:rPr>
        <w:t>被暂停或取消投标资格的（包括总监理工程师）</w:t>
      </w:r>
      <w:r>
        <w:rPr>
          <w:color w:val="auto"/>
          <w:w w:val="99"/>
          <w:sz w:val="21"/>
          <w:highlight w:val="none"/>
        </w:rPr>
        <w:t>；</w:t>
      </w:r>
    </w:p>
    <w:p>
      <w:pPr>
        <w:pStyle w:val="11"/>
        <w:numPr>
          <w:ilvl w:val="0"/>
          <w:numId w:val="6"/>
        </w:numPr>
        <w:tabs>
          <w:tab w:val="left" w:pos="1354"/>
        </w:tabs>
        <w:spacing w:before="55" w:after="0" w:line="240" w:lineRule="auto"/>
        <w:ind w:left="1354" w:right="0" w:hanging="525"/>
        <w:jc w:val="left"/>
        <w:rPr>
          <w:color w:val="auto"/>
          <w:sz w:val="21"/>
          <w:highlight w:val="none"/>
        </w:rPr>
      </w:pPr>
      <w:r>
        <w:rPr>
          <w:color w:val="auto"/>
          <w:spacing w:val="-6"/>
          <w:sz w:val="21"/>
          <w:highlight w:val="none"/>
        </w:rPr>
        <w:t>根据《关于在国有投资建设工程项目招投标活动中实行行贿犯罪档案查询制度的通知</w:t>
      </w:r>
      <w:r>
        <w:rPr>
          <w:color w:val="auto"/>
          <w:spacing w:val="-133"/>
          <w:sz w:val="21"/>
          <w:highlight w:val="none"/>
        </w:rPr>
        <w:t>》</w:t>
      </w:r>
      <w:r>
        <w:rPr>
          <w:color w:val="auto"/>
          <w:sz w:val="21"/>
          <w:highlight w:val="none"/>
        </w:rPr>
        <w:t>（台建规</w:t>
      </w:r>
    </w:p>
    <w:p>
      <w:pPr>
        <w:pStyle w:val="5"/>
        <w:spacing w:before="60"/>
        <w:ind w:left="515"/>
        <w:rPr>
          <w:color w:val="auto"/>
          <w:highlight w:val="none"/>
        </w:rPr>
      </w:pPr>
      <w:r>
        <w:rPr>
          <w:color w:val="auto"/>
          <w:highlight w:val="none"/>
        </w:rPr>
        <w:t>[2010]219 号）规定，投标人（包括法定代表人）和项目总监理工程师其一有行贿犯罪记录的（由投标</w:t>
      </w:r>
    </w:p>
    <w:p>
      <w:pPr>
        <w:pStyle w:val="5"/>
        <w:spacing w:before="57"/>
        <w:ind w:left="515"/>
        <w:rPr>
          <w:color w:val="auto"/>
          <w:highlight w:val="none"/>
        </w:rPr>
      </w:pPr>
      <w:r>
        <w:rPr>
          <w:rFonts w:ascii="宋体" w:hAnsi="宋体" w:eastAsia="宋体" w:cs="宋体"/>
          <w:color w:val="auto"/>
          <w:spacing w:val="-6"/>
          <w:sz w:val="21"/>
          <w:szCs w:val="22"/>
          <w:highlight w:val="none"/>
          <w:lang w:val="zh-CN" w:eastAsia="zh-CN" w:bidi="zh-CN"/>
        </w:rPr>
        <w:t>文件提交截止之日上溯 3 年，行贿犯罪记录日期以法院判决生效日期为准</w:t>
      </w:r>
      <w:r>
        <w:rPr>
          <w:color w:val="auto"/>
          <w:spacing w:val="-104"/>
          <w:w w:val="99"/>
          <w:highlight w:val="none"/>
        </w:rPr>
        <w:t>）</w:t>
      </w:r>
      <w:r>
        <w:rPr>
          <w:color w:val="auto"/>
          <w:w w:val="99"/>
          <w:highlight w:val="none"/>
        </w:rPr>
        <w:t>；</w:t>
      </w:r>
    </w:p>
    <w:p>
      <w:pPr>
        <w:pStyle w:val="11"/>
        <w:numPr>
          <w:ilvl w:val="0"/>
          <w:numId w:val="6"/>
        </w:numPr>
        <w:tabs>
          <w:tab w:val="left" w:pos="1460"/>
        </w:tabs>
        <w:spacing w:before="57" w:after="0" w:line="290" w:lineRule="auto"/>
        <w:ind w:left="515" w:right="481" w:firstLine="314"/>
        <w:jc w:val="left"/>
        <w:rPr>
          <w:color w:val="auto"/>
          <w:sz w:val="21"/>
          <w:highlight w:val="none"/>
        </w:rPr>
      </w:pPr>
      <w:r>
        <w:rPr>
          <w:color w:val="auto"/>
          <w:sz w:val="21"/>
          <w:highlight w:val="none"/>
        </w:rPr>
        <w:t>投标人及其人员有关证书有下列情况之一的：总监理工程师、主导专业监理工程师、监理员证</w:t>
      </w:r>
      <w:r>
        <w:rPr>
          <w:color w:val="auto"/>
          <w:spacing w:val="-3"/>
          <w:sz w:val="21"/>
          <w:highlight w:val="none"/>
        </w:rPr>
        <w:t>书上的企业名称与投标人不一致的；</w:t>
      </w:r>
    </w:p>
    <w:p>
      <w:pPr>
        <w:pStyle w:val="11"/>
        <w:numPr>
          <w:ilvl w:val="0"/>
          <w:numId w:val="6"/>
        </w:numPr>
        <w:tabs>
          <w:tab w:val="left" w:pos="1460"/>
        </w:tabs>
        <w:spacing w:before="2" w:after="0" w:line="240" w:lineRule="auto"/>
        <w:ind w:left="1459" w:right="0" w:hanging="630"/>
        <w:jc w:val="left"/>
        <w:rPr>
          <w:color w:val="auto"/>
          <w:sz w:val="21"/>
          <w:highlight w:val="none"/>
        </w:rPr>
      </w:pPr>
      <w:r>
        <w:rPr>
          <w:color w:val="auto"/>
          <w:sz w:val="21"/>
          <w:highlight w:val="none"/>
        </w:rPr>
        <w:t>浙江省外企业的《省外企业进浙承接业务备案证明》超出有效期或已注销的。</w:t>
      </w:r>
    </w:p>
    <w:p>
      <w:pPr>
        <w:pStyle w:val="11"/>
        <w:numPr>
          <w:ilvl w:val="1"/>
          <w:numId w:val="5"/>
        </w:numPr>
        <w:tabs>
          <w:tab w:val="left" w:pos="1305"/>
        </w:tabs>
        <w:spacing w:before="60" w:after="0" w:line="290" w:lineRule="auto"/>
        <w:ind w:left="515" w:right="479" w:firstLine="420"/>
        <w:jc w:val="left"/>
        <w:rPr>
          <w:color w:val="auto"/>
          <w:sz w:val="21"/>
          <w:highlight w:val="none"/>
        </w:rPr>
      </w:pPr>
      <w:r>
        <w:rPr>
          <w:color w:val="auto"/>
          <w:spacing w:val="-7"/>
          <w:sz w:val="21"/>
          <w:highlight w:val="none"/>
        </w:rPr>
        <w:t xml:space="preserve">本须知前附表第 </w:t>
      </w:r>
      <w:r>
        <w:rPr>
          <w:color w:val="auto"/>
          <w:sz w:val="21"/>
          <w:highlight w:val="none"/>
        </w:rPr>
        <w:t>5</w:t>
      </w:r>
      <w:r>
        <w:rPr>
          <w:color w:val="auto"/>
          <w:spacing w:val="-8"/>
          <w:sz w:val="21"/>
          <w:highlight w:val="none"/>
        </w:rPr>
        <w:t xml:space="preserve"> 项规定接受联合体投标的，除应符合本章第 </w:t>
      </w:r>
      <w:r>
        <w:rPr>
          <w:color w:val="auto"/>
          <w:sz w:val="21"/>
          <w:highlight w:val="none"/>
        </w:rPr>
        <w:t>5.1</w:t>
      </w:r>
      <w:r>
        <w:rPr>
          <w:color w:val="auto"/>
          <w:spacing w:val="-20"/>
          <w:sz w:val="21"/>
          <w:highlight w:val="none"/>
        </w:rPr>
        <w:t xml:space="preserve"> 款和第 </w:t>
      </w:r>
      <w:r>
        <w:rPr>
          <w:color w:val="auto"/>
          <w:sz w:val="21"/>
          <w:highlight w:val="none"/>
        </w:rPr>
        <w:t>5.2</w:t>
      </w:r>
      <w:r>
        <w:rPr>
          <w:color w:val="auto"/>
          <w:spacing w:val="-7"/>
          <w:sz w:val="21"/>
          <w:highlight w:val="none"/>
        </w:rPr>
        <w:t xml:space="preserve"> 款要求外，还应遵守以下规定：</w:t>
      </w:r>
    </w:p>
    <w:p>
      <w:pPr>
        <w:pStyle w:val="11"/>
        <w:numPr>
          <w:ilvl w:val="0"/>
          <w:numId w:val="7"/>
        </w:numPr>
        <w:tabs>
          <w:tab w:val="left" w:pos="1460"/>
        </w:tabs>
        <w:spacing w:before="1" w:after="0" w:line="240" w:lineRule="auto"/>
        <w:ind w:left="1459" w:right="0" w:hanging="524"/>
        <w:jc w:val="left"/>
        <w:rPr>
          <w:color w:val="auto"/>
          <w:sz w:val="21"/>
          <w:highlight w:val="none"/>
        </w:rPr>
      </w:pPr>
      <w:r>
        <w:rPr>
          <w:color w:val="auto"/>
          <w:sz w:val="21"/>
          <w:highlight w:val="none"/>
        </w:rPr>
        <w:t>联合体各方应按招标文件提供的格式签订联合体协议书，明确联合体牵头人和各方权利义务；</w:t>
      </w:r>
    </w:p>
    <w:p>
      <w:pPr>
        <w:pStyle w:val="11"/>
        <w:numPr>
          <w:ilvl w:val="0"/>
          <w:numId w:val="7"/>
        </w:numPr>
        <w:tabs>
          <w:tab w:val="left" w:pos="1460"/>
        </w:tabs>
        <w:spacing w:before="58" w:after="0" w:line="240" w:lineRule="auto"/>
        <w:ind w:left="1459" w:right="0" w:hanging="524"/>
        <w:jc w:val="left"/>
        <w:rPr>
          <w:color w:val="auto"/>
          <w:sz w:val="21"/>
          <w:highlight w:val="none"/>
        </w:rPr>
      </w:pPr>
      <w:r>
        <w:rPr>
          <w:color w:val="auto"/>
          <w:sz w:val="21"/>
          <w:highlight w:val="none"/>
        </w:rPr>
        <w:t>由同一专业的单位组成的联合体，按照资质等级较低的单位确定资质等级；</w:t>
      </w:r>
    </w:p>
    <w:p>
      <w:pPr>
        <w:pStyle w:val="11"/>
        <w:numPr>
          <w:ilvl w:val="0"/>
          <w:numId w:val="7"/>
        </w:numPr>
        <w:tabs>
          <w:tab w:val="left" w:pos="1460"/>
        </w:tabs>
        <w:spacing w:before="59" w:after="0" w:line="240" w:lineRule="auto"/>
        <w:ind w:left="1459" w:right="0" w:hanging="524"/>
        <w:jc w:val="left"/>
        <w:rPr>
          <w:color w:val="auto"/>
          <w:sz w:val="21"/>
          <w:highlight w:val="none"/>
        </w:rPr>
      </w:pPr>
      <w:r>
        <w:rPr>
          <w:color w:val="auto"/>
          <w:sz w:val="21"/>
          <w:highlight w:val="none"/>
        </w:rPr>
        <w:t>联合体各方不得再以自己名义单独或参加其他联合体在同一标段中投标。</w:t>
      </w:r>
    </w:p>
    <w:p>
      <w:pPr>
        <w:pStyle w:val="5"/>
        <w:rPr>
          <w:color w:val="auto"/>
          <w:sz w:val="20"/>
          <w:highlight w:val="none"/>
        </w:rPr>
      </w:pPr>
    </w:p>
    <w:p>
      <w:pPr>
        <w:pStyle w:val="4"/>
        <w:numPr>
          <w:ilvl w:val="1"/>
          <w:numId w:val="2"/>
        </w:numPr>
        <w:tabs>
          <w:tab w:val="left" w:pos="1303"/>
        </w:tabs>
        <w:spacing w:before="159" w:after="0" w:line="240" w:lineRule="auto"/>
        <w:ind w:left="1302" w:right="0" w:hanging="214"/>
        <w:jc w:val="left"/>
        <w:rPr>
          <w:color w:val="auto"/>
          <w:highlight w:val="none"/>
        </w:rPr>
      </w:pPr>
      <w:bookmarkStart w:id="23" w:name="6.投标费用"/>
      <w:bookmarkEnd w:id="23"/>
      <w:bookmarkStart w:id="24" w:name="6.投标费用"/>
      <w:bookmarkEnd w:id="24"/>
      <w:r>
        <w:rPr>
          <w:color w:val="auto"/>
          <w:highlight w:val="none"/>
        </w:rPr>
        <w:t>投标费用</w:t>
      </w:r>
    </w:p>
    <w:p>
      <w:pPr>
        <w:pStyle w:val="11"/>
        <w:numPr>
          <w:ilvl w:val="2"/>
          <w:numId w:val="2"/>
        </w:numPr>
        <w:tabs>
          <w:tab w:val="left" w:pos="1497"/>
        </w:tabs>
        <w:spacing w:before="60" w:after="0" w:line="240" w:lineRule="auto"/>
        <w:ind w:left="1496" w:right="0" w:hanging="420"/>
        <w:jc w:val="left"/>
        <w:rPr>
          <w:color w:val="auto"/>
          <w:sz w:val="21"/>
          <w:highlight w:val="none"/>
        </w:rPr>
      </w:pPr>
      <w:r>
        <w:rPr>
          <w:color w:val="auto"/>
          <w:sz w:val="21"/>
          <w:highlight w:val="none"/>
        </w:rPr>
        <w:t>投标人应自行承担其参加投标活动自身发生的费用。</w:t>
      </w:r>
    </w:p>
    <w:p>
      <w:pPr>
        <w:pStyle w:val="11"/>
        <w:numPr>
          <w:ilvl w:val="2"/>
          <w:numId w:val="2"/>
        </w:numPr>
        <w:tabs>
          <w:tab w:val="left" w:pos="1497"/>
        </w:tabs>
        <w:spacing w:before="60" w:after="0" w:line="240" w:lineRule="auto"/>
        <w:ind w:left="1496" w:right="0" w:hanging="420"/>
        <w:jc w:val="left"/>
        <w:rPr>
          <w:rFonts w:hint="eastAsia"/>
          <w:color w:val="auto"/>
          <w:sz w:val="21"/>
          <w:highlight w:val="none"/>
        </w:rPr>
      </w:pPr>
      <w:r>
        <w:rPr>
          <w:rFonts w:hint="eastAsia"/>
          <w:color w:val="auto"/>
          <w:sz w:val="21"/>
          <w:highlight w:val="none"/>
        </w:rPr>
        <w:t xml:space="preserve">招标文件工本费 300 元/份，在提交投标文件后收取。本项目招标代理费 </w:t>
      </w:r>
      <w:r>
        <w:rPr>
          <w:rFonts w:hint="eastAsia"/>
          <w:color w:val="auto"/>
          <w:sz w:val="21"/>
          <w:highlight w:val="none"/>
          <w:lang w:val="en-US" w:eastAsia="zh-CN"/>
        </w:rPr>
        <w:t>2</w:t>
      </w:r>
      <w:r>
        <w:rPr>
          <w:rFonts w:hint="eastAsia"/>
          <w:color w:val="auto"/>
          <w:sz w:val="21"/>
          <w:highlight w:val="none"/>
        </w:rPr>
        <w:t>000 元由中标单位在领取中标通知时支付。</w:t>
      </w:r>
    </w:p>
    <w:p>
      <w:pPr>
        <w:pStyle w:val="5"/>
        <w:spacing w:before="3"/>
        <w:rPr>
          <w:b/>
          <w:color w:val="auto"/>
          <w:sz w:val="28"/>
          <w:highlight w:val="none"/>
        </w:rPr>
      </w:pPr>
    </w:p>
    <w:p>
      <w:pPr>
        <w:pStyle w:val="11"/>
        <w:numPr>
          <w:ilvl w:val="1"/>
          <w:numId w:val="2"/>
        </w:numPr>
        <w:tabs>
          <w:tab w:val="left" w:pos="1303"/>
        </w:tabs>
        <w:spacing w:before="0" w:after="0" w:line="240" w:lineRule="auto"/>
        <w:ind w:left="1302" w:right="0" w:hanging="214"/>
        <w:jc w:val="left"/>
        <w:rPr>
          <w:rFonts w:hint="eastAsia" w:ascii="黑体" w:eastAsia="黑体"/>
          <w:b/>
          <w:color w:val="auto"/>
          <w:sz w:val="21"/>
          <w:highlight w:val="none"/>
        </w:rPr>
      </w:pPr>
      <w:bookmarkStart w:id="25" w:name="7.踏勘现场"/>
      <w:bookmarkEnd w:id="25"/>
      <w:bookmarkStart w:id="26" w:name="7.踏勘现场"/>
      <w:bookmarkEnd w:id="26"/>
      <w:r>
        <w:rPr>
          <w:rFonts w:hint="eastAsia" w:ascii="黑体" w:eastAsia="黑体"/>
          <w:b/>
          <w:color w:val="auto"/>
          <w:sz w:val="21"/>
          <w:highlight w:val="none"/>
        </w:rPr>
        <w:t>踏勘现场</w:t>
      </w:r>
    </w:p>
    <w:p>
      <w:pPr>
        <w:pStyle w:val="11"/>
        <w:numPr>
          <w:ilvl w:val="2"/>
          <w:numId w:val="2"/>
        </w:numPr>
        <w:tabs>
          <w:tab w:val="left" w:pos="1497"/>
        </w:tabs>
        <w:spacing w:before="57" w:after="0" w:line="290" w:lineRule="auto"/>
        <w:ind w:left="656" w:right="484" w:firstLine="420"/>
        <w:jc w:val="left"/>
        <w:rPr>
          <w:color w:val="auto"/>
          <w:sz w:val="21"/>
          <w:highlight w:val="none"/>
        </w:rPr>
      </w:pPr>
      <w:r>
        <w:rPr>
          <w:color w:val="auto"/>
          <w:sz w:val="21"/>
          <w:highlight w:val="none"/>
        </w:rPr>
        <w:t>招标人将不统一组织投标人踏勘现场，投标人可自行对工程施工现场和周围环境进行踏勘， 以获取编制投标文件和签署合同所需的资料。踏勘现场所发生的费用由投标人自己承担。</w:t>
      </w:r>
    </w:p>
    <w:p>
      <w:pPr>
        <w:pStyle w:val="11"/>
        <w:numPr>
          <w:ilvl w:val="2"/>
          <w:numId w:val="2"/>
        </w:numPr>
        <w:tabs>
          <w:tab w:val="left" w:pos="1497"/>
        </w:tabs>
        <w:spacing w:before="4" w:after="0" w:line="290" w:lineRule="auto"/>
        <w:ind w:left="656" w:right="378" w:firstLine="420"/>
        <w:jc w:val="left"/>
        <w:rPr>
          <w:color w:val="auto"/>
          <w:sz w:val="21"/>
          <w:highlight w:val="none"/>
        </w:rPr>
      </w:pPr>
      <w:r>
        <w:rPr>
          <w:color w:val="auto"/>
          <w:sz w:val="21"/>
          <w:highlight w:val="none"/>
        </w:rPr>
        <w:t>招标人向投标人提供的有关施工现场的资料和数据，是招标人现有的能使投标人利用的资料</w:t>
      </w:r>
      <w:r>
        <w:rPr>
          <w:color w:val="auto"/>
          <w:spacing w:val="-1"/>
          <w:w w:val="95"/>
          <w:sz w:val="21"/>
          <w:highlight w:val="none"/>
        </w:rPr>
        <w:t xml:space="preserve">。   </w:t>
      </w:r>
      <w:r>
        <w:rPr>
          <w:color w:val="auto"/>
          <w:spacing w:val="-1"/>
          <w:sz w:val="21"/>
          <w:highlight w:val="none"/>
        </w:rPr>
        <w:t>招标人对投标人由此而作出的推论、理解、结论概不负责。</w:t>
      </w:r>
    </w:p>
    <w:p>
      <w:pPr>
        <w:pStyle w:val="11"/>
        <w:numPr>
          <w:ilvl w:val="2"/>
          <w:numId w:val="2"/>
        </w:numPr>
        <w:tabs>
          <w:tab w:val="left" w:pos="1497"/>
        </w:tabs>
        <w:spacing w:before="2" w:after="0" w:line="290" w:lineRule="auto"/>
        <w:ind w:left="656" w:right="484" w:firstLine="420"/>
        <w:jc w:val="left"/>
        <w:rPr>
          <w:color w:val="auto"/>
          <w:sz w:val="21"/>
          <w:highlight w:val="none"/>
        </w:rPr>
      </w:pPr>
      <w:r>
        <w:rPr>
          <w:color w:val="auto"/>
          <w:sz w:val="21"/>
          <w:highlight w:val="none"/>
        </w:rPr>
        <w:t>除招标人向投标人提供本工程有关的情况外，投标人应通过自行调查取得与本工程施工承包可能发生的费用等有关的全部情况，包括交通、环保、治安等规定和要求。</w:t>
      </w:r>
    </w:p>
    <w:p>
      <w:pPr>
        <w:pStyle w:val="5"/>
        <w:spacing w:before="6"/>
        <w:rPr>
          <w:color w:val="auto"/>
          <w:sz w:val="28"/>
          <w:highlight w:val="none"/>
        </w:rPr>
      </w:pPr>
    </w:p>
    <w:p>
      <w:pPr>
        <w:pStyle w:val="2"/>
        <w:tabs>
          <w:tab w:val="left" w:pos="2128"/>
        </w:tabs>
        <w:rPr>
          <w:color w:val="auto"/>
          <w:highlight w:val="none"/>
        </w:rPr>
      </w:pPr>
      <w:r>
        <w:rPr>
          <w:color w:val="auto"/>
          <w:highlight w:val="none"/>
        </w:rPr>
        <w:t>第二节</w:t>
      </w:r>
      <w:r>
        <w:rPr>
          <w:color w:val="auto"/>
          <w:highlight w:val="none"/>
        </w:rPr>
        <w:tab/>
      </w:r>
      <w:bookmarkStart w:id="27" w:name="_bookmark3"/>
      <w:bookmarkEnd w:id="27"/>
      <w:bookmarkStart w:id="28" w:name="第二节招标文件"/>
      <w:bookmarkEnd w:id="28"/>
      <w:r>
        <w:rPr>
          <w:color w:val="auto"/>
          <w:highlight w:val="none"/>
        </w:rPr>
        <w:t>招标文件</w:t>
      </w:r>
    </w:p>
    <w:p>
      <w:pPr>
        <w:pStyle w:val="5"/>
        <w:spacing w:before="10"/>
        <w:rPr>
          <w:rFonts w:ascii="黑体"/>
          <w:b/>
          <w:color w:val="auto"/>
          <w:sz w:val="34"/>
          <w:highlight w:val="none"/>
        </w:rPr>
      </w:pPr>
    </w:p>
    <w:p>
      <w:pPr>
        <w:pStyle w:val="4"/>
        <w:numPr>
          <w:ilvl w:val="1"/>
          <w:numId w:val="2"/>
        </w:numPr>
        <w:tabs>
          <w:tab w:val="left" w:pos="1303"/>
        </w:tabs>
        <w:spacing w:before="1" w:after="0" w:line="240" w:lineRule="auto"/>
        <w:ind w:left="1302" w:right="0" w:hanging="214"/>
        <w:jc w:val="left"/>
        <w:rPr>
          <w:color w:val="auto"/>
          <w:highlight w:val="none"/>
        </w:rPr>
      </w:pPr>
      <w:bookmarkStart w:id="29" w:name="8.招标文件的组成"/>
      <w:bookmarkEnd w:id="29"/>
      <w:bookmarkStart w:id="30" w:name="8.招标文件的组成"/>
      <w:bookmarkEnd w:id="30"/>
      <w:r>
        <w:rPr>
          <w:color w:val="auto"/>
          <w:highlight w:val="none"/>
        </w:rPr>
        <w:t>招标文件的组成</w:t>
      </w:r>
    </w:p>
    <w:p>
      <w:pPr>
        <w:pStyle w:val="11"/>
        <w:numPr>
          <w:ilvl w:val="2"/>
          <w:numId w:val="2"/>
        </w:numPr>
        <w:tabs>
          <w:tab w:val="left" w:pos="1497"/>
        </w:tabs>
        <w:spacing w:before="57" w:after="0" w:line="240" w:lineRule="auto"/>
        <w:ind w:left="1496" w:right="0" w:hanging="420"/>
        <w:jc w:val="left"/>
        <w:rPr>
          <w:color w:val="auto"/>
          <w:sz w:val="21"/>
          <w:highlight w:val="none"/>
        </w:rPr>
      </w:pPr>
      <w:r>
        <w:rPr>
          <w:color w:val="auto"/>
          <w:sz w:val="21"/>
          <w:highlight w:val="none"/>
        </w:rPr>
        <w:t>招标文件包括下列内容：</w:t>
      </w:r>
    </w:p>
    <w:p>
      <w:pPr>
        <w:pStyle w:val="11"/>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投标须知及投标须知前附表；</w:t>
      </w:r>
    </w:p>
    <w:p>
      <w:pPr>
        <w:pStyle w:val="11"/>
        <w:numPr>
          <w:ilvl w:val="0"/>
          <w:numId w:val="8"/>
        </w:numPr>
        <w:tabs>
          <w:tab w:val="left" w:pos="1461"/>
        </w:tabs>
        <w:spacing w:before="60" w:after="0" w:line="240" w:lineRule="auto"/>
        <w:ind w:left="1460" w:right="0" w:hanging="525"/>
        <w:jc w:val="left"/>
        <w:rPr>
          <w:color w:val="auto"/>
          <w:sz w:val="21"/>
          <w:highlight w:val="none"/>
        </w:rPr>
      </w:pPr>
      <w:r>
        <w:rPr>
          <w:color w:val="auto"/>
          <w:w w:val="95"/>
          <w:sz w:val="21"/>
          <w:highlight w:val="none"/>
        </w:rPr>
        <w:t>评标办法；</w:t>
      </w:r>
    </w:p>
    <w:p>
      <w:pPr>
        <w:pStyle w:val="11"/>
        <w:numPr>
          <w:ilvl w:val="0"/>
          <w:numId w:val="8"/>
        </w:numPr>
        <w:tabs>
          <w:tab w:val="left" w:pos="1460"/>
        </w:tabs>
        <w:spacing w:before="57" w:after="0" w:line="240" w:lineRule="auto"/>
        <w:ind w:left="1459" w:right="0" w:hanging="524"/>
        <w:jc w:val="left"/>
        <w:rPr>
          <w:color w:val="auto"/>
          <w:sz w:val="21"/>
          <w:highlight w:val="none"/>
        </w:rPr>
      </w:pPr>
      <w:r>
        <w:rPr>
          <w:color w:val="auto"/>
          <w:w w:val="95"/>
          <w:sz w:val="21"/>
          <w:highlight w:val="none"/>
        </w:rPr>
        <w:t>合同条款；</w:t>
      </w:r>
    </w:p>
    <w:p>
      <w:pPr>
        <w:pStyle w:val="11"/>
        <w:numPr>
          <w:ilvl w:val="0"/>
          <w:numId w:val="8"/>
        </w:numPr>
        <w:tabs>
          <w:tab w:val="left" w:pos="1460"/>
        </w:tabs>
        <w:spacing w:before="58" w:after="0" w:line="240" w:lineRule="auto"/>
        <w:ind w:left="1459" w:right="0" w:hanging="524"/>
        <w:jc w:val="left"/>
        <w:rPr>
          <w:color w:val="auto"/>
          <w:sz w:val="21"/>
          <w:highlight w:val="none"/>
        </w:rPr>
      </w:pPr>
      <w:r>
        <w:rPr>
          <w:color w:val="auto"/>
          <w:sz w:val="21"/>
          <w:highlight w:val="none"/>
        </w:rPr>
        <w:t>投标承诺书格式及辅助资料表格式等；</w:t>
      </w:r>
    </w:p>
    <w:p>
      <w:pPr>
        <w:pStyle w:val="11"/>
        <w:numPr>
          <w:ilvl w:val="0"/>
          <w:numId w:val="8"/>
        </w:numPr>
        <w:tabs>
          <w:tab w:val="left" w:pos="1460"/>
        </w:tabs>
        <w:spacing w:before="57" w:after="0" w:line="240" w:lineRule="auto"/>
        <w:ind w:left="1459" w:right="0" w:hanging="524"/>
        <w:jc w:val="left"/>
        <w:rPr>
          <w:color w:val="auto"/>
          <w:sz w:val="21"/>
          <w:highlight w:val="none"/>
        </w:rPr>
      </w:pPr>
      <w:r>
        <w:rPr>
          <w:color w:val="auto"/>
          <w:sz w:val="21"/>
          <w:highlight w:val="none"/>
        </w:rPr>
        <w:t>有关图纸及资料。</w:t>
      </w:r>
    </w:p>
    <w:p>
      <w:pPr>
        <w:pStyle w:val="4"/>
        <w:numPr>
          <w:ilvl w:val="2"/>
          <w:numId w:val="2"/>
        </w:numPr>
        <w:tabs>
          <w:tab w:val="left" w:pos="1497"/>
        </w:tabs>
        <w:spacing w:before="57" w:after="0" w:line="290" w:lineRule="auto"/>
        <w:ind w:left="656" w:right="448" w:firstLine="420"/>
        <w:jc w:val="left"/>
        <w:rPr>
          <w:rFonts w:hint="eastAsia" w:ascii="黑体" w:eastAsia="黑体"/>
          <w:b/>
          <w:color w:val="auto"/>
          <w:sz w:val="21"/>
          <w:highlight w:val="none"/>
        </w:rPr>
      </w:pPr>
      <w:r>
        <w:rPr>
          <w:color w:val="auto"/>
          <w:w w:val="95"/>
          <w:highlight w:val="none"/>
        </w:rPr>
        <w:t>除上款内容外，招标人在提交投标文件截止时间前，发布在交易场所</w:t>
      </w:r>
      <w:r>
        <w:rPr>
          <w:color w:val="auto"/>
          <w:spacing w:val="4"/>
          <w:w w:val="95"/>
          <w:highlight w:val="none"/>
        </w:rPr>
        <w:t>（</w:t>
      </w:r>
      <w:r>
        <w:rPr>
          <w:color w:val="auto"/>
          <w:w w:val="95"/>
          <w:highlight w:val="none"/>
        </w:rPr>
        <w:t>发布招标公告的媒体</w:t>
      </w:r>
      <w:r>
        <w:rPr>
          <w:color w:val="auto"/>
          <w:spacing w:val="4"/>
          <w:w w:val="95"/>
          <w:highlight w:val="none"/>
        </w:rPr>
        <w:t>上</w:t>
      </w:r>
      <w:r>
        <w:rPr>
          <w:color w:val="auto"/>
          <w:w w:val="95"/>
          <w:highlight w:val="none"/>
        </w:rPr>
        <w:t>）对招标文件的澄清或修改内容，均为招标文件的组成部分，对招标人和投标人起约束作用，投标</w:t>
      </w:r>
      <w:r>
        <w:rPr>
          <w:rFonts w:hint="eastAsia" w:ascii="黑体" w:eastAsia="黑体"/>
          <w:b/>
          <w:color w:val="auto"/>
          <w:sz w:val="21"/>
          <w:highlight w:val="none"/>
        </w:rPr>
        <w:t>人应经常浏览发布招标公告的媒体。</w:t>
      </w:r>
    </w:p>
    <w:p>
      <w:pPr>
        <w:pStyle w:val="11"/>
        <w:numPr>
          <w:ilvl w:val="2"/>
          <w:numId w:val="2"/>
        </w:numPr>
        <w:tabs>
          <w:tab w:val="left" w:pos="1497"/>
        </w:tabs>
        <w:spacing w:before="57" w:after="0" w:line="290" w:lineRule="auto"/>
        <w:ind w:left="656" w:right="377" w:firstLine="420"/>
        <w:jc w:val="left"/>
        <w:rPr>
          <w:color w:val="auto"/>
          <w:sz w:val="21"/>
          <w:highlight w:val="none"/>
        </w:rPr>
      </w:pPr>
      <w:r>
        <w:rPr>
          <w:color w:val="auto"/>
          <w:spacing w:val="-1"/>
          <w:w w:val="95"/>
          <w:sz w:val="21"/>
          <w:highlight w:val="none"/>
        </w:rPr>
        <w:t>投标人通过在交易场所</w:t>
      </w:r>
      <w:r>
        <w:rPr>
          <w:color w:val="auto"/>
          <w:w w:val="95"/>
          <w:sz w:val="21"/>
          <w:highlight w:val="none"/>
        </w:rPr>
        <w:t>（发布招标公告的媒体上</w:t>
      </w:r>
      <w:r>
        <w:rPr>
          <w:color w:val="auto"/>
          <w:spacing w:val="-10"/>
          <w:w w:val="95"/>
          <w:sz w:val="21"/>
          <w:highlight w:val="none"/>
        </w:rPr>
        <w:t>）</w:t>
      </w:r>
      <w:r>
        <w:rPr>
          <w:color w:val="auto"/>
          <w:w w:val="95"/>
          <w:sz w:val="21"/>
          <w:highlight w:val="none"/>
        </w:rPr>
        <w:t>自行下载的方式获取招标文件及相关附件。</w:t>
      </w:r>
      <w:r>
        <w:rPr>
          <w:color w:val="auto"/>
          <w:sz w:val="21"/>
          <w:highlight w:val="none"/>
        </w:rPr>
        <w:t>投标人在获取招标文件后，应仔细检查招标文件的所有内容，如有残缺等问题应自招标文件发布在交</w:t>
      </w:r>
      <w:r>
        <w:rPr>
          <w:color w:val="auto"/>
          <w:spacing w:val="-5"/>
          <w:sz w:val="21"/>
          <w:highlight w:val="none"/>
        </w:rPr>
        <w:t>易场所</w:t>
      </w:r>
      <w:r>
        <w:rPr>
          <w:color w:val="auto"/>
          <w:sz w:val="21"/>
          <w:highlight w:val="none"/>
        </w:rPr>
        <w:t>（发布招标公告的媒体上</w:t>
      </w:r>
      <w:r>
        <w:rPr>
          <w:color w:val="auto"/>
          <w:spacing w:val="-7"/>
          <w:sz w:val="21"/>
          <w:highlight w:val="none"/>
        </w:rPr>
        <w:t>）3</w:t>
      </w:r>
      <w:r>
        <w:rPr>
          <w:color w:val="auto"/>
          <w:spacing w:val="-11"/>
          <w:sz w:val="21"/>
          <w:highlight w:val="none"/>
        </w:rPr>
        <w:t xml:space="preserve"> 日内向招标人提出，否则，由此引起的损失由投标人自己承担。投</w:t>
      </w:r>
      <w:r>
        <w:rPr>
          <w:color w:val="auto"/>
          <w:spacing w:val="-2"/>
          <w:sz w:val="21"/>
          <w:highlight w:val="none"/>
        </w:rPr>
        <w:t>标人应同时认真审阅招标文件中所有的事项、格式、条款和规范要求等，若投标人的投标文件没有按招标文件要求提交全部资料，或投标文件没有对招标文件做出实质性响应，其风险由投标人自</w:t>
      </w:r>
      <w:r>
        <w:rPr>
          <w:color w:val="auto"/>
          <w:spacing w:val="-4"/>
          <w:w w:val="95"/>
          <w:sz w:val="21"/>
          <w:highlight w:val="none"/>
        </w:rPr>
        <w:t>行承担，</w:t>
      </w:r>
      <w:r>
        <w:rPr>
          <w:color w:val="auto"/>
          <w:spacing w:val="-4"/>
          <w:sz w:val="21"/>
          <w:highlight w:val="none"/>
        </w:rPr>
        <w:t>并根据有关条款规定，该投标有可能被拒绝。</w:t>
      </w:r>
    </w:p>
    <w:p>
      <w:pPr>
        <w:pStyle w:val="5"/>
        <w:spacing w:before="9"/>
        <w:rPr>
          <w:color w:val="auto"/>
          <w:sz w:val="28"/>
          <w:highlight w:val="none"/>
        </w:rPr>
      </w:pPr>
    </w:p>
    <w:p>
      <w:pPr>
        <w:pStyle w:val="4"/>
        <w:numPr>
          <w:ilvl w:val="1"/>
          <w:numId w:val="2"/>
        </w:numPr>
        <w:tabs>
          <w:tab w:val="left" w:pos="1303"/>
        </w:tabs>
        <w:spacing w:before="0" w:after="0" w:line="240" w:lineRule="auto"/>
        <w:ind w:left="1302" w:right="0" w:hanging="214"/>
        <w:jc w:val="left"/>
        <w:rPr>
          <w:color w:val="auto"/>
          <w:highlight w:val="none"/>
        </w:rPr>
      </w:pPr>
      <w:bookmarkStart w:id="31" w:name="9.招标文件的澄清"/>
      <w:bookmarkEnd w:id="31"/>
      <w:bookmarkStart w:id="32" w:name="9.招标文件的澄清"/>
      <w:bookmarkEnd w:id="32"/>
      <w:r>
        <w:rPr>
          <w:color w:val="auto"/>
          <w:highlight w:val="none"/>
        </w:rPr>
        <w:t>招标文件的澄清</w:t>
      </w:r>
    </w:p>
    <w:p>
      <w:pPr>
        <w:pStyle w:val="11"/>
        <w:numPr>
          <w:ilvl w:val="2"/>
          <w:numId w:val="2"/>
        </w:numPr>
        <w:tabs>
          <w:tab w:val="left" w:pos="1497"/>
        </w:tabs>
        <w:spacing w:before="57" w:after="0" w:line="290" w:lineRule="auto"/>
        <w:ind w:left="656" w:right="479" w:firstLine="420"/>
        <w:jc w:val="both"/>
        <w:rPr>
          <w:color w:val="auto"/>
          <w:sz w:val="21"/>
          <w:highlight w:val="none"/>
        </w:rPr>
      </w:pPr>
      <w:r>
        <w:rPr>
          <w:color w:val="auto"/>
          <w:sz w:val="21"/>
          <w:highlight w:val="none"/>
        </w:rPr>
        <w:t>投标人获取招标文件后，若有问题需要澄清，应自招标文件发布在交易场所（发布招标公告的媒体上</w:t>
      </w:r>
      <w:r>
        <w:rPr>
          <w:color w:val="auto"/>
          <w:spacing w:val="-7"/>
          <w:sz w:val="21"/>
          <w:highlight w:val="none"/>
        </w:rPr>
        <w:t>）3</w:t>
      </w:r>
      <w:r>
        <w:rPr>
          <w:color w:val="auto"/>
          <w:spacing w:val="-11"/>
          <w:sz w:val="21"/>
          <w:highlight w:val="none"/>
        </w:rPr>
        <w:t xml:space="preserve"> 日内，以无记名书面形式</w:t>
      </w:r>
      <w:r>
        <w:rPr>
          <w:color w:val="auto"/>
          <w:sz w:val="21"/>
          <w:highlight w:val="none"/>
        </w:rPr>
        <w:t>（格式参考招标文件附件</w:t>
      </w:r>
      <w:r>
        <w:rPr>
          <w:color w:val="auto"/>
          <w:spacing w:val="-13"/>
          <w:sz w:val="21"/>
          <w:highlight w:val="none"/>
        </w:rPr>
        <w:t>）</w:t>
      </w:r>
      <w:r>
        <w:rPr>
          <w:color w:val="auto"/>
          <w:spacing w:val="-2"/>
          <w:sz w:val="21"/>
          <w:highlight w:val="none"/>
        </w:rPr>
        <w:t>向招标人提出，招标人的答复将发布</w:t>
      </w:r>
      <w:r>
        <w:rPr>
          <w:color w:val="auto"/>
          <w:spacing w:val="-4"/>
          <w:w w:val="95"/>
          <w:sz w:val="21"/>
          <w:highlight w:val="none"/>
        </w:rPr>
        <w:t>在交易场所</w:t>
      </w:r>
      <w:r>
        <w:rPr>
          <w:color w:val="auto"/>
          <w:w w:val="95"/>
          <w:sz w:val="21"/>
          <w:highlight w:val="none"/>
        </w:rPr>
        <w:t>（发布招标公告的媒体上</w:t>
      </w:r>
      <w:r>
        <w:rPr>
          <w:color w:val="auto"/>
          <w:spacing w:val="-104"/>
          <w:w w:val="95"/>
          <w:sz w:val="21"/>
          <w:highlight w:val="none"/>
        </w:rPr>
        <w:t>）</w:t>
      </w:r>
      <w:r>
        <w:rPr>
          <w:color w:val="auto"/>
          <w:spacing w:val="-3"/>
          <w:w w:val="95"/>
          <w:sz w:val="21"/>
          <w:highlight w:val="none"/>
        </w:rPr>
        <w:t>。招标人及招标代理机构的任何工作人员对投标人所作的任何口</w:t>
      </w:r>
      <w:r>
        <w:rPr>
          <w:color w:val="auto"/>
          <w:spacing w:val="-3"/>
          <w:sz w:val="21"/>
          <w:highlight w:val="none"/>
        </w:rPr>
        <w:t>头解释、介绍、答复，只能供投标人参考，对招标人无任何约束力。</w:t>
      </w:r>
    </w:p>
    <w:p>
      <w:pPr>
        <w:pStyle w:val="5"/>
        <w:spacing w:before="7"/>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33" w:name="10.招标文件的修改"/>
      <w:bookmarkEnd w:id="33"/>
      <w:bookmarkStart w:id="34" w:name="10.招标文件的修改"/>
      <w:bookmarkEnd w:id="34"/>
      <w:r>
        <w:rPr>
          <w:color w:val="auto"/>
          <w:highlight w:val="none"/>
        </w:rPr>
        <w:t>招标文件的修改</w:t>
      </w:r>
    </w:p>
    <w:p>
      <w:pPr>
        <w:pStyle w:val="11"/>
        <w:numPr>
          <w:ilvl w:val="2"/>
          <w:numId w:val="2"/>
        </w:numPr>
        <w:tabs>
          <w:tab w:val="left" w:pos="1603"/>
        </w:tabs>
        <w:spacing w:before="57" w:after="0" w:line="290" w:lineRule="auto"/>
        <w:ind w:left="656" w:right="481" w:firstLine="420"/>
        <w:jc w:val="both"/>
        <w:rPr>
          <w:color w:val="auto"/>
          <w:sz w:val="21"/>
          <w:highlight w:val="none"/>
        </w:rPr>
      </w:pPr>
      <w:r>
        <w:rPr>
          <w:color w:val="auto"/>
          <w:spacing w:val="-8"/>
          <w:sz w:val="21"/>
          <w:highlight w:val="none"/>
        </w:rPr>
        <w:t>招标人可以对已发出的招标文件进行必要的澄清或者修改。澄清或者修改的内容可能影响投</w:t>
      </w:r>
      <w:r>
        <w:rPr>
          <w:color w:val="auto"/>
          <w:spacing w:val="-1"/>
          <w:w w:val="95"/>
          <w:sz w:val="21"/>
          <w:highlight w:val="none"/>
        </w:rPr>
        <w:t xml:space="preserve">   </w:t>
      </w:r>
      <w:r>
        <w:rPr>
          <w:color w:val="auto"/>
          <w:spacing w:val="-6"/>
          <w:sz w:val="21"/>
          <w:highlight w:val="none"/>
        </w:rPr>
        <w:t xml:space="preserve">标文件编制的，招标人应当在提交投标截止时间至少 </w:t>
      </w:r>
      <w:r>
        <w:rPr>
          <w:color w:val="auto"/>
          <w:sz w:val="21"/>
          <w:highlight w:val="none"/>
        </w:rPr>
        <w:t>15</w:t>
      </w:r>
      <w:r>
        <w:rPr>
          <w:color w:val="auto"/>
          <w:spacing w:val="-9"/>
          <w:sz w:val="21"/>
          <w:highlight w:val="none"/>
        </w:rPr>
        <w:t xml:space="preserve"> 日前，以书面形式通知所有获取招标文件的潜</w:t>
      </w:r>
      <w:r>
        <w:rPr>
          <w:color w:val="auto"/>
          <w:spacing w:val="-15"/>
          <w:sz w:val="21"/>
          <w:highlight w:val="none"/>
        </w:rPr>
        <w:t xml:space="preserve">在投标人；不足 </w:t>
      </w:r>
      <w:r>
        <w:rPr>
          <w:color w:val="auto"/>
          <w:sz w:val="21"/>
          <w:highlight w:val="none"/>
        </w:rPr>
        <w:t>15</w:t>
      </w:r>
      <w:r>
        <w:rPr>
          <w:color w:val="auto"/>
          <w:spacing w:val="-8"/>
          <w:sz w:val="21"/>
          <w:highlight w:val="none"/>
        </w:rPr>
        <w:t xml:space="preserve"> 日的，招标人应当顺延提交投标文件的截止时间。</w:t>
      </w:r>
    </w:p>
    <w:p>
      <w:pPr>
        <w:pStyle w:val="5"/>
        <w:spacing w:before="6"/>
        <w:rPr>
          <w:color w:val="auto"/>
          <w:sz w:val="28"/>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35" w:name="11.招标文件的备案"/>
      <w:bookmarkEnd w:id="35"/>
      <w:bookmarkStart w:id="36" w:name="11.招标文件的备案"/>
      <w:bookmarkEnd w:id="36"/>
      <w:r>
        <w:rPr>
          <w:color w:val="auto"/>
          <w:highlight w:val="none"/>
        </w:rPr>
        <w:t>招标文件的备案</w:t>
      </w:r>
    </w:p>
    <w:p>
      <w:pPr>
        <w:pStyle w:val="11"/>
        <w:numPr>
          <w:ilvl w:val="2"/>
          <w:numId w:val="2"/>
        </w:numPr>
        <w:tabs>
          <w:tab w:val="left" w:pos="1603"/>
        </w:tabs>
        <w:spacing w:before="55" w:after="0" w:line="240" w:lineRule="auto"/>
        <w:ind w:left="1602" w:right="0" w:hanging="526"/>
        <w:jc w:val="left"/>
        <w:rPr>
          <w:color w:val="auto"/>
          <w:sz w:val="21"/>
          <w:highlight w:val="none"/>
        </w:rPr>
      </w:pPr>
      <w:r>
        <w:rPr>
          <w:color w:val="auto"/>
          <w:sz w:val="21"/>
          <w:highlight w:val="none"/>
        </w:rPr>
        <w:t>本招标文件（包括澄清、修改、补充文件、答复等）未经招标监管机构备案的一律无效。</w:t>
      </w:r>
    </w:p>
    <w:p>
      <w:pPr>
        <w:pStyle w:val="5"/>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37" w:name="12.招标文件的解释权"/>
      <w:bookmarkEnd w:id="37"/>
      <w:bookmarkStart w:id="38" w:name="12.招标文件的解释权"/>
      <w:bookmarkEnd w:id="38"/>
      <w:r>
        <w:rPr>
          <w:color w:val="auto"/>
          <w:highlight w:val="none"/>
        </w:rPr>
        <w:t>招标文件的解释权</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本招标文件（包括澄清、修改、补充文件、答复等）的解释权属招标人。</w:t>
      </w:r>
    </w:p>
    <w:p>
      <w:pPr>
        <w:pStyle w:val="5"/>
        <w:spacing w:before="6"/>
        <w:rPr>
          <w:color w:val="auto"/>
          <w:sz w:val="26"/>
          <w:highlight w:val="none"/>
        </w:rPr>
      </w:pPr>
    </w:p>
    <w:p>
      <w:pPr>
        <w:pStyle w:val="2"/>
        <w:tabs>
          <w:tab w:val="left" w:pos="5175"/>
        </w:tabs>
        <w:ind w:left="3913"/>
        <w:jc w:val="left"/>
        <w:rPr>
          <w:color w:val="auto"/>
          <w:highlight w:val="none"/>
        </w:rPr>
      </w:pPr>
      <w:r>
        <w:rPr>
          <w:color w:val="auto"/>
          <w:highlight w:val="none"/>
        </w:rPr>
        <w:t>第三节</w:t>
      </w:r>
      <w:r>
        <w:rPr>
          <w:color w:val="auto"/>
          <w:highlight w:val="none"/>
        </w:rPr>
        <w:tab/>
      </w:r>
      <w:bookmarkStart w:id="39" w:name="_bookmark4"/>
      <w:bookmarkEnd w:id="39"/>
      <w:bookmarkStart w:id="40" w:name="第三节投标文件的编制"/>
      <w:bookmarkEnd w:id="40"/>
      <w:r>
        <w:rPr>
          <w:color w:val="auto"/>
          <w:highlight w:val="none"/>
        </w:rPr>
        <w:t>投标文件的编制</w:t>
      </w:r>
    </w:p>
    <w:p>
      <w:pPr>
        <w:pStyle w:val="5"/>
        <w:spacing w:before="11"/>
        <w:rPr>
          <w:rFonts w:ascii="黑体"/>
          <w:b/>
          <w:color w:val="auto"/>
          <w:sz w:val="27"/>
          <w:highlight w:val="none"/>
        </w:rPr>
      </w:pPr>
    </w:p>
    <w:p>
      <w:pPr>
        <w:pStyle w:val="4"/>
        <w:numPr>
          <w:ilvl w:val="1"/>
          <w:numId w:val="2"/>
        </w:numPr>
        <w:tabs>
          <w:tab w:val="left" w:pos="1514"/>
        </w:tabs>
        <w:spacing w:before="0" w:after="0" w:line="240" w:lineRule="auto"/>
        <w:ind w:left="1513" w:right="0" w:hanging="319"/>
        <w:jc w:val="left"/>
        <w:rPr>
          <w:color w:val="auto"/>
          <w:highlight w:val="none"/>
        </w:rPr>
      </w:pPr>
      <w:bookmarkStart w:id="41" w:name="13.投标文件的组成"/>
      <w:bookmarkEnd w:id="41"/>
      <w:bookmarkStart w:id="42" w:name="13.投标文件的组成"/>
      <w:bookmarkEnd w:id="42"/>
      <w:r>
        <w:rPr>
          <w:color w:val="auto"/>
          <w:highlight w:val="none"/>
        </w:rPr>
        <w:t>投标文件的组成</w:t>
      </w:r>
    </w:p>
    <w:p>
      <w:pPr>
        <w:pStyle w:val="11"/>
        <w:numPr>
          <w:ilvl w:val="2"/>
          <w:numId w:val="2"/>
        </w:numPr>
        <w:tabs>
          <w:tab w:val="left" w:pos="1728"/>
        </w:tabs>
        <w:spacing w:before="31" w:after="0" w:line="240" w:lineRule="auto"/>
        <w:ind w:left="1727" w:right="0" w:hanging="523"/>
        <w:jc w:val="left"/>
        <w:rPr>
          <w:color w:val="auto"/>
          <w:sz w:val="21"/>
          <w:highlight w:val="none"/>
        </w:rPr>
      </w:pPr>
      <w:r>
        <w:rPr>
          <w:color w:val="auto"/>
          <w:spacing w:val="-3"/>
          <w:sz w:val="21"/>
          <w:highlight w:val="none"/>
        </w:rPr>
        <w:t xml:space="preserve">本招标工程项目的投标文件组成详见本须知前附表第 </w:t>
      </w:r>
      <w:r>
        <w:rPr>
          <w:color w:val="auto"/>
          <w:sz w:val="21"/>
          <w:highlight w:val="none"/>
        </w:rPr>
        <w:t>8</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59" w:after="0" w:line="240" w:lineRule="auto"/>
        <w:ind w:left="1407" w:right="0" w:hanging="319"/>
        <w:jc w:val="left"/>
        <w:rPr>
          <w:color w:val="auto"/>
          <w:highlight w:val="none"/>
        </w:rPr>
      </w:pPr>
      <w:bookmarkStart w:id="43" w:name="14.投标文件的格式"/>
      <w:bookmarkEnd w:id="43"/>
      <w:bookmarkStart w:id="44" w:name="14.投标文件的格式"/>
      <w:bookmarkEnd w:id="44"/>
      <w:r>
        <w:rPr>
          <w:color w:val="auto"/>
          <w:highlight w:val="none"/>
        </w:rPr>
        <w:t>投标文件的格式</w:t>
      </w:r>
    </w:p>
    <w:p>
      <w:pPr>
        <w:pStyle w:val="11"/>
        <w:numPr>
          <w:ilvl w:val="2"/>
          <w:numId w:val="2"/>
        </w:numPr>
        <w:tabs>
          <w:tab w:val="left" w:pos="1603"/>
        </w:tabs>
        <w:spacing w:before="62" w:after="0" w:line="240" w:lineRule="auto"/>
        <w:ind w:left="1602" w:right="0" w:hanging="526"/>
        <w:jc w:val="left"/>
        <w:rPr>
          <w:color w:val="auto"/>
          <w:sz w:val="21"/>
          <w:highlight w:val="none"/>
        </w:rPr>
      </w:pPr>
      <w:r>
        <w:rPr>
          <w:color w:val="auto"/>
          <w:spacing w:val="-3"/>
          <w:sz w:val="21"/>
          <w:highlight w:val="none"/>
        </w:rPr>
        <w:t xml:space="preserve">本招标工程项目的投标文件格式要求详见本须知前附表第 </w:t>
      </w:r>
      <w:r>
        <w:rPr>
          <w:color w:val="auto"/>
          <w:sz w:val="21"/>
          <w:highlight w:val="none"/>
        </w:rPr>
        <w:t>9</w:t>
      </w:r>
      <w:r>
        <w:rPr>
          <w:color w:val="auto"/>
          <w:spacing w:val="-18"/>
          <w:sz w:val="21"/>
          <w:highlight w:val="none"/>
        </w:rPr>
        <w:t xml:space="preserve"> 项。</w:t>
      </w:r>
    </w:p>
    <w:p>
      <w:pPr>
        <w:pStyle w:val="11"/>
        <w:numPr>
          <w:ilvl w:val="2"/>
          <w:numId w:val="2"/>
        </w:numPr>
        <w:tabs>
          <w:tab w:val="left" w:pos="1603"/>
        </w:tabs>
        <w:spacing w:before="60" w:after="0" w:line="295" w:lineRule="auto"/>
        <w:ind w:left="656" w:right="484" w:firstLine="420"/>
        <w:jc w:val="both"/>
        <w:rPr>
          <w:color w:val="auto"/>
          <w:sz w:val="21"/>
          <w:highlight w:val="none"/>
        </w:rPr>
      </w:pPr>
      <w:r>
        <w:rPr>
          <w:color w:val="auto"/>
          <w:spacing w:val="-2"/>
          <w:w w:val="95"/>
          <w:sz w:val="21"/>
          <w:highlight w:val="none"/>
        </w:rPr>
        <w:t>投标人与招标人之间与投标有关的所有往来通知、函件和投标文件均应用中文。投标人随投</w:t>
      </w:r>
      <w:r>
        <w:rPr>
          <w:color w:val="auto"/>
          <w:sz w:val="21"/>
          <w:highlight w:val="none"/>
        </w:rPr>
        <w:t>标文件提供的证明文件和资料可以为其他语言，但必须附中文译文。在此，为了解释投标文件，应以中文为准。</w:t>
      </w:r>
    </w:p>
    <w:p>
      <w:pPr>
        <w:pStyle w:val="11"/>
        <w:numPr>
          <w:ilvl w:val="2"/>
          <w:numId w:val="2"/>
        </w:numPr>
        <w:tabs>
          <w:tab w:val="left" w:pos="1603"/>
        </w:tabs>
        <w:spacing w:before="0" w:after="0" w:line="267" w:lineRule="exact"/>
        <w:ind w:left="1602" w:right="0" w:hanging="526"/>
        <w:jc w:val="left"/>
        <w:rPr>
          <w:color w:val="auto"/>
          <w:sz w:val="21"/>
          <w:highlight w:val="none"/>
        </w:rPr>
      </w:pPr>
      <w:r>
        <w:rPr>
          <w:color w:val="auto"/>
          <w:spacing w:val="-9"/>
          <w:sz w:val="21"/>
          <w:highlight w:val="none"/>
        </w:rPr>
        <w:t>除技术规范另有规定外，投标文件使用的度量衡单位，均采用中华人民共和国法定计量单位。</w:t>
      </w:r>
    </w:p>
    <w:p>
      <w:pPr>
        <w:pStyle w:val="5"/>
        <w:rPr>
          <w:color w:val="auto"/>
          <w:sz w:val="20"/>
          <w:highlight w:val="none"/>
        </w:rPr>
      </w:pPr>
    </w:p>
    <w:p>
      <w:pPr>
        <w:pStyle w:val="4"/>
        <w:numPr>
          <w:ilvl w:val="1"/>
          <w:numId w:val="2"/>
        </w:numPr>
        <w:tabs>
          <w:tab w:val="left" w:pos="1408"/>
        </w:tabs>
        <w:spacing w:before="163" w:after="0" w:line="240" w:lineRule="auto"/>
        <w:ind w:left="1407" w:right="0" w:hanging="319"/>
        <w:jc w:val="left"/>
        <w:rPr>
          <w:color w:val="auto"/>
          <w:highlight w:val="none"/>
        </w:rPr>
      </w:pPr>
      <w:bookmarkStart w:id="45" w:name="15.投标报价组成及要求"/>
      <w:bookmarkEnd w:id="45"/>
      <w:bookmarkStart w:id="46" w:name="15.投标报价组成及要求"/>
      <w:bookmarkEnd w:id="46"/>
      <w:r>
        <w:rPr>
          <w:color w:val="auto"/>
          <w:highlight w:val="none"/>
        </w:rPr>
        <w:t>投标报价组成及要求</w:t>
      </w:r>
    </w:p>
    <w:p>
      <w:pPr>
        <w:pStyle w:val="11"/>
        <w:numPr>
          <w:ilvl w:val="2"/>
          <w:numId w:val="2"/>
        </w:numPr>
        <w:tabs>
          <w:tab w:val="left" w:pos="1603"/>
        </w:tabs>
        <w:spacing w:before="63" w:after="0" w:line="295" w:lineRule="auto"/>
        <w:ind w:left="656" w:right="484" w:firstLine="420"/>
        <w:jc w:val="both"/>
        <w:rPr>
          <w:color w:val="auto"/>
          <w:sz w:val="21"/>
          <w:highlight w:val="none"/>
        </w:rPr>
      </w:pPr>
      <w:r>
        <w:rPr>
          <w:color w:val="auto"/>
          <w:spacing w:val="-2"/>
          <w:w w:val="95"/>
          <w:sz w:val="21"/>
          <w:highlight w:val="none"/>
        </w:rPr>
        <w:t>投标人以总报价的形式报价，该投标报价应是招标文件所确定的招标范围内全部工作内容的</w:t>
      </w:r>
      <w:r>
        <w:rPr>
          <w:color w:val="auto"/>
          <w:sz w:val="21"/>
          <w:highlight w:val="none"/>
        </w:rPr>
        <w:t>价格表现。各投标人可根据监理期限和工作内容，结合自身技术与管理水平、经济实力、市场风险等因素自行报价。</w:t>
      </w:r>
    </w:p>
    <w:p>
      <w:pPr>
        <w:pStyle w:val="11"/>
        <w:numPr>
          <w:ilvl w:val="2"/>
          <w:numId w:val="2"/>
        </w:numPr>
        <w:tabs>
          <w:tab w:val="left" w:pos="1603"/>
        </w:tabs>
        <w:spacing w:before="0" w:after="0" w:line="265" w:lineRule="exact"/>
        <w:ind w:left="1602" w:right="0" w:hanging="526"/>
        <w:jc w:val="left"/>
        <w:rPr>
          <w:color w:val="auto"/>
          <w:sz w:val="21"/>
          <w:highlight w:val="none"/>
        </w:rPr>
      </w:pPr>
      <w:r>
        <w:rPr>
          <w:color w:val="auto"/>
          <w:w w:val="95"/>
          <w:sz w:val="21"/>
          <w:highlight w:val="none"/>
        </w:rPr>
        <w:t>投标总报价一次性包死，日后不作任何调整（约定的额外工作和附加工作除外</w:t>
      </w:r>
      <w:r>
        <w:rPr>
          <w:color w:val="auto"/>
          <w:spacing w:val="-104"/>
          <w:w w:val="95"/>
          <w:sz w:val="21"/>
          <w:highlight w:val="none"/>
        </w:rPr>
        <w:t>）</w:t>
      </w:r>
      <w:r>
        <w:rPr>
          <w:color w:val="auto"/>
          <w:w w:val="95"/>
          <w:sz w:val="21"/>
          <w:highlight w:val="none"/>
        </w:rPr>
        <w:t>。</w:t>
      </w:r>
    </w:p>
    <w:p>
      <w:pPr>
        <w:pStyle w:val="4"/>
        <w:numPr>
          <w:ilvl w:val="2"/>
          <w:numId w:val="2"/>
        </w:numPr>
        <w:tabs>
          <w:tab w:val="left" w:pos="1608"/>
        </w:tabs>
        <w:spacing w:before="62" w:after="0" w:line="240" w:lineRule="auto"/>
        <w:ind w:left="1607" w:right="0" w:hanging="526"/>
        <w:jc w:val="left"/>
        <w:rPr>
          <w:rFonts w:ascii="黑体"/>
          <w:b/>
          <w:color w:val="auto"/>
          <w:sz w:val="15"/>
          <w:highlight w:val="none"/>
        </w:rPr>
      </w:pPr>
      <w:r>
        <w:rPr>
          <w:color w:val="auto"/>
          <w:spacing w:val="-4"/>
          <w:highlight w:val="none"/>
        </w:rPr>
        <w:t xml:space="preserve">投标人的报价要求详见本须知前附表第 </w:t>
      </w:r>
      <w:r>
        <w:rPr>
          <w:color w:val="auto"/>
          <w:highlight w:val="none"/>
        </w:rPr>
        <w:t>11</w:t>
      </w:r>
      <w:r>
        <w:rPr>
          <w:color w:val="auto"/>
          <w:spacing w:val="-8"/>
          <w:highlight w:val="none"/>
        </w:rPr>
        <w:t xml:space="preserve"> 项，未按要求报价的，作无效标处理。</w:t>
      </w:r>
    </w:p>
    <w:p>
      <w:pPr>
        <w:pStyle w:val="11"/>
        <w:numPr>
          <w:ilvl w:val="1"/>
          <w:numId w:val="2"/>
        </w:numPr>
        <w:tabs>
          <w:tab w:val="left" w:pos="1408"/>
        </w:tabs>
        <w:spacing w:before="70" w:after="0" w:line="240" w:lineRule="auto"/>
        <w:ind w:left="1407" w:right="0" w:hanging="319"/>
        <w:jc w:val="left"/>
        <w:rPr>
          <w:rFonts w:hint="eastAsia" w:ascii="黑体" w:eastAsia="黑体"/>
          <w:b/>
          <w:color w:val="auto"/>
          <w:sz w:val="21"/>
          <w:highlight w:val="none"/>
        </w:rPr>
      </w:pPr>
      <w:bookmarkStart w:id="47" w:name="16.监理机构组成要求（监理人员基本配备要求）"/>
      <w:bookmarkEnd w:id="47"/>
      <w:bookmarkStart w:id="48" w:name="16.监理机构组成要求（监理人员基本配备要求）"/>
      <w:bookmarkEnd w:id="48"/>
      <w:r>
        <w:rPr>
          <w:rFonts w:hint="eastAsia" w:ascii="黑体" w:eastAsia="黑体"/>
          <w:b/>
          <w:color w:val="auto"/>
          <w:sz w:val="21"/>
          <w:highlight w:val="none"/>
        </w:rPr>
        <w:t>监理机构组成要求（监理人员基本配备要求）</w:t>
      </w:r>
    </w:p>
    <w:p>
      <w:pPr>
        <w:pStyle w:val="11"/>
        <w:numPr>
          <w:ilvl w:val="2"/>
          <w:numId w:val="2"/>
        </w:numPr>
        <w:tabs>
          <w:tab w:val="left" w:pos="1603"/>
        </w:tabs>
        <w:spacing w:before="60" w:after="0" w:line="240" w:lineRule="auto"/>
        <w:ind w:left="1602" w:right="0" w:hanging="526"/>
        <w:jc w:val="left"/>
        <w:rPr>
          <w:color w:val="auto"/>
          <w:sz w:val="21"/>
          <w:highlight w:val="none"/>
        </w:rPr>
      </w:pPr>
      <w:r>
        <w:rPr>
          <w:color w:val="auto"/>
          <w:spacing w:val="-3"/>
          <w:sz w:val="21"/>
          <w:highlight w:val="none"/>
        </w:rPr>
        <w:t xml:space="preserve">本招标工程项目的监理机构组成要求详见本须知前附表第 </w:t>
      </w:r>
      <w:r>
        <w:rPr>
          <w:color w:val="auto"/>
          <w:sz w:val="21"/>
          <w:highlight w:val="none"/>
        </w:rPr>
        <w:t>12</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6" w:after="0" w:line="240" w:lineRule="auto"/>
        <w:ind w:left="1407" w:right="0" w:hanging="319"/>
        <w:jc w:val="left"/>
        <w:rPr>
          <w:color w:val="auto"/>
          <w:highlight w:val="none"/>
        </w:rPr>
      </w:pPr>
      <w:bookmarkStart w:id="49" w:name="17.投标担保"/>
      <w:bookmarkEnd w:id="49"/>
      <w:bookmarkStart w:id="50" w:name="17.投标担保"/>
      <w:bookmarkEnd w:id="50"/>
      <w:r>
        <w:rPr>
          <w:color w:val="auto"/>
          <w:highlight w:val="none"/>
        </w:rPr>
        <w:t>投标担保</w:t>
      </w:r>
    </w:p>
    <w:p>
      <w:pPr>
        <w:pStyle w:val="11"/>
        <w:numPr>
          <w:ilvl w:val="2"/>
          <w:numId w:val="2"/>
        </w:numPr>
        <w:tabs>
          <w:tab w:val="left" w:pos="1603"/>
        </w:tabs>
        <w:spacing w:before="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10</w:t>
      </w:r>
      <w:r>
        <w:rPr>
          <w:color w:val="auto"/>
          <w:spacing w:val="-8"/>
          <w:sz w:val="21"/>
          <w:highlight w:val="none"/>
        </w:rPr>
        <w:t xml:space="preserve"> 项规定提交投标担保，并领取投标担保确认单。</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对于未能按要求提交投标担保的，招标人将视为不响应投标而予以拒绝。</w:t>
      </w:r>
    </w:p>
    <w:p>
      <w:pPr>
        <w:pStyle w:val="11"/>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投标担保按以下方式退还：</w:t>
      </w:r>
    </w:p>
    <w:p>
      <w:pPr>
        <w:pStyle w:val="11"/>
        <w:numPr>
          <w:ilvl w:val="0"/>
          <w:numId w:val="9"/>
        </w:numPr>
        <w:tabs>
          <w:tab w:val="left" w:pos="1455"/>
        </w:tabs>
        <w:spacing w:before="59" w:after="0" w:line="240" w:lineRule="auto"/>
        <w:ind w:left="1454" w:right="0" w:hanging="526"/>
        <w:jc w:val="left"/>
        <w:rPr>
          <w:color w:val="auto"/>
          <w:sz w:val="21"/>
          <w:highlight w:val="none"/>
        </w:rPr>
      </w:pPr>
      <w:r>
        <w:rPr>
          <w:color w:val="auto"/>
          <w:sz w:val="21"/>
          <w:highlight w:val="none"/>
        </w:rPr>
        <w:t>中标人凭《建设工程中标通知书》退还；</w:t>
      </w:r>
    </w:p>
    <w:p>
      <w:pPr>
        <w:pStyle w:val="11"/>
        <w:numPr>
          <w:ilvl w:val="0"/>
          <w:numId w:val="9"/>
        </w:numPr>
        <w:tabs>
          <w:tab w:val="left" w:pos="1455"/>
        </w:tabs>
        <w:spacing w:before="58" w:after="0" w:line="240" w:lineRule="auto"/>
        <w:ind w:left="1454" w:right="0" w:hanging="526"/>
        <w:jc w:val="left"/>
        <w:rPr>
          <w:color w:val="auto"/>
          <w:sz w:val="21"/>
          <w:highlight w:val="none"/>
        </w:rPr>
      </w:pPr>
      <w:r>
        <w:rPr>
          <w:color w:val="auto"/>
          <w:sz w:val="21"/>
          <w:highlight w:val="none"/>
        </w:rPr>
        <w:t>未中标的投标人（含无效标的）开评标结束当场退还；</w:t>
      </w:r>
    </w:p>
    <w:p>
      <w:pPr>
        <w:pStyle w:val="11"/>
        <w:numPr>
          <w:ilvl w:val="2"/>
          <w:numId w:val="2"/>
        </w:numPr>
        <w:tabs>
          <w:tab w:val="left" w:pos="1564"/>
        </w:tabs>
        <w:spacing w:before="57" w:after="0" w:line="240" w:lineRule="auto"/>
        <w:ind w:left="1564" w:right="0" w:hanging="524"/>
        <w:jc w:val="left"/>
        <w:rPr>
          <w:color w:val="auto"/>
          <w:sz w:val="21"/>
          <w:highlight w:val="none"/>
        </w:rPr>
      </w:pPr>
      <w:r>
        <w:rPr>
          <w:color w:val="auto"/>
          <w:sz w:val="21"/>
          <w:highlight w:val="none"/>
        </w:rPr>
        <w:t>投标人有下列情形的，招标人对投标人的投标担保按下列相应规定进行处理：</w:t>
      </w:r>
    </w:p>
    <w:p>
      <w:pPr>
        <w:pStyle w:val="11"/>
        <w:numPr>
          <w:ilvl w:val="0"/>
          <w:numId w:val="10"/>
        </w:numPr>
        <w:tabs>
          <w:tab w:val="left" w:pos="1460"/>
        </w:tabs>
        <w:spacing w:before="57" w:after="0" w:line="292" w:lineRule="auto"/>
        <w:ind w:left="712" w:right="409" w:firstLine="223"/>
        <w:jc w:val="both"/>
        <w:rPr>
          <w:color w:val="auto"/>
          <w:sz w:val="21"/>
          <w:highlight w:val="none"/>
        </w:rPr>
      </w:pPr>
      <w:r>
        <w:rPr>
          <w:color w:val="auto"/>
          <w:spacing w:val="-6"/>
          <w:sz w:val="21"/>
          <w:highlight w:val="none"/>
        </w:rPr>
        <w:t>投标人违反《台州市建设工程诚信投标承诺书》承诺内容，或者对《台州市建设工程投标人资格自查表》和《台州市建设工程项目负责人资格自查表》中的自查内容进行虚假瞒报，在评标过程中</w:t>
      </w:r>
      <w:r>
        <w:rPr>
          <w:color w:val="auto"/>
          <w:spacing w:val="-9"/>
          <w:sz w:val="21"/>
          <w:highlight w:val="none"/>
        </w:rPr>
        <w:t xml:space="preserve">发现并以无效标处理的，对其投标担保总金额的 </w:t>
      </w:r>
      <w:r>
        <w:rPr>
          <w:color w:val="auto"/>
          <w:sz w:val="21"/>
          <w:highlight w:val="none"/>
        </w:rPr>
        <w:t>10%～20</w:t>
      </w:r>
      <w:r>
        <w:rPr>
          <w:color w:val="auto"/>
          <w:spacing w:val="-2"/>
          <w:sz w:val="21"/>
          <w:highlight w:val="none"/>
        </w:rPr>
        <w:t>%不予退还；在评标结束后被查实的，对其投</w:t>
      </w:r>
      <w:r>
        <w:rPr>
          <w:color w:val="auto"/>
          <w:spacing w:val="-10"/>
          <w:sz w:val="21"/>
          <w:highlight w:val="none"/>
        </w:rPr>
        <w:t xml:space="preserve">标担保总金额的 </w:t>
      </w:r>
      <w:r>
        <w:rPr>
          <w:color w:val="auto"/>
          <w:sz w:val="21"/>
          <w:highlight w:val="none"/>
        </w:rPr>
        <w:t>30%～40</w:t>
      </w:r>
      <w:r>
        <w:rPr>
          <w:color w:val="auto"/>
          <w:spacing w:val="-3"/>
          <w:sz w:val="21"/>
          <w:highlight w:val="none"/>
        </w:rPr>
        <w:t xml:space="preserve">%不予退还；涉及中标候选人的，对其投标担保总金额的 </w:t>
      </w:r>
      <w:r>
        <w:rPr>
          <w:color w:val="auto"/>
          <w:sz w:val="21"/>
          <w:highlight w:val="none"/>
        </w:rPr>
        <w:t>50%～60%不予退还；</w:t>
      </w:r>
    </w:p>
    <w:p>
      <w:pPr>
        <w:pStyle w:val="11"/>
        <w:numPr>
          <w:ilvl w:val="0"/>
          <w:numId w:val="10"/>
        </w:numPr>
        <w:tabs>
          <w:tab w:val="left" w:pos="1460"/>
        </w:tabs>
        <w:spacing w:before="0" w:after="0" w:line="290" w:lineRule="auto"/>
        <w:ind w:left="712" w:right="484" w:firstLine="223"/>
        <w:jc w:val="both"/>
        <w:rPr>
          <w:color w:val="auto"/>
          <w:sz w:val="21"/>
          <w:highlight w:val="none"/>
        </w:rPr>
      </w:pPr>
      <w:r>
        <w:rPr>
          <w:color w:val="auto"/>
          <w:spacing w:val="-3"/>
          <w:sz w:val="21"/>
          <w:highlight w:val="none"/>
        </w:rPr>
        <w:t>投标人存在串通投标或弄虚作假违法行为，在评标过程中发现并以无效标处理的，对其投标</w:t>
      </w:r>
      <w:r>
        <w:rPr>
          <w:color w:val="auto"/>
          <w:spacing w:val="-11"/>
          <w:sz w:val="21"/>
          <w:highlight w:val="none"/>
        </w:rPr>
        <w:t xml:space="preserve">担保总金额的 </w:t>
      </w:r>
      <w:r>
        <w:rPr>
          <w:color w:val="auto"/>
          <w:sz w:val="21"/>
          <w:highlight w:val="none"/>
        </w:rPr>
        <w:t>70%～80%不予退还；在评标结束后发现并被查实的，对其投标担保全部不予退还；</w:t>
      </w:r>
    </w:p>
    <w:p>
      <w:pPr>
        <w:pStyle w:val="11"/>
        <w:numPr>
          <w:ilvl w:val="0"/>
          <w:numId w:val="10"/>
        </w:numPr>
        <w:tabs>
          <w:tab w:val="left" w:pos="1460"/>
        </w:tabs>
        <w:spacing w:before="0" w:after="0" w:line="292" w:lineRule="auto"/>
        <w:ind w:left="712" w:right="484" w:firstLine="223"/>
        <w:jc w:val="both"/>
        <w:rPr>
          <w:color w:val="auto"/>
          <w:sz w:val="21"/>
          <w:highlight w:val="none"/>
        </w:rPr>
      </w:pPr>
      <w:r>
        <w:rPr>
          <w:color w:val="auto"/>
          <w:spacing w:val="-2"/>
          <w:sz w:val="21"/>
          <w:highlight w:val="none"/>
        </w:rPr>
        <w:t>投</w:t>
      </w:r>
      <w:r>
        <w:rPr>
          <w:color w:val="auto"/>
          <w:spacing w:val="-13"/>
          <w:sz w:val="21"/>
          <w:highlight w:val="none"/>
        </w:rPr>
        <w:t>标人放弃中标候选人或中标资格的（包括中标人无正当理由不与招标人订立合同；在签订合同时向招标人提出附加条件；不按照招标文件要求提交安全资格审查材料和履约担保）</w:t>
      </w:r>
      <w:r>
        <w:rPr>
          <w:color w:val="auto"/>
          <w:spacing w:val="-13"/>
          <w:w w:val="95"/>
          <w:sz w:val="21"/>
          <w:highlight w:val="none"/>
        </w:rPr>
        <w:t>，对其投标担</w:t>
      </w:r>
      <w:r>
        <w:rPr>
          <w:color w:val="auto"/>
          <w:spacing w:val="-13"/>
          <w:sz w:val="21"/>
          <w:highlight w:val="none"/>
        </w:rPr>
        <w:t>保全部不予退还；对招标人造成的经济损失（包括报价的差额损失）超过投标担保总金额的，应对超过部分予以赔偿；</w:t>
      </w:r>
    </w:p>
    <w:p>
      <w:pPr>
        <w:pStyle w:val="11"/>
        <w:numPr>
          <w:ilvl w:val="0"/>
          <w:numId w:val="10"/>
        </w:numPr>
        <w:tabs>
          <w:tab w:val="left" w:pos="1460"/>
        </w:tabs>
        <w:spacing w:before="0" w:after="0" w:line="264" w:lineRule="exact"/>
        <w:ind w:left="1459" w:right="0" w:hanging="524"/>
        <w:jc w:val="left"/>
        <w:rPr>
          <w:color w:val="auto"/>
          <w:sz w:val="21"/>
          <w:highlight w:val="none"/>
        </w:rPr>
      </w:pPr>
      <w:r>
        <w:rPr>
          <w:color w:val="auto"/>
          <w:sz w:val="21"/>
          <w:highlight w:val="none"/>
        </w:rPr>
        <w:t>投标人在投标有效期内撤回其投标文件的，对其投标担保全部不予退还；</w:t>
      </w:r>
    </w:p>
    <w:p>
      <w:pPr>
        <w:pStyle w:val="11"/>
        <w:numPr>
          <w:ilvl w:val="0"/>
          <w:numId w:val="10"/>
        </w:numPr>
        <w:tabs>
          <w:tab w:val="left" w:pos="1460"/>
        </w:tabs>
        <w:spacing w:before="54" w:after="0" w:line="240" w:lineRule="auto"/>
        <w:ind w:left="1459" w:right="0" w:hanging="524"/>
        <w:jc w:val="left"/>
        <w:rPr>
          <w:color w:val="auto"/>
          <w:sz w:val="21"/>
          <w:highlight w:val="none"/>
        </w:rPr>
      </w:pPr>
      <w:r>
        <w:rPr>
          <w:color w:val="auto"/>
          <w:sz w:val="21"/>
          <w:highlight w:val="none"/>
        </w:rPr>
        <w:t>投标人因同一行为涉及上述多种情形的，招标人按投标担保不予退还金额高的进行处理。</w:t>
      </w:r>
    </w:p>
    <w:p>
      <w:pPr>
        <w:pStyle w:val="11"/>
        <w:numPr>
          <w:ilvl w:val="0"/>
          <w:numId w:val="10"/>
        </w:numPr>
        <w:tabs>
          <w:tab w:val="left" w:pos="1460"/>
        </w:tabs>
        <w:spacing w:before="0" w:after="0" w:line="292" w:lineRule="auto"/>
        <w:ind w:left="712" w:right="484" w:firstLine="223"/>
        <w:jc w:val="both"/>
        <w:rPr>
          <w:color w:val="auto"/>
          <w:spacing w:val="-13"/>
          <w:sz w:val="21"/>
          <w:highlight w:val="none"/>
        </w:rPr>
      </w:pPr>
      <w:r>
        <w:rPr>
          <w:color w:val="auto"/>
          <w:spacing w:val="-13"/>
          <w:sz w:val="21"/>
          <w:highlight w:val="none"/>
        </w:rPr>
        <w:t>投标人涉嫌违法违规或被投诉的，在调查处理期间，其投标担保暂不退还，待调查处理结果明确后，按有关规定处理。</w:t>
      </w:r>
    </w:p>
    <w:p>
      <w:pPr>
        <w:pStyle w:val="5"/>
        <w:rPr>
          <w:color w:val="auto"/>
          <w:sz w:val="20"/>
          <w:highlight w:val="none"/>
        </w:rPr>
      </w:pPr>
    </w:p>
    <w:p>
      <w:pPr>
        <w:pStyle w:val="4"/>
        <w:numPr>
          <w:ilvl w:val="1"/>
          <w:numId w:val="2"/>
        </w:numPr>
        <w:tabs>
          <w:tab w:val="left" w:pos="1408"/>
        </w:tabs>
        <w:spacing w:before="160" w:after="0" w:line="240" w:lineRule="auto"/>
        <w:ind w:left="1407" w:right="0" w:hanging="319"/>
        <w:jc w:val="left"/>
        <w:rPr>
          <w:color w:val="auto"/>
          <w:highlight w:val="none"/>
        </w:rPr>
      </w:pPr>
      <w:bookmarkStart w:id="51" w:name="18.投标有效期"/>
      <w:bookmarkEnd w:id="51"/>
      <w:bookmarkStart w:id="52" w:name="18.投标有效期"/>
      <w:bookmarkEnd w:id="52"/>
      <w:r>
        <w:rPr>
          <w:color w:val="auto"/>
          <w:highlight w:val="none"/>
        </w:rPr>
        <w:t>投标有效期</w:t>
      </w:r>
    </w:p>
    <w:p>
      <w:pPr>
        <w:pStyle w:val="11"/>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投标有效期见本须知前附表所规定的期限，在此期限内，凡符合本招标文件要求的投标文件均保持有效。</w:t>
      </w:r>
    </w:p>
    <w:p>
      <w:pPr>
        <w:pStyle w:val="11"/>
        <w:numPr>
          <w:ilvl w:val="2"/>
          <w:numId w:val="2"/>
        </w:numPr>
        <w:tabs>
          <w:tab w:val="left" w:pos="1603"/>
        </w:tabs>
        <w:spacing w:before="2" w:after="0" w:line="292" w:lineRule="auto"/>
        <w:ind w:left="656" w:right="484" w:firstLine="420"/>
        <w:jc w:val="both"/>
        <w:rPr>
          <w:color w:val="auto"/>
          <w:sz w:val="21"/>
          <w:highlight w:val="none"/>
        </w:rPr>
      </w:pPr>
      <w:r>
        <w:rPr>
          <w:color w:val="auto"/>
          <w:sz w:val="21"/>
          <w:highlight w:val="none"/>
        </w:rPr>
        <w:t>在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spacing w:before="9"/>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53" w:name="19.投标文件的份数和签署"/>
      <w:bookmarkEnd w:id="53"/>
      <w:bookmarkStart w:id="54" w:name="19.投标文件的份数和签署"/>
      <w:bookmarkEnd w:id="54"/>
      <w:r>
        <w:rPr>
          <w:color w:val="auto"/>
          <w:highlight w:val="none"/>
        </w:rPr>
        <w:t>投标文件的份数和签署</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pacing w:val="-5"/>
          <w:sz w:val="21"/>
          <w:highlight w:val="none"/>
        </w:rPr>
        <w:t xml:space="preserve">投标人按本须知前附表第 </w:t>
      </w:r>
      <w:r>
        <w:rPr>
          <w:color w:val="auto"/>
          <w:sz w:val="21"/>
          <w:highlight w:val="none"/>
        </w:rPr>
        <w:t>14</w:t>
      </w:r>
      <w:r>
        <w:rPr>
          <w:color w:val="auto"/>
          <w:spacing w:val="-8"/>
          <w:sz w:val="21"/>
          <w:highlight w:val="none"/>
        </w:rPr>
        <w:t xml:space="preserve"> 项规定的份数递交投标文件。</w:t>
      </w:r>
    </w:p>
    <w:p>
      <w:pPr>
        <w:pStyle w:val="4"/>
        <w:numPr>
          <w:ilvl w:val="2"/>
          <w:numId w:val="2"/>
        </w:numPr>
        <w:tabs>
          <w:tab w:val="left" w:pos="1603"/>
        </w:tabs>
        <w:spacing w:before="58" w:after="0" w:line="292" w:lineRule="auto"/>
        <w:ind w:left="656" w:right="452" w:firstLine="420"/>
        <w:jc w:val="left"/>
        <w:rPr>
          <w:rFonts w:hint="eastAsia" w:ascii="宋体" w:eastAsia="宋体"/>
          <w:color w:val="auto"/>
          <w:highlight w:val="none"/>
        </w:rPr>
      </w:pPr>
      <w:r>
        <w:rPr>
          <w:color w:val="auto"/>
          <w:spacing w:val="-2"/>
          <w:w w:val="95"/>
          <w:highlight w:val="none"/>
        </w:rPr>
        <w:t xml:space="preserve">招标文件附件中注明由投标人法定代表人亲自签署或印鉴、并加盖法人单位公章的，投标人   </w:t>
      </w:r>
      <w:r>
        <w:rPr>
          <w:color w:val="auto"/>
          <w:spacing w:val="-2"/>
          <w:highlight w:val="none"/>
        </w:rPr>
        <w:t>均按要求签章。</w:t>
      </w:r>
    </w:p>
    <w:p>
      <w:pPr>
        <w:pStyle w:val="11"/>
        <w:numPr>
          <w:ilvl w:val="2"/>
          <w:numId w:val="2"/>
        </w:numPr>
        <w:tabs>
          <w:tab w:val="left" w:pos="1603"/>
        </w:tabs>
        <w:spacing w:before="0" w:after="0" w:line="290" w:lineRule="auto"/>
        <w:ind w:left="656" w:right="481" w:firstLine="420"/>
        <w:jc w:val="left"/>
        <w:rPr>
          <w:color w:val="auto"/>
          <w:sz w:val="21"/>
          <w:highlight w:val="none"/>
        </w:rPr>
      </w:pPr>
      <w:r>
        <w:rPr>
          <w:color w:val="auto"/>
          <w:sz w:val="21"/>
          <w:highlight w:val="none"/>
        </w:rPr>
        <w:t>当正本与副本不一致时，以正本为准。如未注明正副本的，由评标小组或工作人员随机抽签确认</w:t>
      </w:r>
      <w:r>
        <w:rPr>
          <w:color w:val="auto"/>
          <w:spacing w:val="-3"/>
          <w:sz w:val="21"/>
          <w:highlight w:val="none"/>
        </w:rPr>
        <w:t>一本作为正本。</w:t>
      </w:r>
    </w:p>
    <w:p>
      <w:pPr>
        <w:pStyle w:val="5"/>
        <w:spacing w:before="1"/>
        <w:rPr>
          <w:color w:val="auto"/>
          <w:sz w:val="23"/>
          <w:highlight w:val="none"/>
        </w:rPr>
      </w:pPr>
    </w:p>
    <w:p>
      <w:pPr>
        <w:pStyle w:val="2"/>
        <w:tabs>
          <w:tab w:val="left" w:pos="5175"/>
        </w:tabs>
        <w:ind w:left="3913"/>
        <w:jc w:val="left"/>
        <w:rPr>
          <w:color w:val="auto"/>
          <w:highlight w:val="none"/>
        </w:rPr>
      </w:pPr>
      <w:r>
        <w:rPr>
          <w:color w:val="auto"/>
          <w:highlight w:val="none"/>
        </w:rPr>
        <w:t>第四节</w:t>
      </w:r>
      <w:r>
        <w:rPr>
          <w:color w:val="auto"/>
          <w:highlight w:val="none"/>
        </w:rPr>
        <w:tab/>
      </w:r>
      <w:bookmarkStart w:id="55" w:name="第四节投标文件的递交"/>
      <w:bookmarkEnd w:id="55"/>
      <w:bookmarkStart w:id="56" w:name="_bookmark5"/>
      <w:bookmarkEnd w:id="56"/>
      <w:r>
        <w:rPr>
          <w:color w:val="auto"/>
          <w:highlight w:val="none"/>
        </w:rPr>
        <w:t>投标文件的递交</w:t>
      </w:r>
    </w:p>
    <w:p>
      <w:pPr>
        <w:pStyle w:val="5"/>
        <w:spacing w:before="3"/>
        <w:rPr>
          <w:rFonts w:ascii="黑体"/>
          <w:b/>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57" w:name="20.投标文件的装订、密封与标志"/>
      <w:bookmarkEnd w:id="57"/>
      <w:bookmarkStart w:id="58" w:name="20.投标文件的装订、密封与标志"/>
      <w:bookmarkEnd w:id="58"/>
      <w:r>
        <w:rPr>
          <w:color w:val="auto"/>
          <w:highlight w:val="none"/>
        </w:rPr>
        <w:t>投标文件的装订、密封与标志</w:t>
      </w:r>
    </w:p>
    <w:p>
      <w:pPr>
        <w:pStyle w:val="11"/>
        <w:numPr>
          <w:ilvl w:val="2"/>
          <w:numId w:val="2"/>
        </w:numPr>
        <w:tabs>
          <w:tab w:val="left" w:pos="1603"/>
        </w:tabs>
        <w:spacing w:before="60" w:after="0" w:line="288" w:lineRule="auto"/>
        <w:ind w:left="656" w:right="481" w:firstLine="420"/>
        <w:jc w:val="left"/>
        <w:rPr>
          <w:color w:val="auto"/>
          <w:spacing w:val="-12"/>
          <w:sz w:val="21"/>
          <w:highlight w:val="none"/>
        </w:rPr>
      </w:pPr>
      <w:r>
        <w:rPr>
          <w:color w:val="auto"/>
          <w:spacing w:val="-12"/>
          <w:sz w:val="21"/>
          <w:highlight w:val="none"/>
        </w:rPr>
        <w:t>投标人应将投标文件按规定密封，并注明项目名称、投标人名称及标函名称。</w:t>
      </w:r>
    </w:p>
    <w:p>
      <w:pPr>
        <w:pStyle w:val="11"/>
        <w:numPr>
          <w:ilvl w:val="2"/>
          <w:numId w:val="2"/>
        </w:numPr>
        <w:tabs>
          <w:tab w:val="left" w:pos="1603"/>
        </w:tabs>
        <w:spacing w:before="60" w:after="0" w:line="288" w:lineRule="auto"/>
        <w:ind w:left="656" w:right="481" w:firstLine="420"/>
        <w:jc w:val="left"/>
        <w:rPr>
          <w:color w:val="auto"/>
          <w:sz w:val="21"/>
          <w:highlight w:val="none"/>
        </w:rPr>
      </w:pPr>
      <w:r>
        <w:rPr>
          <w:color w:val="auto"/>
          <w:spacing w:val="-12"/>
          <w:sz w:val="21"/>
          <w:highlight w:val="none"/>
        </w:rPr>
        <w:t>密封要求：密封袋封口处加盖单位公章或法人代表或委托代理人印章或签字</w:t>
      </w:r>
      <w:r>
        <w:rPr>
          <w:color w:val="auto"/>
          <w:w w:val="95"/>
          <w:sz w:val="21"/>
          <w:highlight w:val="none"/>
        </w:rPr>
        <w:t>。</w:t>
      </w:r>
    </w:p>
    <w:p>
      <w:pPr>
        <w:pStyle w:val="11"/>
        <w:numPr>
          <w:ilvl w:val="2"/>
          <w:numId w:val="2"/>
        </w:numPr>
        <w:tabs>
          <w:tab w:val="left" w:pos="1603"/>
        </w:tabs>
        <w:spacing w:before="58" w:after="0" w:line="240" w:lineRule="auto"/>
        <w:ind w:left="1602" w:right="0" w:hanging="526"/>
        <w:jc w:val="left"/>
        <w:rPr>
          <w:color w:val="auto"/>
          <w:sz w:val="21"/>
          <w:highlight w:val="none"/>
        </w:rPr>
      </w:pPr>
      <w:r>
        <w:rPr>
          <w:color w:val="auto"/>
          <w:spacing w:val="-3"/>
          <w:sz w:val="21"/>
          <w:highlight w:val="none"/>
        </w:rPr>
        <w:t xml:space="preserve">投标文件的密封及装订要求详见本须知前附表第 </w:t>
      </w:r>
      <w:r>
        <w:rPr>
          <w:color w:val="auto"/>
          <w:sz w:val="21"/>
          <w:highlight w:val="none"/>
        </w:rPr>
        <w:t>15</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59" w:name="21.投标文件的递交"/>
      <w:bookmarkEnd w:id="59"/>
      <w:bookmarkStart w:id="60" w:name="21.投标文件的递交"/>
      <w:bookmarkEnd w:id="60"/>
      <w:r>
        <w:rPr>
          <w:color w:val="auto"/>
          <w:highlight w:val="none"/>
        </w:rPr>
        <w:t>投标文件的递交</w:t>
      </w:r>
    </w:p>
    <w:p>
      <w:pPr>
        <w:pStyle w:val="11"/>
        <w:numPr>
          <w:ilvl w:val="2"/>
          <w:numId w:val="2"/>
        </w:numPr>
        <w:tabs>
          <w:tab w:val="left" w:pos="1603"/>
        </w:tabs>
        <w:spacing w:before="60" w:after="0" w:line="288" w:lineRule="auto"/>
        <w:ind w:left="656" w:right="481" w:firstLine="420"/>
        <w:jc w:val="left"/>
        <w:rPr>
          <w:color w:val="auto"/>
          <w:sz w:val="21"/>
          <w:highlight w:val="none"/>
        </w:rPr>
      </w:pPr>
      <w:r>
        <w:rPr>
          <w:color w:val="auto"/>
          <w:spacing w:val="-5"/>
          <w:sz w:val="21"/>
          <w:highlight w:val="none"/>
        </w:rPr>
        <w:t xml:space="preserve">投标人应按本须知前附表第 </w:t>
      </w:r>
      <w:r>
        <w:rPr>
          <w:color w:val="auto"/>
          <w:sz w:val="21"/>
          <w:highlight w:val="none"/>
        </w:rPr>
        <w:t>16</w:t>
      </w:r>
      <w:r>
        <w:rPr>
          <w:color w:val="auto"/>
          <w:spacing w:val="-12"/>
          <w:sz w:val="21"/>
          <w:highlight w:val="none"/>
        </w:rPr>
        <w:t xml:space="preserve"> 项规定的地点，在本须知前附表第 </w:t>
      </w:r>
      <w:r>
        <w:rPr>
          <w:color w:val="auto"/>
          <w:sz w:val="21"/>
          <w:highlight w:val="none"/>
        </w:rPr>
        <w:t>17</w:t>
      </w:r>
      <w:r>
        <w:rPr>
          <w:color w:val="auto"/>
          <w:spacing w:val="-8"/>
          <w:sz w:val="21"/>
          <w:highlight w:val="none"/>
        </w:rPr>
        <w:t xml:space="preserve"> 项规定的截止时间前提交投标文件。</w:t>
      </w:r>
    </w:p>
    <w:p>
      <w:pPr>
        <w:pStyle w:val="4"/>
        <w:numPr>
          <w:ilvl w:val="2"/>
          <w:numId w:val="2"/>
        </w:numPr>
        <w:tabs>
          <w:tab w:val="left" w:pos="1603"/>
        </w:tabs>
        <w:spacing w:before="7" w:after="0" w:line="240" w:lineRule="auto"/>
        <w:ind w:left="1602" w:right="0" w:hanging="526"/>
        <w:jc w:val="left"/>
        <w:rPr>
          <w:color w:val="auto"/>
          <w:highlight w:val="none"/>
        </w:rPr>
      </w:pPr>
      <w:r>
        <w:rPr>
          <w:color w:val="auto"/>
          <w:spacing w:val="-3"/>
          <w:highlight w:val="none"/>
        </w:rPr>
        <w:t xml:space="preserve">投标人提交投标文件时需同时满足本须知前附表第 </w:t>
      </w:r>
      <w:r>
        <w:rPr>
          <w:color w:val="auto"/>
          <w:highlight w:val="none"/>
        </w:rPr>
        <w:t>18</w:t>
      </w:r>
      <w:r>
        <w:rPr>
          <w:color w:val="auto"/>
          <w:spacing w:val="-8"/>
          <w:highlight w:val="none"/>
        </w:rPr>
        <w:t xml:space="preserve"> 项要求，否则该投标文件予以拒收。</w:t>
      </w:r>
    </w:p>
    <w:p>
      <w:pPr>
        <w:pStyle w:val="5"/>
        <w:rPr>
          <w:rFonts w:ascii="黑体"/>
          <w:b/>
          <w:color w:val="auto"/>
          <w:sz w:val="20"/>
          <w:highlight w:val="none"/>
        </w:rPr>
      </w:pPr>
    </w:p>
    <w:p>
      <w:pPr>
        <w:pStyle w:val="11"/>
        <w:numPr>
          <w:ilvl w:val="1"/>
          <w:numId w:val="2"/>
        </w:numPr>
        <w:tabs>
          <w:tab w:val="left" w:pos="1408"/>
        </w:tabs>
        <w:spacing w:before="161" w:after="0" w:line="240" w:lineRule="auto"/>
        <w:ind w:left="1407" w:right="0" w:hanging="319"/>
        <w:jc w:val="left"/>
        <w:rPr>
          <w:rFonts w:hint="eastAsia" w:ascii="黑体" w:eastAsia="黑体"/>
          <w:b/>
          <w:color w:val="auto"/>
          <w:sz w:val="21"/>
          <w:highlight w:val="none"/>
        </w:rPr>
      </w:pPr>
      <w:bookmarkStart w:id="61" w:name="22.投标截止期"/>
      <w:bookmarkEnd w:id="61"/>
      <w:bookmarkStart w:id="62" w:name="22.投标截止期"/>
      <w:bookmarkEnd w:id="62"/>
      <w:r>
        <w:rPr>
          <w:rFonts w:hint="eastAsia" w:ascii="黑体" w:eastAsia="黑体"/>
          <w:b/>
          <w:color w:val="auto"/>
          <w:sz w:val="21"/>
          <w:highlight w:val="none"/>
        </w:rPr>
        <w:t>投标截止期</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投标文件的截止时间详见本须知前附表第 </w:t>
      </w:r>
      <w:r>
        <w:rPr>
          <w:color w:val="auto"/>
          <w:sz w:val="21"/>
          <w:highlight w:val="none"/>
        </w:rPr>
        <w:t>17</w:t>
      </w:r>
      <w:r>
        <w:rPr>
          <w:color w:val="auto"/>
          <w:spacing w:val="-18"/>
          <w:sz w:val="21"/>
          <w:highlight w:val="none"/>
        </w:rPr>
        <w:t xml:space="preserve"> 项。</w:t>
      </w:r>
    </w:p>
    <w:p>
      <w:pPr>
        <w:pStyle w:val="11"/>
        <w:numPr>
          <w:ilvl w:val="2"/>
          <w:numId w:val="2"/>
        </w:numPr>
        <w:tabs>
          <w:tab w:val="left" w:pos="1603"/>
        </w:tabs>
        <w:spacing w:before="57" w:after="0" w:line="290" w:lineRule="auto"/>
        <w:ind w:left="656" w:right="481" w:firstLine="420"/>
        <w:jc w:val="left"/>
        <w:rPr>
          <w:color w:val="auto"/>
          <w:sz w:val="21"/>
          <w:highlight w:val="none"/>
        </w:rPr>
      </w:pPr>
      <w:r>
        <w:rPr>
          <w:color w:val="auto"/>
          <w:spacing w:val="-12"/>
          <w:sz w:val="21"/>
          <w:highlight w:val="none"/>
        </w:rPr>
        <w:t>招标人可以补充通知的方式，酌情延长提交投标文件的截止时间。在此情况下，投标人的所有权</w:t>
      </w:r>
      <w:r>
        <w:rPr>
          <w:color w:val="auto"/>
          <w:spacing w:val="-3"/>
          <w:sz w:val="21"/>
          <w:highlight w:val="none"/>
        </w:rPr>
        <w:t>利和义务以及投标人受制约的截止时间，均以延长后新的投标截止时间为准。</w:t>
      </w:r>
    </w:p>
    <w:p>
      <w:pPr>
        <w:pStyle w:val="11"/>
        <w:numPr>
          <w:ilvl w:val="2"/>
          <w:numId w:val="2"/>
        </w:numPr>
        <w:tabs>
          <w:tab w:val="left" w:pos="1603"/>
        </w:tabs>
        <w:spacing w:before="4" w:after="0" w:line="240" w:lineRule="auto"/>
        <w:ind w:left="1602" w:right="0" w:hanging="526"/>
        <w:jc w:val="left"/>
        <w:rPr>
          <w:color w:val="auto"/>
          <w:sz w:val="21"/>
          <w:highlight w:val="none"/>
        </w:rPr>
      </w:pPr>
      <w:r>
        <w:rPr>
          <w:color w:val="auto"/>
          <w:spacing w:val="-3"/>
          <w:sz w:val="21"/>
          <w:highlight w:val="none"/>
        </w:rPr>
        <w:t xml:space="preserve">到投标截止时间止，招标人收到的投标文件少于 </w:t>
      </w:r>
      <w:r>
        <w:rPr>
          <w:color w:val="auto"/>
          <w:sz w:val="21"/>
          <w:highlight w:val="none"/>
        </w:rPr>
        <w:t>3</w:t>
      </w:r>
      <w:r>
        <w:rPr>
          <w:color w:val="auto"/>
          <w:spacing w:val="-8"/>
          <w:sz w:val="21"/>
          <w:highlight w:val="none"/>
        </w:rPr>
        <w:t xml:space="preserve"> 个的，招标人将依法重新组织招标。</w:t>
      </w:r>
    </w:p>
    <w:p>
      <w:pPr>
        <w:pStyle w:val="5"/>
        <w:rPr>
          <w:color w:val="auto"/>
          <w:sz w:val="20"/>
          <w:highlight w:val="none"/>
        </w:rPr>
      </w:pPr>
    </w:p>
    <w:p>
      <w:pPr>
        <w:pStyle w:val="4"/>
        <w:numPr>
          <w:ilvl w:val="1"/>
          <w:numId w:val="2"/>
        </w:numPr>
        <w:tabs>
          <w:tab w:val="left" w:pos="1408"/>
        </w:tabs>
        <w:spacing w:before="162" w:after="0" w:line="240" w:lineRule="auto"/>
        <w:ind w:left="1407" w:right="0" w:hanging="319"/>
        <w:jc w:val="left"/>
        <w:rPr>
          <w:color w:val="auto"/>
          <w:highlight w:val="none"/>
        </w:rPr>
      </w:pPr>
      <w:bookmarkStart w:id="63" w:name="23.投标文件的补充、修改与撤回"/>
      <w:bookmarkEnd w:id="63"/>
      <w:bookmarkStart w:id="64" w:name="23.投标文件的补充、修改与撤回"/>
      <w:bookmarkEnd w:id="64"/>
      <w:r>
        <w:rPr>
          <w:color w:val="auto"/>
          <w:highlight w:val="none"/>
        </w:rPr>
        <w:t>投标文件的补充、修改与撤回</w:t>
      </w:r>
    </w:p>
    <w:p>
      <w:pPr>
        <w:pStyle w:val="11"/>
        <w:numPr>
          <w:ilvl w:val="2"/>
          <w:numId w:val="2"/>
        </w:numPr>
        <w:tabs>
          <w:tab w:val="left" w:pos="1603"/>
        </w:tabs>
        <w:spacing w:before="57" w:after="0" w:line="290" w:lineRule="auto"/>
        <w:ind w:left="656" w:right="481" w:firstLine="420"/>
        <w:jc w:val="left"/>
        <w:rPr>
          <w:color w:val="auto"/>
          <w:sz w:val="21"/>
          <w:highlight w:val="none"/>
        </w:rPr>
      </w:pPr>
      <w:r>
        <w:rPr>
          <w:color w:val="auto"/>
          <w:spacing w:val="-2"/>
          <w:w w:val="95"/>
          <w:sz w:val="21"/>
          <w:highlight w:val="none"/>
        </w:rPr>
        <w:t>投标人在提交投标文件以后，在规定的投标截止时间之前，可以书面形式补充修改或撤回已</w:t>
      </w:r>
      <w:r>
        <w:rPr>
          <w:color w:val="auto"/>
          <w:spacing w:val="-2"/>
          <w:sz w:val="21"/>
          <w:highlight w:val="none"/>
        </w:rPr>
        <w:t>提交的投标文件，并以书面形式通知招标人。补充、修改的内容为投标文件的组成部分。</w:t>
      </w:r>
    </w:p>
    <w:p>
      <w:pPr>
        <w:pStyle w:val="11"/>
        <w:numPr>
          <w:ilvl w:val="2"/>
          <w:numId w:val="2"/>
        </w:numPr>
        <w:tabs>
          <w:tab w:val="left" w:pos="1603"/>
        </w:tabs>
        <w:spacing w:before="4" w:after="0" w:line="288" w:lineRule="auto"/>
        <w:ind w:left="656" w:right="481" w:firstLine="420"/>
        <w:jc w:val="left"/>
        <w:rPr>
          <w:color w:val="auto"/>
          <w:sz w:val="21"/>
          <w:highlight w:val="none"/>
        </w:rPr>
      </w:pPr>
      <w:r>
        <w:rPr>
          <w:color w:val="auto"/>
          <w:spacing w:val="-8"/>
          <w:sz w:val="21"/>
          <w:highlight w:val="none"/>
        </w:rPr>
        <w:t>投标人对投标文件的补充、修改，应按本节有关投标文件规定密封、标记和提交，并在投标文</w:t>
      </w:r>
      <w:r>
        <w:rPr>
          <w:color w:val="auto"/>
          <w:spacing w:val="-3"/>
          <w:sz w:val="21"/>
          <w:highlight w:val="none"/>
        </w:rPr>
        <w:t>件密封袋上清楚标明</w:t>
      </w:r>
      <w:r>
        <w:rPr>
          <w:rFonts w:ascii="Times New Roman" w:hAnsi="Times New Roman" w:eastAsia="Times New Roman"/>
          <w:color w:val="auto"/>
          <w:spacing w:val="-3"/>
          <w:sz w:val="21"/>
          <w:highlight w:val="none"/>
        </w:rPr>
        <w:t>“</w:t>
      </w:r>
      <w:r>
        <w:rPr>
          <w:color w:val="auto"/>
          <w:spacing w:val="-3"/>
          <w:sz w:val="21"/>
          <w:highlight w:val="none"/>
        </w:rPr>
        <w:t>补充、修改</w:t>
      </w:r>
      <w:r>
        <w:rPr>
          <w:rFonts w:ascii="Times New Roman" w:hAnsi="Times New Roman" w:eastAsia="Times New Roman"/>
          <w:color w:val="auto"/>
          <w:spacing w:val="-3"/>
          <w:sz w:val="21"/>
          <w:highlight w:val="none"/>
        </w:rPr>
        <w:t>”</w:t>
      </w:r>
      <w:r>
        <w:rPr>
          <w:color w:val="auto"/>
          <w:spacing w:val="-3"/>
          <w:sz w:val="21"/>
          <w:highlight w:val="none"/>
        </w:rPr>
        <w:t>或</w:t>
      </w:r>
      <w:r>
        <w:rPr>
          <w:rFonts w:ascii="Times New Roman" w:hAnsi="Times New Roman" w:eastAsia="Times New Roman"/>
          <w:color w:val="auto"/>
          <w:spacing w:val="-3"/>
          <w:sz w:val="21"/>
          <w:highlight w:val="none"/>
        </w:rPr>
        <w:t>“</w:t>
      </w:r>
      <w:r>
        <w:rPr>
          <w:color w:val="auto"/>
          <w:spacing w:val="-3"/>
          <w:sz w:val="21"/>
          <w:highlight w:val="none"/>
        </w:rPr>
        <w:t>撤回</w:t>
      </w:r>
      <w:r>
        <w:rPr>
          <w:rFonts w:ascii="Times New Roman" w:hAnsi="Times New Roman" w:eastAsia="Times New Roman"/>
          <w:color w:val="auto"/>
          <w:spacing w:val="-3"/>
          <w:sz w:val="21"/>
          <w:highlight w:val="none"/>
        </w:rPr>
        <w:t>”</w:t>
      </w:r>
      <w:r>
        <w:rPr>
          <w:color w:val="auto"/>
          <w:spacing w:val="-3"/>
          <w:sz w:val="21"/>
          <w:highlight w:val="none"/>
        </w:rPr>
        <w:t>字样。</w:t>
      </w:r>
    </w:p>
    <w:p>
      <w:pPr>
        <w:pStyle w:val="11"/>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在投标截止时间之后，投标人不得补充、修改投标文件。</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pacing w:val="-2"/>
          <w:sz w:val="21"/>
          <w:highlight w:val="none"/>
        </w:rPr>
        <w:t>在投标截止时间至投标有效期满之前，投标人不得撤回其投标文件，否则其投标担保将被没</w:t>
      </w:r>
    </w:p>
    <w:p>
      <w:pPr>
        <w:pStyle w:val="5"/>
        <w:spacing w:before="58"/>
        <w:ind w:left="656"/>
        <w:rPr>
          <w:color w:val="auto"/>
          <w:highlight w:val="none"/>
        </w:rPr>
      </w:pPr>
      <w:r>
        <w:rPr>
          <w:color w:val="auto"/>
          <w:highlight w:val="none"/>
        </w:rPr>
        <w:t>收。</w:t>
      </w:r>
    </w:p>
    <w:p>
      <w:pPr>
        <w:pStyle w:val="5"/>
        <w:spacing w:before="6"/>
        <w:rPr>
          <w:color w:val="auto"/>
          <w:sz w:val="23"/>
          <w:highlight w:val="none"/>
        </w:rPr>
      </w:pPr>
    </w:p>
    <w:p>
      <w:pPr>
        <w:pStyle w:val="2"/>
        <w:tabs>
          <w:tab w:val="left" w:pos="2128"/>
          <w:tab w:val="left" w:pos="2930"/>
        </w:tabs>
        <w:spacing w:before="54"/>
        <w:rPr>
          <w:color w:val="auto"/>
          <w:highlight w:val="none"/>
        </w:rPr>
      </w:pPr>
      <w:r>
        <w:rPr>
          <w:color w:val="auto"/>
          <w:highlight w:val="none"/>
        </w:rPr>
        <w:t>第五节</w:t>
      </w:r>
      <w:r>
        <w:rPr>
          <w:color w:val="auto"/>
          <w:highlight w:val="none"/>
        </w:rPr>
        <w:tab/>
      </w:r>
      <w:bookmarkStart w:id="65" w:name="第五节开   标"/>
      <w:bookmarkEnd w:id="65"/>
      <w:bookmarkStart w:id="66" w:name="_bookmark6"/>
      <w:bookmarkEnd w:id="66"/>
      <w:r>
        <w:rPr>
          <w:color w:val="auto"/>
          <w:highlight w:val="none"/>
        </w:rPr>
        <w:t>开</w:t>
      </w:r>
      <w:r>
        <w:rPr>
          <w:color w:val="auto"/>
          <w:highlight w:val="none"/>
        </w:rPr>
        <w:tab/>
      </w:r>
      <w:r>
        <w:rPr>
          <w:color w:val="auto"/>
          <w:highlight w:val="none"/>
        </w:rPr>
        <w:t>标</w:t>
      </w:r>
    </w:p>
    <w:p>
      <w:pPr>
        <w:pStyle w:val="5"/>
        <w:spacing w:before="1"/>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67" w:name="24.开标"/>
      <w:bookmarkEnd w:id="67"/>
      <w:bookmarkStart w:id="68" w:name="24.开标"/>
      <w:bookmarkEnd w:id="68"/>
      <w:r>
        <w:rPr>
          <w:color w:val="auto"/>
          <w:highlight w:val="none"/>
        </w:rPr>
        <w:t>开标</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pacing w:val="-3"/>
          <w:sz w:val="21"/>
          <w:highlight w:val="none"/>
        </w:rPr>
        <w:t xml:space="preserve">招标人将于投标截止期的同一时间按本须知前附表第 </w:t>
      </w:r>
      <w:r>
        <w:rPr>
          <w:color w:val="auto"/>
          <w:sz w:val="21"/>
          <w:highlight w:val="none"/>
        </w:rPr>
        <w:t>16</w:t>
      </w:r>
      <w:r>
        <w:rPr>
          <w:color w:val="auto"/>
          <w:spacing w:val="-9"/>
          <w:sz w:val="21"/>
          <w:highlight w:val="none"/>
        </w:rPr>
        <w:t xml:space="preserve"> 项所规定的地点公开举行开标会议。</w:t>
      </w:r>
    </w:p>
    <w:p>
      <w:pPr>
        <w:pStyle w:val="11"/>
        <w:numPr>
          <w:ilvl w:val="2"/>
          <w:numId w:val="2"/>
        </w:numPr>
        <w:tabs>
          <w:tab w:val="left" w:pos="1603"/>
        </w:tabs>
        <w:spacing w:before="57" w:after="0" w:line="240" w:lineRule="auto"/>
        <w:ind w:left="1602" w:right="0" w:hanging="526"/>
        <w:jc w:val="left"/>
        <w:rPr>
          <w:color w:val="auto"/>
          <w:sz w:val="21"/>
          <w:highlight w:val="none"/>
        </w:rPr>
      </w:pPr>
      <w:r>
        <w:rPr>
          <w:color w:val="auto"/>
          <w:sz w:val="21"/>
          <w:highlight w:val="none"/>
        </w:rPr>
        <w:t>开标会议由招标人组织并主持。</w:t>
      </w:r>
    </w:p>
    <w:p>
      <w:pPr>
        <w:pStyle w:val="11"/>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 xml:space="preserve">开标顺序详见本须知前附表第 </w:t>
      </w:r>
      <w:r>
        <w:rPr>
          <w:color w:val="auto"/>
          <w:sz w:val="21"/>
          <w:highlight w:val="none"/>
        </w:rPr>
        <w:t>19</w:t>
      </w:r>
      <w:r>
        <w:rPr>
          <w:color w:val="auto"/>
          <w:spacing w:val="-18"/>
          <w:sz w:val="21"/>
          <w:highlight w:val="none"/>
        </w:rPr>
        <w:t xml:space="preserve"> 项。</w:t>
      </w:r>
    </w:p>
    <w:p>
      <w:pPr>
        <w:pStyle w:val="5"/>
        <w:rPr>
          <w:color w:val="auto"/>
          <w:sz w:val="20"/>
          <w:highlight w:val="none"/>
        </w:rPr>
      </w:pPr>
    </w:p>
    <w:p>
      <w:pPr>
        <w:pStyle w:val="4"/>
        <w:numPr>
          <w:ilvl w:val="1"/>
          <w:numId w:val="2"/>
        </w:numPr>
        <w:tabs>
          <w:tab w:val="left" w:pos="1408"/>
        </w:tabs>
        <w:spacing w:before="161" w:after="0" w:line="240" w:lineRule="auto"/>
        <w:ind w:left="1407" w:right="0" w:hanging="319"/>
        <w:jc w:val="left"/>
        <w:rPr>
          <w:color w:val="auto"/>
          <w:highlight w:val="none"/>
        </w:rPr>
      </w:pPr>
      <w:bookmarkStart w:id="69" w:name="25.投标文件公布"/>
      <w:bookmarkEnd w:id="69"/>
      <w:bookmarkStart w:id="70" w:name="25.投标文件公布"/>
      <w:bookmarkEnd w:id="70"/>
      <w:r>
        <w:rPr>
          <w:color w:val="auto"/>
          <w:highlight w:val="none"/>
        </w:rPr>
        <w:t>投标文件公布</w:t>
      </w:r>
    </w:p>
    <w:p>
      <w:pPr>
        <w:pStyle w:val="11"/>
        <w:numPr>
          <w:ilvl w:val="2"/>
          <w:numId w:val="2"/>
        </w:numPr>
        <w:tabs>
          <w:tab w:val="left" w:pos="1603"/>
        </w:tabs>
        <w:spacing w:before="60" w:after="0" w:line="288" w:lineRule="auto"/>
        <w:ind w:left="656" w:right="484" w:firstLine="420"/>
        <w:jc w:val="left"/>
        <w:rPr>
          <w:color w:val="auto"/>
          <w:sz w:val="21"/>
          <w:highlight w:val="none"/>
        </w:rPr>
      </w:pPr>
      <w:r>
        <w:rPr>
          <w:color w:val="auto"/>
          <w:sz w:val="21"/>
          <w:highlight w:val="none"/>
        </w:rPr>
        <w:t>由投标人或其推选的代表检查投标文件的密封情况，未按本招标文件要求密封的投标文件则</w:t>
      </w:r>
      <w:r>
        <w:rPr>
          <w:color w:val="auto"/>
          <w:spacing w:val="-1"/>
          <w:sz w:val="21"/>
          <w:highlight w:val="none"/>
        </w:rPr>
        <w:t>退还投标人，经确认无误后，由有关工作人员当众拆封，宣读投标承诺的主要内容。</w:t>
      </w:r>
    </w:p>
    <w:p>
      <w:pPr>
        <w:pStyle w:val="11"/>
        <w:numPr>
          <w:ilvl w:val="2"/>
          <w:numId w:val="2"/>
        </w:numPr>
        <w:tabs>
          <w:tab w:val="left" w:pos="1603"/>
        </w:tabs>
        <w:spacing w:before="7" w:after="0" w:line="240" w:lineRule="auto"/>
        <w:ind w:left="1602" w:right="0" w:hanging="526"/>
        <w:jc w:val="left"/>
        <w:rPr>
          <w:color w:val="auto"/>
          <w:sz w:val="21"/>
          <w:highlight w:val="none"/>
        </w:rPr>
      </w:pPr>
      <w:r>
        <w:rPr>
          <w:color w:val="auto"/>
          <w:sz w:val="21"/>
          <w:highlight w:val="none"/>
        </w:rPr>
        <w:t>招标人将对开标过程进行记录，以存档备查。</w:t>
      </w:r>
    </w:p>
    <w:p>
      <w:pPr>
        <w:pStyle w:val="5"/>
        <w:spacing w:before="7"/>
        <w:rPr>
          <w:color w:val="auto"/>
          <w:sz w:val="27"/>
          <w:highlight w:val="none"/>
        </w:rPr>
      </w:pPr>
    </w:p>
    <w:p>
      <w:pPr>
        <w:pStyle w:val="2"/>
        <w:tabs>
          <w:tab w:val="left" w:pos="2128"/>
          <w:tab w:val="left" w:pos="2930"/>
        </w:tabs>
        <w:rPr>
          <w:color w:val="auto"/>
          <w:highlight w:val="none"/>
        </w:rPr>
      </w:pPr>
      <w:r>
        <w:rPr>
          <w:color w:val="auto"/>
          <w:highlight w:val="none"/>
        </w:rPr>
        <w:t>第六节</w:t>
      </w:r>
      <w:r>
        <w:rPr>
          <w:color w:val="auto"/>
          <w:highlight w:val="none"/>
        </w:rPr>
        <w:tab/>
      </w:r>
      <w:bookmarkStart w:id="71" w:name="第六节评   标"/>
      <w:bookmarkEnd w:id="71"/>
      <w:bookmarkStart w:id="72" w:name="_bookmark7"/>
      <w:bookmarkEnd w:id="72"/>
      <w:r>
        <w:rPr>
          <w:color w:val="auto"/>
          <w:highlight w:val="none"/>
        </w:rPr>
        <w:t>评</w:t>
      </w:r>
      <w:r>
        <w:rPr>
          <w:color w:val="auto"/>
          <w:highlight w:val="none"/>
        </w:rPr>
        <w:tab/>
      </w:r>
      <w:r>
        <w:rPr>
          <w:color w:val="auto"/>
          <w:highlight w:val="none"/>
        </w:rPr>
        <w:t>标</w:t>
      </w:r>
    </w:p>
    <w:p>
      <w:pPr>
        <w:pStyle w:val="5"/>
        <w:rPr>
          <w:rFonts w:ascii="黑体"/>
          <w:b/>
          <w:color w:val="auto"/>
          <w:sz w:val="26"/>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3" w:name="26.评标会议"/>
      <w:bookmarkEnd w:id="73"/>
      <w:bookmarkStart w:id="74" w:name="26.评标会议"/>
      <w:bookmarkEnd w:id="74"/>
      <w:r>
        <w:rPr>
          <w:color w:val="auto"/>
          <w:highlight w:val="none"/>
        </w:rPr>
        <w:t>评标会议</w:t>
      </w:r>
    </w:p>
    <w:p>
      <w:pPr>
        <w:pStyle w:val="11"/>
        <w:numPr>
          <w:ilvl w:val="2"/>
          <w:numId w:val="2"/>
        </w:numPr>
        <w:tabs>
          <w:tab w:val="left" w:pos="1603"/>
        </w:tabs>
        <w:spacing w:before="58" w:after="0" w:line="240" w:lineRule="auto"/>
        <w:ind w:left="1602" w:right="0" w:hanging="526"/>
        <w:jc w:val="left"/>
        <w:rPr>
          <w:color w:val="auto"/>
          <w:sz w:val="21"/>
          <w:highlight w:val="none"/>
        </w:rPr>
      </w:pPr>
      <w:r>
        <w:rPr>
          <w:color w:val="auto"/>
          <w:sz w:val="21"/>
          <w:highlight w:val="none"/>
        </w:rPr>
        <w:t>评标小组由招标人依法组建，负责评标活动。</w:t>
      </w:r>
    </w:p>
    <w:p>
      <w:pPr>
        <w:pStyle w:val="11"/>
        <w:numPr>
          <w:ilvl w:val="2"/>
          <w:numId w:val="2"/>
        </w:numPr>
        <w:tabs>
          <w:tab w:val="left" w:pos="1603"/>
        </w:tabs>
        <w:spacing w:before="59" w:after="0" w:line="240" w:lineRule="auto"/>
        <w:ind w:left="1602" w:right="0" w:hanging="526"/>
        <w:jc w:val="left"/>
        <w:rPr>
          <w:color w:val="auto"/>
          <w:sz w:val="21"/>
          <w:highlight w:val="none"/>
        </w:rPr>
      </w:pPr>
      <w:r>
        <w:rPr>
          <w:color w:val="auto"/>
          <w:sz w:val="21"/>
          <w:highlight w:val="none"/>
        </w:rPr>
        <w:t>开标结束后，开始评标，评标采用保密方式进行。</w:t>
      </w:r>
    </w:p>
    <w:p>
      <w:pPr>
        <w:pStyle w:val="11"/>
        <w:numPr>
          <w:ilvl w:val="2"/>
          <w:numId w:val="2"/>
        </w:numPr>
        <w:tabs>
          <w:tab w:val="left" w:pos="1603"/>
        </w:tabs>
        <w:spacing w:before="58" w:after="0" w:line="240" w:lineRule="auto"/>
        <w:ind w:left="1602" w:right="0" w:hanging="526"/>
        <w:jc w:val="left"/>
        <w:rPr>
          <w:color w:val="auto"/>
          <w:sz w:val="21"/>
          <w:highlight w:val="none"/>
        </w:rPr>
      </w:pPr>
      <w:r>
        <w:rPr>
          <w:color w:val="auto"/>
          <w:spacing w:val="-4"/>
          <w:sz w:val="21"/>
          <w:highlight w:val="none"/>
        </w:rPr>
        <w:t>评审开始前，评标小组成员须签署《台州市建设工程公正评标承诺书》。</w:t>
      </w:r>
    </w:p>
    <w:p>
      <w:pPr>
        <w:pStyle w:val="5"/>
        <w:spacing w:before="3"/>
        <w:rPr>
          <w:color w:val="auto"/>
          <w:sz w:val="11"/>
          <w:highlight w:val="none"/>
        </w:rPr>
      </w:pPr>
    </w:p>
    <w:p>
      <w:pPr>
        <w:pStyle w:val="4"/>
        <w:numPr>
          <w:ilvl w:val="1"/>
          <w:numId w:val="2"/>
        </w:numPr>
        <w:tabs>
          <w:tab w:val="left" w:pos="1408"/>
        </w:tabs>
        <w:spacing w:before="70" w:after="0" w:line="240" w:lineRule="auto"/>
        <w:ind w:left="1407" w:right="0" w:hanging="319"/>
        <w:jc w:val="left"/>
        <w:rPr>
          <w:color w:val="auto"/>
          <w:highlight w:val="none"/>
        </w:rPr>
      </w:pPr>
      <w:bookmarkStart w:id="75" w:name="27.评标过程的保密"/>
      <w:bookmarkEnd w:id="75"/>
      <w:bookmarkStart w:id="76" w:name="27.评标过程的保密"/>
      <w:bookmarkEnd w:id="76"/>
      <w:r>
        <w:rPr>
          <w:color w:val="auto"/>
          <w:highlight w:val="none"/>
        </w:rPr>
        <w:t>评标过程的保密</w:t>
      </w:r>
    </w:p>
    <w:p>
      <w:pPr>
        <w:pStyle w:val="11"/>
        <w:numPr>
          <w:ilvl w:val="2"/>
          <w:numId w:val="2"/>
        </w:numPr>
        <w:tabs>
          <w:tab w:val="left" w:pos="1603"/>
        </w:tabs>
        <w:spacing w:before="57" w:after="0" w:line="290" w:lineRule="auto"/>
        <w:ind w:left="656" w:right="484" w:firstLine="420"/>
        <w:jc w:val="both"/>
        <w:rPr>
          <w:color w:val="auto"/>
          <w:sz w:val="21"/>
          <w:highlight w:val="none"/>
        </w:rPr>
      </w:pPr>
      <w:r>
        <w:rPr>
          <w:color w:val="auto"/>
          <w:spacing w:val="-3"/>
          <w:sz w:val="21"/>
          <w:highlight w:val="none"/>
        </w:rPr>
        <w:t>开标后，直至授予中标人合同为止，凡属于对投标文件的审查、澄清、评价和比较的有关资料以</w:t>
      </w:r>
      <w:r>
        <w:rPr>
          <w:color w:val="auto"/>
          <w:spacing w:val="-4"/>
          <w:sz w:val="21"/>
          <w:highlight w:val="none"/>
        </w:rPr>
        <w:t>及中标候选人的推荐情况，与评标有关的其他任何情况均严格保密。</w:t>
      </w:r>
    </w:p>
    <w:p>
      <w:pPr>
        <w:pStyle w:val="11"/>
        <w:numPr>
          <w:ilvl w:val="2"/>
          <w:numId w:val="2"/>
        </w:numPr>
        <w:tabs>
          <w:tab w:val="left" w:pos="1603"/>
        </w:tabs>
        <w:spacing w:before="2" w:after="0" w:line="290" w:lineRule="auto"/>
        <w:ind w:left="656" w:right="481" w:firstLine="420"/>
        <w:jc w:val="both"/>
        <w:rPr>
          <w:color w:val="auto"/>
          <w:sz w:val="21"/>
          <w:highlight w:val="none"/>
        </w:rPr>
      </w:pPr>
      <w:r>
        <w:rPr>
          <w:color w:val="auto"/>
          <w:spacing w:val="-3"/>
          <w:sz w:val="21"/>
          <w:highlight w:val="none"/>
        </w:rPr>
        <w:t>在投标文件的评审和比较、中标候选人推荐以及授予合同的过程中，投标人向招标人和评标小组</w:t>
      </w:r>
      <w:r>
        <w:rPr>
          <w:color w:val="auto"/>
          <w:spacing w:val="-2"/>
          <w:sz w:val="21"/>
          <w:highlight w:val="none"/>
        </w:rPr>
        <w:t>施加影响的任何行为，都将会导致其投标被拒绝。</w:t>
      </w:r>
    </w:p>
    <w:p>
      <w:pPr>
        <w:pStyle w:val="11"/>
        <w:numPr>
          <w:ilvl w:val="2"/>
          <w:numId w:val="2"/>
        </w:numPr>
        <w:tabs>
          <w:tab w:val="left" w:pos="1603"/>
        </w:tabs>
        <w:spacing w:before="4" w:after="0" w:line="288" w:lineRule="auto"/>
        <w:ind w:left="656" w:right="481" w:firstLine="420"/>
        <w:jc w:val="both"/>
        <w:rPr>
          <w:color w:val="auto"/>
          <w:sz w:val="21"/>
          <w:highlight w:val="none"/>
        </w:rPr>
      </w:pPr>
      <w:r>
        <w:rPr>
          <w:color w:val="auto"/>
          <w:spacing w:val="-3"/>
          <w:sz w:val="21"/>
          <w:highlight w:val="none"/>
        </w:rPr>
        <w:t>中标人确定后，招标人不对未中标人就评标过程以及未能中标原因作出任何解释。未中标人不得向评标小组组成人员或其他有关人员索问评标过程的情况和材料。</w:t>
      </w:r>
    </w:p>
    <w:p>
      <w:pPr>
        <w:pStyle w:val="5"/>
        <w:spacing w:before="8"/>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7" w:name="28.投标文件符合性鉴定"/>
      <w:bookmarkEnd w:id="77"/>
      <w:bookmarkStart w:id="78" w:name="28.投标文件符合性鉴定"/>
      <w:bookmarkEnd w:id="78"/>
      <w:r>
        <w:rPr>
          <w:color w:val="auto"/>
          <w:highlight w:val="none"/>
        </w:rPr>
        <w:t>投标文件符合性鉴定</w:t>
      </w:r>
    </w:p>
    <w:p>
      <w:pPr>
        <w:pStyle w:val="11"/>
        <w:numPr>
          <w:ilvl w:val="2"/>
          <w:numId w:val="2"/>
        </w:numPr>
        <w:tabs>
          <w:tab w:val="left" w:pos="1610"/>
        </w:tabs>
        <w:spacing w:before="57" w:after="0" w:line="290" w:lineRule="auto"/>
        <w:ind w:left="664" w:right="457" w:firstLine="420"/>
        <w:jc w:val="both"/>
        <w:rPr>
          <w:color w:val="auto"/>
          <w:sz w:val="21"/>
          <w:highlight w:val="none"/>
        </w:rPr>
      </w:pPr>
      <w:r>
        <w:rPr>
          <w:color w:val="auto"/>
          <w:sz w:val="21"/>
          <w:highlight w:val="none"/>
        </w:rPr>
        <w:t>评标小组将首先评定每份投标文件是否在实质上响应了招标文件的要求。所谓实质上响应</w:t>
      </w:r>
      <w:r>
        <w:rPr>
          <w:color w:val="auto"/>
          <w:w w:val="95"/>
          <w:sz w:val="21"/>
          <w:highlight w:val="none"/>
        </w:rPr>
        <w:t xml:space="preserve">，   </w:t>
      </w:r>
      <w:r>
        <w:rPr>
          <w:color w:val="auto"/>
          <w:sz w:val="21"/>
          <w:highlight w:val="none"/>
        </w:rPr>
        <w:t>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11"/>
        <w:numPr>
          <w:ilvl w:val="2"/>
          <w:numId w:val="2"/>
        </w:numPr>
        <w:tabs>
          <w:tab w:val="left" w:pos="1610"/>
        </w:tabs>
        <w:spacing w:before="6" w:after="0" w:line="290" w:lineRule="auto"/>
        <w:ind w:left="664" w:right="484" w:firstLine="420"/>
        <w:jc w:val="both"/>
        <w:rPr>
          <w:color w:val="auto"/>
          <w:sz w:val="21"/>
          <w:highlight w:val="none"/>
        </w:rPr>
      </w:pPr>
      <w:r>
        <w:rPr>
          <w:color w:val="auto"/>
          <w:sz w:val="21"/>
          <w:highlight w:val="none"/>
        </w:rPr>
        <w:t>如果投标文件实质上不响应招标文件各项要求，评标小组将予以拒绝，并且不允许投标人通过</w:t>
      </w:r>
      <w:r>
        <w:rPr>
          <w:color w:val="auto"/>
          <w:spacing w:val="-2"/>
          <w:sz w:val="21"/>
          <w:highlight w:val="none"/>
        </w:rPr>
        <w:t>修改或撤消其不符合要求的差异或保留，使之成为具有响应性的投标。</w:t>
      </w:r>
    </w:p>
    <w:p>
      <w:pPr>
        <w:pStyle w:val="5"/>
        <w:spacing w:before="3"/>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79" w:name="29.投标文件的澄清"/>
      <w:bookmarkEnd w:id="79"/>
      <w:bookmarkStart w:id="80" w:name="29.投标文件的澄清"/>
      <w:bookmarkEnd w:id="80"/>
      <w:r>
        <w:rPr>
          <w:color w:val="auto"/>
          <w:highlight w:val="none"/>
        </w:rPr>
        <w:t>投标文件的澄清</w:t>
      </w:r>
    </w:p>
    <w:p>
      <w:pPr>
        <w:pStyle w:val="11"/>
        <w:numPr>
          <w:ilvl w:val="2"/>
          <w:numId w:val="2"/>
        </w:numPr>
        <w:tabs>
          <w:tab w:val="left" w:pos="1603"/>
        </w:tabs>
        <w:spacing w:before="57" w:after="0" w:line="290" w:lineRule="auto"/>
        <w:ind w:left="656" w:right="464" w:firstLine="420"/>
        <w:jc w:val="both"/>
        <w:rPr>
          <w:color w:val="auto"/>
          <w:sz w:val="21"/>
          <w:highlight w:val="none"/>
        </w:rPr>
      </w:pPr>
      <w:r>
        <w:rPr>
          <w:color w:val="auto"/>
          <w:sz w:val="21"/>
          <w:highlight w:val="none"/>
        </w:rPr>
        <w:t>评标小组可以书面方式要求投标人对其投标文件中细微偏差作必要的澄清、说明或者补正</w:t>
      </w:r>
      <w:r>
        <w:rPr>
          <w:color w:val="auto"/>
          <w:w w:val="95"/>
          <w:sz w:val="21"/>
          <w:highlight w:val="none"/>
        </w:rPr>
        <w:t xml:space="preserve">。   </w:t>
      </w:r>
      <w:r>
        <w:rPr>
          <w:color w:val="auto"/>
          <w:sz w:val="21"/>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11"/>
        <w:numPr>
          <w:ilvl w:val="2"/>
          <w:numId w:val="2"/>
        </w:numPr>
        <w:tabs>
          <w:tab w:val="left" w:pos="1603"/>
        </w:tabs>
        <w:spacing w:before="8" w:after="0" w:line="290" w:lineRule="auto"/>
        <w:ind w:left="656" w:right="479" w:firstLine="420"/>
        <w:jc w:val="both"/>
        <w:rPr>
          <w:color w:val="auto"/>
          <w:sz w:val="21"/>
          <w:highlight w:val="none"/>
        </w:rPr>
      </w:pPr>
      <w:r>
        <w:rPr>
          <w:color w:val="auto"/>
          <w:sz w:val="21"/>
          <w:highlight w:val="none"/>
        </w:rPr>
        <w:t>评审过程中，评标小组可能以书面或电话形式通知投标人要求投标人就投标文件中的内容进行澄</w:t>
      </w:r>
      <w:r>
        <w:rPr>
          <w:color w:val="auto"/>
          <w:spacing w:val="-7"/>
          <w:sz w:val="21"/>
          <w:highlight w:val="none"/>
        </w:rPr>
        <w:t xml:space="preserve">清或说明。投标人应在接到询标通知后 </w:t>
      </w:r>
      <w:r>
        <w:rPr>
          <w:color w:val="auto"/>
          <w:sz w:val="21"/>
          <w:highlight w:val="none"/>
        </w:rPr>
        <w:t>30</w:t>
      </w:r>
      <w:r>
        <w:rPr>
          <w:color w:val="auto"/>
          <w:spacing w:val="-8"/>
          <w:sz w:val="21"/>
          <w:highlight w:val="none"/>
        </w:rPr>
        <w:t xml:space="preserve"> 分钟内作出答复，若在规定时间内未作出答复的，可视作拒绝或放弃澄清或说明。</w:t>
      </w:r>
    </w:p>
    <w:p>
      <w:pPr>
        <w:pStyle w:val="5"/>
        <w:spacing w:before="6"/>
        <w:rPr>
          <w:color w:val="auto"/>
          <w:sz w:val="28"/>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1" w:name="30.投标文件的评审"/>
      <w:bookmarkEnd w:id="81"/>
      <w:bookmarkStart w:id="82" w:name="30.投标文件的评审"/>
      <w:bookmarkEnd w:id="82"/>
      <w:r>
        <w:rPr>
          <w:color w:val="auto"/>
          <w:highlight w:val="none"/>
        </w:rPr>
        <w:t>投标文件的评审</w:t>
      </w:r>
    </w:p>
    <w:p>
      <w:pPr>
        <w:pStyle w:val="11"/>
        <w:numPr>
          <w:ilvl w:val="2"/>
          <w:numId w:val="2"/>
        </w:numPr>
        <w:tabs>
          <w:tab w:val="left" w:pos="1408"/>
        </w:tabs>
        <w:spacing w:before="57" w:after="0" w:line="240" w:lineRule="auto"/>
        <w:ind w:left="1408" w:right="0" w:hanging="473"/>
        <w:jc w:val="left"/>
        <w:rPr>
          <w:color w:val="auto"/>
          <w:sz w:val="21"/>
          <w:highlight w:val="none"/>
        </w:rPr>
      </w:pPr>
      <w:r>
        <w:rPr>
          <w:color w:val="auto"/>
          <w:sz w:val="21"/>
          <w:highlight w:val="none"/>
        </w:rPr>
        <w:t>投标文件有下列情形之一的，由评标小组初审后按无效标处理：</w:t>
      </w:r>
    </w:p>
    <w:p>
      <w:pPr>
        <w:pStyle w:val="4"/>
        <w:numPr>
          <w:ilvl w:val="0"/>
          <w:numId w:val="11"/>
        </w:numPr>
        <w:tabs>
          <w:tab w:val="left" w:pos="1656"/>
        </w:tabs>
        <w:spacing w:before="58" w:after="0" w:line="290" w:lineRule="auto"/>
        <w:ind w:left="510" w:right="453" w:firstLine="425"/>
        <w:jc w:val="left"/>
        <w:rPr>
          <w:color w:val="auto"/>
          <w:highlight w:val="none"/>
        </w:rPr>
      </w:pPr>
      <w:r>
        <w:rPr>
          <w:color w:val="auto"/>
          <w:spacing w:val="-6"/>
          <w:highlight w:val="none"/>
        </w:rPr>
        <w:t>投标人递交两份或多份内容不同的投标文件，或在一份投标文件中对同一招标项目报有两个或多个报价，且未声明哪一个有效，按招标文件规定提交备选投标方案的除外；</w:t>
      </w:r>
    </w:p>
    <w:p>
      <w:pPr>
        <w:pStyle w:val="11"/>
        <w:numPr>
          <w:ilvl w:val="0"/>
          <w:numId w:val="11"/>
        </w:numPr>
        <w:tabs>
          <w:tab w:val="left" w:pos="1656"/>
        </w:tabs>
        <w:spacing w:before="1"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投标文件未按招标文件签署条款要求签章的；</w:t>
      </w:r>
    </w:p>
    <w:p>
      <w:pPr>
        <w:pStyle w:val="11"/>
        <w:numPr>
          <w:ilvl w:val="0"/>
          <w:numId w:val="11"/>
        </w:numPr>
        <w:tabs>
          <w:tab w:val="left" w:pos="1656"/>
        </w:tabs>
        <w:spacing w:before="60"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投标文件份数不符合招标文件前附表要求的；</w:t>
      </w:r>
    </w:p>
    <w:p>
      <w:pPr>
        <w:pStyle w:val="11"/>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投标文件组成不符合招标文件要求的；</w:t>
      </w:r>
    </w:p>
    <w:p>
      <w:pPr>
        <w:pStyle w:val="11"/>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w w:val="95"/>
          <w:sz w:val="21"/>
          <w:highlight w:val="none"/>
        </w:rPr>
        <w:t>监理机构组成不符合招标文件要求的；</w:t>
      </w:r>
    </w:p>
    <w:p>
      <w:pPr>
        <w:pStyle w:val="11"/>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技术标的装订或编制不符合招标文件规定要求的；</w:t>
      </w:r>
    </w:p>
    <w:p>
      <w:pPr>
        <w:pStyle w:val="11"/>
        <w:numPr>
          <w:ilvl w:val="0"/>
          <w:numId w:val="11"/>
        </w:numPr>
        <w:tabs>
          <w:tab w:val="left" w:pos="1656"/>
        </w:tabs>
        <w:spacing w:before="57"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联合体投标未附联合体各方共同投标协议的；</w:t>
      </w:r>
    </w:p>
    <w:p>
      <w:pPr>
        <w:pStyle w:val="11"/>
        <w:numPr>
          <w:ilvl w:val="0"/>
          <w:numId w:val="11"/>
        </w:numPr>
        <w:tabs>
          <w:tab w:val="left" w:pos="1656"/>
        </w:tabs>
        <w:spacing w:before="58" w:after="0" w:line="240" w:lineRule="auto"/>
        <w:ind w:left="1655" w:right="0" w:hanging="720"/>
        <w:jc w:val="left"/>
        <w:rPr>
          <w:rFonts w:hint="eastAsia" w:ascii="黑体" w:eastAsia="黑体"/>
          <w:b/>
          <w:color w:val="auto"/>
          <w:sz w:val="21"/>
          <w:highlight w:val="none"/>
        </w:rPr>
      </w:pPr>
      <w:r>
        <w:rPr>
          <w:rFonts w:hint="eastAsia" w:ascii="黑体" w:eastAsia="黑体"/>
          <w:b/>
          <w:color w:val="auto"/>
          <w:sz w:val="21"/>
          <w:highlight w:val="none"/>
        </w:rPr>
        <w:t>法律法规规定无效标的。</w:t>
      </w:r>
    </w:p>
    <w:p>
      <w:pPr>
        <w:pStyle w:val="11"/>
        <w:numPr>
          <w:ilvl w:val="2"/>
          <w:numId w:val="2"/>
        </w:numPr>
        <w:tabs>
          <w:tab w:val="left" w:pos="1404"/>
        </w:tabs>
        <w:spacing w:before="60" w:after="0" w:line="240" w:lineRule="auto"/>
        <w:ind w:left="1403" w:right="0" w:hanging="475"/>
        <w:jc w:val="left"/>
        <w:rPr>
          <w:rFonts w:hint="eastAsia" w:ascii="黑体" w:eastAsia="黑体"/>
          <w:color w:val="auto"/>
          <w:sz w:val="21"/>
          <w:highlight w:val="none"/>
        </w:rPr>
      </w:pPr>
      <w:r>
        <w:rPr>
          <w:color w:val="auto"/>
          <w:sz w:val="21"/>
          <w:highlight w:val="none"/>
        </w:rPr>
        <w:t>投标文件有下列情形之一的，由评标小组进行实质性评审后按无效标处理：</w:t>
      </w:r>
    </w:p>
    <w:p>
      <w:pPr>
        <w:pStyle w:val="4"/>
        <w:numPr>
          <w:ilvl w:val="0"/>
          <w:numId w:val="12"/>
        </w:numPr>
        <w:tabs>
          <w:tab w:val="left" w:pos="1667"/>
          <w:tab w:val="left" w:pos="1668"/>
        </w:tabs>
        <w:spacing w:before="57" w:after="0" w:line="240" w:lineRule="auto"/>
        <w:ind w:left="1667" w:right="0" w:hanging="739"/>
        <w:jc w:val="left"/>
        <w:rPr>
          <w:color w:val="auto"/>
          <w:highlight w:val="none"/>
        </w:rPr>
      </w:pPr>
      <w:r>
        <w:rPr>
          <w:color w:val="auto"/>
          <w:highlight w:val="none"/>
        </w:rPr>
        <w:t>投标承诺的总报价、投标资格等不符合招标文件前附表要求的；</w:t>
      </w:r>
    </w:p>
    <w:p>
      <w:pPr>
        <w:pStyle w:val="11"/>
        <w:numPr>
          <w:ilvl w:val="0"/>
          <w:numId w:val="12"/>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违反招标文件其他实质性条款规定的。</w:t>
      </w:r>
    </w:p>
    <w:p>
      <w:pPr>
        <w:pStyle w:val="11"/>
        <w:numPr>
          <w:ilvl w:val="2"/>
          <w:numId w:val="2"/>
        </w:numPr>
        <w:tabs>
          <w:tab w:val="left" w:pos="1404"/>
        </w:tabs>
        <w:spacing w:before="58" w:after="0" w:line="290" w:lineRule="auto"/>
        <w:ind w:left="508" w:right="481" w:firstLine="420"/>
        <w:jc w:val="left"/>
        <w:rPr>
          <w:rFonts w:hint="eastAsia" w:ascii="黑体" w:eastAsia="黑体"/>
          <w:color w:val="auto"/>
          <w:sz w:val="21"/>
          <w:highlight w:val="none"/>
        </w:rPr>
      </w:pPr>
      <w:r>
        <w:rPr>
          <w:color w:val="auto"/>
          <w:sz w:val="21"/>
          <w:highlight w:val="none"/>
        </w:rPr>
        <w:t>投标文件有下列情形之一的，经评标小组详细评审后认定该投标文件对招标文件要求存在重大偏离</w:t>
      </w:r>
      <w:r>
        <w:rPr>
          <w:color w:val="auto"/>
          <w:spacing w:val="-3"/>
          <w:sz w:val="21"/>
          <w:highlight w:val="none"/>
        </w:rPr>
        <w:t>的，则该投标文件按无效标处理：</w:t>
      </w:r>
    </w:p>
    <w:p>
      <w:pPr>
        <w:pStyle w:val="4"/>
        <w:numPr>
          <w:ilvl w:val="0"/>
          <w:numId w:val="13"/>
        </w:numPr>
        <w:tabs>
          <w:tab w:val="left" w:pos="1671"/>
          <w:tab w:val="left" w:pos="1672"/>
        </w:tabs>
        <w:spacing w:before="70" w:after="0" w:line="240" w:lineRule="auto"/>
        <w:ind w:left="1672" w:right="0" w:hanging="737"/>
        <w:jc w:val="left"/>
        <w:rPr>
          <w:color w:val="auto"/>
          <w:highlight w:val="none"/>
        </w:rPr>
      </w:pPr>
      <w:r>
        <w:rPr>
          <w:color w:val="auto"/>
          <w:highlight w:val="none"/>
        </w:rPr>
        <w:t>技术标评审中规定作无效标的；</w:t>
      </w:r>
    </w:p>
    <w:p>
      <w:pPr>
        <w:pStyle w:val="11"/>
        <w:numPr>
          <w:ilvl w:val="0"/>
          <w:numId w:val="13"/>
        </w:numPr>
        <w:tabs>
          <w:tab w:val="left" w:pos="1671"/>
          <w:tab w:val="left" w:pos="1672"/>
        </w:tabs>
        <w:spacing w:before="57" w:after="0" w:line="240" w:lineRule="auto"/>
        <w:ind w:left="1672" w:right="0" w:hanging="737"/>
        <w:jc w:val="left"/>
        <w:rPr>
          <w:rFonts w:hint="eastAsia" w:ascii="黑体" w:eastAsia="黑体"/>
          <w:b/>
          <w:color w:val="auto"/>
          <w:sz w:val="21"/>
          <w:highlight w:val="none"/>
        </w:rPr>
      </w:pPr>
      <w:r>
        <w:rPr>
          <w:rFonts w:hint="eastAsia" w:ascii="黑体" w:eastAsia="黑体"/>
          <w:b/>
          <w:color w:val="auto"/>
          <w:sz w:val="21"/>
          <w:highlight w:val="none"/>
        </w:rPr>
        <w:t>招标文件中其他内容明确规定作无效标的。</w:t>
      </w:r>
    </w:p>
    <w:p>
      <w:pPr>
        <w:pStyle w:val="11"/>
        <w:numPr>
          <w:ilvl w:val="2"/>
          <w:numId w:val="2"/>
        </w:numPr>
        <w:tabs>
          <w:tab w:val="left" w:pos="1411"/>
        </w:tabs>
        <w:spacing w:before="57" w:after="0" w:line="290" w:lineRule="auto"/>
        <w:ind w:left="515" w:right="479" w:firstLine="420"/>
        <w:jc w:val="both"/>
        <w:rPr>
          <w:rFonts w:hint="eastAsia" w:ascii="黑体" w:eastAsia="黑体"/>
          <w:color w:val="auto"/>
          <w:sz w:val="21"/>
          <w:highlight w:val="none"/>
        </w:rPr>
      </w:pPr>
      <w:r>
        <w:rPr>
          <w:color w:val="auto"/>
          <w:spacing w:val="-2"/>
          <w:sz w:val="21"/>
          <w:highlight w:val="none"/>
        </w:rPr>
        <w:t>评标小组在评标过程中发现招标投标活动中有以下情形之一的，应当向投标人质询，如投标人拒绝说明或不能合理说明理由的，则评标小组应认定该投标人有串通投标的行为，其投标文件按无效标处理：</w:t>
      </w:r>
    </w:p>
    <w:p>
      <w:pPr>
        <w:pStyle w:val="4"/>
        <w:numPr>
          <w:ilvl w:val="0"/>
          <w:numId w:val="14"/>
        </w:numPr>
        <w:tabs>
          <w:tab w:val="left" w:pos="1571"/>
          <w:tab w:val="left" w:pos="1572"/>
        </w:tabs>
        <w:spacing w:before="5" w:after="0" w:line="288" w:lineRule="auto"/>
        <w:ind w:left="515" w:right="431" w:firstLine="314"/>
        <w:jc w:val="left"/>
        <w:rPr>
          <w:color w:val="auto"/>
          <w:highlight w:val="none"/>
        </w:rPr>
      </w:pPr>
      <w:r>
        <w:rPr>
          <w:color w:val="auto"/>
          <w:spacing w:val="1"/>
          <w:highlight w:val="none"/>
        </w:rPr>
        <w:t>招标人</w:t>
      </w:r>
      <w:r>
        <w:rPr>
          <w:color w:val="auto"/>
          <w:highlight w:val="none"/>
        </w:rPr>
        <w:t>（或招标代理机构）在规定的提交投标文件截止时间后，协助投标人撤换投标文件、更换报价；</w:t>
      </w:r>
    </w:p>
    <w:p>
      <w:pPr>
        <w:pStyle w:val="11"/>
        <w:numPr>
          <w:ilvl w:val="0"/>
          <w:numId w:val="14"/>
        </w:numPr>
        <w:tabs>
          <w:tab w:val="left" w:pos="1568"/>
          <w:tab w:val="left" w:pos="1569"/>
        </w:tabs>
        <w:spacing w:before="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招标人（或招标代理机构）泄露投标人名称、数量或联系方式等应当保密事项；</w:t>
      </w:r>
    </w:p>
    <w:p>
      <w:pPr>
        <w:pStyle w:val="11"/>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不同投标人的投标文件由同一单位（或个人）编制或提供投标咨询服务；</w:t>
      </w:r>
    </w:p>
    <w:p>
      <w:pPr>
        <w:pStyle w:val="11"/>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不同投标人使用同一人或同一单位的资金交纳投标保证金；</w:t>
      </w:r>
    </w:p>
    <w:p>
      <w:pPr>
        <w:pStyle w:val="11"/>
        <w:numPr>
          <w:ilvl w:val="0"/>
          <w:numId w:val="14"/>
        </w:numPr>
        <w:tabs>
          <w:tab w:val="left" w:pos="1568"/>
          <w:tab w:val="left" w:pos="1569"/>
        </w:tabs>
        <w:spacing w:before="57"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不同投标人委托同一人办理投标事宜的或不同投标人与同一投标人联合投标的；</w:t>
      </w:r>
    </w:p>
    <w:p>
      <w:pPr>
        <w:pStyle w:val="11"/>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w w:val="95"/>
          <w:sz w:val="21"/>
          <w:highlight w:val="none"/>
        </w:rPr>
        <w:t>不同投标人的投标文件内容出现非正常一致，或者报价细目呈明显规律性变化；</w:t>
      </w:r>
    </w:p>
    <w:p>
      <w:pPr>
        <w:pStyle w:val="11"/>
        <w:numPr>
          <w:ilvl w:val="0"/>
          <w:numId w:val="14"/>
        </w:numPr>
        <w:tabs>
          <w:tab w:val="left" w:pos="1568"/>
          <w:tab w:val="left" w:pos="1569"/>
        </w:tabs>
        <w:spacing w:before="59"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不同投标人的投标文件载明的项目管理人员出现同一人的情况；</w:t>
      </w:r>
    </w:p>
    <w:p>
      <w:pPr>
        <w:pStyle w:val="11"/>
        <w:numPr>
          <w:ilvl w:val="0"/>
          <w:numId w:val="14"/>
        </w:numPr>
        <w:tabs>
          <w:tab w:val="left" w:pos="1568"/>
          <w:tab w:val="left" w:pos="1569"/>
        </w:tabs>
        <w:spacing w:before="58" w:after="0" w:line="240" w:lineRule="auto"/>
        <w:ind w:left="1568" w:right="0" w:hanging="739"/>
        <w:jc w:val="left"/>
        <w:rPr>
          <w:rFonts w:hint="eastAsia" w:ascii="黑体" w:eastAsia="黑体"/>
          <w:b/>
          <w:color w:val="auto"/>
          <w:sz w:val="21"/>
          <w:highlight w:val="none"/>
        </w:rPr>
      </w:pPr>
      <w:r>
        <w:rPr>
          <w:rFonts w:hint="eastAsia" w:ascii="黑体" w:eastAsia="黑体"/>
          <w:b/>
          <w:color w:val="auto"/>
          <w:sz w:val="21"/>
          <w:highlight w:val="none"/>
        </w:rPr>
        <w:t>不同投标人的投标文件相互混装；</w:t>
      </w:r>
    </w:p>
    <w:p>
      <w:pPr>
        <w:pStyle w:val="11"/>
        <w:numPr>
          <w:ilvl w:val="0"/>
          <w:numId w:val="14"/>
        </w:numPr>
        <w:tabs>
          <w:tab w:val="left" w:pos="1461"/>
        </w:tabs>
        <w:spacing w:before="57" w:after="0" w:line="240" w:lineRule="auto"/>
        <w:ind w:left="1460" w:right="0" w:hanging="631"/>
        <w:jc w:val="left"/>
        <w:rPr>
          <w:rFonts w:hint="eastAsia" w:ascii="黑体" w:eastAsia="黑体"/>
          <w:b/>
          <w:color w:val="auto"/>
          <w:sz w:val="21"/>
          <w:highlight w:val="none"/>
        </w:rPr>
      </w:pPr>
      <w:r>
        <w:rPr>
          <w:rFonts w:hint="eastAsia" w:ascii="黑体" w:eastAsia="黑体"/>
          <w:b/>
          <w:color w:val="auto"/>
          <w:sz w:val="21"/>
          <w:highlight w:val="none"/>
        </w:rPr>
        <w:t>法律、法规或规章规定的其他串通投标行为。</w:t>
      </w:r>
    </w:p>
    <w:p>
      <w:pPr>
        <w:pStyle w:val="11"/>
        <w:numPr>
          <w:ilvl w:val="2"/>
          <w:numId w:val="2"/>
        </w:numPr>
        <w:tabs>
          <w:tab w:val="left" w:pos="1411"/>
        </w:tabs>
        <w:spacing w:before="57" w:after="0" w:line="292" w:lineRule="auto"/>
        <w:ind w:left="515" w:right="373" w:firstLine="420"/>
        <w:jc w:val="left"/>
        <w:rPr>
          <w:rFonts w:hint="eastAsia" w:ascii="黑体" w:eastAsia="黑体"/>
          <w:color w:val="auto"/>
          <w:sz w:val="21"/>
          <w:highlight w:val="none"/>
        </w:rPr>
      </w:pPr>
      <w:r>
        <w:rPr>
          <w:rFonts w:ascii="宋体" w:hAnsi="宋体" w:eastAsia="宋体" w:cs="宋体"/>
          <w:color w:val="auto"/>
          <w:sz w:val="21"/>
          <w:szCs w:val="21"/>
          <w:highlight w:val="none"/>
          <w:lang w:val="zh-CN" w:eastAsia="zh-CN" w:bidi="zh-CN"/>
        </w:rPr>
        <w:t>如有效标不足三家使得投标明显缺乏竞争的，评标小组可以否决全部投标。所有投标被否决的，则本次招标失败</w:t>
      </w:r>
      <w:r>
        <w:rPr>
          <w:color w:val="auto"/>
          <w:spacing w:val="-6"/>
          <w:sz w:val="21"/>
          <w:highlight w:val="none"/>
        </w:rPr>
        <w:t>，重新组织招标。</w:t>
      </w:r>
    </w:p>
    <w:p>
      <w:pPr>
        <w:pStyle w:val="5"/>
        <w:spacing w:before="11"/>
        <w:rPr>
          <w:color w:val="auto"/>
          <w:sz w:val="27"/>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3" w:name="31.商务标的修正"/>
      <w:bookmarkEnd w:id="83"/>
      <w:bookmarkStart w:id="84" w:name="31.商务标的修正"/>
      <w:bookmarkEnd w:id="84"/>
      <w:r>
        <w:rPr>
          <w:color w:val="auto"/>
          <w:highlight w:val="none"/>
        </w:rPr>
        <w:t>商务标的修正</w:t>
      </w:r>
    </w:p>
    <w:p>
      <w:pPr>
        <w:pStyle w:val="5"/>
        <w:spacing w:before="60"/>
        <w:ind w:left="928"/>
        <w:rPr>
          <w:color w:val="auto"/>
          <w:highlight w:val="none"/>
        </w:rPr>
      </w:pPr>
      <w:r>
        <w:rPr>
          <w:color w:val="auto"/>
          <w:highlight w:val="none"/>
        </w:rPr>
        <w:t>投标承诺书中的文字表示的量和以数字表示的量不一致时，以文字表示的量为准。</w:t>
      </w:r>
    </w:p>
    <w:p>
      <w:pPr>
        <w:pStyle w:val="5"/>
        <w:spacing w:before="12"/>
        <w:rPr>
          <w:color w:val="auto"/>
          <w:sz w:val="26"/>
          <w:highlight w:val="none"/>
        </w:rPr>
      </w:pPr>
    </w:p>
    <w:p>
      <w:pPr>
        <w:pStyle w:val="2"/>
        <w:tabs>
          <w:tab w:val="left" w:pos="2128"/>
        </w:tabs>
        <w:rPr>
          <w:color w:val="auto"/>
          <w:highlight w:val="none"/>
        </w:rPr>
      </w:pPr>
      <w:r>
        <w:rPr>
          <w:color w:val="auto"/>
          <w:highlight w:val="none"/>
        </w:rPr>
        <w:t>第七节</w:t>
      </w:r>
      <w:r>
        <w:rPr>
          <w:color w:val="auto"/>
          <w:highlight w:val="none"/>
        </w:rPr>
        <w:tab/>
      </w:r>
      <w:bookmarkStart w:id="85" w:name="_bookmark8"/>
      <w:bookmarkEnd w:id="85"/>
      <w:bookmarkStart w:id="86" w:name="第七节授予合同"/>
      <w:bookmarkEnd w:id="86"/>
      <w:r>
        <w:rPr>
          <w:color w:val="auto"/>
          <w:highlight w:val="none"/>
        </w:rPr>
        <w:t>授予合同</w:t>
      </w:r>
    </w:p>
    <w:p>
      <w:pPr>
        <w:pStyle w:val="5"/>
        <w:spacing w:before="11"/>
        <w:rPr>
          <w:rFonts w:ascii="黑体"/>
          <w:b/>
          <w:color w:val="auto"/>
          <w:sz w:val="25"/>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87" w:name="32.中标候选人公示"/>
      <w:bookmarkEnd w:id="87"/>
      <w:bookmarkStart w:id="88" w:name="32.中标候选人公示"/>
      <w:bookmarkEnd w:id="88"/>
      <w:r>
        <w:rPr>
          <w:color w:val="auto"/>
          <w:w w:val="95"/>
          <w:highlight w:val="none"/>
        </w:rPr>
        <w:t>中标候选人公示</w:t>
      </w:r>
    </w:p>
    <w:p>
      <w:pPr>
        <w:pStyle w:val="11"/>
        <w:numPr>
          <w:ilvl w:val="1"/>
          <w:numId w:val="15"/>
        </w:numPr>
        <w:tabs>
          <w:tab w:val="left" w:pos="1408"/>
        </w:tabs>
        <w:spacing w:before="139" w:after="0" w:line="357" w:lineRule="auto"/>
        <w:ind w:left="515" w:right="474" w:firstLine="420"/>
        <w:jc w:val="both"/>
        <w:rPr>
          <w:color w:val="auto"/>
          <w:sz w:val="21"/>
          <w:highlight w:val="none"/>
        </w:rPr>
      </w:pPr>
      <w:r>
        <w:rPr>
          <w:color w:val="auto"/>
          <w:spacing w:val="-3"/>
          <w:sz w:val="21"/>
          <w:highlight w:val="none"/>
        </w:rPr>
        <w:t xml:space="preserve">招标人应当将评标小组推荐的中标候选人在交易场所（发布招标公告的媒体上）进行公示，公 </w:t>
      </w:r>
      <w:r>
        <w:rPr>
          <w:color w:val="auto"/>
          <w:spacing w:val="-2"/>
          <w:w w:val="95"/>
          <w:sz w:val="21"/>
          <w:highlight w:val="none"/>
        </w:rPr>
        <w:t xml:space="preserve">  </w:t>
      </w:r>
      <w:r>
        <w:rPr>
          <w:color w:val="auto"/>
          <w:spacing w:val="-11"/>
          <w:sz w:val="21"/>
          <w:highlight w:val="none"/>
        </w:rPr>
        <w:t xml:space="preserve">示期不得少于 </w:t>
      </w:r>
      <w:r>
        <w:rPr>
          <w:color w:val="auto"/>
          <w:sz w:val="21"/>
          <w:highlight w:val="none"/>
        </w:rPr>
        <w:t>3</w:t>
      </w:r>
      <w:r>
        <w:rPr>
          <w:color w:val="auto"/>
          <w:spacing w:val="-46"/>
          <w:sz w:val="21"/>
          <w:highlight w:val="none"/>
        </w:rPr>
        <w:t xml:space="preserve"> 日</w:t>
      </w:r>
      <w:r>
        <w:rPr>
          <w:b/>
          <w:color w:val="auto"/>
          <w:sz w:val="21"/>
          <w:highlight w:val="none"/>
        </w:rPr>
        <w:t>（最后一日为工作日</w:t>
      </w:r>
      <w:r>
        <w:rPr>
          <w:b/>
          <w:color w:val="auto"/>
          <w:spacing w:val="-106"/>
          <w:sz w:val="21"/>
          <w:highlight w:val="none"/>
        </w:rPr>
        <w:t>）</w:t>
      </w:r>
      <w:r>
        <w:rPr>
          <w:color w:val="auto"/>
          <w:spacing w:val="-7"/>
          <w:sz w:val="21"/>
          <w:highlight w:val="none"/>
        </w:rPr>
        <w:t>。招标人应当将全部投标人及总监的不良行为情况、项目总监在建项目情况等进行公示。公示期间，招标人（招标代理机构）应按照《关于在国有投资建设工程项目招</w:t>
      </w:r>
      <w:r>
        <w:rPr>
          <w:color w:val="auto"/>
          <w:spacing w:val="-13"/>
          <w:sz w:val="21"/>
          <w:highlight w:val="none"/>
        </w:rPr>
        <w:t>投标活动中实行行贿犯罪档案查询制度的通知》</w:t>
      </w:r>
      <w:r>
        <w:rPr>
          <w:color w:val="auto"/>
          <w:sz w:val="21"/>
          <w:highlight w:val="none"/>
        </w:rPr>
        <w:t>（台建规[2010]219</w:t>
      </w:r>
      <w:r>
        <w:rPr>
          <w:color w:val="auto"/>
          <w:spacing w:val="-34"/>
          <w:sz w:val="21"/>
          <w:highlight w:val="none"/>
        </w:rPr>
        <w:t xml:space="preserve"> 号</w:t>
      </w:r>
      <w:r>
        <w:rPr>
          <w:color w:val="auto"/>
          <w:spacing w:val="-10"/>
          <w:sz w:val="21"/>
          <w:highlight w:val="none"/>
        </w:rPr>
        <w:t>）</w:t>
      </w:r>
      <w:r>
        <w:rPr>
          <w:color w:val="auto"/>
          <w:spacing w:val="-3"/>
          <w:sz w:val="21"/>
          <w:highlight w:val="none"/>
        </w:rPr>
        <w:t>规定，对中标候选人有无行贿犯罪记录进行查询。公示期间招标人（招标代理）应当对中标候选人总监理工程师的在建项目情况进行核查，在公示结束后向招标监管机构提交书面核查意见。</w:t>
      </w:r>
    </w:p>
    <w:p>
      <w:pPr>
        <w:pStyle w:val="11"/>
        <w:numPr>
          <w:ilvl w:val="1"/>
          <w:numId w:val="15"/>
        </w:numPr>
        <w:tabs>
          <w:tab w:val="left" w:pos="1408"/>
        </w:tabs>
        <w:spacing w:before="0" w:after="0" w:line="357" w:lineRule="auto"/>
        <w:ind w:left="515" w:right="479" w:firstLine="420"/>
        <w:jc w:val="both"/>
        <w:rPr>
          <w:color w:val="auto"/>
          <w:sz w:val="21"/>
          <w:highlight w:val="none"/>
        </w:rPr>
      </w:pPr>
      <w:r>
        <w:rPr>
          <w:color w:val="auto"/>
          <w:spacing w:val="-8"/>
          <w:sz w:val="21"/>
          <w:highlight w:val="none"/>
        </w:rPr>
        <w:t>投标人对评标结果有异议的（包括全部投标人及总监的不良行为情况、项目总监在建项目情况等）有异议的，应当在中标候选人公示期间向招标人（招标代理机构）提出（附相关有效证明材料）。招标人</w:t>
      </w:r>
      <w:r>
        <w:rPr>
          <w:color w:val="auto"/>
          <w:spacing w:val="-7"/>
          <w:sz w:val="21"/>
          <w:highlight w:val="none"/>
        </w:rPr>
        <w:t>（招标代理机构）</w:t>
      </w:r>
      <w:r>
        <w:rPr>
          <w:color w:val="auto"/>
          <w:spacing w:val="-12"/>
          <w:sz w:val="21"/>
          <w:highlight w:val="none"/>
        </w:rPr>
        <w:t xml:space="preserve">应当自收到异议之日起 </w:t>
      </w:r>
      <w:r>
        <w:rPr>
          <w:color w:val="auto"/>
          <w:sz w:val="21"/>
          <w:highlight w:val="none"/>
        </w:rPr>
        <w:t>3</w:t>
      </w:r>
      <w:r>
        <w:rPr>
          <w:color w:val="auto"/>
          <w:spacing w:val="-8"/>
          <w:sz w:val="21"/>
          <w:highlight w:val="none"/>
        </w:rPr>
        <w:t xml:space="preserve"> 日内作出答复，作出答复前应当暂停招标投标活动。投标人对答复不服或认为招标人（招标代理机构）有违反有关规定及其他弄虚作假情形的，可在接到答复</w:t>
      </w:r>
      <w:r>
        <w:rPr>
          <w:color w:val="auto"/>
          <w:spacing w:val="-20"/>
          <w:sz w:val="21"/>
          <w:highlight w:val="none"/>
        </w:rPr>
        <w:t xml:space="preserve">之日起 </w:t>
      </w:r>
      <w:r>
        <w:rPr>
          <w:color w:val="auto"/>
          <w:sz w:val="21"/>
          <w:highlight w:val="none"/>
        </w:rPr>
        <w:t>3</w:t>
      </w:r>
      <w:r>
        <w:rPr>
          <w:color w:val="auto"/>
          <w:spacing w:val="-8"/>
          <w:sz w:val="21"/>
          <w:highlight w:val="none"/>
        </w:rPr>
        <w:t xml:space="preserve"> 日内向招标监管机构书面申请核查，并提交相关材料。</w:t>
      </w:r>
    </w:p>
    <w:p>
      <w:pPr>
        <w:pStyle w:val="11"/>
        <w:numPr>
          <w:ilvl w:val="1"/>
          <w:numId w:val="15"/>
        </w:numPr>
        <w:tabs>
          <w:tab w:val="left" w:pos="1408"/>
        </w:tabs>
        <w:spacing w:before="0" w:after="0" w:line="355" w:lineRule="auto"/>
        <w:ind w:left="515" w:right="481" w:firstLine="420"/>
        <w:jc w:val="both"/>
        <w:rPr>
          <w:color w:val="auto"/>
          <w:sz w:val="21"/>
          <w:highlight w:val="none"/>
        </w:rPr>
      </w:pPr>
      <w:r>
        <w:rPr>
          <w:color w:val="auto"/>
          <w:spacing w:val="-3"/>
          <w:sz w:val="21"/>
          <w:highlight w:val="none"/>
        </w:rPr>
        <w:t>涉及中标候选人投标资格等情形的，招标人（招标代理机构）可以书</w:t>
      </w:r>
      <w:r>
        <w:rPr>
          <w:color w:val="auto"/>
          <w:spacing w:val="-8"/>
          <w:sz w:val="21"/>
          <w:highlight w:val="none"/>
        </w:rPr>
        <w:t>面形式要求其进行澄清或</w:t>
      </w:r>
      <w:r>
        <w:rPr>
          <w:color w:val="auto"/>
          <w:w w:val="95"/>
          <w:sz w:val="21"/>
          <w:highlight w:val="none"/>
        </w:rPr>
        <w:t xml:space="preserve">   </w:t>
      </w:r>
      <w:r>
        <w:rPr>
          <w:color w:val="auto"/>
          <w:spacing w:val="-3"/>
          <w:sz w:val="21"/>
          <w:highlight w:val="none"/>
        </w:rPr>
        <w:t xml:space="preserve">说明。中标候选人应自收到书面通知之日起 </w:t>
      </w:r>
      <w:r>
        <w:rPr>
          <w:color w:val="auto"/>
          <w:sz w:val="21"/>
          <w:highlight w:val="none"/>
        </w:rPr>
        <w:t>3</w:t>
      </w:r>
      <w:r>
        <w:rPr>
          <w:color w:val="auto"/>
          <w:spacing w:val="-8"/>
          <w:sz w:val="21"/>
          <w:highlight w:val="none"/>
        </w:rPr>
        <w:t xml:space="preserve"> 日内进行澄清或说明。</w:t>
      </w:r>
    </w:p>
    <w:p>
      <w:pPr>
        <w:pStyle w:val="4"/>
        <w:numPr>
          <w:ilvl w:val="1"/>
          <w:numId w:val="15"/>
        </w:numPr>
        <w:tabs>
          <w:tab w:val="left" w:pos="1411"/>
        </w:tabs>
        <w:spacing w:before="0" w:after="0" w:line="240" w:lineRule="auto"/>
        <w:ind w:left="1410" w:right="0" w:hanging="475"/>
        <w:jc w:val="left"/>
        <w:rPr>
          <w:color w:val="auto"/>
          <w:highlight w:val="none"/>
        </w:rPr>
      </w:pPr>
      <w:r>
        <w:rPr>
          <w:color w:val="auto"/>
          <w:highlight w:val="none"/>
        </w:rPr>
        <w:t>中标候选人有以下情形之一的，其资格无效：</w:t>
      </w:r>
    </w:p>
    <w:p>
      <w:pPr>
        <w:pStyle w:val="11"/>
        <w:numPr>
          <w:ilvl w:val="0"/>
          <w:numId w:val="16"/>
        </w:numPr>
        <w:tabs>
          <w:tab w:val="left" w:pos="1460"/>
        </w:tabs>
        <w:spacing w:before="126" w:after="0" w:line="240" w:lineRule="auto"/>
        <w:ind w:left="1459" w:right="0" w:hanging="524"/>
        <w:jc w:val="left"/>
        <w:rPr>
          <w:color w:val="auto"/>
          <w:sz w:val="21"/>
          <w:highlight w:val="none"/>
        </w:rPr>
      </w:pPr>
      <w:r>
        <w:rPr>
          <w:color w:val="auto"/>
          <w:spacing w:val="-5"/>
          <w:sz w:val="21"/>
          <w:highlight w:val="none"/>
        </w:rPr>
        <w:t xml:space="preserve">投标资格不符合本章第 </w:t>
      </w:r>
      <w:r>
        <w:rPr>
          <w:color w:val="auto"/>
          <w:sz w:val="21"/>
          <w:highlight w:val="none"/>
        </w:rPr>
        <w:t>5</w:t>
      </w:r>
      <w:r>
        <w:rPr>
          <w:color w:val="auto"/>
          <w:spacing w:val="-10"/>
          <w:sz w:val="21"/>
          <w:highlight w:val="none"/>
        </w:rPr>
        <w:t xml:space="preserve"> 项规定的；</w:t>
      </w:r>
    </w:p>
    <w:p>
      <w:pPr>
        <w:pStyle w:val="5"/>
        <w:spacing w:before="8"/>
        <w:rPr>
          <w:color w:val="auto"/>
          <w:sz w:val="19"/>
          <w:highlight w:val="none"/>
        </w:rPr>
      </w:pPr>
    </w:p>
    <w:p>
      <w:pPr>
        <w:pStyle w:val="11"/>
        <w:numPr>
          <w:ilvl w:val="0"/>
          <w:numId w:val="16"/>
        </w:numPr>
        <w:tabs>
          <w:tab w:val="left" w:pos="1460"/>
        </w:tabs>
        <w:spacing w:before="70" w:after="0" w:line="240" w:lineRule="auto"/>
        <w:ind w:left="1459" w:right="0" w:hanging="524"/>
        <w:jc w:val="left"/>
        <w:rPr>
          <w:color w:val="auto"/>
          <w:sz w:val="21"/>
          <w:highlight w:val="none"/>
        </w:rPr>
      </w:pPr>
      <w:bookmarkStart w:id="89" w:name="第三章 评标办法"/>
      <w:bookmarkEnd w:id="89"/>
      <w:bookmarkStart w:id="90" w:name="第三章 评标办法"/>
      <w:bookmarkEnd w:id="90"/>
      <w:r>
        <w:rPr>
          <w:color w:val="auto"/>
          <w:spacing w:val="-11"/>
          <w:sz w:val="21"/>
          <w:highlight w:val="none"/>
        </w:rPr>
        <w:t xml:space="preserve">按本章第 </w:t>
      </w:r>
      <w:r>
        <w:rPr>
          <w:color w:val="auto"/>
          <w:sz w:val="21"/>
          <w:highlight w:val="none"/>
        </w:rPr>
        <w:t>30</w:t>
      </w:r>
      <w:r>
        <w:rPr>
          <w:color w:val="auto"/>
          <w:spacing w:val="-8"/>
          <w:sz w:val="21"/>
          <w:highlight w:val="none"/>
        </w:rPr>
        <w:t xml:space="preserve"> 项规定应作无效标处理的；</w:t>
      </w:r>
    </w:p>
    <w:p>
      <w:pPr>
        <w:pStyle w:val="11"/>
        <w:numPr>
          <w:ilvl w:val="0"/>
          <w:numId w:val="16"/>
        </w:numPr>
        <w:tabs>
          <w:tab w:val="left" w:pos="1460"/>
        </w:tabs>
        <w:spacing w:before="132" w:after="0" w:line="240" w:lineRule="auto"/>
        <w:ind w:left="1459" w:right="0" w:hanging="524"/>
        <w:jc w:val="left"/>
        <w:rPr>
          <w:color w:val="auto"/>
          <w:sz w:val="21"/>
          <w:highlight w:val="none"/>
        </w:rPr>
      </w:pPr>
      <w:r>
        <w:rPr>
          <w:color w:val="auto"/>
          <w:spacing w:val="-8"/>
          <w:sz w:val="21"/>
          <w:highlight w:val="none"/>
        </w:rPr>
        <w:t xml:space="preserve">拒绝按本章第 </w:t>
      </w:r>
      <w:r>
        <w:rPr>
          <w:color w:val="auto"/>
          <w:sz w:val="21"/>
          <w:highlight w:val="none"/>
        </w:rPr>
        <w:t>32.3</w:t>
      </w:r>
      <w:r>
        <w:rPr>
          <w:color w:val="auto"/>
          <w:spacing w:val="-8"/>
          <w:sz w:val="21"/>
          <w:highlight w:val="none"/>
        </w:rPr>
        <w:t xml:space="preserve"> 款规定进行说明或不能合理说明理由的；</w:t>
      </w:r>
    </w:p>
    <w:p>
      <w:pPr>
        <w:pStyle w:val="11"/>
        <w:numPr>
          <w:ilvl w:val="0"/>
          <w:numId w:val="16"/>
        </w:numPr>
        <w:tabs>
          <w:tab w:val="left" w:pos="1460"/>
        </w:tabs>
        <w:spacing w:before="132" w:after="0" w:line="240" w:lineRule="auto"/>
        <w:ind w:left="1459" w:right="0" w:hanging="524"/>
        <w:jc w:val="left"/>
        <w:rPr>
          <w:color w:val="auto"/>
          <w:sz w:val="21"/>
          <w:highlight w:val="none"/>
        </w:rPr>
      </w:pPr>
      <w:r>
        <w:rPr>
          <w:color w:val="auto"/>
          <w:sz w:val="21"/>
          <w:highlight w:val="none"/>
        </w:rPr>
        <w:t>法律法规规定作无效标处理的其它情形。</w:t>
      </w:r>
      <w:r>
        <w:rPr>
          <w:rFonts w:hint="eastAsia"/>
          <w:color w:val="auto"/>
          <w:sz w:val="21"/>
          <w:highlight w:val="none"/>
          <w:lang w:val="en-US" w:eastAsia="zh-CN"/>
        </w:rPr>
        <w:t xml:space="preserve"> </w:t>
      </w:r>
    </w:p>
    <w:p>
      <w:pPr>
        <w:pStyle w:val="5"/>
        <w:spacing w:before="9"/>
        <w:rPr>
          <w:color w:val="auto"/>
          <w:sz w:val="29"/>
          <w:highlight w:val="none"/>
        </w:rPr>
      </w:pPr>
    </w:p>
    <w:p>
      <w:pPr>
        <w:pStyle w:val="4"/>
        <w:numPr>
          <w:ilvl w:val="1"/>
          <w:numId w:val="2"/>
        </w:numPr>
        <w:tabs>
          <w:tab w:val="left" w:pos="1408"/>
        </w:tabs>
        <w:spacing w:before="1" w:after="0" w:line="240" w:lineRule="auto"/>
        <w:ind w:left="1407" w:right="0" w:hanging="319"/>
        <w:jc w:val="left"/>
        <w:rPr>
          <w:color w:val="auto"/>
          <w:highlight w:val="none"/>
        </w:rPr>
      </w:pPr>
      <w:bookmarkStart w:id="91" w:name="33.中标通知书"/>
      <w:bookmarkEnd w:id="91"/>
      <w:bookmarkStart w:id="92" w:name="33.中标通知书"/>
      <w:bookmarkEnd w:id="92"/>
      <w:r>
        <w:rPr>
          <w:color w:val="auto"/>
          <w:highlight w:val="none"/>
        </w:rPr>
        <w:t>中标通知书</w:t>
      </w:r>
    </w:p>
    <w:p>
      <w:pPr>
        <w:pStyle w:val="11"/>
        <w:numPr>
          <w:ilvl w:val="2"/>
          <w:numId w:val="2"/>
        </w:numPr>
        <w:tabs>
          <w:tab w:val="left" w:pos="1603"/>
        </w:tabs>
        <w:spacing w:before="138" w:after="0" w:line="357" w:lineRule="auto"/>
        <w:ind w:left="656" w:right="484" w:firstLine="420"/>
        <w:jc w:val="both"/>
        <w:rPr>
          <w:color w:val="auto"/>
          <w:sz w:val="21"/>
          <w:highlight w:val="none"/>
        </w:rPr>
      </w:pPr>
      <w:r>
        <w:rPr>
          <w:color w:val="auto"/>
          <w:sz w:val="21"/>
          <w:highlight w:val="none"/>
        </w:rPr>
        <w:t>招标人应当确定第一中标候选人为中标人。第一中标候选人放弃中标，或者因不可抗力提出不能</w:t>
      </w:r>
      <w:r>
        <w:rPr>
          <w:color w:val="auto"/>
          <w:spacing w:val="-3"/>
          <w:sz w:val="21"/>
          <w:highlight w:val="none"/>
        </w:rPr>
        <w:t xml:space="preserve">履行合同，或者因违反本章第 </w:t>
      </w:r>
      <w:r>
        <w:rPr>
          <w:color w:val="auto"/>
          <w:sz w:val="21"/>
          <w:highlight w:val="none"/>
        </w:rPr>
        <w:t>32.4</w:t>
      </w:r>
      <w:r>
        <w:rPr>
          <w:color w:val="auto"/>
          <w:spacing w:val="-6"/>
          <w:sz w:val="21"/>
          <w:highlight w:val="none"/>
        </w:rPr>
        <w:t xml:space="preserve"> 项规定造成其资格无效的,本次招标失败，重新组织招标。涉及到其他投标人资格无效，则评标结果不作调整。</w:t>
      </w:r>
    </w:p>
    <w:p>
      <w:pPr>
        <w:pStyle w:val="11"/>
        <w:numPr>
          <w:ilvl w:val="2"/>
          <w:numId w:val="2"/>
        </w:numPr>
        <w:tabs>
          <w:tab w:val="left" w:pos="1603"/>
        </w:tabs>
        <w:spacing w:before="0" w:after="0" w:line="266" w:lineRule="exact"/>
        <w:ind w:left="1602" w:right="0" w:hanging="526"/>
        <w:jc w:val="left"/>
        <w:rPr>
          <w:color w:val="auto"/>
          <w:sz w:val="21"/>
          <w:highlight w:val="none"/>
        </w:rPr>
      </w:pPr>
      <w:r>
        <w:rPr>
          <w:color w:val="auto"/>
          <w:spacing w:val="-4"/>
          <w:sz w:val="21"/>
          <w:highlight w:val="none"/>
        </w:rPr>
        <w:t>中标人确定后，招标人应当向中标人发出《建设工程中标通知书》。</w:t>
      </w:r>
    </w:p>
    <w:p>
      <w:pPr>
        <w:pStyle w:val="11"/>
        <w:numPr>
          <w:ilvl w:val="2"/>
          <w:numId w:val="2"/>
        </w:numPr>
        <w:tabs>
          <w:tab w:val="left" w:pos="1603"/>
        </w:tabs>
        <w:spacing w:before="130" w:after="0" w:line="357" w:lineRule="auto"/>
        <w:ind w:left="656" w:right="481" w:firstLine="420"/>
        <w:jc w:val="both"/>
        <w:rPr>
          <w:color w:val="auto"/>
          <w:sz w:val="21"/>
          <w:highlight w:val="none"/>
        </w:rPr>
      </w:pPr>
      <w:r>
        <w:rPr>
          <w:color w:val="auto"/>
          <w:sz w:val="21"/>
          <w:highlight w:val="none"/>
        </w:rPr>
        <w:t>招标人在发出《建设工程中标通知书》的同时，应当将中标结果以书面形式通知所有未中标的</w:t>
      </w:r>
      <w:r>
        <w:rPr>
          <w:color w:val="auto"/>
          <w:spacing w:val="-4"/>
          <w:sz w:val="21"/>
          <w:highlight w:val="none"/>
        </w:rPr>
        <w:t>投标人。</w:t>
      </w:r>
    </w:p>
    <w:p>
      <w:pPr>
        <w:pStyle w:val="11"/>
        <w:numPr>
          <w:ilvl w:val="2"/>
          <w:numId w:val="2"/>
        </w:numPr>
        <w:tabs>
          <w:tab w:val="left" w:pos="1603"/>
        </w:tabs>
        <w:spacing w:before="0" w:after="0" w:line="357" w:lineRule="auto"/>
        <w:ind w:left="656" w:right="484" w:firstLine="420"/>
        <w:jc w:val="both"/>
        <w:rPr>
          <w:color w:val="auto"/>
          <w:sz w:val="21"/>
          <w:highlight w:val="none"/>
        </w:rPr>
      </w:pPr>
      <w:r>
        <w:rPr>
          <w:color w:val="auto"/>
          <w:spacing w:val="-4"/>
          <w:sz w:val="21"/>
          <w:highlight w:val="none"/>
        </w:rPr>
        <w:t>《建设工程中标通知书》对招标人和中标人具有法律约束力。《建设工程中标通知书》发出</w:t>
      </w:r>
      <w:r>
        <w:rPr>
          <w:color w:val="auto"/>
          <w:sz w:val="21"/>
          <w:highlight w:val="none"/>
        </w:rPr>
        <w:t>后，如中标人违反法律法规规定而中标无效的，应承担相应的法律责任，本次招标失败，应重新进行招标。</w:t>
      </w:r>
    </w:p>
    <w:p>
      <w:pPr>
        <w:pStyle w:val="5"/>
        <w:spacing w:before="3"/>
        <w:rPr>
          <w:color w:val="auto"/>
          <w:sz w:val="19"/>
          <w:highlight w:val="none"/>
        </w:rPr>
      </w:pPr>
    </w:p>
    <w:p>
      <w:pPr>
        <w:pStyle w:val="4"/>
        <w:numPr>
          <w:ilvl w:val="1"/>
          <w:numId w:val="2"/>
        </w:numPr>
        <w:tabs>
          <w:tab w:val="left" w:pos="1408"/>
        </w:tabs>
        <w:spacing w:before="0" w:after="0" w:line="240" w:lineRule="auto"/>
        <w:ind w:left="1407" w:right="0" w:hanging="319"/>
        <w:jc w:val="left"/>
        <w:rPr>
          <w:color w:val="auto"/>
          <w:highlight w:val="none"/>
        </w:rPr>
      </w:pPr>
      <w:bookmarkStart w:id="93" w:name="34.合同签订"/>
      <w:bookmarkEnd w:id="93"/>
      <w:bookmarkStart w:id="94" w:name="34.合同签订"/>
      <w:bookmarkEnd w:id="94"/>
      <w:r>
        <w:rPr>
          <w:color w:val="auto"/>
          <w:highlight w:val="none"/>
        </w:rPr>
        <w:t>合同签订</w:t>
      </w:r>
    </w:p>
    <w:p>
      <w:pPr>
        <w:pStyle w:val="11"/>
        <w:numPr>
          <w:ilvl w:val="2"/>
          <w:numId w:val="2"/>
        </w:numPr>
        <w:tabs>
          <w:tab w:val="left" w:pos="1603"/>
        </w:tabs>
        <w:spacing w:before="141" w:after="0" w:line="355" w:lineRule="auto"/>
        <w:ind w:left="656" w:right="481" w:firstLine="420"/>
        <w:jc w:val="both"/>
        <w:rPr>
          <w:color w:val="auto"/>
          <w:sz w:val="21"/>
          <w:highlight w:val="none"/>
        </w:rPr>
      </w:pPr>
      <w:r>
        <w:rPr>
          <w:color w:val="auto"/>
          <w:spacing w:val="-3"/>
          <w:sz w:val="21"/>
          <w:highlight w:val="none"/>
        </w:rPr>
        <w:t xml:space="preserve">自《建设工程中标通知书》发出之日起 </w:t>
      </w:r>
      <w:r>
        <w:rPr>
          <w:color w:val="auto"/>
          <w:sz w:val="21"/>
          <w:highlight w:val="none"/>
        </w:rPr>
        <w:t>15</w:t>
      </w:r>
      <w:r>
        <w:rPr>
          <w:color w:val="auto"/>
          <w:spacing w:val="-6"/>
          <w:sz w:val="21"/>
          <w:highlight w:val="none"/>
        </w:rPr>
        <w:t xml:space="preserve"> 日内，招标人应当与中标人按照本招标文件和中</w:t>
      </w:r>
      <w:r>
        <w:rPr>
          <w:color w:val="auto"/>
          <w:sz w:val="21"/>
          <w:highlight w:val="none"/>
        </w:rPr>
        <w:t>标人的投标文件订立书面合同，并到招标办办理备案手续。招标人与中标人不得再行订立背离合同实</w:t>
      </w:r>
    </w:p>
    <w:p>
      <w:pPr>
        <w:pStyle w:val="5"/>
        <w:spacing w:before="3"/>
        <w:ind w:left="656"/>
        <w:rPr>
          <w:color w:val="auto"/>
          <w:highlight w:val="none"/>
        </w:rPr>
      </w:pPr>
      <w:r>
        <w:rPr>
          <w:color w:val="auto"/>
          <w:highlight w:val="none"/>
        </w:rPr>
        <w:t>质性内容的其他协议。</w:t>
      </w:r>
    </w:p>
    <w:p>
      <w:pPr>
        <w:pStyle w:val="11"/>
        <w:numPr>
          <w:ilvl w:val="2"/>
          <w:numId w:val="2"/>
        </w:numPr>
        <w:tabs>
          <w:tab w:val="left" w:pos="1603"/>
        </w:tabs>
        <w:spacing w:before="21" w:after="0" w:line="364" w:lineRule="auto"/>
        <w:ind w:left="656" w:right="464" w:firstLine="420"/>
        <w:jc w:val="both"/>
        <w:rPr>
          <w:color w:val="auto"/>
          <w:sz w:val="21"/>
          <w:highlight w:val="none"/>
        </w:rPr>
      </w:pPr>
      <w:r>
        <w:rPr>
          <w:color w:val="auto"/>
          <w:sz w:val="21"/>
          <w:highlight w:val="none"/>
        </w:rPr>
        <w:t>招标人与中标人须根据国家、省、市建设工程施工合同管理的规定及招标文件、投标文件</w:t>
      </w:r>
      <w:r>
        <w:rPr>
          <w:color w:val="auto"/>
          <w:w w:val="95"/>
          <w:sz w:val="21"/>
          <w:highlight w:val="none"/>
        </w:rPr>
        <w:t xml:space="preserve">，   </w:t>
      </w:r>
      <w:r>
        <w:rPr>
          <w:color w:val="auto"/>
          <w:sz w:val="21"/>
          <w:highlight w:val="none"/>
        </w:rPr>
        <w:t>草签施工合同，待合同管理部门审查后正式签订。</w:t>
      </w:r>
    </w:p>
    <w:p>
      <w:pPr>
        <w:pStyle w:val="11"/>
        <w:numPr>
          <w:ilvl w:val="2"/>
          <w:numId w:val="2"/>
        </w:numPr>
        <w:tabs>
          <w:tab w:val="left" w:pos="1603"/>
        </w:tabs>
        <w:spacing w:before="1" w:after="0" w:line="364" w:lineRule="auto"/>
        <w:ind w:left="656" w:right="484" w:firstLine="420"/>
        <w:jc w:val="both"/>
        <w:rPr>
          <w:color w:val="auto"/>
          <w:sz w:val="21"/>
          <w:highlight w:val="none"/>
        </w:rPr>
      </w:pPr>
      <w:r>
        <w:rPr>
          <w:color w:val="auto"/>
          <w:spacing w:val="-4"/>
          <w:sz w:val="21"/>
          <w:highlight w:val="none"/>
        </w:rPr>
        <w:t>同时，按照《关于在我市工程建设领域推行廉政合同的通知》</w:t>
      </w:r>
      <w:r>
        <w:rPr>
          <w:color w:val="auto"/>
          <w:sz w:val="21"/>
          <w:highlight w:val="none"/>
        </w:rPr>
        <w:t>（台纪[2001]19</w:t>
      </w:r>
      <w:r>
        <w:rPr>
          <w:color w:val="auto"/>
          <w:spacing w:val="-20"/>
          <w:sz w:val="21"/>
          <w:highlight w:val="none"/>
        </w:rPr>
        <w:t xml:space="preserve"> 号</w:t>
      </w:r>
      <w:r>
        <w:rPr>
          <w:color w:val="auto"/>
          <w:sz w:val="21"/>
          <w:highlight w:val="none"/>
        </w:rPr>
        <w:t xml:space="preserve">）的要求， </w:t>
      </w:r>
      <w:r>
        <w:rPr>
          <w:color w:val="auto"/>
          <w:spacing w:val="-10"/>
          <w:sz w:val="21"/>
          <w:highlight w:val="none"/>
        </w:rPr>
        <w:t>双方签订《廉政合同》。</w:t>
      </w:r>
    </w:p>
    <w:p>
      <w:pPr>
        <w:spacing w:after="0" w:line="364" w:lineRule="auto"/>
        <w:jc w:val="both"/>
        <w:rPr>
          <w:color w:val="auto"/>
          <w:sz w:val="21"/>
          <w:highlight w:val="none"/>
        </w:rPr>
        <w:sectPr>
          <w:footerReference r:id="rId6" w:type="default"/>
          <w:pgSz w:w="11910" w:h="16840"/>
          <w:pgMar w:top="1080" w:right="520" w:bottom="1040" w:left="920" w:header="891" w:footer="856" w:gutter="0"/>
        </w:sectPr>
      </w:pPr>
    </w:p>
    <w:p>
      <w:pPr>
        <w:pStyle w:val="5"/>
        <w:spacing w:before="11"/>
        <w:rPr>
          <w:color w:val="auto"/>
          <w:highlight w:val="none"/>
        </w:rPr>
      </w:pPr>
    </w:p>
    <w:p>
      <w:pPr>
        <w:pStyle w:val="2"/>
        <w:tabs>
          <w:tab w:val="left" w:pos="5267"/>
        </w:tabs>
        <w:spacing w:before="54"/>
        <w:ind w:left="4026"/>
        <w:jc w:val="left"/>
        <w:rPr>
          <w:color w:val="auto"/>
          <w:highlight w:val="none"/>
        </w:rPr>
      </w:pPr>
      <w:r>
        <w:rPr>
          <w:color w:val="auto"/>
          <w:highlight w:val="none"/>
        </w:rPr>
        <w:t>第三章</w:t>
      </w:r>
      <w:r>
        <w:rPr>
          <w:color w:val="auto"/>
          <w:highlight w:val="none"/>
        </w:rPr>
        <w:tab/>
      </w:r>
      <w:bookmarkStart w:id="95" w:name="_bookmark9"/>
      <w:bookmarkEnd w:id="95"/>
      <w:r>
        <w:rPr>
          <w:color w:val="auto"/>
          <w:highlight w:val="none"/>
        </w:rPr>
        <w:t>评标办法</w:t>
      </w:r>
    </w:p>
    <w:p>
      <w:pPr>
        <w:pStyle w:val="5"/>
        <w:spacing w:before="206"/>
        <w:ind w:left="935"/>
        <w:rPr>
          <w:color w:val="auto"/>
          <w:highlight w:val="none"/>
        </w:rPr>
      </w:pPr>
      <w:bookmarkStart w:id="96" w:name="本工程项目的评标办法采用简易评标法。"/>
      <w:bookmarkEnd w:id="96"/>
      <w:r>
        <w:rPr>
          <w:color w:val="auto"/>
          <w:highlight w:val="none"/>
        </w:rPr>
        <w:t>本工程项目的评标办法采用简易评标法。</w:t>
      </w:r>
    </w:p>
    <w:p>
      <w:pPr>
        <w:pStyle w:val="5"/>
        <w:spacing w:before="4"/>
        <w:rPr>
          <w:color w:val="auto"/>
          <w:sz w:val="23"/>
          <w:highlight w:val="none"/>
        </w:rPr>
      </w:pPr>
    </w:p>
    <w:p>
      <w:pPr>
        <w:spacing w:before="0"/>
        <w:ind w:left="995" w:right="0" w:firstLine="0"/>
        <w:jc w:val="left"/>
        <w:rPr>
          <w:color w:val="auto"/>
          <w:sz w:val="24"/>
          <w:highlight w:val="none"/>
        </w:rPr>
      </w:pPr>
      <w:r>
        <w:rPr>
          <w:color w:val="auto"/>
          <w:sz w:val="24"/>
          <w:highlight w:val="none"/>
        </w:rPr>
        <w:t>一、第一阶段为资格审查。</w:t>
      </w:r>
    </w:p>
    <w:p>
      <w:pPr>
        <w:spacing w:before="194" w:line="388" w:lineRule="auto"/>
        <w:ind w:left="515" w:right="482" w:firstLine="480"/>
        <w:jc w:val="left"/>
        <w:rPr>
          <w:color w:val="auto"/>
          <w:sz w:val="24"/>
          <w:highlight w:val="none"/>
        </w:rPr>
      </w:pPr>
      <w:r>
        <w:rPr>
          <w:color w:val="auto"/>
          <w:sz w:val="24"/>
          <w:highlight w:val="none"/>
        </w:rPr>
        <w:t>招标人按照招标文件载明的资格后审条款对投标人进行审查，凡不符合资格后审要求的，以无效标处理，不再进入商务标评标。</w:t>
      </w:r>
    </w:p>
    <w:p>
      <w:pPr>
        <w:spacing w:before="2"/>
        <w:ind w:left="995" w:right="0" w:firstLine="0"/>
        <w:jc w:val="left"/>
        <w:rPr>
          <w:color w:val="auto"/>
          <w:sz w:val="24"/>
          <w:highlight w:val="none"/>
        </w:rPr>
      </w:pPr>
      <w:r>
        <w:rPr>
          <w:color w:val="auto"/>
          <w:sz w:val="24"/>
          <w:highlight w:val="none"/>
        </w:rPr>
        <w:t>二、第二阶段为商务标评审。</w:t>
      </w:r>
    </w:p>
    <w:p>
      <w:pPr>
        <w:spacing w:before="195"/>
        <w:ind w:left="995" w:right="0" w:firstLine="0"/>
        <w:jc w:val="left"/>
        <w:rPr>
          <w:color w:val="auto"/>
          <w:sz w:val="24"/>
          <w:highlight w:val="none"/>
        </w:rPr>
      </w:pPr>
      <w:r>
        <w:rPr>
          <w:color w:val="auto"/>
          <w:sz w:val="24"/>
          <w:highlight w:val="none"/>
        </w:rPr>
        <w:t>1、评标标底价的确定。</w:t>
      </w:r>
    </w:p>
    <w:p>
      <w:pPr>
        <w:spacing w:before="191" w:line="388" w:lineRule="auto"/>
        <w:ind w:left="515" w:right="481" w:firstLine="480"/>
        <w:jc w:val="left"/>
        <w:rPr>
          <w:color w:val="auto"/>
          <w:sz w:val="24"/>
          <w:highlight w:val="none"/>
        </w:rPr>
      </w:pPr>
      <w:r>
        <w:rPr>
          <w:color w:val="auto"/>
          <w:spacing w:val="-6"/>
          <w:sz w:val="24"/>
          <w:highlight w:val="none"/>
        </w:rPr>
        <w:t xml:space="preserve">在所有经评审的有效报价中，按有效报价的家数 </w:t>
      </w:r>
      <w:r>
        <w:rPr>
          <w:color w:val="auto"/>
          <w:sz w:val="24"/>
          <w:highlight w:val="none"/>
        </w:rPr>
        <w:t>A</w:t>
      </w:r>
      <w:r>
        <w:rPr>
          <w:color w:val="auto"/>
          <w:spacing w:val="-13"/>
          <w:sz w:val="24"/>
          <w:highlight w:val="none"/>
        </w:rPr>
        <w:t xml:space="preserve"> 确定评标标底价：取去掉报价高的 </w:t>
      </w:r>
      <w:r>
        <w:rPr>
          <w:color w:val="auto"/>
          <w:spacing w:val="-17"/>
          <w:sz w:val="24"/>
          <w:highlight w:val="none"/>
        </w:rPr>
        <w:t xml:space="preserve">B </w:t>
      </w:r>
      <w:r>
        <w:rPr>
          <w:color w:val="auto"/>
          <w:spacing w:val="-9"/>
          <w:sz w:val="24"/>
          <w:highlight w:val="none"/>
        </w:rPr>
        <w:t xml:space="preserve">家和报价低的 </w:t>
      </w:r>
      <w:r>
        <w:rPr>
          <w:color w:val="auto"/>
          <w:sz w:val="24"/>
          <w:highlight w:val="none"/>
        </w:rPr>
        <w:t>C</w:t>
      </w:r>
      <w:r>
        <w:rPr>
          <w:color w:val="auto"/>
          <w:spacing w:val="-14"/>
          <w:sz w:val="24"/>
          <w:highlight w:val="none"/>
        </w:rPr>
        <w:t xml:space="preserve"> 家后的有效标报价的算术平均值作为评标标底价，其中 </w:t>
      </w:r>
      <w:r>
        <w:rPr>
          <w:color w:val="auto"/>
          <w:sz w:val="24"/>
          <w:highlight w:val="none"/>
        </w:rPr>
        <w:t>B=A×30%</w:t>
      </w:r>
      <w:r>
        <w:rPr>
          <w:color w:val="auto"/>
          <w:spacing w:val="-96"/>
          <w:sz w:val="24"/>
          <w:highlight w:val="none"/>
        </w:rPr>
        <w:t>、</w:t>
      </w:r>
      <w:r>
        <w:rPr>
          <w:color w:val="auto"/>
          <w:spacing w:val="-3"/>
          <w:sz w:val="24"/>
          <w:highlight w:val="none"/>
        </w:rPr>
        <w:t>C=A×10%</w:t>
      </w:r>
    </w:p>
    <w:p>
      <w:pPr>
        <w:spacing w:before="5"/>
        <w:ind w:left="515" w:right="0" w:firstLine="0"/>
        <w:jc w:val="left"/>
        <w:rPr>
          <w:color w:val="auto"/>
          <w:sz w:val="24"/>
          <w:highlight w:val="none"/>
        </w:rPr>
      </w:pPr>
      <w:r>
        <w:rPr>
          <w:color w:val="auto"/>
          <w:sz w:val="24"/>
          <w:highlight w:val="none"/>
        </w:rPr>
        <w:t>（B、C</w:t>
      </w:r>
      <w:r>
        <w:rPr>
          <w:color w:val="auto"/>
          <w:spacing w:val="-8"/>
          <w:sz w:val="24"/>
          <w:highlight w:val="none"/>
        </w:rPr>
        <w:t xml:space="preserve"> 取整数，小数点后四舍五入</w:t>
      </w:r>
      <w:r>
        <w:rPr>
          <w:color w:val="auto"/>
          <w:spacing w:val="-120"/>
          <w:sz w:val="24"/>
          <w:highlight w:val="none"/>
        </w:rPr>
        <w:t>）</w:t>
      </w:r>
      <w:r>
        <w:rPr>
          <w:color w:val="auto"/>
          <w:sz w:val="24"/>
          <w:highlight w:val="none"/>
        </w:rPr>
        <w:t>。</w:t>
      </w:r>
    </w:p>
    <w:p>
      <w:pPr>
        <w:spacing w:before="191"/>
        <w:ind w:left="995" w:right="0" w:firstLine="0"/>
        <w:jc w:val="left"/>
        <w:rPr>
          <w:color w:val="auto"/>
          <w:sz w:val="24"/>
          <w:highlight w:val="none"/>
        </w:rPr>
      </w:pPr>
      <w:r>
        <w:rPr>
          <w:color w:val="auto"/>
          <w:sz w:val="24"/>
          <w:highlight w:val="none"/>
        </w:rPr>
        <w:t>2、中标候选人的确定。</w:t>
      </w:r>
    </w:p>
    <w:p>
      <w:pPr>
        <w:spacing w:before="192"/>
        <w:ind w:left="995" w:right="0" w:firstLine="0"/>
        <w:jc w:val="left"/>
        <w:rPr>
          <w:color w:val="auto"/>
          <w:sz w:val="24"/>
          <w:highlight w:val="none"/>
        </w:rPr>
      </w:pPr>
      <w:r>
        <w:rPr>
          <w:color w:val="auto"/>
          <w:sz w:val="24"/>
          <w:highlight w:val="none"/>
        </w:rPr>
        <w:t>在所有经评审的有效报价中，按低于评标标底价的有效报价家数 A 确定中标候选人。</w:t>
      </w:r>
    </w:p>
    <w:p>
      <w:pPr>
        <w:pStyle w:val="11"/>
        <w:numPr>
          <w:ilvl w:val="0"/>
          <w:numId w:val="17"/>
        </w:numPr>
        <w:tabs>
          <w:tab w:val="left" w:pos="1603"/>
        </w:tabs>
        <w:spacing w:before="194" w:after="0" w:line="388" w:lineRule="auto"/>
        <w:ind w:left="515" w:right="484" w:firstLine="480"/>
        <w:jc w:val="left"/>
        <w:rPr>
          <w:color w:val="auto"/>
          <w:sz w:val="24"/>
          <w:highlight w:val="none"/>
        </w:rPr>
      </w:pPr>
      <w:r>
        <w:rPr>
          <w:color w:val="auto"/>
          <w:spacing w:val="-19"/>
          <w:sz w:val="24"/>
          <w:highlight w:val="none"/>
        </w:rPr>
        <w:t xml:space="preserve">若 </w:t>
      </w:r>
      <w:r>
        <w:rPr>
          <w:color w:val="auto"/>
          <w:spacing w:val="2"/>
          <w:sz w:val="24"/>
          <w:highlight w:val="none"/>
        </w:rPr>
        <w:t>A≥1</w:t>
      </w:r>
      <w:r>
        <w:rPr>
          <w:color w:val="auto"/>
          <w:spacing w:val="-5"/>
          <w:sz w:val="24"/>
          <w:highlight w:val="none"/>
        </w:rPr>
        <w:t xml:space="preserve"> 家，则在所有低于评标标底价的有效报价中，与评标标底价最接近的投标人为第一中标候选人。</w:t>
      </w:r>
    </w:p>
    <w:p>
      <w:pPr>
        <w:pStyle w:val="11"/>
        <w:numPr>
          <w:ilvl w:val="0"/>
          <w:numId w:val="17"/>
        </w:numPr>
        <w:tabs>
          <w:tab w:val="left" w:pos="1597"/>
        </w:tabs>
        <w:spacing w:before="2" w:after="0" w:line="391" w:lineRule="auto"/>
        <w:ind w:left="515" w:right="481" w:firstLine="480"/>
        <w:jc w:val="left"/>
        <w:rPr>
          <w:color w:val="auto"/>
          <w:sz w:val="24"/>
          <w:highlight w:val="none"/>
        </w:rPr>
      </w:pPr>
      <w:r>
        <w:rPr>
          <w:color w:val="auto"/>
          <w:spacing w:val="-30"/>
          <w:sz w:val="24"/>
          <w:highlight w:val="none"/>
        </w:rPr>
        <w:t xml:space="preserve">若 </w:t>
      </w:r>
      <w:r>
        <w:rPr>
          <w:color w:val="auto"/>
          <w:sz w:val="24"/>
          <w:highlight w:val="none"/>
        </w:rPr>
        <w:t>A=0</w:t>
      </w:r>
      <w:r>
        <w:rPr>
          <w:color w:val="auto"/>
          <w:spacing w:val="-9"/>
          <w:sz w:val="24"/>
          <w:highlight w:val="none"/>
        </w:rPr>
        <w:t xml:space="preserve"> 家，则在所有高于评标标底价的有效报价中，与评标标底价最接近的投标</w:t>
      </w:r>
      <w:r>
        <w:rPr>
          <w:color w:val="auto"/>
          <w:sz w:val="24"/>
          <w:highlight w:val="none"/>
        </w:rPr>
        <w:t>人为第一中标候选人。</w:t>
      </w:r>
    </w:p>
    <w:p>
      <w:pPr>
        <w:spacing w:before="0" w:line="306" w:lineRule="exact"/>
        <w:ind w:left="1235" w:right="0" w:firstLine="0"/>
        <w:jc w:val="left"/>
        <w:rPr>
          <w:color w:val="auto"/>
          <w:sz w:val="24"/>
          <w:highlight w:val="none"/>
        </w:rPr>
      </w:pPr>
      <w:r>
        <w:rPr>
          <w:color w:val="auto"/>
          <w:sz w:val="24"/>
          <w:highlight w:val="none"/>
        </w:rPr>
        <w:t>以上各种情况中，如出现投标报价相同的，则抽签确定中标候选人。</w:t>
      </w:r>
    </w:p>
    <w:p>
      <w:pPr>
        <w:spacing w:after="0" w:line="306" w:lineRule="exact"/>
        <w:jc w:val="left"/>
        <w:rPr>
          <w:color w:val="auto"/>
          <w:sz w:val="24"/>
          <w:highlight w:val="none"/>
        </w:rPr>
        <w:sectPr>
          <w:pgSz w:w="11910" w:h="16840"/>
          <w:pgMar w:top="1080" w:right="520" w:bottom="1040" w:left="920" w:header="891" w:footer="856" w:gutter="0"/>
        </w:sectPr>
      </w:pPr>
    </w:p>
    <w:p>
      <w:pPr>
        <w:pStyle w:val="5"/>
        <w:spacing w:before="11"/>
        <w:rPr>
          <w:color w:val="auto"/>
          <w:highlight w:val="none"/>
        </w:rPr>
      </w:pPr>
    </w:p>
    <w:p>
      <w:pPr>
        <w:pStyle w:val="2"/>
        <w:spacing w:before="54"/>
        <w:ind w:left="782" w:right="252"/>
        <w:rPr>
          <w:color w:val="auto"/>
          <w:highlight w:val="none"/>
        </w:rPr>
      </w:pPr>
      <w:r>
        <w:rPr>
          <w:color w:val="auto"/>
          <w:highlight w:val="none"/>
        </w:rPr>
        <w:t>第四章 合同条款</w:t>
      </w:r>
    </w:p>
    <w:p>
      <w:pPr>
        <w:pStyle w:val="5"/>
        <w:spacing w:before="125"/>
        <w:ind w:left="1292"/>
        <w:rPr>
          <w:color w:val="auto"/>
          <w:highlight w:val="none"/>
        </w:rPr>
      </w:pPr>
      <w:r>
        <w:rPr>
          <w:color w:val="auto"/>
          <w:spacing w:val="-1"/>
          <w:w w:val="99"/>
          <w:highlight w:val="none"/>
        </w:rPr>
        <w:t>合同文本采用建设工程委托监理合同示范文本（</w:t>
      </w:r>
      <w:r>
        <w:rPr>
          <w:color w:val="auto"/>
          <w:w w:val="99"/>
          <w:highlight w:val="none"/>
        </w:rPr>
        <w:t>ＧＦ－</w:t>
      </w:r>
      <w:r>
        <w:rPr>
          <w:color w:val="auto"/>
          <w:spacing w:val="1"/>
          <w:w w:val="99"/>
          <w:highlight w:val="none"/>
        </w:rPr>
        <w:t>201</w:t>
      </w:r>
      <w:r>
        <w:rPr>
          <w:color w:val="auto"/>
          <w:spacing w:val="-2"/>
          <w:w w:val="99"/>
          <w:highlight w:val="none"/>
        </w:rPr>
        <w:t>2</w:t>
      </w:r>
      <w:r>
        <w:rPr>
          <w:color w:val="auto"/>
          <w:spacing w:val="2"/>
          <w:w w:val="99"/>
          <w:highlight w:val="none"/>
        </w:rPr>
        <w:t>－</w:t>
      </w:r>
      <w:r>
        <w:rPr>
          <w:color w:val="auto"/>
          <w:spacing w:val="1"/>
          <w:w w:val="99"/>
          <w:highlight w:val="none"/>
        </w:rPr>
        <w:t>02</w:t>
      </w:r>
      <w:r>
        <w:rPr>
          <w:color w:val="auto"/>
          <w:spacing w:val="-2"/>
          <w:w w:val="99"/>
          <w:highlight w:val="none"/>
        </w:rPr>
        <w:t>0</w:t>
      </w:r>
      <w:r>
        <w:rPr>
          <w:color w:val="auto"/>
          <w:spacing w:val="1"/>
          <w:w w:val="99"/>
          <w:highlight w:val="none"/>
        </w:rPr>
        <w:t>2</w:t>
      </w:r>
      <w:r>
        <w:rPr>
          <w:color w:val="auto"/>
          <w:spacing w:val="-106"/>
          <w:w w:val="99"/>
          <w:highlight w:val="none"/>
        </w:rPr>
        <w:t>）</w:t>
      </w:r>
      <w:r>
        <w:rPr>
          <w:color w:val="auto"/>
          <w:w w:val="99"/>
          <w:highlight w:val="none"/>
        </w:rPr>
        <w:t>。</w:t>
      </w:r>
    </w:p>
    <w:p>
      <w:pPr>
        <w:pStyle w:val="5"/>
        <w:rPr>
          <w:color w:val="auto"/>
          <w:sz w:val="20"/>
          <w:highlight w:val="none"/>
        </w:rPr>
      </w:pPr>
    </w:p>
    <w:p>
      <w:pPr>
        <w:pStyle w:val="5"/>
        <w:spacing w:before="5"/>
        <w:rPr>
          <w:color w:val="auto"/>
          <w:sz w:val="20"/>
          <w:highlight w:val="none"/>
        </w:rPr>
      </w:pPr>
      <w:r>
        <w:rPr>
          <w:color w:val="auto"/>
          <w:highlight w:val="none"/>
        </w:rPr>
        <w:pict>
          <v:line id="_x0000_s1026" o:spid="_x0000_s1026" o:spt="20" style="position:absolute;left:0pt;margin-left:86.15pt;margin-top:15.3pt;height:0pt;width:430.35pt;mso-position-horizontal-relative:page;mso-wrap-distance-bottom:0pt;mso-wrap-distance-top:0pt;z-index:-1024;mso-width-relative:page;mso-height-relative:page;" stroked="t" coordsize="21600,21600">
            <v:path arrowok="t"/>
            <v:fill focussize="0,0"/>
            <v:stroke weight="0.48pt" color="#333333"/>
            <v:imagedata o:title=""/>
            <o:lock v:ext="edit"/>
            <w10:wrap type="topAndBottom"/>
          </v:line>
        </w:pict>
      </w:r>
    </w:p>
    <w:p>
      <w:pPr>
        <w:pStyle w:val="5"/>
        <w:tabs>
          <w:tab w:val="left" w:pos="5668"/>
        </w:tabs>
        <w:spacing w:line="241" w:lineRule="exact"/>
        <w:ind w:right="252"/>
        <w:jc w:val="center"/>
        <w:rPr>
          <w:color w:val="auto"/>
          <w:highlight w:val="none"/>
        </w:rPr>
      </w:pPr>
      <w:r>
        <w:rPr>
          <w:color w:val="auto"/>
          <w:highlight w:val="none"/>
        </w:rPr>
        <w:t>由招标人</w:t>
      </w:r>
      <w:r>
        <w:rPr>
          <w:rFonts w:hint="eastAsia"/>
          <w:color w:val="auto"/>
          <w:highlight w:val="none"/>
          <w:u w:val="single"/>
          <w:lang w:eastAsia="zh-CN"/>
        </w:rPr>
        <w:t>玉环市漩门三期开发有限公司</w:t>
      </w:r>
      <w:r>
        <w:rPr>
          <w:color w:val="auto"/>
          <w:highlight w:val="none"/>
        </w:rPr>
        <w:t>与</w:t>
      </w:r>
      <w:r>
        <w:rPr>
          <w:color w:val="auto"/>
          <w:highlight w:val="none"/>
          <w:u w:val="single"/>
        </w:rPr>
        <w:t xml:space="preserve"> </w:t>
      </w:r>
      <w:r>
        <w:rPr>
          <w:color w:val="auto"/>
          <w:highlight w:val="none"/>
          <w:u w:val="single"/>
        </w:rPr>
        <w:tab/>
      </w:r>
      <w:r>
        <w:rPr>
          <w:color w:val="auto"/>
          <w:highlight w:val="none"/>
        </w:rPr>
        <w:t>（中标人）根据本章合同条款格</w:t>
      </w:r>
    </w:p>
    <w:p>
      <w:pPr>
        <w:pStyle w:val="5"/>
        <w:spacing w:before="139"/>
        <w:ind w:left="31" w:right="285"/>
        <w:jc w:val="center"/>
        <w:rPr>
          <w:color w:val="auto"/>
          <w:highlight w:val="none"/>
        </w:rPr>
      </w:pPr>
      <w:r>
        <w:rPr>
          <w:color w:val="auto"/>
          <w:highlight w:val="none"/>
        </w:rPr>
        <w:t>式及投标文件签订监理合同。</w:t>
      </w:r>
    </w:p>
    <w:p>
      <w:pPr>
        <w:pStyle w:val="5"/>
        <w:spacing w:before="1"/>
        <w:rPr>
          <w:color w:val="auto"/>
          <w:sz w:val="24"/>
          <w:highlight w:val="none"/>
        </w:rPr>
      </w:pP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br w:type="page"/>
      </w:r>
    </w:p>
    <w:p>
      <w:pPr>
        <w:tabs>
          <w:tab w:val="left" w:pos="5408"/>
        </w:tabs>
        <w:spacing w:before="58"/>
        <w:ind w:left="3904" w:right="0" w:firstLine="0"/>
        <w:jc w:val="left"/>
        <w:rPr>
          <w:rFonts w:hint="eastAsia" w:ascii="黑体" w:eastAsia="黑体"/>
          <w:b/>
          <w:color w:val="auto"/>
          <w:sz w:val="30"/>
          <w:highlight w:val="none"/>
        </w:rPr>
      </w:pPr>
      <w:r>
        <w:rPr>
          <w:rFonts w:hint="eastAsia" w:ascii="黑体" w:eastAsia="黑体"/>
          <w:b/>
          <w:color w:val="auto"/>
          <w:sz w:val="30"/>
          <w:highlight w:val="none"/>
        </w:rPr>
        <w:t>第一部分</w:t>
      </w:r>
      <w:r>
        <w:rPr>
          <w:rFonts w:hint="eastAsia" w:ascii="黑体" w:eastAsia="黑体"/>
          <w:b/>
          <w:color w:val="auto"/>
          <w:sz w:val="30"/>
          <w:highlight w:val="none"/>
        </w:rPr>
        <w:tab/>
      </w:r>
      <w:r>
        <w:rPr>
          <w:rFonts w:hint="eastAsia" w:ascii="黑体" w:eastAsia="黑体"/>
          <w:b/>
          <w:color w:val="auto"/>
          <w:sz w:val="30"/>
          <w:highlight w:val="none"/>
        </w:rPr>
        <w:t>协议书</w:t>
      </w:r>
    </w:p>
    <w:p>
      <w:pPr>
        <w:pStyle w:val="5"/>
        <w:rPr>
          <w:rFonts w:ascii="黑体"/>
          <w:b/>
          <w:color w:val="auto"/>
          <w:sz w:val="30"/>
          <w:highlight w:val="none"/>
        </w:rPr>
      </w:pPr>
    </w:p>
    <w:p>
      <w:pPr>
        <w:spacing w:before="221"/>
        <w:ind w:left="1225" w:right="0" w:firstLine="0"/>
        <w:jc w:val="left"/>
        <w:rPr>
          <w:color w:val="auto"/>
          <w:sz w:val="21"/>
          <w:highlight w:val="none"/>
        </w:rPr>
      </w:pPr>
      <w:r>
        <w:rPr>
          <w:b/>
          <w:color w:val="auto"/>
          <w:spacing w:val="2"/>
          <w:w w:val="99"/>
          <w:sz w:val="21"/>
          <w:highlight w:val="none"/>
        </w:rPr>
        <w:t>委托人</w:t>
      </w:r>
      <w:r>
        <w:rPr>
          <w:b/>
          <w:color w:val="auto"/>
          <w:spacing w:val="-1"/>
          <w:w w:val="99"/>
          <w:sz w:val="21"/>
          <w:highlight w:val="none"/>
        </w:rPr>
        <w:t>（</w:t>
      </w:r>
      <w:r>
        <w:rPr>
          <w:b/>
          <w:color w:val="auto"/>
          <w:spacing w:val="2"/>
          <w:w w:val="99"/>
          <w:sz w:val="21"/>
          <w:highlight w:val="none"/>
        </w:rPr>
        <w:t>全称</w:t>
      </w:r>
      <w:r>
        <w:rPr>
          <w:b/>
          <w:color w:val="auto"/>
          <w:spacing w:val="-104"/>
          <w:w w:val="99"/>
          <w:sz w:val="21"/>
          <w:highlight w:val="none"/>
        </w:rPr>
        <w:t>）</w:t>
      </w:r>
      <w:r>
        <w:rPr>
          <w:b/>
          <w:color w:val="auto"/>
          <w:spacing w:val="-1"/>
          <w:w w:val="99"/>
          <w:sz w:val="21"/>
          <w:highlight w:val="none"/>
        </w:rPr>
        <w:t>：</w:t>
      </w:r>
      <w:r>
        <w:rPr>
          <w:rFonts w:hint="eastAsia"/>
          <w:color w:val="auto"/>
          <w:spacing w:val="-1"/>
          <w:w w:val="99"/>
          <w:sz w:val="21"/>
          <w:highlight w:val="none"/>
          <w:u w:val="single"/>
          <w:lang w:eastAsia="zh-CN"/>
        </w:rPr>
        <w:t>玉环市漩门三期开发有限公司</w:t>
      </w:r>
      <w:r>
        <w:rPr>
          <w:color w:val="auto"/>
          <w:spacing w:val="2"/>
          <w:sz w:val="21"/>
          <w:highlight w:val="none"/>
          <w:u w:val="single"/>
        </w:rPr>
        <w:t xml:space="preserve"> </w:t>
      </w:r>
    </w:p>
    <w:p>
      <w:pPr>
        <w:pStyle w:val="4"/>
        <w:tabs>
          <w:tab w:val="left" w:pos="6859"/>
        </w:tabs>
        <w:spacing w:before="142"/>
        <w:ind w:left="1223" w:firstLine="0"/>
        <w:rPr>
          <w:rFonts w:ascii="Times New Roman" w:eastAsia="Times New Roman"/>
          <w:color w:val="auto"/>
          <w:highlight w:val="none"/>
        </w:rPr>
      </w:pPr>
      <w:r>
        <w:rPr>
          <w:rFonts w:hint="eastAsia" w:ascii="宋体" w:eastAsia="宋体"/>
          <w:color w:val="auto"/>
          <w:spacing w:val="2"/>
          <w:w w:val="99"/>
          <w:highlight w:val="none"/>
        </w:rPr>
        <w:t>监理人</w:t>
      </w:r>
      <w:r>
        <w:rPr>
          <w:rFonts w:hint="eastAsia" w:ascii="宋体" w:eastAsia="宋体"/>
          <w:color w:val="auto"/>
          <w:spacing w:val="-1"/>
          <w:w w:val="99"/>
          <w:highlight w:val="none"/>
        </w:rPr>
        <w:t>（</w:t>
      </w:r>
      <w:r>
        <w:rPr>
          <w:rFonts w:hint="eastAsia" w:ascii="宋体" w:eastAsia="宋体"/>
          <w:color w:val="auto"/>
          <w:spacing w:val="2"/>
          <w:w w:val="99"/>
          <w:highlight w:val="none"/>
        </w:rPr>
        <w:t>全称</w:t>
      </w:r>
      <w:r>
        <w:rPr>
          <w:rFonts w:hint="eastAsia" w:ascii="宋体" w:eastAsia="宋体"/>
          <w:color w:val="auto"/>
          <w:spacing w:val="-104"/>
          <w:w w:val="99"/>
          <w:highlight w:val="none"/>
        </w:rPr>
        <w:t>）</w:t>
      </w:r>
      <w:r>
        <w:rPr>
          <w:rFonts w:hint="eastAsia" w:ascii="宋体" w:eastAsia="宋体"/>
          <w:color w:val="auto"/>
          <w:spacing w:val="1"/>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p>
    <w:p>
      <w:pPr>
        <w:pStyle w:val="5"/>
        <w:spacing w:before="139" w:line="364" w:lineRule="auto"/>
        <w:ind w:left="803" w:right="1052" w:firstLine="420"/>
        <w:jc w:val="both"/>
        <w:rPr>
          <w:color w:val="auto"/>
          <w:highlight w:val="none"/>
        </w:rPr>
      </w:pPr>
      <w:r>
        <w:rPr>
          <w:color w:val="auto"/>
          <w:spacing w:val="-15"/>
          <w:w w:val="95"/>
          <w:highlight w:val="none"/>
        </w:rPr>
        <w:t>根据《中华人民共和国合同法》、《中华人民共和国建筑法》及其他有关法律、法规，遵循平等、自愿、公平和诚信的原则，双方就下述工程委托监理与相关服务事项协商一致，订立本</w:t>
      </w:r>
      <w:r>
        <w:rPr>
          <w:color w:val="auto"/>
          <w:spacing w:val="-15"/>
          <w:highlight w:val="none"/>
        </w:rPr>
        <w:t>合同。</w:t>
      </w:r>
    </w:p>
    <w:p>
      <w:pPr>
        <w:pStyle w:val="4"/>
        <w:spacing w:line="266" w:lineRule="exact"/>
        <w:ind w:left="1220" w:firstLine="0"/>
        <w:rPr>
          <w:rFonts w:hint="eastAsia" w:ascii="宋体" w:eastAsia="宋体"/>
          <w:color w:val="auto"/>
          <w:highlight w:val="none"/>
        </w:rPr>
      </w:pPr>
      <w:bookmarkStart w:id="97" w:name="一、工程概况"/>
      <w:bookmarkEnd w:id="97"/>
      <w:r>
        <w:rPr>
          <w:rFonts w:hint="eastAsia" w:ascii="宋体" w:eastAsia="宋体"/>
          <w:color w:val="auto"/>
          <w:highlight w:val="none"/>
        </w:rPr>
        <w:t>一、工程概况</w:t>
      </w:r>
    </w:p>
    <w:p>
      <w:pPr>
        <w:pStyle w:val="11"/>
        <w:numPr>
          <w:ilvl w:val="1"/>
          <w:numId w:val="17"/>
        </w:numPr>
        <w:tabs>
          <w:tab w:val="left" w:pos="1536"/>
        </w:tabs>
        <w:spacing w:before="139" w:after="0" w:line="240" w:lineRule="auto"/>
        <w:ind w:left="1535" w:right="0" w:hanging="315"/>
        <w:jc w:val="left"/>
        <w:rPr>
          <w:color w:val="auto"/>
          <w:sz w:val="21"/>
          <w:highlight w:val="none"/>
        </w:rPr>
      </w:pPr>
      <w:r>
        <w:rPr>
          <w:color w:val="auto"/>
          <w:spacing w:val="-1"/>
          <w:w w:val="99"/>
          <w:sz w:val="21"/>
          <w:highlight w:val="none"/>
        </w:rPr>
        <w:t>工程名称：</w:t>
      </w:r>
      <w:r>
        <w:rPr>
          <w:rFonts w:hint="eastAsia"/>
          <w:color w:val="auto"/>
          <w:spacing w:val="-1"/>
          <w:w w:val="99"/>
          <w:sz w:val="21"/>
          <w:highlight w:val="none"/>
          <w:u w:val="single"/>
          <w:lang w:eastAsia="zh-CN"/>
        </w:rPr>
        <w:t>玉环市漩门三期围垦配套工程（监理）</w:t>
      </w:r>
      <w:r>
        <w:rPr>
          <w:color w:val="auto"/>
          <w:w w:val="99"/>
          <w:sz w:val="21"/>
          <w:highlight w:val="none"/>
        </w:rPr>
        <w:t>；</w:t>
      </w:r>
    </w:p>
    <w:p>
      <w:pPr>
        <w:pStyle w:val="11"/>
        <w:numPr>
          <w:ilvl w:val="1"/>
          <w:numId w:val="17"/>
        </w:numPr>
        <w:tabs>
          <w:tab w:val="left" w:pos="1536"/>
        </w:tabs>
        <w:spacing w:before="141" w:after="0" w:line="240" w:lineRule="auto"/>
        <w:ind w:left="1535" w:right="0" w:hanging="315"/>
        <w:jc w:val="left"/>
        <w:rPr>
          <w:color w:val="auto"/>
          <w:sz w:val="21"/>
          <w:highlight w:val="none"/>
        </w:rPr>
      </w:pPr>
      <w:r>
        <w:rPr>
          <w:color w:val="auto"/>
          <w:sz w:val="21"/>
          <w:highlight w:val="none"/>
        </w:rPr>
        <w:t>工程地点：</w:t>
      </w:r>
      <w:r>
        <w:rPr>
          <w:color w:val="auto"/>
          <w:spacing w:val="-1"/>
          <w:sz w:val="21"/>
          <w:highlight w:val="none"/>
          <w:u w:val="single"/>
        </w:rPr>
        <w:t xml:space="preserve"> </w:t>
      </w:r>
      <w:r>
        <w:rPr>
          <w:rFonts w:hint="eastAsia"/>
          <w:color w:val="auto"/>
          <w:spacing w:val="-1"/>
          <w:sz w:val="21"/>
          <w:highlight w:val="none"/>
          <w:u w:val="single"/>
        </w:rPr>
        <w:t>位于漩门三期目鱼屿、冲坦屿</w:t>
      </w:r>
      <w:r>
        <w:rPr>
          <w:color w:val="auto"/>
          <w:sz w:val="21"/>
          <w:highlight w:val="none"/>
        </w:rPr>
        <w:t>；</w:t>
      </w:r>
    </w:p>
    <w:p>
      <w:pPr>
        <w:pStyle w:val="11"/>
        <w:numPr>
          <w:ilvl w:val="1"/>
          <w:numId w:val="17"/>
        </w:numPr>
        <w:tabs>
          <w:tab w:val="left" w:pos="1536"/>
        </w:tabs>
        <w:spacing w:before="139" w:after="0" w:line="364" w:lineRule="auto"/>
        <w:ind w:left="803" w:right="1055" w:firstLine="417"/>
        <w:jc w:val="left"/>
        <w:rPr>
          <w:color w:val="auto"/>
          <w:sz w:val="21"/>
          <w:highlight w:val="none"/>
        </w:rPr>
      </w:pPr>
      <w:r>
        <w:rPr>
          <w:color w:val="auto"/>
          <w:sz w:val="21"/>
          <w:highlight w:val="none"/>
        </w:rPr>
        <w:t>工程规模：</w:t>
      </w:r>
      <w:r>
        <w:rPr>
          <w:color w:val="auto"/>
          <w:spacing w:val="-4"/>
          <w:sz w:val="21"/>
          <w:highlight w:val="none"/>
          <w:u w:val="single"/>
        </w:rPr>
        <w:t xml:space="preserve"> </w:t>
      </w:r>
      <w:r>
        <w:rPr>
          <w:rFonts w:hint="eastAsia"/>
          <w:color w:val="auto"/>
          <w:spacing w:val="-4"/>
          <w:sz w:val="21"/>
          <w:highlight w:val="none"/>
          <w:u w:val="single"/>
        </w:rPr>
        <w:t>本项目位于漩门三期目鱼屿、冲坦屿，建设内容为对漩门三期内原有的6段连接道路进行道路硬化，将漩门三期围垦工程的3条海堤和2座排涝闸连成整体。道路等级为内部道路，设置双向两车道，硬化道路总长2286.53m(路A-路F，路F施工范围为F0+000至F0+670），宽7m（局部6m)，道路总面积为16116.22m2。主要建设内容为路基及路面、边沟、波形梁防撞护栏，主要工程量：路基挖方9522.19m3、路基填方703.95m3、路面16116.22m2(100mm厚碎石垫层+200mm厚5%水泥稳定层+220mm厚4.5Mpa混凝土路面）、盖板边沟666m、波形梁防撞护栏2009.3m、D300 钢筋混凝土II级管过路管20m</w:t>
      </w:r>
      <w:r>
        <w:rPr>
          <w:color w:val="auto"/>
          <w:w w:val="99"/>
          <w:sz w:val="21"/>
          <w:highlight w:val="none"/>
        </w:rPr>
        <w:t>；</w:t>
      </w:r>
    </w:p>
    <w:p>
      <w:pPr>
        <w:pStyle w:val="11"/>
        <w:numPr>
          <w:ilvl w:val="1"/>
          <w:numId w:val="17"/>
        </w:numPr>
        <w:tabs>
          <w:tab w:val="left" w:pos="1536"/>
        </w:tabs>
        <w:spacing w:before="0" w:after="0" w:line="367" w:lineRule="auto"/>
        <w:ind w:left="1220" w:right="4364" w:firstLine="0"/>
        <w:jc w:val="left"/>
        <w:rPr>
          <w:b/>
          <w:color w:val="auto"/>
          <w:sz w:val="21"/>
          <w:highlight w:val="none"/>
        </w:rPr>
      </w:pPr>
      <w:r>
        <w:rPr>
          <w:color w:val="auto"/>
          <w:sz w:val="21"/>
          <w:highlight w:val="none"/>
        </w:rPr>
        <w:t>工程</w:t>
      </w:r>
      <w:r>
        <w:rPr>
          <w:rFonts w:hint="eastAsia"/>
          <w:color w:val="auto"/>
          <w:sz w:val="21"/>
          <w:highlight w:val="none"/>
          <w:lang w:eastAsia="zh-CN"/>
        </w:rPr>
        <w:t>预算造价约</w:t>
      </w:r>
      <w:r>
        <w:rPr>
          <w:color w:val="auto"/>
          <w:sz w:val="21"/>
          <w:highlight w:val="none"/>
        </w:rPr>
        <w:t>：</w:t>
      </w:r>
      <w:r>
        <w:rPr>
          <w:rFonts w:hint="eastAsia"/>
          <w:color w:val="auto"/>
          <w:sz w:val="21"/>
          <w:highlight w:val="none"/>
          <w:u w:val="single"/>
          <w:lang w:val="en-US" w:eastAsia="zh-CN"/>
        </w:rPr>
        <w:t>535</w:t>
      </w:r>
      <w:r>
        <w:rPr>
          <w:color w:val="auto"/>
          <w:spacing w:val="-14"/>
          <w:sz w:val="21"/>
          <w:highlight w:val="none"/>
          <w:u w:val="single"/>
        </w:rPr>
        <w:t>万元 。</w:t>
      </w:r>
    </w:p>
    <w:p>
      <w:pPr>
        <w:pStyle w:val="11"/>
        <w:numPr>
          <w:ilvl w:val="0"/>
          <w:numId w:val="0"/>
        </w:numPr>
        <w:tabs>
          <w:tab w:val="left" w:pos="1536"/>
        </w:tabs>
        <w:spacing w:before="0" w:after="0" w:line="367" w:lineRule="auto"/>
        <w:ind w:left="1220" w:leftChars="0" w:right="4364" w:rightChars="0"/>
        <w:jc w:val="left"/>
        <w:rPr>
          <w:b/>
          <w:color w:val="auto"/>
          <w:sz w:val="21"/>
          <w:highlight w:val="none"/>
        </w:rPr>
      </w:pPr>
      <w:r>
        <w:rPr>
          <w:b/>
          <w:color w:val="auto"/>
          <w:spacing w:val="-14"/>
          <w:sz w:val="21"/>
          <w:highlight w:val="none"/>
        </w:rPr>
        <w:t>二、词语限定</w:t>
      </w:r>
    </w:p>
    <w:p>
      <w:pPr>
        <w:spacing w:before="0" w:line="364" w:lineRule="auto"/>
        <w:ind w:left="1220" w:right="3786" w:firstLine="0"/>
        <w:jc w:val="left"/>
        <w:rPr>
          <w:b/>
          <w:color w:val="auto"/>
          <w:sz w:val="21"/>
          <w:highlight w:val="none"/>
        </w:rPr>
      </w:pPr>
      <w:r>
        <w:rPr>
          <w:color w:val="auto"/>
          <w:w w:val="95"/>
          <w:sz w:val="21"/>
          <w:highlight w:val="none"/>
        </w:rPr>
        <w:t xml:space="preserve">协议书中相关词语的含义与通用条件中的定义与解释相同。 </w:t>
      </w:r>
      <w:bookmarkStart w:id="98" w:name="三、组成本合同的文件"/>
      <w:bookmarkEnd w:id="98"/>
      <w:r>
        <w:rPr>
          <w:b/>
          <w:color w:val="auto"/>
          <w:sz w:val="21"/>
          <w:highlight w:val="none"/>
        </w:rPr>
        <w:t>三、组成本合同的文件</w:t>
      </w:r>
    </w:p>
    <w:p>
      <w:pPr>
        <w:pStyle w:val="11"/>
        <w:numPr>
          <w:ilvl w:val="0"/>
          <w:numId w:val="18"/>
        </w:numPr>
        <w:tabs>
          <w:tab w:val="left" w:pos="1536"/>
        </w:tabs>
        <w:spacing w:before="0" w:after="0" w:line="267" w:lineRule="exact"/>
        <w:ind w:left="1535" w:right="0" w:hanging="315"/>
        <w:jc w:val="left"/>
        <w:rPr>
          <w:color w:val="auto"/>
          <w:sz w:val="21"/>
          <w:highlight w:val="none"/>
        </w:rPr>
      </w:pPr>
      <w:r>
        <w:rPr>
          <w:color w:val="auto"/>
          <w:sz w:val="21"/>
          <w:highlight w:val="none"/>
        </w:rPr>
        <w:t>协议书；</w:t>
      </w:r>
    </w:p>
    <w:p>
      <w:pPr>
        <w:pStyle w:val="11"/>
        <w:numPr>
          <w:ilvl w:val="0"/>
          <w:numId w:val="18"/>
        </w:numPr>
        <w:tabs>
          <w:tab w:val="left" w:pos="1536"/>
        </w:tabs>
        <w:spacing w:before="132" w:after="0" w:line="240" w:lineRule="auto"/>
        <w:ind w:left="1535" w:right="0" w:hanging="315"/>
        <w:jc w:val="left"/>
        <w:rPr>
          <w:color w:val="auto"/>
          <w:sz w:val="21"/>
          <w:highlight w:val="none"/>
        </w:rPr>
      </w:pPr>
      <w:r>
        <w:rPr>
          <w:color w:val="auto"/>
          <w:sz w:val="21"/>
          <w:highlight w:val="none"/>
        </w:rPr>
        <w:t>中标通知书；</w:t>
      </w:r>
    </w:p>
    <w:p>
      <w:pPr>
        <w:pStyle w:val="11"/>
        <w:numPr>
          <w:ilvl w:val="0"/>
          <w:numId w:val="18"/>
        </w:numPr>
        <w:tabs>
          <w:tab w:val="left" w:pos="1536"/>
        </w:tabs>
        <w:spacing w:before="139" w:after="0" w:line="240" w:lineRule="auto"/>
        <w:ind w:left="1535" w:right="0" w:hanging="315"/>
        <w:jc w:val="left"/>
        <w:rPr>
          <w:color w:val="auto"/>
          <w:sz w:val="21"/>
          <w:highlight w:val="none"/>
        </w:rPr>
      </w:pPr>
      <w:r>
        <w:rPr>
          <w:color w:val="auto"/>
          <w:w w:val="95"/>
          <w:sz w:val="21"/>
          <w:highlight w:val="none"/>
        </w:rPr>
        <w:t>投标文件；</w:t>
      </w:r>
    </w:p>
    <w:p>
      <w:pPr>
        <w:pStyle w:val="11"/>
        <w:numPr>
          <w:ilvl w:val="0"/>
          <w:numId w:val="18"/>
        </w:numPr>
        <w:tabs>
          <w:tab w:val="left" w:pos="1528"/>
        </w:tabs>
        <w:spacing w:before="141" w:after="0" w:line="240" w:lineRule="auto"/>
        <w:ind w:left="1528" w:right="0" w:hanging="315"/>
        <w:jc w:val="left"/>
        <w:rPr>
          <w:color w:val="auto"/>
          <w:sz w:val="21"/>
          <w:highlight w:val="none"/>
        </w:rPr>
      </w:pPr>
      <w:r>
        <w:rPr>
          <w:color w:val="auto"/>
          <w:w w:val="95"/>
          <w:sz w:val="21"/>
          <w:highlight w:val="none"/>
        </w:rPr>
        <w:t>专用条件；</w:t>
      </w:r>
    </w:p>
    <w:p>
      <w:pPr>
        <w:pStyle w:val="11"/>
        <w:numPr>
          <w:ilvl w:val="0"/>
          <w:numId w:val="18"/>
        </w:numPr>
        <w:tabs>
          <w:tab w:val="left" w:pos="1536"/>
        </w:tabs>
        <w:spacing w:before="139" w:after="0" w:line="240" w:lineRule="auto"/>
        <w:ind w:left="1535" w:right="0" w:hanging="315"/>
        <w:jc w:val="left"/>
        <w:rPr>
          <w:color w:val="auto"/>
          <w:sz w:val="21"/>
          <w:highlight w:val="none"/>
        </w:rPr>
      </w:pPr>
      <w:r>
        <w:rPr>
          <w:color w:val="auto"/>
          <w:w w:val="95"/>
          <w:sz w:val="21"/>
          <w:highlight w:val="none"/>
        </w:rPr>
        <w:t>通用条件；</w:t>
      </w:r>
    </w:p>
    <w:p>
      <w:pPr>
        <w:pStyle w:val="11"/>
        <w:numPr>
          <w:ilvl w:val="0"/>
          <w:numId w:val="18"/>
        </w:numPr>
        <w:tabs>
          <w:tab w:val="left" w:pos="1536"/>
        </w:tabs>
        <w:spacing w:before="139" w:after="0" w:line="240" w:lineRule="auto"/>
        <w:ind w:left="1535" w:right="0" w:hanging="315"/>
        <w:jc w:val="left"/>
        <w:rPr>
          <w:color w:val="auto"/>
          <w:sz w:val="21"/>
          <w:highlight w:val="none"/>
        </w:rPr>
      </w:pPr>
      <w:r>
        <w:rPr>
          <w:color w:val="auto"/>
          <w:w w:val="95"/>
          <w:sz w:val="21"/>
          <w:highlight w:val="none"/>
        </w:rPr>
        <w:t>附录，即：</w:t>
      </w:r>
    </w:p>
    <w:p>
      <w:pPr>
        <w:pStyle w:val="5"/>
        <w:tabs>
          <w:tab w:val="left" w:pos="2007"/>
        </w:tabs>
        <w:spacing w:before="139"/>
        <w:ind w:left="1220"/>
        <w:rPr>
          <w:color w:val="auto"/>
          <w:highlight w:val="none"/>
        </w:rPr>
      </w:pPr>
      <w:r>
        <w:rPr>
          <w:color w:val="auto"/>
          <w:highlight w:val="none"/>
        </w:rPr>
        <w:t>附录</w:t>
      </w:r>
      <w:r>
        <w:rPr>
          <w:color w:val="auto"/>
          <w:spacing w:val="-54"/>
          <w:highlight w:val="none"/>
        </w:rPr>
        <w:t xml:space="preserve"> </w:t>
      </w:r>
      <w:r>
        <w:rPr>
          <w:color w:val="auto"/>
          <w:highlight w:val="none"/>
        </w:rPr>
        <w:t>A</w:t>
      </w:r>
      <w:r>
        <w:rPr>
          <w:color w:val="auto"/>
          <w:highlight w:val="none"/>
        </w:rPr>
        <w:tab/>
      </w:r>
      <w:r>
        <w:rPr>
          <w:color w:val="auto"/>
          <w:w w:val="95"/>
          <w:highlight w:val="none"/>
        </w:rPr>
        <w:t>相关服务的范围和内容</w:t>
      </w:r>
    </w:p>
    <w:p>
      <w:pPr>
        <w:pStyle w:val="5"/>
        <w:tabs>
          <w:tab w:val="left" w:pos="2010"/>
        </w:tabs>
        <w:spacing w:before="141"/>
        <w:ind w:left="1223"/>
        <w:rPr>
          <w:color w:val="auto"/>
          <w:highlight w:val="none"/>
        </w:rPr>
      </w:pPr>
      <w:r>
        <w:rPr>
          <w:color w:val="auto"/>
          <w:highlight w:val="none"/>
        </w:rPr>
        <w:t>附录</w:t>
      </w:r>
      <w:r>
        <w:rPr>
          <w:color w:val="auto"/>
          <w:spacing w:val="-52"/>
          <w:highlight w:val="none"/>
        </w:rPr>
        <w:t xml:space="preserve"> </w:t>
      </w:r>
      <w:r>
        <w:rPr>
          <w:color w:val="auto"/>
          <w:highlight w:val="none"/>
        </w:rPr>
        <w:t>B</w:t>
      </w:r>
      <w:r>
        <w:rPr>
          <w:color w:val="auto"/>
          <w:highlight w:val="none"/>
        </w:rPr>
        <w:tab/>
      </w:r>
      <w:r>
        <w:rPr>
          <w:color w:val="auto"/>
          <w:highlight w:val="none"/>
        </w:rPr>
        <w:t>委托人派遣的人员和提供的房屋、资料、设备</w:t>
      </w:r>
    </w:p>
    <w:p>
      <w:pPr>
        <w:pStyle w:val="5"/>
        <w:spacing w:before="139" w:line="364" w:lineRule="auto"/>
        <w:ind w:left="1220" w:right="2735"/>
        <w:rPr>
          <w:b/>
          <w:color w:val="auto"/>
          <w:highlight w:val="none"/>
        </w:rPr>
      </w:pPr>
      <w:r>
        <w:rPr>
          <w:color w:val="auto"/>
          <w:w w:val="95"/>
          <w:highlight w:val="none"/>
        </w:rPr>
        <w:t xml:space="preserve">本合同签订后，双方依法签订的补充协议也是本合同文件的组成部分。  </w:t>
      </w:r>
      <w:bookmarkStart w:id="99" w:name="四、总监理工程师"/>
      <w:bookmarkEnd w:id="99"/>
      <w:r>
        <w:rPr>
          <w:b/>
          <w:color w:val="auto"/>
          <w:highlight w:val="none"/>
        </w:rPr>
        <w:t>四、总监理工程师</w:t>
      </w:r>
    </w:p>
    <w:p>
      <w:pPr>
        <w:pStyle w:val="5"/>
        <w:tabs>
          <w:tab w:val="left" w:pos="4160"/>
          <w:tab w:val="left" w:pos="6469"/>
          <w:tab w:val="left" w:pos="9095"/>
        </w:tabs>
        <w:spacing w:before="1" w:line="364" w:lineRule="auto"/>
        <w:ind w:left="1220" w:right="1160"/>
        <w:rPr>
          <w:b/>
          <w:color w:val="auto"/>
          <w:highlight w:val="none"/>
        </w:rPr>
      </w:pPr>
      <w:r>
        <w:rPr>
          <w:color w:val="auto"/>
          <w:highlight w:val="none"/>
        </w:rPr>
        <w:t>总监理工程师姓名：</w:t>
      </w:r>
      <w:r>
        <w:rPr>
          <w:color w:val="auto"/>
          <w:highlight w:val="none"/>
          <w:u w:val="single"/>
        </w:rPr>
        <w:t xml:space="preserve"> </w:t>
      </w:r>
      <w:r>
        <w:rPr>
          <w:color w:val="auto"/>
          <w:highlight w:val="none"/>
          <w:u w:val="single"/>
        </w:rPr>
        <w:tab/>
      </w:r>
      <w:r>
        <w:rPr>
          <w:color w:val="auto"/>
          <w:highlight w:val="none"/>
        </w:rPr>
        <w:t>，身份证号码：</w:t>
      </w:r>
      <w:r>
        <w:rPr>
          <w:color w:val="auto"/>
          <w:highlight w:val="none"/>
          <w:u w:val="single"/>
        </w:rPr>
        <w:t xml:space="preserve"> </w:t>
      </w:r>
      <w:r>
        <w:rPr>
          <w:color w:val="auto"/>
          <w:highlight w:val="none"/>
          <w:u w:val="single"/>
        </w:rPr>
        <w:tab/>
      </w:r>
      <w:r>
        <w:rPr>
          <w:color w:val="auto"/>
          <w:highlight w:val="none"/>
        </w:rPr>
        <w:t>，注册号：</w:t>
      </w:r>
      <w:r>
        <w:rPr>
          <w:color w:val="auto"/>
          <w:highlight w:val="none"/>
          <w:u w:val="single"/>
        </w:rPr>
        <w:t xml:space="preserve"> </w:t>
      </w:r>
      <w:r>
        <w:rPr>
          <w:color w:val="auto"/>
          <w:highlight w:val="none"/>
          <w:u w:val="single"/>
        </w:rPr>
        <w:tab/>
      </w:r>
      <w:r>
        <w:rPr>
          <w:color w:val="auto"/>
          <w:spacing w:val="-17"/>
          <w:highlight w:val="none"/>
        </w:rPr>
        <w:t>。</w:t>
      </w:r>
      <w:bookmarkStart w:id="100" w:name="五、签约酬金"/>
      <w:bookmarkEnd w:id="100"/>
      <w:r>
        <w:rPr>
          <w:b/>
          <w:color w:val="auto"/>
          <w:highlight w:val="none"/>
        </w:rPr>
        <w:t>五、签约酬金</w:t>
      </w:r>
    </w:p>
    <w:p>
      <w:pPr>
        <w:pStyle w:val="5"/>
        <w:tabs>
          <w:tab w:val="left" w:pos="5943"/>
          <w:tab w:val="left" w:pos="7255"/>
        </w:tabs>
        <w:spacing w:line="364" w:lineRule="auto"/>
        <w:ind w:left="1220" w:right="2840"/>
        <w:rPr>
          <w:color w:val="auto"/>
          <w:highlight w:val="none"/>
        </w:rPr>
      </w:pPr>
      <w:r>
        <w:rPr>
          <w:color w:val="auto"/>
          <w:spacing w:val="-1"/>
          <w:w w:val="99"/>
          <w:highlight w:val="none"/>
        </w:rPr>
        <w:t>签</w:t>
      </w:r>
      <w:r>
        <w:rPr>
          <w:color w:val="auto"/>
          <w:spacing w:val="2"/>
          <w:w w:val="99"/>
          <w:highlight w:val="none"/>
        </w:rPr>
        <w:t>约</w:t>
      </w:r>
      <w:r>
        <w:rPr>
          <w:color w:val="auto"/>
          <w:spacing w:val="-1"/>
          <w:w w:val="99"/>
          <w:highlight w:val="none"/>
        </w:rPr>
        <w:t>酬</w:t>
      </w:r>
      <w:r>
        <w:rPr>
          <w:color w:val="auto"/>
          <w:spacing w:val="2"/>
          <w:w w:val="99"/>
          <w:highlight w:val="none"/>
        </w:rPr>
        <w:t>金</w:t>
      </w:r>
      <w:r>
        <w:rPr>
          <w:color w:val="auto"/>
          <w:spacing w:val="-1"/>
          <w:w w:val="99"/>
          <w:highlight w:val="none"/>
        </w:rPr>
        <w:t>（</w:t>
      </w:r>
      <w:r>
        <w:rPr>
          <w:color w:val="auto"/>
          <w:spacing w:val="2"/>
          <w:w w:val="99"/>
          <w:highlight w:val="none"/>
        </w:rPr>
        <w:t>大</w:t>
      </w:r>
      <w:r>
        <w:rPr>
          <w:color w:val="auto"/>
          <w:spacing w:val="-1"/>
          <w:w w:val="99"/>
          <w:highlight w:val="none"/>
        </w:rPr>
        <w:t>写</w:t>
      </w:r>
      <w:r>
        <w:rPr>
          <w:color w:val="auto"/>
          <w:spacing w:val="-104"/>
          <w:w w:val="99"/>
          <w:highlight w:val="none"/>
        </w:rPr>
        <w:t>）</w:t>
      </w:r>
      <w:r>
        <w:rPr>
          <w:color w:val="auto"/>
          <w:spacing w:val="-1"/>
          <w:w w:val="99"/>
          <w:highlight w:val="none"/>
        </w:rPr>
        <w:t>：</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color w:val="auto"/>
          <w:spacing w:val="2"/>
          <w:w w:val="99"/>
          <w:highlight w:val="none"/>
        </w:rPr>
        <w:t>（</w:t>
      </w:r>
      <w:r>
        <w:rPr>
          <w:rFonts w:ascii="Times New Roman" w:hAnsi="Times New Roman" w:eastAsia="Times New Roman"/>
          <w:color w:val="auto"/>
          <w:spacing w:val="1"/>
          <w:w w:val="99"/>
          <w:highlight w:val="none"/>
        </w:rPr>
        <w:t>¥</w:t>
      </w:r>
      <w:r>
        <w:rPr>
          <w:color w:val="auto"/>
          <w:spacing w:val="-1"/>
          <w:w w:val="99"/>
          <w:highlight w:val="none"/>
        </w:rPr>
        <w:t>：</w:t>
      </w:r>
      <w:r>
        <w:rPr>
          <w:rFonts w:ascii="Times New Roman" w:hAnsi="Times New Roman" w:eastAsia="Times New Roman"/>
          <w:color w:val="auto"/>
          <w:w w:val="99"/>
          <w:highlight w:val="none"/>
          <w:u w:val="single"/>
        </w:rPr>
        <w:t xml:space="preserve"> </w:t>
      </w:r>
      <w:r>
        <w:rPr>
          <w:rFonts w:ascii="Times New Roman" w:hAnsi="Times New Roman" w:eastAsia="Times New Roman"/>
          <w:color w:val="auto"/>
          <w:highlight w:val="none"/>
          <w:u w:val="single"/>
        </w:rPr>
        <w:tab/>
      </w:r>
      <w:r>
        <w:rPr>
          <w:rFonts w:ascii="Times New Roman" w:hAnsi="Times New Roman" w:eastAsia="Times New Roman"/>
          <w:color w:val="auto"/>
          <w:spacing w:val="1"/>
          <w:highlight w:val="none"/>
        </w:rPr>
        <w:t xml:space="preserve"> </w:t>
      </w:r>
      <w:r>
        <w:rPr>
          <w:color w:val="auto"/>
          <w:spacing w:val="-104"/>
          <w:w w:val="99"/>
          <w:highlight w:val="none"/>
        </w:rPr>
        <w:t>）</w:t>
      </w:r>
      <w:r>
        <w:rPr>
          <w:color w:val="auto"/>
          <w:spacing w:val="-16"/>
          <w:w w:val="99"/>
          <w:highlight w:val="none"/>
        </w:rPr>
        <w:t>。</w:t>
      </w:r>
      <w:r>
        <w:rPr>
          <w:color w:val="auto"/>
          <w:highlight w:val="none"/>
        </w:rPr>
        <w:t>包括：</w:t>
      </w:r>
    </w:p>
    <w:p>
      <w:pPr>
        <w:pStyle w:val="11"/>
        <w:numPr>
          <w:ilvl w:val="1"/>
          <w:numId w:val="18"/>
        </w:numPr>
        <w:tabs>
          <w:tab w:val="left" w:pos="1644"/>
          <w:tab w:val="left" w:pos="4688"/>
          <w:tab w:val="left" w:pos="6262"/>
        </w:tabs>
        <w:spacing w:before="0" w:after="0" w:line="267" w:lineRule="exact"/>
        <w:ind w:left="1643" w:right="0" w:hanging="315"/>
        <w:jc w:val="left"/>
        <w:rPr>
          <w:color w:val="auto"/>
          <w:sz w:val="21"/>
          <w:highlight w:val="none"/>
        </w:rPr>
      </w:pPr>
      <w:r>
        <w:rPr>
          <w:color w:val="auto"/>
          <w:sz w:val="21"/>
          <w:highlight w:val="none"/>
        </w:rPr>
        <w:t>监理酬金：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1"/>
        <w:numPr>
          <w:ilvl w:val="1"/>
          <w:numId w:val="18"/>
        </w:numPr>
        <w:tabs>
          <w:tab w:val="left" w:pos="1644"/>
          <w:tab w:val="left" w:pos="4583"/>
          <w:tab w:val="left" w:pos="6159"/>
        </w:tabs>
        <w:spacing w:before="137" w:after="0" w:line="367" w:lineRule="auto"/>
        <w:ind w:left="1328" w:right="4097" w:firstLine="0"/>
        <w:jc w:val="left"/>
        <w:rPr>
          <w:color w:val="auto"/>
          <w:sz w:val="11"/>
          <w:highlight w:val="none"/>
        </w:rPr>
      </w:pPr>
      <w:r>
        <w:rPr>
          <w:color w:val="auto"/>
          <w:sz w:val="21"/>
          <w:highlight w:val="none"/>
        </w:rPr>
        <w:t>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r>
        <w:rPr>
          <w:color w:val="auto"/>
          <w:sz w:val="21"/>
          <w:highlight w:val="none"/>
        </w:rPr>
        <w:t>其中：</w:t>
      </w:r>
    </w:p>
    <w:p>
      <w:pPr>
        <w:pStyle w:val="11"/>
        <w:numPr>
          <w:ilvl w:val="2"/>
          <w:numId w:val="18"/>
        </w:numPr>
        <w:tabs>
          <w:tab w:val="left" w:pos="2170"/>
          <w:tab w:val="left" w:pos="5319"/>
          <w:tab w:val="left" w:pos="6999"/>
        </w:tabs>
        <w:spacing w:before="70" w:after="0" w:line="240" w:lineRule="auto"/>
        <w:ind w:left="2170" w:right="0" w:hanging="527"/>
        <w:jc w:val="left"/>
        <w:rPr>
          <w:color w:val="auto"/>
          <w:sz w:val="21"/>
          <w:highlight w:val="none"/>
        </w:rPr>
      </w:pPr>
      <w:r>
        <w:rPr>
          <w:color w:val="auto"/>
          <w:sz w:val="21"/>
          <w:highlight w:val="none"/>
        </w:rPr>
        <w:t>勘察阶段服务酬金：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1"/>
        <w:numPr>
          <w:ilvl w:val="2"/>
          <w:numId w:val="18"/>
        </w:numPr>
        <w:tabs>
          <w:tab w:val="left" w:pos="2170"/>
          <w:tab w:val="left" w:pos="5214"/>
          <w:tab w:val="left" w:pos="6999"/>
        </w:tabs>
        <w:spacing w:before="139" w:after="0" w:line="240" w:lineRule="auto"/>
        <w:ind w:left="2170" w:right="0" w:hanging="527"/>
        <w:jc w:val="left"/>
        <w:rPr>
          <w:color w:val="auto"/>
          <w:sz w:val="21"/>
          <w:highlight w:val="none"/>
        </w:rPr>
      </w:pPr>
      <w:r>
        <w:rPr>
          <w:color w:val="auto"/>
          <w:sz w:val="21"/>
          <w:highlight w:val="none"/>
        </w:rPr>
        <w:t>设计阶段服务酬金：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1"/>
        <w:numPr>
          <w:ilvl w:val="2"/>
          <w:numId w:val="18"/>
        </w:numPr>
        <w:tabs>
          <w:tab w:val="left" w:pos="2170"/>
        </w:tabs>
        <w:spacing w:before="139" w:after="0" w:line="240" w:lineRule="auto"/>
        <w:ind w:left="2170" w:right="0" w:hanging="527"/>
        <w:jc w:val="left"/>
        <w:rPr>
          <w:color w:val="auto"/>
          <w:sz w:val="21"/>
          <w:highlight w:val="none"/>
        </w:rPr>
      </w:pPr>
      <w:r>
        <w:rPr>
          <w:color w:val="auto"/>
          <w:sz w:val="21"/>
          <w:highlight w:val="none"/>
        </w:rPr>
        <w:t>保修阶段服务酬金：</w:t>
      </w:r>
      <w:r>
        <w:rPr>
          <w:color w:val="auto"/>
          <w:spacing w:val="-1"/>
          <w:sz w:val="21"/>
          <w:highlight w:val="none"/>
          <w:u w:val="single"/>
        </w:rPr>
        <w:t>在投标报价时已综合考虑， 已包含在监理酬金中</w:t>
      </w:r>
      <w:r>
        <w:rPr>
          <w:color w:val="auto"/>
          <w:sz w:val="21"/>
          <w:highlight w:val="none"/>
        </w:rPr>
        <w:t>。</w:t>
      </w:r>
    </w:p>
    <w:p>
      <w:pPr>
        <w:pStyle w:val="11"/>
        <w:numPr>
          <w:ilvl w:val="2"/>
          <w:numId w:val="18"/>
        </w:numPr>
        <w:tabs>
          <w:tab w:val="left" w:pos="2170"/>
          <w:tab w:val="left" w:pos="5108"/>
          <w:tab w:val="left" w:pos="6999"/>
        </w:tabs>
        <w:spacing w:before="139" w:after="0" w:line="367" w:lineRule="auto"/>
        <w:ind w:left="1220" w:right="3257" w:firstLine="423"/>
        <w:jc w:val="left"/>
        <w:rPr>
          <w:b/>
          <w:color w:val="auto"/>
          <w:sz w:val="21"/>
          <w:highlight w:val="none"/>
        </w:rPr>
      </w:pPr>
      <w:r>
        <w:rPr>
          <w:color w:val="auto"/>
          <w:sz w:val="21"/>
          <w:highlight w:val="none"/>
        </w:rPr>
        <w:t>其他相关服务酬金：</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pacing w:val="-18"/>
          <w:sz w:val="21"/>
          <w:highlight w:val="none"/>
        </w:rPr>
        <w:t>。</w:t>
      </w:r>
      <w:bookmarkStart w:id="101" w:name="六、期限"/>
      <w:bookmarkEnd w:id="101"/>
      <w:r>
        <w:rPr>
          <w:b/>
          <w:color w:val="auto"/>
          <w:sz w:val="21"/>
          <w:highlight w:val="none"/>
        </w:rPr>
        <w:t>六、期限</w:t>
      </w:r>
    </w:p>
    <w:p>
      <w:pPr>
        <w:pStyle w:val="11"/>
        <w:numPr>
          <w:ilvl w:val="0"/>
          <w:numId w:val="19"/>
        </w:numPr>
        <w:tabs>
          <w:tab w:val="left" w:pos="1644"/>
        </w:tabs>
        <w:spacing w:before="0" w:after="0" w:line="364" w:lineRule="auto"/>
        <w:ind w:left="803" w:right="1055" w:firstLine="525"/>
        <w:jc w:val="left"/>
        <w:rPr>
          <w:color w:val="auto"/>
          <w:sz w:val="21"/>
          <w:highlight w:val="none"/>
        </w:rPr>
      </w:pPr>
      <w:r>
        <w:rPr>
          <w:color w:val="auto"/>
          <w:w w:val="95"/>
          <w:sz w:val="21"/>
          <w:highlight w:val="none"/>
        </w:rPr>
        <w:t xml:space="preserve">监理期限：施工监理服务期自开工报告签发之日开始，至承接范围内所有工程竣工验  </w:t>
      </w:r>
      <w:r>
        <w:rPr>
          <w:color w:val="auto"/>
          <w:sz w:val="21"/>
          <w:highlight w:val="none"/>
        </w:rPr>
        <w:t>收合格结束。</w:t>
      </w:r>
    </w:p>
    <w:p>
      <w:pPr>
        <w:pStyle w:val="11"/>
        <w:numPr>
          <w:ilvl w:val="0"/>
          <w:numId w:val="19"/>
        </w:numPr>
        <w:tabs>
          <w:tab w:val="left" w:pos="1644"/>
          <w:tab w:val="left" w:pos="4059"/>
          <w:tab w:val="left" w:pos="4583"/>
          <w:tab w:val="left" w:pos="5108"/>
          <w:tab w:val="left" w:pos="6263"/>
          <w:tab w:val="left" w:pos="6788"/>
          <w:tab w:val="left" w:pos="7314"/>
        </w:tabs>
        <w:spacing w:before="0" w:after="0" w:line="364" w:lineRule="auto"/>
        <w:ind w:left="1220" w:right="2521" w:firstLine="108"/>
        <w:jc w:val="left"/>
        <w:rPr>
          <w:b/>
          <w:color w:val="auto"/>
          <w:sz w:val="21"/>
          <w:highlight w:val="none"/>
        </w:rPr>
      </w:pPr>
      <w:r>
        <w:rPr>
          <w:color w:val="auto"/>
          <w:sz w:val="21"/>
          <w:highlight w:val="none"/>
        </w:rPr>
        <w:t>保修阶段服务期限：自</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日始，至</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日止</w:t>
      </w:r>
      <w:r>
        <w:rPr>
          <w:color w:val="auto"/>
          <w:spacing w:val="-16"/>
          <w:sz w:val="21"/>
          <w:highlight w:val="none"/>
        </w:rPr>
        <w:t>。</w:t>
      </w:r>
      <w:bookmarkStart w:id="102" w:name="七、双方承诺"/>
      <w:bookmarkEnd w:id="102"/>
      <w:r>
        <w:rPr>
          <w:b/>
          <w:color w:val="auto"/>
          <w:sz w:val="21"/>
          <w:highlight w:val="none"/>
        </w:rPr>
        <w:t>七、双方承诺</w:t>
      </w:r>
    </w:p>
    <w:p>
      <w:pPr>
        <w:pStyle w:val="11"/>
        <w:numPr>
          <w:ilvl w:val="0"/>
          <w:numId w:val="20"/>
        </w:numPr>
        <w:tabs>
          <w:tab w:val="left" w:pos="1536"/>
        </w:tabs>
        <w:spacing w:before="0" w:after="0" w:line="267" w:lineRule="exact"/>
        <w:ind w:left="1535" w:right="0" w:hanging="315"/>
        <w:jc w:val="left"/>
        <w:rPr>
          <w:color w:val="auto"/>
          <w:sz w:val="21"/>
          <w:highlight w:val="none"/>
        </w:rPr>
      </w:pPr>
      <w:bookmarkStart w:id="103" w:name="1. 监理人向委托人承诺，按照本合同约定提供监理与相关服务。"/>
      <w:bookmarkEnd w:id="103"/>
      <w:bookmarkStart w:id="104" w:name="1. 监理人向委托人承诺，按照本合同约定提供监理与相关服务。"/>
      <w:bookmarkEnd w:id="104"/>
      <w:r>
        <w:rPr>
          <w:color w:val="auto"/>
          <w:sz w:val="21"/>
          <w:highlight w:val="none"/>
        </w:rPr>
        <w:t>监理人向委托人承诺，按照本合同约定提供监理与相关服务。</w:t>
      </w:r>
    </w:p>
    <w:p>
      <w:pPr>
        <w:pStyle w:val="11"/>
        <w:numPr>
          <w:ilvl w:val="0"/>
          <w:numId w:val="20"/>
        </w:numPr>
        <w:tabs>
          <w:tab w:val="left" w:pos="1536"/>
        </w:tabs>
        <w:spacing w:before="134" w:after="0" w:line="364" w:lineRule="auto"/>
        <w:ind w:left="803" w:right="1052" w:firstLine="417"/>
        <w:jc w:val="left"/>
        <w:rPr>
          <w:color w:val="auto"/>
          <w:sz w:val="21"/>
          <w:highlight w:val="none"/>
        </w:rPr>
      </w:pPr>
      <w:bookmarkStart w:id="105" w:name="2. 委托人向监理人承诺，按照本合同约定派遣相应的人员，提供房屋、资料、设备，并"/>
      <w:bookmarkEnd w:id="105"/>
      <w:bookmarkStart w:id="106" w:name="2. 委托人向监理人承诺，按照本合同约定派遣相应的人员，提供房屋、资料、设备，并"/>
      <w:bookmarkEnd w:id="106"/>
      <w:r>
        <w:rPr>
          <w:color w:val="auto"/>
          <w:spacing w:val="-6"/>
          <w:w w:val="95"/>
          <w:sz w:val="21"/>
          <w:highlight w:val="none"/>
        </w:rPr>
        <w:t xml:space="preserve">委托人向监理人承诺，按照本合同约定派遣相应的人员，提供房屋、资料、设备，并按  </w:t>
      </w:r>
      <w:r>
        <w:rPr>
          <w:color w:val="auto"/>
          <w:spacing w:val="-6"/>
          <w:sz w:val="21"/>
          <w:highlight w:val="none"/>
        </w:rPr>
        <w:t>本合同约定支付酬金。</w:t>
      </w:r>
    </w:p>
    <w:p>
      <w:pPr>
        <w:pStyle w:val="4"/>
        <w:spacing w:line="267" w:lineRule="exact"/>
        <w:ind w:left="1220" w:firstLine="0"/>
        <w:rPr>
          <w:rFonts w:hint="eastAsia" w:ascii="宋体" w:eastAsia="宋体"/>
          <w:color w:val="auto"/>
          <w:highlight w:val="none"/>
        </w:rPr>
      </w:pPr>
      <w:bookmarkStart w:id="107" w:name="八、合同订立"/>
      <w:bookmarkEnd w:id="107"/>
      <w:r>
        <w:rPr>
          <w:rFonts w:hint="eastAsia" w:ascii="宋体" w:eastAsia="宋体"/>
          <w:color w:val="auto"/>
          <w:highlight w:val="none"/>
        </w:rPr>
        <w:t>八、合同订立</w:t>
      </w:r>
    </w:p>
    <w:p>
      <w:pPr>
        <w:pStyle w:val="11"/>
        <w:numPr>
          <w:ilvl w:val="0"/>
          <w:numId w:val="21"/>
        </w:numPr>
        <w:tabs>
          <w:tab w:val="left" w:pos="1536"/>
          <w:tab w:val="left" w:pos="3635"/>
          <w:tab w:val="left" w:pos="4475"/>
        </w:tabs>
        <w:spacing w:before="139" w:after="0" w:line="240" w:lineRule="auto"/>
        <w:ind w:left="1535" w:right="0" w:hanging="315"/>
        <w:jc w:val="left"/>
        <w:rPr>
          <w:color w:val="auto"/>
          <w:sz w:val="21"/>
          <w:highlight w:val="none"/>
        </w:rPr>
      </w:pPr>
      <w:r>
        <w:rPr>
          <w:color w:val="auto"/>
          <w:sz w:val="21"/>
          <w:highlight w:val="none"/>
        </w:rPr>
        <w:t>订立时间：</w:t>
      </w:r>
      <w:r>
        <w:rPr>
          <w:color w:val="auto"/>
          <w:sz w:val="21"/>
          <w:highlight w:val="none"/>
          <w:u w:val="single"/>
        </w:rPr>
        <w:t>2018</w:t>
      </w:r>
      <w:r>
        <w:rPr>
          <w:color w:val="auto"/>
          <w:spacing w:val="-4"/>
          <w:sz w:val="21"/>
          <w:highlight w:val="none"/>
        </w:rPr>
        <w:t xml:space="preserve"> </w:t>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w:t>
      </w:r>
    </w:p>
    <w:p>
      <w:pPr>
        <w:pStyle w:val="11"/>
        <w:numPr>
          <w:ilvl w:val="0"/>
          <w:numId w:val="21"/>
        </w:numPr>
        <w:tabs>
          <w:tab w:val="left" w:pos="1536"/>
          <w:tab w:val="left" w:pos="6049"/>
        </w:tabs>
        <w:spacing w:before="141" w:after="0" w:line="240" w:lineRule="auto"/>
        <w:ind w:left="1535" w:right="0" w:hanging="315"/>
        <w:jc w:val="left"/>
        <w:rPr>
          <w:color w:val="auto"/>
          <w:sz w:val="21"/>
          <w:highlight w:val="none"/>
        </w:rPr>
      </w:pPr>
      <w:r>
        <w:rPr>
          <w:color w:val="auto"/>
          <w:sz w:val="21"/>
          <w:highlight w:val="none"/>
        </w:rPr>
        <w:t>订立地点：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11"/>
        <w:numPr>
          <w:ilvl w:val="0"/>
          <w:numId w:val="21"/>
        </w:numPr>
        <w:tabs>
          <w:tab w:val="left" w:pos="1540"/>
        </w:tabs>
        <w:spacing w:before="139" w:after="0" w:line="364" w:lineRule="auto"/>
        <w:ind w:left="803" w:right="1052" w:firstLine="420"/>
        <w:jc w:val="left"/>
        <w:rPr>
          <w:color w:val="auto"/>
          <w:sz w:val="21"/>
          <w:highlight w:val="none"/>
        </w:rPr>
      </w:pPr>
      <w:r>
        <w:rPr>
          <w:color w:val="auto"/>
          <w:spacing w:val="-8"/>
          <w:sz w:val="21"/>
          <w:highlight w:val="none"/>
        </w:rPr>
        <w:t xml:space="preserve">本合同一式 </w:t>
      </w:r>
      <w:r>
        <w:rPr>
          <w:color w:val="auto"/>
          <w:sz w:val="21"/>
          <w:highlight w:val="none"/>
          <w:u w:val="single"/>
        </w:rPr>
        <w:t>6</w:t>
      </w:r>
      <w:r>
        <w:rPr>
          <w:color w:val="auto"/>
          <w:spacing w:val="-9"/>
          <w:sz w:val="21"/>
          <w:highlight w:val="none"/>
        </w:rPr>
        <w:t xml:space="preserve"> 份，具有同等法律效力，双方各执正本 </w:t>
      </w:r>
      <w:r>
        <w:rPr>
          <w:color w:val="auto"/>
          <w:sz w:val="21"/>
          <w:highlight w:val="none"/>
          <w:u w:val="single"/>
        </w:rPr>
        <w:t>1</w:t>
      </w:r>
      <w:r>
        <w:rPr>
          <w:color w:val="auto"/>
          <w:spacing w:val="-17"/>
          <w:sz w:val="21"/>
          <w:highlight w:val="none"/>
        </w:rPr>
        <w:t xml:space="preserve"> 份，副本 </w:t>
      </w:r>
      <w:r>
        <w:rPr>
          <w:color w:val="auto"/>
          <w:sz w:val="21"/>
          <w:highlight w:val="none"/>
          <w:u w:val="single"/>
        </w:rPr>
        <w:t>1</w:t>
      </w:r>
      <w:r>
        <w:rPr>
          <w:color w:val="auto"/>
          <w:sz w:val="21"/>
          <w:highlight w:val="none"/>
        </w:rPr>
        <w:t xml:space="preserve"> 份，其它分送相关部门备案。</w:t>
      </w:r>
    </w:p>
    <w:p>
      <w:pPr>
        <w:pStyle w:val="5"/>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w w:val="95"/>
          <w:highlight w:val="none"/>
        </w:rPr>
      </w:pPr>
      <w:r>
        <w:rPr>
          <w:color w:val="auto"/>
          <w:highlight w:val="none"/>
        </w:rPr>
        <w:t>委托人：</w:t>
      </w:r>
      <w:r>
        <w:rPr>
          <w:color w:val="auto"/>
          <w:highlight w:val="none"/>
          <w:u w:val="single"/>
        </w:rPr>
        <w:t xml:space="preserve"> </w:t>
      </w:r>
      <w:r>
        <w:rPr>
          <w:color w:val="auto"/>
          <w:highlight w:val="none"/>
          <w:u w:val="single"/>
        </w:rPr>
        <w:tab/>
      </w:r>
      <w:r>
        <w:rPr>
          <w:color w:val="auto"/>
          <w:highlight w:val="none"/>
          <w:u w:val="single"/>
        </w:rPr>
        <w:t>（盖章）</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监理人：</w:t>
      </w:r>
      <w:r>
        <w:rPr>
          <w:color w:val="auto"/>
          <w:highlight w:val="none"/>
          <w:u w:val="single"/>
        </w:rPr>
        <w:t xml:space="preserve"> </w:t>
      </w:r>
      <w:r>
        <w:rPr>
          <w:color w:val="auto"/>
          <w:highlight w:val="none"/>
          <w:u w:val="single"/>
        </w:rPr>
        <w:tab/>
      </w:r>
      <w:r>
        <w:rPr>
          <w:color w:val="auto"/>
          <w:w w:val="95"/>
          <w:highlight w:val="none"/>
          <w:u w:val="single"/>
        </w:rPr>
        <w:t>（盖章）</w:t>
      </w:r>
      <w:r>
        <w:rPr>
          <w:color w:val="auto"/>
          <w:w w:val="95"/>
          <w:highlight w:val="none"/>
          <w:u w:val="single"/>
        </w:rPr>
        <w:tab/>
      </w:r>
      <w:r>
        <w:rPr>
          <w:color w:val="auto"/>
          <w:w w:val="95"/>
          <w:highlight w:val="none"/>
        </w:rPr>
        <w:t xml:space="preserve"> </w:t>
      </w:r>
    </w:p>
    <w:p>
      <w:pPr>
        <w:pStyle w:val="5"/>
        <w:tabs>
          <w:tab w:val="left" w:pos="2375"/>
          <w:tab w:val="left" w:pos="3739"/>
          <w:tab w:val="left" w:pos="4109"/>
          <w:tab w:val="left" w:pos="4211"/>
          <w:tab w:val="left" w:pos="4580"/>
          <w:tab w:val="left" w:pos="5735"/>
          <w:tab w:val="left" w:pos="6994"/>
          <w:tab w:val="left" w:pos="7572"/>
          <w:tab w:val="left" w:pos="7675"/>
        </w:tabs>
        <w:spacing w:line="364" w:lineRule="auto"/>
        <w:ind w:left="1220" w:right="2790"/>
        <w:rPr>
          <w:color w:val="auto"/>
          <w:highlight w:val="none"/>
        </w:rPr>
      </w:pPr>
      <w:r>
        <w:rPr>
          <w:color w:val="auto"/>
          <w:highlight w:val="none"/>
        </w:rPr>
        <w:t>住所：</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w w:val="95"/>
          <w:highlight w:val="none"/>
        </w:rPr>
        <w:t>住所：</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邮政编码：</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ab/>
      </w:r>
      <w:r>
        <w:rPr>
          <w:color w:val="auto"/>
          <w:w w:val="95"/>
          <w:highlight w:val="none"/>
        </w:rPr>
        <w:t>邮政编码：</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法定代表人或其授权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法定代表人或其授权</w:t>
      </w:r>
    </w:p>
    <w:p>
      <w:pPr>
        <w:pStyle w:val="5"/>
        <w:tabs>
          <w:tab w:val="left" w:pos="3634"/>
          <w:tab w:val="left" w:pos="4106"/>
          <w:tab w:val="left" w:pos="4580"/>
          <w:tab w:val="left" w:pos="7414"/>
          <w:tab w:val="left" w:pos="7571"/>
        </w:tabs>
        <w:spacing w:line="364" w:lineRule="auto"/>
        <w:ind w:left="1220" w:right="2894"/>
        <w:rPr>
          <w:rFonts w:ascii="Times New Roman" w:eastAsia="Times New Roman"/>
          <w:color w:val="auto"/>
          <w:highlight w:val="none"/>
        </w:rPr>
      </w:pPr>
      <w:r>
        <w:rPr>
          <w:color w:val="auto"/>
          <w:spacing w:val="-1"/>
          <w:w w:val="99"/>
          <w:highlight w:val="none"/>
        </w:rPr>
        <w:t>的</w:t>
      </w:r>
      <w:r>
        <w:rPr>
          <w:color w:val="auto"/>
          <w:spacing w:val="2"/>
          <w:w w:val="99"/>
          <w:highlight w:val="none"/>
        </w:rPr>
        <w:t>代</w:t>
      </w:r>
      <w:r>
        <w:rPr>
          <w:color w:val="auto"/>
          <w:spacing w:val="-1"/>
          <w:w w:val="99"/>
          <w:highlight w:val="none"/>
        </w:rPr>
        <w:t>理</w:t>
      </w:r>
      <w:r>
        <w:rPr>
          <w:color w:val="auto"/>
          <w:spacing w:val="2"/>
          <w:w w:val="99"/>
          <w:highlight w:val="none"/>
        </w:rPr>
        <w:t>人</w:t>
      </w:r>
      <w:r>
        <w:rPr>
          <w:color w:val="auto"/>
          <w:spacing w:val="-106"/>
          <w:w w:val="99"/>
          <w:highlight w:val="none"/>
        </w:rPr>
        <w:t>：</w:t>
      </w:r>
      <w:r>
        <w:rPr>
          <w:color w:val="auto"/>
          <w:spacing w:val="-1"/>
          <w:w w:val="99"/>
          <w:highlight w:val="none"/>
          <w:u w:val="single"/>
        </w:rPr>
        <w:t>（</w:t>
      </w:r>
      <w:r>
        <w:rPr>
          <w:color w:val="auto"/>
          <w:spacing w:val="2"/>
          <w:w w:val="99"/>
          <w:highlight w:val="none"/>
          <w:u w:val="single"/>
        </w:rPr>
        <w:t>签</w:t>
      </w:r>
      <w:r>
        <w:rPr>
          <w:color w:val="auto"/>
          <w:spacing w:val="-1"/>
          <w:w w:val="99"/>
          <w:highlight w:val="none"/>
          <w:u w:val="single"/>
        </w:rPr>
        <w:t>字</w:t>
      </w:r>
      <w:r>
        <w:rPr>
          <w:color w:val="auto"/>
          <w:w w:val="99"/>
          <w:highlight w:val="none"/>
          <w:u w:val="single"/>
        </w:rPr>
        <w:t>）</w:t>
      </w:r>
      <w:r>
        <w:rPr>
          <w:color w:val="auto"/>
          <w:highlight w:val="none"/>
          <w:u w:val="single"/>
        </w:rPr>
        <w:tab/>
      </w:r>
      <w:r>
        <w:rPr>
          <w:color w:val="auto"/>
          <w:highlight w:val="none"/>
        </w:rPr>
        <w:tab/>
      </w:r>
      <w:r>
        <w:rPr>
          <w:color w:val="auto"/>
          <w:highlight w:val="none"/>
        </w:rPr>
        <w:tab/>
      </w:r>
      <w:r>
        <w:rPr>
          <w:color w:val="auto"/>
          <w:spacing w:val="-1"/>
          <w:w w:val="99"/>
          <w:highlight w:val="none"/>
        </w:rPr>
        <w:t>的</w:t>
      </w:r>
      <w:r>
        <w:rPr>
          <w:color w:val="auto"/>
          <w:spacing w:val="2"/>
          <w:w w:val="99"/>
          <w:highlight w:val="none"/>
        </w:rPr>
        <w:t>代</w:t>
      </w:r>
      <w:r>
        <w:rPr>
          <w:color w:val="auto"/>
          <w:spacing w:val="-1"/>
          <w:w w:val="99"/>
          <w:highlight w:val="none"/>
        </w:rPr>
        <w:t>理</w:t>
      </w:r>
      <w:r>
        <w:rPr>
          <w:color w:val="auto"/>
          <w:spacing w:val="2"/>
          <w:w w:val="99"/>
          <w:highlight w:val="none"/>
        </w:rPr>
        <w:t>人</w:t>
      </w:r>
      <w:r>
        <w:rPr>
          <w:color w:val="auto"/>
          <w:spacing w:val="-106"/>
          <w:w w:val="99"/>
          <w:highlight w:val="none"/>
        </w:rPr>
        <w:t>：</w:t>
      </w:r>
      <w:r>
        <w:rPr>
          <w:color w:val="auto"/>
          <w:spacing w:val="-1"/>
          <w:w w:val="99"/>
          <w:highlight w:val="none"/>
          <w:u w:val="single"/>
        </w:rPr>
        <w:t>（</w:t>
      </w:r>
      <w:r>
        <w:rPr>
          <w:color w:val="auto"/>
          <w:spacing w:val="2"/>
          <w:w w:val="99"/>
          <w:highlight w:val="none"/>
          <w:u w:val="single"/>
        </w:rPr>
        <w:t>签</w:t>
      </w:r>
      <w:r>
        <w:rPr>
          <w:color w:val="auto"/>
          <w:spacing w:val="-1"/>
          <w:w w:val="99"/>
          <w:highlight w:val="none"/>
          <w:u w:val="single"/>
        </w:rPr>
        <w:t>字</w:t>
      </w:r>
      <w:r>
        <w:rPr>
          <w:color w:val="auto"/>
          <w:w w:val="99"/>
          <w:highlight w:val="none"/>
          <w:u w:val="single"/>
        </w:rPr>
        <w:t>）</w:t>
      </w:r>
      <w:r>
        <w:rPr>
          <w:color w:val="auto"/>
          <w:highlight w:val="none"/>
          <w:u w:val="single"/>
        </w:rPr>
        <w:tab/>
      </w:r>
      <w:r>
        <w:rPr>
          <w:color w:val="auto"/>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开户银行：</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pStyle w:val="5"/>
        <w:tabs>
          <w:tab w:val="left" w:pos="4106"/>
          <w:tab w:val="left" w:pos="4211"/>
          <w:tab w:val="left" w:pos="4580"/>
          <w:tab w:val="left" w:pos="7675"/>
          <w:tab w:val="left" w:pos="7790"/>
        </w:tabs>
        <w:spacing w:line="364" w:lineRule="auto"/>
        <w:ind w:left="1220" w:right="2579"/>
        <w:rPr>
          <w:rFonts w:ascii="Times New Roman" w:eastAsia="Times New Roman"/>
          <w:color w:val="auto"/>
          <w:highlight w:val="none"/>
        </w:rPr>
      </w:pPr>
      <w:r>
        <w:rPr>
          <w:color w:val="auto"/>
          <w:highlight w:val="none"/>
        </w:rPr>
        <w:t>账号：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账号：</w:t>
      </w:r>
      <w:r>
        <w:rPr>
          <w:color w:val="auto"/>
          <w:w w:val="95"/>
          <w:highlight w:val="none"/>
          <w:u w:val="single"/>
        </w:rPr>
        <w:tab/>
      </w:r>
      <w:r>
        <w:rPr>
          <w:color w:val="auto"/>
          <w:w w:val="95"/>
          <w:highlight w:val="none"/>
          <w:u w:val="single"/>
        </w:rPr>
        <w:t xml:space="preserve"> </w:t>
      </w:r>
      <w:r>
        <w:rPr>
          <w:color w:val="auto"/>
          <w:highlight w:val="none"/>
        </w:rPr>
        <w:t>电话：</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电话：</w:t>
      </w:r>
      <w:r>
        <w:rPr>
          <w:color w:val="auto"/>
          <w:w w:val="95"/>
          <w:highlight w:val="none"/>
          <w:u w:val="single"/>
        </w:rPr>
        <w:tab/>
      </w:r>
      <w:r>
        <w:rPr>
          <w:color w:val="auto"/>
          <w:w w:val="95"/>
          <w:highlight w:val="none"/>
        </w:rPr>
        <w:t xml:space="preserve"> </w:t>
      </w:r>
      <w:r>
        <w:rPr>
          <w:color w:val="auto"/>
          <w:highlight w:val="none"/>
        </w:rPr>
        <w:t>传真：</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w w:val="95"/>
          <w:highlight w:val="none"/>
        </w:rPr>
        <w:t>传真：</w:t>
      </w:r>
      <w:r>
        <w:rPr>
          <w:color w:val="auto"/>
          <w:w w:val="95"/>
          <w:highlight w:val="none"/>
          <w:u w:val="single"/>
        </w:rPr>
        <w:tab/>
      </w:r>
      <w:r>
        <w:rPr>
          <w:color w:val="auto"/>
          <w:w w:val="95"/>
          <w:highlight w:val="none"/>
        </w:rPr>
        <w:t xml:space="preserve"> </w:t>
      </w:r>
      <w:r>
        <w:rPr>
          <w:color w:val="auto"/>
          <w:highlight w:val="none"/>
        </w:rPr>
        <w:t>电子邮箱：</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w w:val="95"/>
          <w:highlight w:val="none"/>
        </w:rPr>
        <w:t>电子邮箱：</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p>
    <w:p>
      <w:pPr>
        <w:spacing w:after="0" w:line="364" w:lineRule="auto"/>
        <w:rPr>
          <w:rFonts w:ascii="Times New Roman" w:eastAsia="Times New Roman"/>
          <w:color w:val="auto"/>
          <w:highlight w:val="none"/>
        </w:rPr>
        <w:sectPr>
          <w:headerReference r:id="rId7" w:type="default"/>
          <w:footerReference r:id="rId8" w:type="default"/>
          <w:pgSz w:w="11910" w:h="16840"/>
          <w:pgMar w:top="1080" w:right="520" w:bottom="1180" w:left="920" w:header="891" w:footer="993" w:gutter="0"/>
        </w:sectPr>
      </w:pPr>
    </w:p>
    <w:p>
      <w:pPr>
        <w:pStyle w:val="5"/>
        <w:rPr>
          <w:rFonts w:ascii="Times New Roman"/>
          <w:color w:val="auto"/>
          <w:sz w:val="20"/>
          <w:highlight w:val="none"/>
        </w:rPr>
      </w:pPr>
    </w:p>
    <w:p>
      <w:pPr>
        <w:pStyle w:val="5"/>
        <w:rPr>
          <w:rFonts w:ascii="Times New Roman"/>
          <w:color w:val="auto"/>
          <w:sz w:val="20"/>
          <w:highlight w:val="none"/>
        </w:rPr>
      </w:pPr>
    </w:p>
    <w:p>
      <w:pPr>
        <w:pStyle w:val="5"/>
        <w:spacing w:before="4"/>
        <w:rPr>
          <w:rFonts w:ascii="Times New Roman"/>
          <w:color w:val="auto"/>
          <w:sz w:val="24"/>
          <w:highlight w:val="none"/>
        </w:rPr>
      </w:pPr>
    </w:p>
    <w:p>
      <w:pPr>
        <w:pStyle w:val="3"/>
        <w:tabs>
          <w:tab w:val="left" w:pos="1504"/>
        </w:tabs>
        <w:ind w:right="252"/>
        <w:jc w:val="center"/>
        <w:rPr>
          <w:color w:val="auto"/>
          <w:highlight w:val="none"/>
        </w:rPr>
      </w:pPr>
      <w:r>
        <w:rPr>
          <w:color w:val="auto"/>
          <w:highlight w:val="none"/>
        </w:rPr>
        <w:t>第二部分</w:t>
      </w:r>
      <w:r>
        <w:rPr>
          <w:color w:val="auto"/>
          <w:highlight w:val="none"/>
        </w:rPr>
        <w:tab/>
      </w:r>
      <w:r>
        <w:rPr>
          <w:color w:val="auto"/>
          <w:highlight w:val="none"/>
        </w:rPr>
        <w:t>通用条件</w:t>
      </w:r>
    </w:p>
    <w:p>
      <w:pPr>
        <w:pStyle w:val="5"/>
        <w:rPr>
          <w:rFonts w:ascii="黑体"/>
          <w:b/>
          <w:color w:val="auto"/>
          <w:sz w:val="30"/>
          <w:highlight w:val="none"/>
        </w:rPr>
      </w:pPr>
    </w:p>
    <w:p>
      <w:pPr>
        <w:pStyle w:val="4"/>
        <w:numPr>
          <w:ilvl w:val="0"/>
          <w:numId w:val="22"/>
        </w:numPr>
        <w:tabs>
          <w:tab w:val="left" w:pos="1540"/>
        </w:tabs>
        <w:spacing w:before="22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1"/>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定义</w:t>
      </w:r>
    </w:p>
    <w:p>
      <w:pPr>
        <w:pStyle w:val="5"/>
        <w:spacing w:before="139" w:line="367" w:lineRule="auto"/>
        <w:ind w:left="803" w:right="1055" w:firstLine="420"/>
        <w:rPr>
          <w:color w:val="auto"/>
          <w:highlight w:val="none"/>
        </w:rPr>
      </w:pPr>
      <w:r>
        <w:rPr>
          <w:color w:val="auto"/>
          <w:w w:val="95"/>
          <w:highlight w:val="none"/>
        </w:rPr>
        <w:t xml:space="preserve">除根据上下文另有其意义外，组成本合同的全部文件中的下列名词和用语应具有本款所赋   </w:t>
      </w:r>
      <w:r>
        <w:rPr>
          <w:color w:val="auto"/>
          <w:highlight w:val="none"/>
        </w:rPr>
        <w:t>予的含义：</w:t>
      </w:r>
    </w:p>
    <w:p>
      <w:pPr>
        <w:pStyle w:val="11"/>
        <w:numPr>
          <w:ilvl w:val="2"/>
          <w:numId w:val="22"/>
        </w:numPr>
        <w:tabs>
          <w:tab w:val="left" w:pos="1855"/>
        </w:tabs>
        <w:spacing w:before="0" w:after="0" w:line="264" w:lineRule="exact"/>
        <w:ind w:left="1854" w:right="0" w:hanging="631"/>
        <w:jc w:val="left"/>
        <w:rPr>
          <w:color w:val="auto"/>
          <w:sz w:val="21"/>
          <w:highlight w:val="none"/>
        </w:rPr>
      </w:pPr>
      <w:r>
        <w:rPr>
          <w:color w:val="auto"/>
          <w:sz w:val="21"/>
          <w:highlight w:val="none"/>
        </w:rPr>
        <w:t>“工程”是指按照本合同约定实施监理与相关服务的建设工程。</w:t>
      </w:r>
    </w:p>
    <w:p>
      <w:pPr>
        <w:pStyle w:val="11"/>
        <w:numPr>
          <w:ilvl w:val="2"/>
          <w:numId w:val="22"/>
        </w:numPr>
        <w:tabs>
          <w:tab w:val="left" w:pos="1819"/>
        </w:tabs>
        <w:spacing w:before="139" w:after="0" w:line="240" w:lineRule="auto"/>
        <w:ind w:left="1818" w:right="0" w:hanging="595"/>
        <w:jc w:val="left"/>
        <w:rPr>
          <w:color w:val="auto"/>
          <w:sz w:val="21"/>
          <w:highlight w:val="none"/>
        </w:rPr>
      </w:pPr>
      <w:r>
        <w:rPr>
          <w:color w:val="auto"/>
          <w:spacing w:val="-8"/>
          <w:sz w:val="21"/>
          <w:highlight w:val="none"/>
        </w:rPr>
        <w:t>“委托人”是指本合同中委托监理与相关服务的一方，及其合法的继承人或受让人。</w:t>
      </w:r>
    </w:p>
    <w:p>
      <w:pPr>
        <w:pStyle w:val="11"/>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“监理人”是指本合同中提供监理与相关服务的一方，及其合法的继承人。</w:t>
      </w:r>
    </w:p>
    <w:p>
      <w:pPr>
        <w:pStyle w:val="11"/>
        <w:numPr>
          <w:ilvl w:val="2"/>
          <w:numId w:val="22"/>
        </w:numPr>
        <w:tabs>
          <w:tab w:val="left" w:pos="1828"/>
        </w:tabs>
        <w:spacing w:before="142" w:after="0" w:line="364" w:lineRule="auto"/>
        <w:ind w:left="803" w:right="949" w:firstLine="420"/>
        <w:jc w:val="left"/>
        <w:rPr>
          <w:color w:val="auto"/>
          <w:sz w:val="21"/>
          <w:highlight w:val="none"/>
        </w:rPr>
      </w:pPr>
      <w:r>
        <w:rPr>
          <w:color w:val="auto"/>
          <w:spacing w:val="-7"/>
          <w:w w:val="95"/>
          <w:sz w:val="21"/>
          <w:highlight w:val="none"/>
        </w:rPr>
        <w:t>“承包人”是指在工程范围内与委托人签订勘察、设计、施工等有关合同的当事人，</w:t>
      </w:r>
      <w:r>
        <w:rPr>
          <w:color w:val="auto"/>
          <w:spacing w:val="-7"/>
          <w:sz w:val="21"/>
          <w:highlight w:val="none"/>
        </w:rPr>
        <w:t>及其合法的继承人。</w:t>
      </w:r>
    </w:p>
    <w:p>
      <w:pPr>
        <w:pStyle w:val="11"/>
        <w:numPr>
          <w:ilvl w:val="2"/>
          <w:numId w:val="22"/>
        </w:numPr>
        <w:tabs>
          <w:tab w:val="left" w:pos="1855"/>
        </w:tabs>
        <w:spacing w:before="0" w:after="0" w:line="364" w:lineRule="auto"/>
        <w:ind w:left="803" w:right="1055" w:firstLine="420"/>
        <w:jc w:val="left"/>
        <w:rPr>
          <w:color w:val="auto"/>
          <w:sz w:val="21"/>
          <w:highlight w:val="none"/>
        </w:rPr>
      </w:pPr>
      <w:r>
        <w:rPr>
          <w:color w:val="auto"/>
          <w:spacing w:val="-1"/>
          <w:sz w:val="21"/>
          <w:highlight w:val="none"/>
        </w:rPr>
        <w:t>“监理”是指监理人受委托人的委托 ，依照法律法规、工程建设标准、勘察设计</w:t>
      </w:r>
      <w:r>
        <w:rPr>
          <w:color w:val="auto"/>
          <w:spacing w:val="-1"/>
          <w:w w:val="95"/>
          <w:sz w:val="21"/>
          <w:highlight w:val="none"/>
        </w:rPr>
        <w:t>文件及合同，在施工阶段对建设工程质量、进度、造价进行控制，对合同、信息进行管理，对</w:t>
      </w:r>
      <w:r>
        <w:rPr>
          <w:color w:val="auto"/>
          <w:spacing w:val="-1"/>
          <w:sz w:val="21"/>
          <w:highlight w:val="none"/>
        </w:rPr>
        <w:t>工程建设相关方的关系进行协调，并履行建设工程安全生产管理法定职责的服务活动。</w:t>
      </w:r>
    </w:p>
    <w:p>
      <w:pPr>
        <w:pStyle w:val="11"/>
        <w:numPr>
          <w:ilvl w:val="2"/>
          <w:numId w:val="22"/>
        </w:numPr>
        <w:tabs>
          <w:tab w:val="left" w:pos="1855"/>
        </w:tabs>
        <w:spacing w:before="0" w:after="0" w:line="364" w:lineRule="auto"/>
        <w:ind w:left="803" w:right="1156" w:firstLine="420"/>
        <w:jc w:val="left"/>
        <w:rPr>
          <w:color w:val="auto"/>
          <w:sz w:val="21"/>
          <w:highlight w:val="none"/>
        </w:rPr>
      </w:pPr>
      <w:r>
        <w:rPr>
          <w:color w:val="auto"/>
          <w:spacing w:val="-1"/>
          <w:sz w:val="21"/>
          <w:highlight w:val="none"/>
        </w:rPr>
        <w:t>“相关服务”是指监理人受委托人的委托 ，按照本合同约定，在勘察、设计、保修等阶段提供的服务活动。</w:t>
      </w:r>
    </w:p>
    <w:p>
      <w:pPr>
        <w:pStyle w:val="11"/>
        <w:numPr>
          <w:ilvl w:val="2"/>
          <w:numId w:val="22"/>
        </w:numPr>
        <w:tabs>
          <w:tab w:val="left" w:pos="1855"/>
        </w:tabs>
        <w:spacing w:before="0" w:after="0" w:line="267" w:lineRule="exact"/>
        <w:ind w:left="1854" w:right="0" w:hanging="631"/>
        <w:jc w:val="left"/>
        <w:rPr>
          <w:color w:val="auto"/>
          <w:sz w:val="21"/>
          <w:highlight w:val="none"/>
        </w:rPr>
      </w:pPr>
      <w:r>
        <w:rPr>
          <w:color w:val="auto"/>
          <w:sz w:val="21"/>
          <w:highlight w:val="none"/>
        </w:rPr>
        <w:t>“正常工作”指本合同订立时通用条件和专用条件中约定的监理人的工作。</w:t>
      </w:r>
    </w:p>
    <w:p>
      <w:pPr>
        <w:pStyle w:val="11"/>
        <w:numPr>
          <w:ilvl w:val="2"/>
          <w:numId w:val="22"/>
        </w:numPr>
        <w:tabs>
          <w:tab w:val="left" w:pos="1855"/>
        </w:tabs>
        <w:spacing w:before="136" w:after="0" w:line="240" w:lineRule="auto"/>
        <w:ind w:left="1854" w:right="0" w:hanging="631"/>
        <w:jc w:val="left"/>
        <w:rPr>
          <w:color w:val="auto"/>
          <w:sz w:val="21"/>
          <w:highlight w:val="none"/>
        </w:rPr>
      </w:pPr>
      <w:r>
        <w:rPr>
          <w:color w:val="auto"/>
          <w:sz w:val="21"/>
          <w:highlight w:val="none"/>
        </w:rPr>
        <w:t>“附加工作”是指本合同约定的正常工作以外监理人的工作。</w:t>
      </w:r>
    </w:p>
    <w:p>
      <w:pPr>
        <w:pStyle w:val="11"/>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“项目监理机构”是指监理人派驻工程负责履行本合同的组织机构。</w:t>
      </w:r>
    </w:p>
    <w:p>
      <w:pPr>
        <w:pStyle w:val="11"/>
        <w:numPr>
          <w:ilvl w:val="2"/>
          <w:numId w:val="22"/>
        </w:numPr>
        <w:tabs>
          <w:tab w:val="left" w:pos="1960"/>
        </w:tabs>
        <w:spacing w:before="141" w:after="0" w:line="364" w:lineRule="auto"/>
        <w:ind w:left="803" w:right="1156" w:firstLine="420"/>
        <w:jc w:val="left"/>
        <w:rPr>
          <w:color w:val="auto"/>
          <w:sz w:val="21"/>
          <w:highlight w:val="none"/>
        </w:rPr>
      </w:pPr>
      <w:r>
        <w:rPr>
          <w:color w:val="auto"/>
          <w:w w:val="95"/>
          <w:sz w:val="21"/>
          <w:highlight w:val="none"/>
        </w:rPr>
        <w:t xml:space="preserve">“总监理工程师”是指由监理人的法定代表人书面授权，全面负责履行本合同、  </w:t>
      </w:r>
      <w:r>
        <w:rPr>
          <w:color w:val="auto"/>
          <w:sz w:val="21"/>
          <w:highlight w:val="none"/>
        </w:rPr>
        <w:t>主持项目监理机构工作的注册监理工程师。</w:t>
      </w:r>
    </w:p>
    <w:p>
      <w:pPr>
        <w:pStyle w:val="11"/>
        <w:numPr>
          <w:ilvl w:val="2"/>
          <w:numId w:val="22"/>
        </w:numPr>
        <w:tabs>
          <w:tab w:val="left" w:pos="1958"/>
        </w:tabs>
        <w:spacing w:before="0" w:after="0" w:line="267" w:lineRule="exact"/>
        <w:ind w:left="1957" w:right="0" w:hanging="734"/>
        <w:jc w:val="left"/>
        <w:rPr>
          <w:color w:val="auto"/>
          <w:sz w:val="21"/>
          <w:highlight w:val="none"/>
        </w:rPr>
      </w:pPr>
      <w:r>
        <w:rPr>
          <w:color w:val="auto"/>
          <w:sz w:val="21"/>
          <w:highlight w:val="none"/>
        </w:rPr>
        <w:t>“酬金”是指监理人履行本合同义务，委托人按照本合同约定给付监理人的金额。</w:t>
      </w:r>
    </w:p>
    <w:p>
      <w:pPr>
        <w:pStyle w:val="11"/>
        <w:numPr>
          <w:ilvl w:val="2"/>
          <w:numId w:val="22"/>
        </w:numPr>
        <w:tabs>
          <w:tab w:val="left" w:pos="1960"/>
        </w:tabs>
        <w:spacing w:before="142" w:after="0" w:line="364" w:lineRule="auto"/>
        <w:ind w:left="803" w:right="1156" w:firstLine="420"/>
        <w:jc w:val="left"/>
        <w:rPr>
          <w:color w:val="auto"/>
          <w:sz w:val="21"/>
          <w:highlight w:val="none"/>
        </w:rPr>
      </w:pPr>
      <w:r>
        <w:rPr>
          <w:color w:val="auto"/>
          <w:w w:val="95"/>
          <w:sz w:val="21"/>
          <w:highlight w:val="none"/>
        </w:rPr>
        <w:t xml:space="preserve">“正常工作酬金”是指监理人完成正常工作，委托人应给付监理人并在协议书中  </w:t>
      </w:r>
      <w:r>
        <w:rPr>
          <w:color w:val="auto"/>
          <w:sz w:val="21"/>
          <w:highlight w:val="none"/>
        </w:rPr>
        <w:t>载明的签约酬金额。</w:t>
      </w:r>
    </w:p>
    <w:p>
      <w:pPr>
        <w:pStyle w:val="11"/>
        <w:numPr>
          <w:ilvl w:val="2"/>
          <w:numId w:val="22"/>
        </w:numPr>
        <w:tabs>
          <w:tab w:val="left" w:pos="1960"/>
        </w:tabs>
        <w:spacing w:before="0" w:after="0" w:line="267" w:lineRule="exact"/>
        <w:ind w:left="1960" w:right="0" w:hanging="737"/>
        <w:jc w:val="left"/>
        <w:rPr>
          <w:color w:val="auto"/>
          <w:sz w:val="21"/>
          <w:highlight w:val="none"/>
        </w:rPr>
      </w:pPr>
      <w:r>
        <w:rPr>
          <w:color w:val="auto"/>
          <w:sz w:val="21"/>
          <w:highlight w:val="none"/>
        </w:rPr>
        <w:t>“附加工作酬金”是指监理人完成附加工作，委托人应给付监理人的金额。</w:t>
      </w:r>
    </w:p>
    <w:p>
      <w:pPr>
        <w:pStyle w:val="11"/>
        <w:numPr>
          <w:ilvl w:val="2"/>
          <w:numId w:val="22"/>
        </w:numPr>
        <w:tabs>
          <w:tab w:val="left" w:pos="1960"/>
        </w:tabs>
        <w:spacing w:before="139" w:after="0" w:line="364" w:lineRule="auto"/>
        <w:ind w:left="803" w:right="1156" w:firstLine="420"/>
        <w:jc w:val="left"/>
        <w:rPr>
          <w:color w:val="auto"/>
          <w:sz w:val="21"/>
          <w:highlight w:val="none"/>
        </w:rPr>
      </w:pPr>
      <w:r>
        <w:rPr>
          <w:color w:val="auto"/>
          <w:spacing w:val="-13"/>
          <w:w w:val="99"/>
          <w:sz w:val="21"/>
          <w:highlight w:val="none"/>
        </w:rPr>
        <w:t>“一方”是指委托人或监理人；“双方”是指委托人和监理人；“第三方”是指除</w:t>
      </w:r>
      <w:r>
        <w:rPr>
          <w:color w:val="auto"/>
          <w:sz w:val="21"/>
          <w:highlight w:val="none"/>
        </w:rPr>
        <w:t>委托人和监理人以外的有关方。</w:t>
      </w:r>
    </w:p>
    <w:p>
      <w:pPr>
        <w:pStyle w:val="11"/>
        <w:numPr>
          <w:ilvl w:val="2"/>
          <w:numId w:val="22"/>
        </w:numPr>
        <w:tabs>
          <w:tab w:val="left" w:pos="1960"/>
        </w:tabs>
        <w:spacing w:before="0" w:after="0" w:line="367" w:lineRule="auto"/>
        <w:ind w:left="803" w:right="1156" w:firstLine="420"/>
        <w:jc w:val="left"/>
        <w:rPr>
          <w:color w:val="auto"/>
          <w:sz w:val="21"/>
          <w:highlight w:val="none"/>
        </w:rPr>
      </w:pPr>
      <w:r>
        <w:rPr>
          <w:color w:val="auto"/>
          <w:w w:val="95"/>
          <w:sz w:val="21"/>
          <w:highlight w:val="none"/>
        </w:rPr>
        <w:t xml:space="preserve">“书面形式”是指合同书、信件和数据电文（包括电报、电传、传真、电子数据  </w:t>
      </w:r>
      <w:r>
        <w:rPr>
          <w:color w:val="auto"/>
          <w:sz w:val="21"/>
          <w:highlight w:val="none"/>
        </w:rPr>
        <w:t>交换和电子邮件）等可以有形地表现所载内容的形式。</w:t>
      </w:r>
    </w:p>
    <w:p>
      <w:pPr>
        <w:pStyle w:val="11"/>
        <w:numPr>
          <w:ilvl w:val="2"/>
          <w:numId w:val="22"/>
        </w:numPr>
        <w:tabs>
          <w:tab w:val="left" w:pos="1960"/>
        </w:tabs>
        <w:spacing w:before="0" w:after="0" w:line="264" w:lineRule="exact"/>
        <w:ind w:left="1960" w:right="0" w:hanging="737"/>
        <w:jc w:val="left"/>
        <w:rPr>
          <w:color w:val="auto"/>
          <w:sz w:val="21"/>
          <w:highlight w:val="none"/>
        </w:rPr>
      </w:pPr>
      <w:r>
        <w:rPr>
          <w:color w:val="auto"/>
          <w:sz w:val="21"/>
          <w:highlight w:val="none"/>
        </w:rPr>
        <w:t>“天”是指第一天零时至第二天零时的时间。</w:t>
      </w:r>
    </w:p>
    <w:p>
      <w:pPr>
        <w:pStyle w:val="11"/>
        <w:numPr>
          <w:ilvl w:val="2"/>
          <w:numId w:val="22"/>
        </w:numPr>
        <w:tabs>
          <w:tab w:val="left" w:pos="1855"/>
        </w:tabs>
        <w:spacing w:before="137" w:after="0" w:line="240" w:lineRule="auto"/>
        <w:ind w:left="1854" w:right="0" w:hanging="631"/>
        <w:jc w:val="left"/>
        <w:rPr>
          <w:color w:val="auto"/>
          <w:sz w:val="21"/>
          <w:highlight w:val="none"/>
        </w:rPr>
      </w:pPr>
      <w:r>
        <w:rPr>
          <w:color w:val="auto"/>
          <w:sz w:val="21"/>
          <w:highlight w:val="none"/>
        </w:rPr>
        <w:t>“月”是指按公历从一个月中任何一天开始的一个公历月时间。</w:t>
      </w:r>
    </w:p>
    <w:p>
      <w:pPr>
        <w:pStyle w:val="11"/>
        <w:numPr>
          <w:ilvl w:val="2"/>
          <w:numId w:val="22"/>
        </w:numPr>
        <w:tabs>
          <w:tab w:val="left" w:pos="1960"/>
        </w:tabs>
        <w:spacing w:before="138" w:after="0" w:line="367" w:lineRule="auto"/>
        <w:ind w:left="803" w:right="1052" w:firstLine="420"/>
        <w:jc w:val="left"/>
        <w:rPr>
          <w:color w:val="auto"/>
          <w:sz w:val="21"/>
          <w:highlight w:val="none"/>
        </w:rPr>
      </w:pPr>
      <w:r>
        <w:rPr>
          <w:color w:val="auto"/>
          <w:sz w:val="21"/>
          <w:highlight w:val="none"/>
        </w:rPr>
        <w:t>“不可抗力”是指委托人和监理人在订立本合同时不可预见，在工程施工过程中</w:t>
      </w:r>
      <w:r>
        <w:rPr>
          <w:color w:val="auto"/>
          <w:w w:val="95"/>
          <w:sz w:val="21"/>
          <w:highlight w:val="none"/>
        </w:rPr>
        <w:t>不可避免发生并不能克服的自然灾害和社会性突发事件，如地震、海啸、瘟疫、水灾、骚乱、</w:t>
      </w:r>
    </w:p>
    <w:p>
      <w:pPr>
        <w:spacing w:after="0" w:line="367" w:lineRule="auto"/>
        <w:jc w:val="left"/>
        <w:rPr>
          <w:color w:val="auto"/>
          <w:sz w:val="21"/>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ind w:left="803"/>
        <w:rPr>
          <w:color w:val="auto"/>
          <w:highlight w:val="none"/>
        </w:rPr>
      </w:pPr>
      <w:r>
        <w:rPr>
          <w:color w:val="auto"/>
          <w:highlight w:val="none"/>
        </w:rPr>
        <w:t>暴动、战争和专用条件约定的其他情形。</w:t>
      </w:r>
    </w:p>
    <w:p>
      <w:pPr>
        <w:pStyle w:val="11"/>
        <w:numPr>
          <w:ilvl w:val="1"/>
          <w:numId w:val="23"/>
        </w:numPr>
        <w:tabs>
          <w:tab w:val="left" w:pos="1644"/>
        </w:tabs>
        <w:spacing w:before="139" w:after="0" w:line="240" w:lineRule="auto"/>
        <w:ind w:left="1643" w:right="0" w:hanging="420"/>
        <w:jc w:val="left"/>
        <w:rPr>
          <w:color w:val="auto"/>
          <w:sz w:val="21"/>
          <w:highlight w:val="none"/>
        </w:rPr>
      </w:pPr>
      <w:r>
        <w:rPr>
          <w:color w:val="auto"/>
          <w:sz w:val="21"/>
          <w:highlight w:val="none"/>
        </w:rPr>
        <w:t>解释</w:t>
      </w:r>
    </w:p>
    <w:p>
      <w:pPr>
        <w:pStyle w:val="11"/>
        <w:numPr>
          <w:ilvl w:val="2"/>
          <w:numId w:val="23"/>
        </w:numPr>
        <w:tabs>
          <w:tab w:val="left" w:pos="1802"/>
        </w:tabs>
        <w:spacing w:before="139" w:after="0" w:line="364" w:lineRule="auto"/>
        <w:ind w:left="803" w:right="1105" w:firstLine="420"/>
        <w:jc w:val="left"/>
        <w:rPr>
          <w:color w:val="auto"/>
          <w:sz w:val="21"/>
          <w:highlight w:val="none"/>
        </w:rPr>
      </w:pPr>
      <w:r>
        <w:rPr>
          <w:color w:val="auto"/>
          <w:w w:val="95"/>
          <w:sz w:val="21"/>
          <w:highlight w:val="none"/>
        </w:rPr>
        <w:t>本合同使用中文书写、解释和说明。如专用条件约定使用两种及以上语言文字时，</w:t>
      </w:r>
      <w:r>
        <w:rPr>
          <w:color w:val="auto"/>
          <w:sz w:val="21"/>
          <w:highlight w:val="none"/>
        </w:rPr>
        <w:t>应以中文为准。</w:t>
      </w:r>
    </w:p>
    <w:p>
      <w:pPr>
        <w:pStyle w:val="11"/>
        <w:numPr>
          <w:ilvl w:val="2"/>
          <w:numId w:val="23"/>
        </w:numPr>
        <w:tabs>
          <w:tab w:val="left" w:pos="1855"/>
        </w:tabs>
        <w:spacing w:before="0" w:after="0" w:line="364" w:lineRule="auto"/>
        <w:ind w:left="803" w:right="1055" w:firstLine="420"/>
        <w:jc w:val="left"/>
        <w:rPr>
          <w:color w:val="auto"/>
          <w:sz w:val="21"/>
          <w:highlight w:val="none"/>
        </w:rPr>
      </w:pPr>
      <w:r>
        <w:rPr>
          <w:color w:val="auto"/>
          <w:w w:val="95"/>
          <w:sz w:val="21"/>
          <w:highlight w:val="none"/>
        </w:rPr>
        <w:t>组成本合同的下列文件彼此应能相互解释、互为说明。除专用条件另有约定外，本</w:t>
      </w:r>
      <w:r>
        <w:rPr>
          <w:color w:val="auto"/>
          <w:sz w:val="21"/>
          <w:highlight w:val="none"/>
        </w:rPr>
        <w:t>合同文件的解释顺序如下：</w:t>
      </w:r>
    </w:p>
    <w:p>
      <w:pPr>
        <w:pStyle w:val="11"/>
        <w:numPr>
          <w:ilvl w:val="0"/>
          <w:numId w:val="24"/>
        </w:numPr>
        <w:tabs>
          <w:tab w:val="left" w:pos="1750"/>
        </w:tabs>
        <w:spacing w:before="0" w:after="0" w:line="267" w:lineRule="exact"/>
        <w:ind w:left="1750" w:right="0" w:hanging="527"/>
        <w:jc w:val="left"/>
        <w:rPr>
          <w:color w:val="auto"/>
          <w:sz w:val="21"/>
          <w:highlight w:val="none"/>
        </w:rPr>
      </w:pPr>
      <w:r>
        <w:rPr>
          <w:color w:val="auto"/>
          <w:sz w:val="21"/>
          <w:highlight w:val="none"/>
        </w:rPr>
        <w:t>协议书；</w:t>
      </w:r>
    </w:p>
    <w:p>
      <w:pPr>
        <w:pStyle w:val="11"/>
        <w:numPr>
          <w:ilvl w:val="0"/>
          <w:numId w:val="24"/>
        </w:numPr>
        <w:tabs>
          <w:tab w:val="left" w:pos="1750"/>
        </w:tabs>
        <w:spacing w:before="139" w:after="0" w:line="240" w:lineRule="auto"/>
        <w:ind w:left="1750" w:right="0" w:hanging="527"/>
        <w:jc w:val="left"/>
        <w:rPr>
          <w:color w:val="auto"/>
          <w:sz w:val="21"/>
          <w:highlight w:val="none"/>
        </w:rPr>
      </w:pPr>
      <w:r>
        <w:rPr>
          <w:color w:val="auto"/>
          <w:spacing w:val="-1"/>
          <w:w w:val="99"/>
          <w:sz w:val="21"/>
          <w:highlight w:val="none"/>
        </w:rPr>
        <w:t>中标通知书（适用于招标工程）或委托书</w:t>
      </w:r>
      <w:r>
        <w:rPr>
          <w:color w:val="auto"/>
          <w:spacing w:val="2"/>
          <w:w w:val="99"/>
          <w:sz w:val="21"/>
          <w:highlight w:val="none"/>
        </w:rPr>
        <w:t>（</w:t>
      </w:r>
      <w:r>
        <w:rPr>
          <w:color w:val="auto"/>
          <w:spacing w:val="-1"/>
          <w:w w:val="99"/>
          <w:sz w:val="21"/>
          <w:highlight w:val="none"/>
        </w:rPr>
        <w:t>适用于非招标工程</w:t>
      </w:r>
      <w:r>
        <w:rPr>
          <w:color w:val="auto"/>
          <w:spacing w:val="-106"/>
          <w:w w:val="99"/>
          <w:sz w:val="21"/>
          <w:highlight w:val="none"/>
        </w:rPr>
        <w:t>）</w:t>
      </w:r>
      <w:r>
        <w:rPr>
          <w:color w:val="auto"/>
          <w:w w:val="99"/>
          <w:sz w:val="21"/>
          <w:highlight w:val="none"/>
        </w:rPr>
        <w:t>；</w:t>
      </w:r>
    </w:p>
    <w:p>
      <w:pPr>
        <w:pStyle w:val="11"/>
        <w:numPr>
          <w:ilvl w:val="0"/>
          <w:numId w:val="24"/>
        </w:numPr>
        <w:tabs>
          <w:tab w:val="left" w:pos="1750"/>
        </w:tabs>
        <w:spacing w:before="139" w:after="0" w:line="240" w:lineRule="auto"/>
        <w:ind w:left="1750" w:right="0" w:hanging="527"/>
        <w:jc w:val="left"/>
        <w:rPr>
          <w:color w:val="auto"/>
          <w:sz w:val="21"/>
          <w:highlight w:val="none"/>
        </w:rPr>
      </w:pPr>
      <w:r>
        <w:rPr>
          <w:color w:val="auto"/>
          <w:spacing w:val="-7"/>
          <w:sz w:val="21"/>
          <w:highlight w:val="none"/>
        </w:rPr>
        <w:t xml:space="preserve">专用条件及附录 </w:t>
      </w:r>
      <w:r>
        <w:rPr>
          <w:color w:val="auto"/>
          <w:sz w:val="21"/>
          <w:highlight w:val="none"/>
        </w:rPr>
        <w:t>A</w:t>
      </w:r>
      <w:r>
        <w:rPr>
          <w:color w:val="auto"/>
          <w:spacing w:val="-13"/>
          <w:sz w:val="21"/>
          <w:highlight w:val="none"/>
        </w:rPr>
        <w:t xml:space="preserve">、附录 </w:t>
      </w:r>
      <w:r>
        <w:rPr>
          <w:color w:val="auto"/>
          <w:sz w:val="21"/>
          <w:highlight w:val="none"/>
        </w:rPr>
        <w:t>B；</w:t>
      </w:r>
    </w:p>
    <w:p>
      <w:pPr>
        <w:pStyle w:val="11"/>
        <w:numPr>
          <w:ilvl w:val="0"/>
          <w:numId w:val="24"/>
        </w:numPr>
        <w:tabs>
          <w:tab w:val="left" w:pos="1750"/>
        </w:tabs>
        <w:spacing w:before="139" w:after="0" w:line="240" w:lineRule="auto"/>
        <w:ind w:left="1750" w:right="0" w:hanging="527"/>
        <w:jc w:val="left"/>
        <w:rPr>
          <w:color w:val="auto"/>
          <w:sz w:val="21"/>
          <w:highlight w:val="none"/>
        </w:rPr>
      </w:pPr>
      <w:r>
        <w:rPr>
          <w:color w:val="auto"/>
          <w:sz w:val="21"/>
          <w:highlight w:val="none"/>
        </w:rPr>
        <w:t>通用条件；</w:t>
      </w:r>
    </w:p>
    <w:p>
      <w:pPr>
        <w:pStyle w:val="11"/>
        <w:numPr>
          <w:ilvl w:val="0"/>
          <w:numId w:val="24"/>
        </w:numPr>
        <w:tabs>
          <w:tab w:val="left" w:pos="1750"/>
        </w:tabs>
        <w:spacing w:before="141" w:after="0" w:line="240" w:lineRule="auto"/>
        <w:ind w:left="1750" w:right="0" w:hanging="527"/>
        <w:jc w:val="left"/>
        <w:rPr>
          <w:color w:val="auto"/>
          <w:sz w:val="21"/>
          <w:highlight w:val="none"/>
        </w:rPr>
      </w:pPr>
      <w:r>
        <w:rPr>
          <w:color w:val="auto"/>
          <w:sz w:val="21"/>
          <w:highlight w:val="none"/>
        </w:rPr>
        <w:t>投标文件（适用于招标工程）或监理与相关服务建议书（适用于非招标工程</w:t>
      </w:r>
      <w:r>
        <w:rPr>
          <w:color w:val="auto"/>
          <w:spacing w:val="-106"/>
          <w:sz w:val="21"/>
          <w:highlight w:val="none"/>
        </w:rPr>
        <w:t>）</w:t>
      </w:r>
      <w:r>
        <w:rPr>
          <w:color w:val="auto"/>
          <w:sz w:val="21"/>
          <w:highlight w:val="none"/>
        </w:rPr>
        <w:t>。</w:t>
      </w:r>
    </w:p>
    <w:p>
      <w:pPr>
        <w:pStyle w:val="5"/>
        <w:spacing w:before="139" w:line="364" w:lineRule="auto"/>
        <w:ind w:left="803" w:right="1055" w:firstLine="420"/>
        <w:rPr>
          <w:color w:val="auto"/>
          <w:highlight w:val="none"/>
        </w:rPr>
      </w:pPr>
      <w:r>
        <w:rPr>
          <w:color w:val="auto"/>
          <w:w w:val="95"/>
          <w:highlight w:val="none"/>
        </w:rPr>
        <w:t xml:space="preserve">双方签订的补充协议与其他文件发生矛盾或歧义时，属于同一类内容的文件，应以最新签   </w:t>
      </w:r>
      <w:r>
        <w:rPr>
          <w:color w:val="auto"/>
          <w:highlight w:val="none"/>
        </w:rPr>
        <w:t>署的为准。</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监理人的义务</w:t>
      </w:r>
    </w:p>
    <w:p>
      <w:pPr>
        <w:pStyle w:val="11"/>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监理的范围和工作内容</w:t>
      </w:r>
    </w:p>
    <w:p>
      <w:pPr>
        <w:pStyle w:val="11"/>
        <w:numPr>
          <w:ilvl w:val="2"/>
          <w:numId w:val="22"/>
        </w:numPr>
        <w:tabs>
          <w:tab w:val="left" w:pos="1855"/>
        </w:tabs>
        <w:spacing w:before="138" w:after="0" w:line="240" w:lineRule="auto"/>
        <w:ind w:left="1854" w:right="0" w:hanging="631"/>
        <w:jc w:val="left"/>
        <w:rPr>
          <w:color w:val="auto"/>
          <w:sz w:val="21"/>
          <w:highlight w:val="none"/>
        </w:rPr>
      </w:pPr>
      <w:r>
        <w:rPr>
          <w:color w:val="auto"/>
          <w:sz w:val="21"/>
          <w:highlight w:val="none"/>
        </w:rPr>
        <w:t>监理范围在专用条件中约定。</w:t>
      </w:r>
    </w:p>
    <w:p>
      <w:pPr>
        <w:pStyle w:val="11"/>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除专用条件另有约定外，监理工作内容包括：</w:t>
      </w:r>
    </w:p>
    <w:p>
      <w:pPr>
        <w:pStyle w:val="11"/>
        <w:numPr>
          <w:ilvl w:val="0"/>
          <w:numId w:val="25"/>
        </w:numPr>
        <w:tabs>
          <w:tab w:val="left" w:pos="1750"/>
        </w:tabs>
        <w:spacing w:before="139" w:after="0" w:line="367" w:lineRule="auto"/>
        <w:ind w:left="803" w:right="1158" w:firstLine="420"/>
        <w:jc w:val="left"/>
        <w:rPr>
          <w:color w:val="auto"/>
          <w:sz w:val="21"/>
          <w:highlight w:val="none"/>
        </w:rPr>
      </w:pPr>
      <w:r>
        <w:rPr>
          <w:color w:val="auto"/>
          <w:spacing w:val="-3"/>
          <w:sz w:val="21"/>
          <w:highlight w:val="none"/>
        </w:rPr>
        <w:t xml:space="preserve">收到工程设计文件后编制监理规划，并在第一次工地会议 </w:t>
      </w:r>
      <w:r>
        <w:rPr>
          <w:color w:val="auto"/>
          <w:sz w:val="21"/>
          <w:highlight w:val="none"/>
        </w:rPr>
        <w:t>7</w:t>
      </w:r>
      <w:r>
        <w:rPr>
          <w:color w:val="auto"/>
          <w:spacing w:val="-8"/>
          <w:sz w:val="21"/>
          <w:highlight w:val="none"/>
        </w:rPr>
        <w:t xml:space="preserve"> 天前报委托人。根据有关规定和监理工作需要，编制监理实施细则；</w:t>
      </w:r>
    </w:p>
    <w:p>
      <w:pPr>
        <w:pStyle w:val="11"/>
        <w:numPr>
          <w:ilvl w:val="0"/>
          <w:numId w:val="25"/>
        </w:numPr>
        <w:tabs>
          <w:tab w:val="left" w:pos="1750"/>
        </w:tabs>
        <w:spacing w:before="0" w:after="0" w:line="264" w:lineRule="exact"/>
        <w:ind w:left="1750" w:right="0" w:hanging="527"/>
        <w:jc w:val="left"/>
        <w:rPr>
          <w:color w:val="auto"/>
          <w:sz w:val="21"/>
          <w:highlight w:val="none"/>
        </w:rPr>
      </w:pPr>
      <w:r>
        <w:rPr>
          <w:color w:val="auto"/>
          <w:w w:val="95"/>
          <w:sz w:val="21"/>
          <w:highlight w:val="none"/>
        </w:rPr>
        <w:t>熟悉工程设计文件，并参加由委托人主持的图纸会审和设计交底会议；</w:t>
      </w:r>
    </w:p>
    <w:p>
      <w:pPr>
        <w:pStyle w:val="11"/>
        <w:numPr>
          <w:ilvl w:val="0"/>
          <w:numId w:val="25"/>
        </w:numPr>
        <w:tabs>
          <w:tab w:val="left" w:pos="1750"/>
        </w:tabs>
        <w:spacing w:before="139" w:after="0" w:line="364" w:lineRule="auto"/>
        <w:ind w:left="803" w:right="1156" w:firstLine="420"/>
        <w:jc w:val="left"/>
        <w:rPr>
          <w:color w:val="auto"/>
          <w:sz w:val="21"/>
          <w:highlight w:val="none"/>
        </w:rPr>
      </w:pPr>
      <w:r>
        <w:rPr>
          <w:color w:val="auto"/>
          <w:w w:val="95"/>
          <w:sz w:val="21"/>
          <w:highlight w:val="none"/>
        </w:rPr>
        <w:t>参加由委托人主持的第一次工地会议；主持监理例会并根据工程需要主持或参加专</w:t>
      </w:r>
      <w:r>
        <w:rPr>
          <w:color w:val="auto"/>
          <w:sz w:val="21"/>
          <w:highlight w:val="none"/>
        </w:rPr>
        <w:t>题会议；</w:t>
      </w:r>
    </w:p>
    <w:p>
      <w:pPr>
        <w:pStyle w:val="11"/>
        <w:numPr>
          <w:ilvl w:val="0"/>
          <w:numId w:val="25"/>
        </w:numPr>
        <w:tabs>
          <w:tab w:val="left" w:pos="1750"/>
        </w:tabs>
        <w:spacing w:before="0" w:after="0" w:line="364" w:lineRule="auto"/>
        <w:ind w:left="803" w:right="1156" w:firstLine="420"/>
        <w:jc w:val="left"/>
        <w:rPr>
          <w:color w:val="auto"/>
          <w:sz w:val="21"/>
          <w:highlight w:val="none"/>
        </w:rPr>
      </w:pPr>
      <w:r>
        <w:rPr>
          <w:color w:val="auto"/>
          <w:w w:val="95"/>
          <w:sz w:val="21"/>
          <w:highlight w:val="none"/>
        </w:rPr>
        <w:t>审查施工承包人提交的施工组织设计，重点审查其中的质量安全技术措施、专项施</w:t>
      </w:r>
      <w:r>
        <w:rPr>
          <w:color w:val="auto"/>
          <w:sz w:val="21"/>
          <w:highlight w:val="none"/>
        </w:rPr>
        <w:t>工方案与工程建设强制性标准的符合性；</w:t>
      </w:r>
    </w:p>
    <w:p>
      <w:pPr>
        <w:pStyle w:val="11"/>
        <w:numPr>
          <w:ilvl w:val="0"/>
          <w:numId w:val="25"/>
        </w:numPr>
        <w:tabs>
          <w:tab w:val="left" w:pos="1750"/>
        </w:tabs>
        <w:spacing w:before="0" w:after="0" w:line="240" w:lineRule="auto"/>
        <w:ind w:left="1750" w:right="0" w:hanging="527"/>
        <w:jc w:val="left"/>
        <w:rPr>
          <w:color w:val="auto"/>
          <w:sz w:val="21"/>
          <w:highlight w:val="none"/>
        </w:rPr>
      </w:pPr>
      <w:r>
        <w:rPr>
          <w:color w:val="auto"/>
          <w:sz w:val="21"/>
          <w:highlight w:val="none"/>
        </w:rPr>
        <w:t>检查施工承包人工程质量、安全生产管理制度及组织机构和人员资格；</w:t>
      </w:r>
    </w:p>
    <w:p>
      <w:pPr>
        <w:pStyle w:val="11"/>
        <w:numPr>
          <w:ilvl w:val="0"/>
          <w:numId w:val="25"/>
        </w:numPr>
        <w:tabs>
          <w:tab w:val="left" w:pos="1750"/>
        </w:tabs>
        <w:spacing w:before="138" w:after="0" w:line="240" w:lineRule="auto"/>
        <w:ind w:left="1750" w:right="0" w:hanging="527"/>
        <w:jc w:val="left"/>
        <w:rPr>
          <w:color w:val="auto"/>
          <w:sz w:val="21"/>
          <w:highlight w:val="none"/>
        </w:rPr>
      </w:pPr>
      <w:r>
        <w:rPr>
          <w:color w:val="auto"/>
          <w:sz w:val="21"/>
          <w:highlight w:val="none"/>
        </w:rPr>
        <w:t>检查施工承包人专职安全生产管理人员的配备情况；</w:t>
      </w:r>
    </w:p>
    <w:p>
      <w:pPr>
        <w:pStyle w:val="11"/>
        <w:numPr>
          <w:ilvl w:val="0"/>
          <w:numId w:val="25"/>
        </w:numPr>
        <w:tabs>
          <w:tab w:val="left" w:pos="1750"/>
        </w:tabs>
        <w:spacing w:before="139" w:after="0" w:line="240" w:lineRule="auto"/>
        <w:ind w:left="1750" w:right="0" w:hanging="527"/>
        <w:jc w:val="left"/>
        <w:rPr>
          <w:color w:val="auto"/>
          <w:sz w:val="21"/>
          <w:highlight w:val="none"/>
        </w:rPr>
      </w:pPr>
      <w:r>
        <w:rPr>
          <w:color w:val="auto"/>
          <w:sz w:val="21"/>
          <w:highlight w:val="none"/>
        </w:rPr>
        <w:t>审查施工承包人提交的施工进度计划，核查承包人对施工进度计划的调整；</w:t>
      </w:r>
    </w:p>
    <w:p>
      <w:pPr>
        <w:pStyle w:val="11"/>
        <w:numPr>
          <w:ilvl w:val="0"/>
          <w:numId w:val="25"/>
        </w:numPr>
        <w:tabs>
          <w:tab w:val="left" w:pos="1750"/>
        </w:tabs>
        <w:spacing w:before="139" w:after="0" w:line="240" w:lineRule="auto"/>
        <w:ind w:left="1750" w:right="0" w:hanging="527"/>
        <w:jc w:val="left"/>
        <w:rPr>
          <w:color w:val="auto"/>
          <w:sz w:val="21"/>
          <w:highlight w:val="none"/>
        </w:rPr>
      </w:pPr>
      <w:r>
        <w:rPr>
          <w:color w:val="auto"/>
          <w:w w:val="95"/>
          <w:sz w:val="21"/>
          <w:highlight w:val="none"/>
        </w:rPr>
        <w:t>检查施工承包人的试验室；</w:t>
      </w:r>
    </w:p>
    <w:p>
      <w:pPr>
        <w:pStyle w:val="11"/>
        <w:numPr>
          <w:ilvl w:val="0"/>
          <w:numId w:val="25"/>
        </w:numPr>
        <w:tabs>
          <w:tab w:val="left" w:pos="1750"/>
        </w:tabs>
        <w:spacing w:before="141" w:after="0" w:line="240" w:lineRule="auto"/>
        <w:ind w:left="1750" w:right="0" w:hanging="527"/>
        <w:jc w:val="left"/>
        <w:rPr>
          <w:color w:val="auto"/>
          <w:sz w:val="21"/>
          <w:highlight w:val="none"/>
        </w:rPr>
      </w:pPr>
      <w:r>
        <w:rPr>
          <w:color w:val="auto"/>
          <w:w w:val="95"/>
          <w:sz w:val="21"/>
          <w:highlight w:val="none"/>
        </w:rPr>
        <w:t>审核施工分包人资质条件；</w:t>
      </w:r>
    </w:p>
    <w:p>
      <w:pPr>
        <w:pStyle w:val="11"/>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查验施工承包人的施工测量放线成果；</w:t>
      </w:r>
    </w:p>
    <w:p>
      <w:pPr>
        <w:pStyle w:val="11"/>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审查工程开工条件，对条件具备的签发开工令；</w:t>
      </w:r>
    </w:p>
    <w:p>
      <w:pPr>
        <w:pStyle w:val="11"/>
        <w:numPr>
          <w:ilvl w:val="0"/>
          <w:numId w:val="25"/>
        </w:numPr>
        <w:tabs>
          <w:tab w:val="left" w:pos="1854"/>
        </w:tabs>
        <w:spacing w:before="139" w:after="0" w:line="364" w:lineRule="auto"/>
        <w:ind w:left="803" w:right="1052" w:firstLine="420"/>
        <w:jc w:val="left"/>
        <w:rPr>
          <w:color w:val="auto"/>
          <w:sz w:val="21"/>
          <w:highlight w:val="none"/>
        </w:rPr>
      </w:pPr>
      <w:r>
        <w:rPr>
          <w:color w:val="auto"/>
          <w:w w:val="95"/>
          <w:sz w:val="21"/>
          <w:highlight w:val="none"/>
        </w:rPr>
        <w:t>审查施工承包人报送的工程材料、构配件、设备质量证明文件的有效性和符合性，</w:t>
      </w:r>
      <w:r>
        <w:rPr>
          <w:color w:val="auto"/>
          <w:sz w:val="21"/>
          <w:highlight w:val="none"/>
        </w:rPr>
        <w:t>并按规定对用于工程的材料采取平行检验或见证取样方式进行抽检；</w:t>
      </w:r>
    </w:p>
    <w:p>
      <w:pPr>
        <w:pStyle w:val="11"/>
        <w:numPr>
          <w:ilvl w:val="0"/>
          <w:numId w:val="25"/>
        </w:numPr>
        <w:tabs>
          <w:tab w:val="left" w:pos="1854"/>
        </w:tabs>
        <w:spacing w:before="0" w:after="0" w:line="364" w:lineRule="auto"/>
        <w:ind w:left="803" w:right="1055" w:firstLine="420"/>
        <w:jc w:val="left"/>
        <w:rPr>
          <w:color w:val="auto"/>
          <w:sz w:val="21"/>
          <w:highlight w:val="none"/>
        </w:rPr>
      </w:pPr>
      <w:r>
        <w:rPr>
          <w:color w:val="auto"/>
          <w:w w:val="95"/>
          <w:sz w:val="21"/>
          <w:highlight w:val="none"/>
        </w:rPr>
        <w:t>审核施工承包人提交的工程款支付申请，签发或出具工程款支付证书，并报委托人</w:t>
      </w:r>
      <w:r>
        <w:rPr>
          <w:color w:val="auto"/>
          <w:sz w:val="21"/>
          <w:highlight w:val="none"/>
        </w:rPr>
        <w:t>审核、批准；</w:t>
      </w:r>
    </w:p>
    <w:p>
      <w:pPr>
        <w:spacing w:after="0" w:line="364" w:lineRule="auto"/>
        <w:jc w:val="left"/>
        <w:rPr>
          <w:color w:val="auto"/>
          <w:sz w:val="21"/>
          <w:highlight w:val="none"/>
        </w:rPr>
        <w:sectPr>
          <w:pgSz w:w="11910" w:h="16840"/>
          <w:pgMar w:top="1080" w:right="520" w:bottom="1180" w:left="920" w:header="891" w:footer="993" w:gutter="0"/>
        </w:sectPr>
      </w:pPr>
    </w:p>
    <w:p>
      <w:pPr>
        <w:pStyle w:val="5"/>
        <w:spacing w:before="3"/>
        <w:rPr>
          <w:color w:val="auto"/>
          <w:sz w:val="11"/>
          <w:highlight w:val="none"/>
        </w:rPr>
      </w:pPr>
    </w:p>
    <w:p>
      <w:pPr>
        <w:pStyle w:val="11"/>
        <w:numPr>
          <w:ilvl w:val="0"/>
          <w:numId w:val="25"/>
        </w:numPr>
        <w:tabs>
          <w:tab w:val="left" w:pos="1854"/>
        </w:tabs>
        <w:spacing w:before="70" w:after="0" w:line="364" w:lineRule="auto"/>
        <w:ind w:left="803" w:right="1055" w:firstLine="420"/>
        <w:jc w:val="left"/>
        <w:rPr>
          <w:color w:val="auto"/>
          <w:sz w:val="21"/>
          <w:highlight w:val="none"/>
        </w:rPr>
      </w:pPr>
      <w:r>
        <w:rPr>
          <w:color w:val="auto"/>
          <w:w w:val="95"/>
          <w:sz w:val="21"/>
          <w:highlight w:val="none"/>
        </w:rPr>
        <w:t>在巡视、旁站和检验过程中，发现工程质量、施工安全存在事故隐患的，要求施工</w:t>
      </w:r>
      <w:r>
        <w:rPr>
          <w:color w:val="auto"/>
          <w:sz w:val="21"/>
          <w:highlight w:val="none"/>
        </w:rPr>
        <w:t>承包人整改并报委托人；</w:t>
      </w:r>
    </w:p>
    <w:p>
      <w:pPr>
        <w:pStyle w:val="11"/>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经委托人同意，签发工程暂停令和复工令；</w:t>
      </w:r>
    </w:p>
    <w:p>
      <w:pPr>
        <w:pStyle w:val="11"/>
        <w:numPr>
          <w:ilvl w:val="0"/>
          <w:numId w:val="25"/>
        </w:numPr>
        <w:tabs>
          <w:tab w:val="left" w:pos="1854"/>
        </w:tabs>
        <w:spacing w:before="139" w:after="0" w:line="367" w:lineRule="auto"/>
        <w:ind w:left="803" w:right="1055" w:firstLine="420"/>
        <w:jc w:val="left"/>
        <w:rPr>
          <w:color w:val="auto"/>
          <w:sz w:val="21"/>
          <w:highlight w:val="none"/>
        </w:rPr>
      </w:pPr>
      <w:r>
        <w:rPr>
          <w:color w:val="auto"/>
          <w:w w:val="95"/>
          <w:sz w:val="21"/>
          <w:highlight w:val="none"/>
        </w:rPr>
        <w:t>审查施工承包人提交的采用新材料、新工艺、新技术、新设备的论证材料及相关验</w:t>
      </w:r>
      <w:r>
        <w:rPr>
          <w:color w:val="auto"/>
          <w:sz w:val="21"/>
          <w:highlight w:val="none"/>
        </w:rPr>
        <w:t>收标准；</w:t>
      </w:r>
    </w:p>
    <w:p>
      <w:pPr>
        <w:pStyle w:val="11"/>
        <w:numPr>
          <w:ilvl w:val="0"/>
          <w:numId w:val="25"/>
        </w:numPr>
        <w:tabs>
          <w:tab w:val="left" w:pos="1854"/>
        </w:tabs>
        <w:spacing w:before="0" w:after="0" w:line="264" w:lineRule="exact"/>
        <w:ind w:left="1853" w:right="0" w:hanging="630"/>
        <w:jc w:val="left"/>
        <w:rPr>
          <w:color w:val="auto"/>
          <w:sz w:val="21"/>
          <w:highlight w:val="none"/>
        </w:rPr>
      </w:pPr>
      <w:r>
        <w:rPr>
          <w:color w:val="auto"/>
          <w:sz w:val="21"/>
          <w:highlight w:val="none"/>
        </w:rPr>
        <w:t>验收隐蔽工程、分部分项工程；</w:t>
      </w:r>
    </w:p>
    <w:p>
      <w:pPr>
        <w:pStyle w:val="11"/>
        <w:numPr>
          <w:ilvl w:val="0"/>
          <w:numId w:val="25"/>
        </w:numPr>
        <w:tabs>
          <w:tab w:val="left" w:pos="1854"/>
        </w:tabs>
        <w:spacing w:before="139" w:after="0" w:line="364" w:lineRule="auto"/>
        <w:ind w:left="803" w:right="1055" w:firstLine="420"/>
        <w:jc w:val="left"/>
        <w:rPr>
          <w:color w:val="auto"/>
          <w:sz w:val="21"/>
          <w:highlight w:val="none"/>
        </w:rPr>
      </w:pPr>
      <w:r>
        <w:rPr>
          <w:color w:val="auto"/>
          <w:w w:val="95"/>
          <w:sz w:val="21"/>
          <w:highlight w:val="none"/>
        </w:rPr>
        <w:t>审查施工承包人提交的工程变更申请，协调处理施工进度调整、费用索赔、合同争</w:t>
      </w:r>
      <w:r>
        <w:rPr>
          <w:color w:val="auto"/>
          <w:sz w:val="21"/>
          <w:highlight w:val="none"/>
        </w:rPr>
        <w:t>议等事项；</w:t>
      </w:r>
    </w:p>
    <w:p>
      <w:pPr>
        <w:pStyle w:val="11"/>
        <w:numPr>
          <w:ilvl w:val="0"/>
          <w:numId w:val="25"/>
        </w:numPr>
        <w:tabs>
          <w:tab w:val="left" w:pos="1854"/>
        </w:tabs>
        <w:spacing w:before="0" w:after="0" w:line="267" w:lineRule="exact"/>
        <w:ind w:left="1853" w:right="0" w:hanging="630"/>
        <w:jc w:val="left"/>
        <w:rPr>
          <w:color w:val="auto"/>
          <w:sz w:val="21"/>
          <w:highlight w:val="none"/>
        </w:rPr>
      </w:pPr>
      <w:r>
        <w:rPr>
          <w:color w:val="auto"/>
          <w:sz w:val="21"/>
          <w:highlight w:val="none"/>
        </w:rPr>
        <w:t>审查施工承包人提交的竣工验收申请，编写工程质量评估报告；</w:t>
      </w:r>
    </w:p>
    <w:p>
      <w:pPr>
        <w:pStyle w:val="11"/>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参加工程竣工验收，签署竣工验收意见；</w:t>
      </w:r>
    </w:p>
    <w:p>
      <w:pPr>
        <w:pStyle w:val="11"/>
        <w:numPr>
          <w:ilvl w:val="0"/>
          <w:numId w:val="25"/>
        </w:numPr>
        <w:tabs>
          <w:tab w:val="left" w:pos="1854"/>
        </w:tabs>
        <w:spacing w:before="141" w:after="0" w:line="240" w:lineRule="auto"/>
        <w:ind w:left="1853" w:right="0" w:hanging="630"/>
        <w:jc w:val="left"/>
        <w:rPr>
          <w:color w:val="auto"/>
          <w:sz w:val="21"/>
          <w:highlight w:val="none"/>
        </w:rPr>
      </w:pPr>
      <w:r>
        <w:rPr>
          <w:color w:val="auto"/>
          <w:sz w:val="21"/>
          <w:highlight w:val="none"/>
        </w:rPr>
        <w:t>审查施工承包人提交的竣工结算申请并报委托人；</w:t>
      </w:r>
    </w:p>
    <w:p>
      <w:pPr>
        <w:pStyle w:val="11"/>
        <w:numPr>
          <w:ilvl w:val="0"/>
          <w:numId w:val="25"/>
        </w:numPr>
        <w:tabs>
          <w:tab w:val="left" w:pos="1854"/>
        </w:tabs>
        <w:spacing w:before="139" w:after="0" w:line="240" w:lineRule="auto"/>
        <w:ind w:left="1853" w:right="0" w:hanging="630"/>
        <w:jc w:val="left"/>
        <w:rPr>
          <w:color w:val="auto"/>
          <w:sz w:val="21"/>
          <w:highlight w:val="none"/>
        </w:rPr>
      </w:pPr>
      <w:r>
        <w:rPr>
          <w:color w:val="auto"/>
          <w:sz w:val="21"/>
          <w:highlight w:val="none"/>
        </w:rPr>
        <w:t>编制、整理工程监理归档文件并报委托人。</w:t>
      </w:r>
    </w:p>
    <w:p>
      <w:pPr>
        <w:pStyle w:val="11"/>
        <w:numPr>
          <w:ilvl w:val="2"/>
          <w:numId w:val="22"/>
        </w:numPr>
        <w:tabs>
          <w:tab w:val="left" w:pos="1855"/>
        </w:tabs>
        <w:spacing w:before="139" w:after="0" w:line="240" w:lineRule="auto"/>
        <w:ind w:left="1854" w:right="0" w:hanging="631"/>
        <w:jc w:val="left"/>
        <w:rPr>
          <w:color w:val="auto"/>
          <w:sz w:val="21"/>
          <w:highlight w:val="none"/>
        </w:rPr>
      </w:pPr>
      <w:r>
        <w:rPr>
          <w:color w:val="auto"/>
          <w:spacing w:val="-4"/>
          <w:sz w:val="21"/>
          <w:highlight w:val="none"/>
        </w:rPr>
        <w:t xml:space="preserve">相关服务的范围和内容在附录 </w:t>
      </w:r>
      <w:r>
        <w:rPr>
          <w:color w:val="auto"/>
          <w:sz w:val="21"/>
          <w:highlight w:val="none"/>
        </w:rPr>
        <w:t>A</w:t>
      </w:r>
      <w:r>
        <w:rPr>
          <w:color w:val="auto"/>
          <w:spacing w:val="-12"/>
          <w:sz w:val="21"/>
          <w:highlight w:val="none"/>
        </w:rPr>
        <w:t xml:space="preserve"> 中约定。</w:t>
      </w:r>
    </w:p>
    <w:p>
      <w:pPr>
        <w:pStyle w:val="11"/>
        <w:numPr>
          <w:ilvl w:val="1"/>
          <w:numId w:val="26"/>
        </w:numPr>
        <w:tabs>
          <w:tab w:val="left" w:pos="1644"/>
        </w:tabs>
        <w:spacing w:before="139" w:after="0" w:line="240" w:lineRule="auto"/>
        <w:ind w:left="1643" w:right="0" w:hanging="420"/>
        <w:jc w:val="left"/>
        <w:rPr>
          <w:color w:val="auto"/>
          <w:sz w:val="21"/>
          <w:highlight w:val="none"/>
        </w:rPr>
      </w:pPr>
      <w:r>
        <w:rPr>
          <w:color w:val="auto"/>
          <w:w w:val="95"/>
          <w:sz w:val="21"/>
          <w:highlight w:val="none"/>
        </w:rPr>
        <w:t>监理与相关服务依据</w:t>
      </w:r>
    </w:p>
    <w:p>
      <w:pPr>
        <w:pStyle w:val="11"/>
        <w:numPr>
          <w:ilvl w:val="2"/>
          <w:numId w:val="26"/>
        </w:numPr>
        <w:tabs>
          <w:tab w:val="left" w:pos="1855"/>
        </w:tabs>
        <w:spacing w:before="141" w:after="0" w:line="240" w:lineRule="auto"/>
        <w:ind w:left="1854" w:right="0" w:hanging="631"/>
        <w:jc w:val="left"/>
        <w:rPr>
          <w:color w:val="auto"/>
          <w:sz w:val="21"/>
          <w:highlight w:val="none"/>
        </w:rPr>
      </w:pPr>
      <w:r>
        <w:rPr>
          <w:color w:val="auto"/>
          <w:w w:val="95"/>
          <w:sz w:val="21"/>
          <w:highlight w:val="none"/>
        </w:rPr>
        <w:t>监理依据包括：</w:t>
      </w:r>
    </w:p>
    <w:p>
      <w:pPr>
        <w:pStyle w:val="11"/>
        <w:numPr>
          <w:ilvl w:val="0"/>
          <w:numId w:val="27"/>
        </w:numPr>
        <w:tabs>
          <w:tab w:val="left" w:pos="1750"/>
        </w:tabs>
        <w:spacing w:before="139" w:after="0" w:line="240" w:lineRule="auto"/>
        <w:ind w:left="1750" w:right="0" w:hanging="527"/>
        <w:jc w:val="left"/>
        <w:rPr>
          <w:color w:val="auto"/>
          <w:sz w:val="21"/>
          <w:highlight w:val="none"/>
        </w:rPr>
      </w:pPr>
      <w:r>
        <w:rPr>
          <w:color w:val="auto"/>
          <w:sz w:val="21"/>
          <w:highlight w:val="none"/>
        </w:rPr>
        <w:t>适用的法律、行政法规及部门规章；</w:t>
      </w:r>
    </w:p>
    <w:p>
      <w:pPr>
        <w:pStyle w:val="11"/>
        <w:numPr>
          <w:ilvl w:val="0"/>
          <w:numId w:val="27"/>
        </w:numPr>
        <w:tabs>
          <w:tab w:val="left" w:pos="1750"/>
        </w:tabs>
        <w:spacing w:before="139" w:after="0" w:line="240" w:lineRule="auto"/>
        <w:ind w:left="1750" w:right="0" w:hanging="527"/>
        <w:jc w:val="left"/>
        <w:rPr>
          <w:color w:val="auto"/>
          <w:sz w:val="21"/>
          <w:highlight w:val="none"/>
        </w:rPr>
      </w:pPr>
      <w:r>
        <w:rPr>
          <w:color w:val="auto"/>
          <w:sz w:val="21"/>
          <w:highlight w:val="none"/>
        </w:rPr>
        <w:t>与工程有关的标准；</w:t>
      </w:r>
    </w:p>
    <w:p>
      <w:pPr>
        <w:pStyle w:val="11"/>
        <w:numPr>
          <w:ilvl w:val="0"/>
          <w:numId w:val="27"/>
        </w:numPr>
        <w:tabs>
          <w:tab w:val="left" w:pos="1750"/>
        </w:tabs>
        <w:spacing w:before="139" w:after="0" w:line="240" w:lineRule="auto"/>
        <w:ind w:left="1750" w:right="0" w:hanging="527"/>
        <w:jc w:val="left"/>
        <w:rPr>
          <w:color w:val="auto"/>
          <w:sz w:val="21"/>
          <w:highlight w:val="none"/>
        </w:rPr>
      </w:pPr>
      <w:r>
        <w:rPr>
          <w:color w:val="auto"/>
          <w:sz w:val="21"/>
          <w:highlight w:val="none"/>
        </w:rPr>
        <w:t>工程设计及有关文件；</w:t>
      </w:r>
    </w:p>
    <w:p>
      <w:pPr>
        <w:pStyle w:val="11"/>
        <w:numPr>
          <w:ilvl w:val="0"/>
          <w:numId w:val="27"/>
        </w:numPr>
        <w:tabs>
          <w:tab w:val="left" w:pos="1750"/>
        </w:tabs>
        <w:spacing w:before="141" w:after="0" w:line="364" w:lineRule="auto"/>
        <w:ind w:left="1223" w:right="2944" w:firstLine="0"/>
        <w:jc w:val="left"/>
        <w:rPr>
          <w:color w:val="auto"/>
          <w:sz w:val="21"/>
          <w:highlight w:val="none"/>
        </w:rPr>
      </w:pPr>
      <w:r>
        <w:rPr>
          <w:color w:val="auto"/>
          <w:sz w:val="21"/>
          <w:highlight w:val="none"/>
        </w:rPr>
        <w:t>本合同及委托人与第三方签订的与实施工程有关的其他合同。</w:t>
      </w:r>
      <w:r>
        <w:rPr>
          <w:color w:val="auto"/>
          <w:w w:val="95"/>
          <w:sz w:val="21"/>
          <w:highlight w:val="none"/>
        </w:rPr>
        <w:t>双方根据工程的行业和地域特点，在专用条件中具体约定监理依据。</w:t>
      </w:r>
    </w:p>
    <w:p>
      <w:pPr>
        <w:pStyle w:val="11"/>
        <w:numPr>
          <w:ilvl w:val="2"/>
          <w:numId w:val="26"/>
        </w:numPr>
        <w:tabs>
          <w:tab w:val="left" w:pos="1855"/>
        </w:tabs>
        <w:spacing w:before="0" w:after="0" w:line="267" w:lineRule="exact"/>
        <w:ind w:left="1854" w:right="0" w:hanging="631"/>
        <w:jc w:val="left"/>
        <w:rPr>
          <w:color w:val="auto"/>
          <w:sz w:val="21"/>
          <w:highlight w:val="none"/>
        </w:rPr>
      </w:pPr>
      <w:r>
        <w:rPr>
          <w:color w:val="auto"/>
          <w:sz w:val="21"/>
          <w:highlight w:val="none"/>
        </w:rPr>
        <w:t>相关服务依据在专用条件中约定。</w:t>
      </w:r>
    </w:p>
    <w:p>
      <w:pPr>
        <w:pStyle w:val="11"/>
        <w:numPr>
          <w:ilvl w:val="1"/>
          <w:numId w:val="26"/>
        </w:numPr>
        <w:tabs>
          <w:tab w:val="left" w:pos="1644"/>
        </w:tabs>
        <w:spacing w:before="139" w:after="0" w:line="240" w:lineRule="auto"/>
        <w:ind w:left="1643" w:right="0" w:hanging="420"/>
        <w:jc w:val="left"/>
        <w:rPr>
          <w:color w:val="auto"/>
          <w:sz w:val="21"/>
          <w:highlight w:val="none"/>
        </w:rPr>
      </w:pPr>
      <w:r>
        <w:rPr>
          <w:color w:val="auto"/>
          <w:sz w:val="21"/>
          <w:highlight w:val="none"/>
        </w:rPr>
        <w:t>项目监理机构和人员</w:t>
      </w:r>
    </w:p>
    <w:p>
      <w:pPr>
        <w:pStyle w:val="11"/>
        <w:numPr>
          <w:ilvl w:val="2"/>
          <w:numId w:val="26"/>
        </w:numPr>
        <w:tabs>
          <w:tab w:val="left" w:pos="1855"/>
        </w:tabs>
        <w:spacing w:before="139" w:after="0" w:line="364" w:lineRule="auto"/>
        <w:ind w:left="803" w:right="1055" w:firstLine="420"/>
        <w:jc w:val="left"/>
        <w:rPr>
          <w:color w:val="auto"/>
          <w:sz w:val="21"/>
          <w:highlight w:val="none"/>
        </w:rPr>
      </w:pPr>
      <w:r>
        <w:rPr>
          <w:color w:val="auto"/>
          <w:w w:val="95"/>
          <w:sz w:val="21"/>
          <w:highlight w:val="none"/>
        </w:rPr>
        <w:t xml:space="preserve">监理人应组建满足工作需要的项目监理机构，配备必要的检测设备。项目监理机构  </w:t>
      </w:r>
      <w:r>
        <w:rPr>
          <w:color w:val="auto"/>
          <w:sz w:val="21"/>
          <w:highlight w:val="none"/>
        </w:rPr>
        <w:t>的主要人员应具有相应的资格条件。</w:t>
      </w:r>
    </w:p>
    <w:p>
      <w:pPr>
        <w:pStyle w:val="11"/>
        <w:numPr>
          <w:ilvl w:val="2"/>
          <w:numId w:val="26"/>
        </w:numPr>
        <w:tabs>
          <w:tab w:val="left" w:pos="1802"/>
        </w:tabs>
        <w:spacing w:before="1" w:after="0" w:line="364" w:lineRule="auto"/>
        <w:ind w:left="803" w:right="1105" w:firstLine="420"/>
        <w:jc w:val="left"/>
        <w:rPr>
          <w:color w:val="auto"/>
          <w:sz w:val="21"/>
          <w:highlight w:val="none"/>
        </w:rPr>
      </w:pPr>
      <w:r>
        <w:rPr>
          <w:color w:val="auto"/>
          <w:w w:val="95"/>
          <w:sz w:val="21"/>
          <w:highlight w:val="none"/>
        </w:rPr>
        <w:t xml:space="preserve">本合同履行过程中，总监理工程师及重要岗位监理人员应保持相对稳定，以保证监  </w:t>
      </w:r>
      <w:r>
        <w:rPr>
          <w:color w:val="auto"/>
          <w:sz w:val="21"/>
          <w:highlight w:val="none"/>
        </w:rPr>
        <w:t>理工作正常进行。</w:t>
      </w:r>
    </w:p>
    <w:p>
      <w:pPr>
        <w:pStyle w:val="11"/>
        <w:numPr>
          <w:ilvl w:val="2"/>
          <w:numId w:val="26"/>
        </w:numPr>
        <w:tabs>
          <w:tab w:val="left" w:pos="1802"/>
        </w:tabs>
        <w:spacing w:before="0" w:after="0" w:line="364" w:lineRule="auto"/>
        <w:ind w:left="803" w:right="1055" w:firstLine="420"/>
        <w:jc w:val="both"/>
        <w:rPr>
          <w:color w:val="auto"/>
          <w:sz w:val="21"/>
          <w:highlight w:val="none"/>
        </w:rPr>
      </w:pPr>
      <w:r>
        <w:rPr>
          <w:color w:val="auto"/>
          <w:sz w:val="21"/>
          <w:highlight w:val="none"/>
        </w:rPr>
        <w:t>监理人可根据工程进展和工作需要调整项目监理机构人员。监理人更换总监理工程</w:t>
      </w:r>
      <w:r>
        <w:rPr>
          <w:color w:val="auto"/>
          <w:spacing w:val="-9"/>
          <w:sz w:val="21"/>
          <w:highlight w:val="none"/>
        </w:rPr>
        <w:t xml:space="preserve">师时，应提前 </w:t>
      </w:r>
      <w:r>
        <w:rPr>
          <w:color w:val="auto"/>
          <w:sz w:val="21"/>
          <w:highlight w:val="none"/>
        </w:rPr>
        <w:t>7</w:t>
      </w:r>
      <w:r>
        <w:rPr>
          <w:color w:val="auto"/>
          <w:spacing w:val="-9"/>
          <w:sz w:val="21"/>
          <w:highlight w:val="none"/>
        </w:rPr>
        <w:t xml:space="preserve"> 天向委托人书面报告，经委托人同意后方可更换；监理人更换项目监理机构其他监理人员，应以相当资格与能力的人员替换，并通知委托人。</w:t>
      </w:r>
    </w:p>
    <w:p>
      <w:pPr>
        <w:pStyle w:val="11"/>
        <w:numPr>
          <w:ilvl w:val="2"/>
          <w:numId w:val="26"/>
        </w:numPr>
        <w:tabs>
          <w:tab w:val="left" w:pos="1855"/>
        </w:tabs>
        <w:spacing w:before="0" w:after="0" w:line="269" w:lineRule="exact"/>
        <w:ind w:left="1854" w:right="0" w:hanging="631"/>
        <w:jc w:val="left"/>
        <w:rPr>
          <w:color w:val="auto"/>
          <w:sz w:val="21"/>
          <w:highlight w:val="none"/>
        </w:rPr>
      </w:pPr>
      <w:r>
        <w:rPr>
          <w:color w:val="auto"/>
          <w:sz w:val="21"/>
          <w:highlight w:val="none"/>
        </w:rPr>
        <w:t>监理人应及时更换有下列情形之一的监理人员：</w:t>
      </w:r>
    </w:p>
    <w:p>
      <w:pPr>
        <w:pStyle w:val="11"/>
        <w:numPr>
          <w:ilvl w:val="0"/>
          <w:numId w:val="28"/>
        </w:numPr>
        <w:tabs>
          <w:tab w:val="left" w:pos="1750"/>
        </w:tabs>
        <w:spacing w:before="137" w:after="0" w:line="240" w:lineRule="auto"/>
        <w:ind w:left="1750" w:right="0" w:hanging="527"/>
        <w:jc w:val="left"/>
        <w:rPr>
          <w:color w:val="auto"/>
          <w:sz w:val="21"/>
          <w:highlight w:val="none"/>
        </w:rPr>
      </w:pPr>
      <w:r>
        <w:rPr>
          <w:color w:val="auto"/>
          <w:sz w:val="21"/>
          <w:highlight w:val="none"/>
        </w:rPr>
        <w:t>严重过失行为的；</w:t>
      </w:r>
    </w:p>
    <w:p>
      <w:pPr>
        <w:pStyle w:val="11"/>
        <w:numPr>
          <w:ilvl w:val="0"/>
          <w:numId w:val="28"/>
        </w:numPr>
        <w:tabs>
          <w:tab w:val="left" w:pos="1750"/>
        </w:tabs>
        <w:spacing w:before="138" w:after="0" w:line="240" w:lineRule="auto"/>
        <w:ind w:left="1750" w:right="0" w:hanging="527"/>
        <w:jc w:val="left"/>
        <w:rPr>
          <w:color w:val="auto"/>
          <w:sz w:val="21"/>
          <w:highlight w:val="none"/>
        </w:rPr>
      </w:pPr>
      <w:r>
        <w:rPr>
          <w:color w:val="auto"/>
          <w:sz w:val="21"/>
          <w:highlight w:val="none"/>
        </w:rPr>
        <w:t>有违法行为不能履行职责的；</w:t>
      </w:r>
    </w:p>
    <w:p>
      <w:pPr>
        <w:pStyle w:val="11"/>
        <w:numPr>
          <w:ilvl w:val="0"/>
          <w:numId w:val="28"/>
        </w:numPr>
        <w:tabs>
          <w:tab w:val="left" w:pos="1750"/>
        </w:tabs>
        <w:spacing w:before="139" w:after="0" w:line="240" w:lineRule="auto"/>
        <w:ind w:left="1750" w:right="0" w:hanging="527"/>
        <w:jc w:val="left"/>
        <w:rPr>
          <w:color w:val="auto"/>
          <w:sz w:val="21"/>
          <w:highlight w:val="none"/>
        </w:rPr>
      </w:pPr>
      <w:r>
        <w:rPr>
          <w:color w:val="auto"/>
          <w:sz w:val="21"/>
          <w:highlight w:val="none"/>
        </w:rPr>
        <w:t>涉嫌犯罪的；</w:t>
      </w:r>
    </w:p>
    <w:p>
      <w:pPr>
        <w:pStyle w:val="11"/>
        <w:numPr>
          <w:ilvl w:val="0"/>
          <w:numId w:val="28"/>
        </w:numPr>
        <w:tabs>
          <w:tab w:val="left" w:pos="1750"/>
        </w:tabs>
        <w:spacing w:before="142" w:after="0" w:line="240" w:lineRule="auto"/>
        <w:ind w:left="1750" w:right="0" w:hanging="527"/>
        <w:jc w:val="left"/>
        <w:rPr>
          <w:color w:val="auto"/>
          <w:sz w:val="21"/>
          <w:highlight w:val="none"/>
        </w:rPr>
      </w:pPr>
      <w:r>
        <w:rPr>
          <w:color w:val="auto"/>
          <w:w w:val="95"/>
          <w:sz w:val="21"/>
          <w:highlight w:val="none"/>
        </w:rPr>
        <w:t>不能胜任岗位职责的；</w:t>
      </w:r>
    </w:p>
    <w:p>
      <w:pPr>
        <w:pStyle w:val="11"/>
        <w:numPr>
          <w:ilvl w:val="0"/>
          <w:numId w:val="28"/>
        </w:numPr>
        <w:tabs>
          <w:tab w:val="left" w:pos="1750"/>
        </w:tabs>
        <w:spacing w:before="139" w:after="0" w:line="240" w:lineRule="auto"/>
        <w:ind w:left="1750" w:right="0" w:hanging="527"/>
        <w:jc w:val="left"/>
        <w:rPr>
          <w:color w:val="auto"/>
          <w:sz w:val="21"/>
          <w:highlight w:val="none"/>
        </w:rPr>
      </w:pPr>
      <w:r>
        <w:rPr>
          <w:color w:val="auto"/>
          <w:w w:val="95"/>
          <w:sz w:val="21"/>
          <w:highlight w:val="none"/>
        </w:rPr>
        <w:t>严重违反职业道德的；</w:t>
      </w:r>
    </w:p>
    <w:p>
      <w:pPr>
        <w:spacing w:after="0" w:line="240" w:lineRule="auto"/>
        <w:jc w:val="left"/>
        <w:rPr>
          <w:color w:val="auto"/>
          <w:sz w:val="21"/>
          <w:highlight w:val="none"/>
        </w:rPr>
        <w:sectPr>
          <w:footerReference r:id="rId9" w:type="default"/>
          <w:pgSz w:w="11910" w:h="16840"/>
          <w:pgMar w:top="1080" w:right="520" w:bottom="1180" w:left="920" w:header="891" w:footer="993" w:gutter="0"/>
          <w:pgNumType w:start="20"/>
        </w:sectPr>
      </w:pPr>
    </w:p>
    <w:p>
      <w:pPr>
        <w:pStyle w:val="5"/>
        <w:spacing w:before="3"/>
        <w:rPr>
          <w:color w:val="auto"/>
          <w:sz w:val="11"/>
          <w:highlight w:val="none"/>
        </w:rPr>
      </w:pPr>
    </w:p>
    <w:p>
      <w:pPr>
        <w:pStyle w:val="11"/>
        <w:numPr>
          <w:ilvl w:val="0"/>
          <w:numId w:val="28"/>
        </w:numPr>
        <w:tabs>
          <w:tab w:val="left" w:pos="1750"/>
        </w:tabs>
        <w:spacing w:before="70" w:after="0" w:line="240" w:lineRule="auto"/>
        <w:ind w:left="1750" w:right="0" w:hanging="527"/>
        <w:jc w:val="left"/>
        <w:rPr>
          <w:color w:val="auto"/>
          <w:sz w:val="21"/>
          <w:highlight w:val="none"/>
        </w:rPr>
      </w:pPr>
      <w:r>
        <w:rPr>
          <w:color w:val="auto"/>
          <w:sz w:val="21"/>
          <w:highlight w:val="none"/>
        </w:rPr>
        <w:t>专用条件约定的其他情形。</w:t>
      </w:r>
    </w:p>
    <w:p>
      <w:pPr>
        <w:pStyle w:val="11"/>
        <w:numPr>
          <w:ilvl w:val="2"/>
          <w:numId w:val="26"/>
        </w:numPr>
        <w:tabs>
          <w:tab w:val="left" w:pos="1855"/>
        </w:tabs>
        <w:spacing w:before="139" w:after="0" w:line="240" w:lineRule="auto"/>
        <w:ind w:left="1854" w:right="0" w:hanging="631"/>
        <w:jc w:val="left"/>
        <w:rPr>
          <w:color w:val="auto"/>
          <w:sz w:val="21"/>
          <w:highlight w:val="none"/>
        </w:rPr>
      </w:pPr>
      <w:r>
        <w:rPr>
          <w:color w:val="auto"/>
          <w:sz w:val="21"/>
          <w:highlight w:val="none"/>
        </w:rPr>
        <w:t>委托人可要求监理人更换不能胜任本职工作的项目监理机构人员。</w:t>
      </w:r>
    </w:p>
    <w:p>
      <w:pPr>
        <w:pStyle w:val="11"/>
        <w:numPr>
          <w:ilvl w:val="1"/>
          <w:numId w:val="29"/>
        </w:numPr>
        <w:tabs>
          <w:tab w:val="left" w:pos="1644"/>
        </w:tabs>
        <w:spacing w:before="139" w:after="0" w:line="240" w:lineRule="auto"/>
        <w:ind w:left="1643" w:right="0" w:hanging="420"/>
        <w:jc w:val="left"/>
        <w:rPr>
          <w:color w:val="auto"/>
          <w:sz w:val="21"/>
          <w:highlight w:val="none"/>
        </w:rPr>
      </w:pPr>
      <w:r>
        <w:rPr>
          <w:color w:val="auto"/>
          <w:sz w:val="21"/>
          <w:highlight w:val="none"/>
        </w:rPr>
        <w:t>履行职责</w:t>
      </w:r>
    </w:p>
    <w:p>
      <w:pPr>
        <w:pStyle w:val="5"/>
        <w:spacing w:before="139" w:line="367" w:lineRule="auto"/>
        <w:ind w:left="803" w:right="1055" w:firstLine="420"/>
        <w:rPr>
          <w:color w:val="auto"/>
          <w:highlight w:val="none"/>
        </w:rPr>
      </w:pPr>
      <w:r>
        <w:rPr>
          <w:color w:val="auto"/>
          <w:spacing w:val="-1"/>
          <w:w w:val="95"/>
          <w:highlight w:val="none"/>
        </w:rPr>
        <w:t xml:space="preserve">监理人应遵循职业道德准则和行为规范，严格按照法律法规、工程建设有关标准及本合同   </w:t>
      </w:r>
      <w:r>
        <w:rPr>
          <w:color w:val="auto"/>
          <w:spacing w:val="-1"/>
          <w:highlight w:val="none"/>
        </w:rPr>
        <w:t>履行职责。</w:t>
      </w:r>
    </w:p>
    <w:p>
      <w:pPr>
        <w:pStyle w:val="11"/>
        <w:numPr>
          <w:ilvl w:val="2"/>
          <w:numId w:val="29"/>
        </w:numPr>
        <w:tabs>
          <w:tab w:val="left" w:pos="1855"/>
        </w:tabs>
        <w:spacing w:before="0" w:after="0" w:line="364" w:lineRule="auto"/>
        <w:ind w:left="803" w:right="1052" w:firstLine="420"/>
        <w:jc w:val="left"/>
        <w:rPr>
          <w:color w:val="auto"/>
          <w:sz w:val="21"/>
          <w:highlight w:val="none"/>
        </w:rPr>
      </w:pPr>
      <w:r>
        <w:rPr>
          <w:color w:val="auto"/>
          <w:w w:val="95"/>
          <w:sz w:val="21"/>
          <w:highlight w:val="none"/>
        </w:rPr>
        <w:t>在监理与相关服务范围内，委托人和承包人提出的意见和要求，监理人应及时提出处置意见。当委托人与承包人之间发生合同争议时，监理人应协助委托人、承包人协商解决。</w:t>
      </w:r>
    </w:p>
    <w:p>
      <w:pPr>
        <w:pStyle w:val="11"/>
        <w:numPr>
          <w:ilvl w:val="2"/>
          <w:numId w:val="29"/>
        </w:numPr>
        <w:tabs>
          <w:tab w:val="left" w:pos="1855"/>
        </w:tabs>
        <w:spacing w:before="0" w:after="0" w:line="364" w:lineRule="auto"/>
        <w:ind w:left="803" w:right="1055" w:firstLine="420"/>
        <w:jc w:val="left"/>
        <w:rPr>
          <w:color w:val="auto"/>
          <w:sz w:val="21"/>
          <w:highlight w:val="none"/>
        </w:rPr>
      </w:pPr>
      <w:r>
        <w:rPr>
          <w:color w:val="auto"/>
          <w:w w:val="95"/>
          <w:sz w:val="21"/>
          <w:highlight w:val="none"/>
        </w:rPr>
        <w:t>当委托人与承包人之间的合同争议提交仲裁机构仲裁或人民法院审理时，监理人应</w:t>
      </w:r>
      <w:r>
        <w:rPr>
          <w:color w:val="auto"/>
          <w:sz w:val="21"/>
          <w:highlight w:val="none"/>
        </w:rPr>
        <w:t>提供必要的证明资料。</w:t>
      </w:r>
    </w:p>
    <w:p>
      <w:pPr>
        <w:pStyle w:val="11"/>
        <w:numPr>
          <w:ilvl w:val="2"/>
          <w:numId w:val="29"/>
        </w:numPr>
        <w:tabs>
          <w:tab w:val="left" w:pos="1855"/>
        </w:tabs>
        <w:spacing w:before="0" w:after="0" w:line="367" w:lineRule="auto"/>
        <w:ind w:left="803" w:right="1055" w:firstLine="420"/>
        <w:jc w:val="left"/>
        <w:rPr>
          <w:color w:val="auto"/>
          <w:sz w:val="21"/>
          <w:highlight w:val="none"/>
        </w:rPr>
      </w:pPr>
      <w:r>
        <w:rPr>
          <w:color w:val="auto"/>
          <w:w w:val="95"/>
          <w:sz w:val="21"/>
          <w:highlight w:val="none"/>
        </w:rPr>
        <w:t>监理人应在专用条件约定的授权范围内，处理委托人与承包人所签订合同的变更事</w:t>
      </w:r>
      <w:r>
        <w:rPr>
          <w:color w:val="auto"/>
          <w:sz w:val="21"/>
          <w:highlight w:val="none"/>
        </w:rPr>
        <w:t>宜。如果变更超过授权范围，应以书面形式报委托人批准。</w:t>
      </w:r>
    </w:p>
    <w:p>
      <w:pPr>
        <w:pStyle w:val="5"/>
        <w:spacing w:line="364" w:lineRule="auto"/>
        <w:ind w:left="803" w:right="949" w:firstLine="420"/>
        <w:rPr>
          <w:color w:val="auto"/>
          <w:highlight w:val="none"/>
        </w:rPr>
      </w:pPr>
      <w:r>
        <w:rPr>
          <w:color w:val="auto"/>
          <w:spacing w:val="-10"/>
          <w:w w:val="95"/>
          <w:highlight w:val="none"/>
        </w:rPr>
        <w:t>在紧急情况下，为了保护财产和人身安全，监理人所发出的指令未能事先报委托人批准时，</w:t>
      </w:r>
      <w:r>
        <w:rPr>
          <w:color w:val="auto"/>
          <w:spacing w:val="-15"/>
          <w:highlight w:val="none"/>
        </w:rPr>
        <w:t xml:space="preserve">应在发出指令后的 </w:t>
      </w:r>
      <w:r>
        <w:rPr>
          <w:color w:val="auto"/>
          <w:highlight w:val="none"/>
        </w:rPr>
        <w:t>24</w:t>
      </w:r>
      <w:r>
        <w:rPr>
          <w:color w:val="auto"/>
          <w:spacing w:val="-8"/>
          <w:highlight w:val="none"/>
        </w:rPr>
        <w:t xml:space="preserve"> 小时内以书面形式报委托人。</w:t>
      </w:r>
    </w:p>
    <w:p>
      <w:pPr>
        <w:pStyle w:val="11"/>
        <w:numPr>
          <w:ilvl w:val="2"/>
          <w:numId w:val="29"/>
        </w:numPr>
        <w:tabs>
          <w:tab w:val="left" w:pos="1855"/>
        </w:tabs>
        <w:spacing w:before="0" w:after="0" w:line="367" w:lineRule="auto"/>
        <w:ind w:left="803" w:right="1055" w:firstLine="420"/>
        <w:jc w:val="left"/>
        <w:rPr>
          <w:color w:val="auto"/>
          <w:sz w:val="21"/>
          <w:highlight w:val="none"/>
        </w:rPr>
      </w:pPr>
      <w:r>
        <w:rPr>
          <w:color w:val="auto"/>
          <w:spacing w:val="-1"/>
          <w:w w:val="95"/>
          <w:sz w:val="21"/>
          <w:highlight w:val="none"/>
        </w:rPr>
        <w:t>除专用条件另有约定外，监理人发现承包人的人员不能胜任本职工作的，有权要求</w:t>
      </w:r>
      <w:r>
        <w:rPr>
          <w:color w:val="auto"/>
          <w:spacing w:val="-1"/>
          <w:sz w:val="21"/>
          <w:highlight w:val="none"/>
        </w:rPr>
        <w:t>承包人予以调换。</w:t>
      </w:r>
    </w:p>
    <w:p>
      <w:pPr>
        <w:pStyle w:val="11"/>
        <w:numPr>
          <w:ilvl w:val="1"/>
          <w:numId w:val="29"/>
        </w:numPr>
        <w:tabs>
          <w:tab w:val="left" w:pos="1644"/>
        </w:tabs>
        <w:spacing w:before="0" w:after="0" w:line="264" w:lineRule="exact"/>
        <w:ind w:left="1643" w:right="0" w:hanging="420"/>
        <w:jc w:val="left"/>
        <w:rPr>
          <w:color w:val="auto"/>
          <w:sz w:val="21"/>
          <w:highlight w:val="none"/>
        </w:rPr>
      </w:pPr>
      <w:r>
        <w:rPr>
          <w:color w:val="auto"/>
          <w:sz w:val="21"/>
          <w:highlight w:val="none"/>
        </w:rPr>
        <w:t>提交报告</w:t>
      </w:r>
    </w:p>
    <w:p>
      <w:pPr>
        <w:pStyle w:val="5"/>
        <w:spacing w:before="123"/>
        <w:ind w:left="1223"/>
        <w:rPr>
          <w:color w:val="auto"/>
          <w:highlight w:val="none"/>
        </w:rPr>
      </w:pPr>
      <w:r>
        <w:rPr>
          <w:color w:val="auto"/>
          <w:highlight w:val="none"/>
        </w:rPr>
        <w:t>监理人应按专用条件约定的种类、时间和份数向委托人提交监理与相关服务的报告。</w:t>
      </w:r>
    </w:p>
    <w:p>
      <w:pPr>
        <w:pStyle w:val="11"/>
        <w:numPr>
          <w:ilvl w:val="1"/>
          <w:numId w:val="29"/>
        </w:numPr>
        <w:tabs>
          <w:tab w:val="left" w:pos="1644"/>
        </w:tabs>
        <w:spacing w:before="139" w:after="0" w:line="240" w:lineRule="auto"/>
        <w:ind w:left="1643" w:right="0" w:hanging="420"/>
        <w:jc w:val="left"/>
        <w:rPr>
          <w:color w:val="auto"/>
          <w:sz w:val="21"/>
          <w:highlight w:val="none"/>
        </w:rPr>
      </w:pPr>
      <w:r>
        <w:rPr>
          <w:color w:val="auto"/>
          <w:sz w:val="21"/>
          <w:highlight w:val="none"/>
        </w:rPr>
        <w:t>文件资料</w:t>
      </w:r>
    </w:p>
    <w:p>
      <w:pPr>
        <w:pStyle w:val="5"/>
        <w:spacing w:before="141" w:line="364" w:lineRule="auto"/>
        <w:ind w:left="803" w:right="1055" w:firstLine="420"/>
        <w:rPr>
          <w:color w:val="auto"/>
          <w:highlight w:val="none"/>
        </w:rPr>
      </w:pPr>
      <w:r>
        <w:rPr>
          <w:color w:val="auto"/>
          <w:w w:val="95"/>
          <w:highlight w:val="none"/>
        </w:rPr>
        <w:t xml:space="preserve">在本合同履行期内，监理人应在现场保留工作所用的图纸、报告及记录监理工作的相关文   </w:t>
      </w:r>
      <w:r>
        <w:rPr>
          <w:color w:val="auto"/>
          <w:highlight w:val="none"/>
        </w:rPr>
        <w:t>件。工程竣工后，应当按照档案管理规定将监理有关文件归档。</w:t>
      </w:r>
    </w:p>
    <w:p>
      <w:pPr>
        <w:pStyle w:val="11"/>
        <w:numPr>
          <w:ilvl w:val="1"/>
          <w:numId w:val="29"/>
        </w:numPr>
        <w:tabs>
          <w:tab w:val="left" w:pos="1644"/>
        </w:tabs>
        <w:spacing w:before="0" w:after="0" w:line="267" w:lineRule="exact"/>
        <w:ind w:left="1643" w:right="0" w:hanging="420"/>
        <w:jc w:val="left"/>
        <w:rPr>
          <w:color w:val="auto"/>
          <w:sz w:val="21"/>
          <w:highlight w:val="none"/>
        </w:rPr>
      </w:pPr>
      <w:r>
        <w:rPr>
          <w:color w:val="auto"/>
          <w:sz w:val="21"/>
          <w:highlight w:val="none"/>
        </w:rPr>
        <w:t>使用委托人的财产</w:t>
      </w:r>
    </w:p>
    <w:p>
      <w:pPr>
        <w:pStyle w:val="5"/>
        <w:spacing w:before="139" w:line="364" w:lineRule="auto"/>
        <w:ind w:left="803" w:right="1055" w:firstLine="420"/>
        <w:jc w:val="both"/>
        <w:rPr>
          <w:color w:val="auto"/>
          <w:highlight w:val="none"/>
        </w:rPr>
      </w:pPr>
      <w:r>
        <w:rPr>
          <w:color w:val="auto"/>
          <w:spacing w:val="-7"/>
          <w:highlight w:val="none"/>
        </w:rPr>
        <w:t xml:space="preserve">监理人无偿使用附录 </w:t>
      </w:r>
      <w:r>
        <w:rPr>
          <w:color w:val="auto"/>
          <w:highlight w:val="none"/>
        </w:rPr>
        <w:t>B</w:t>
      </w:r>
      <w:r>
        <w:rPr>
          <w:color w:val="auto"/>
          <w:spacing w:val="-8"/>
          <w:highlight w:val="none"/>
        </w:rPr>
        <w:t xml:space="preserve"> 中由委托人派遣的人员和提供的房屋、资料、设备。除专用条件另</w:t>
      </w:r>
      <w:r>
        <w:rPr>
          <w:color w:val="auto"/>
          <w:spacing w:val="-8"/>
          <w:w w:val="95"/>
          <w:highlight w:val="none"/>
        </w:rPr>
        <w:t>有约定外，委托人提供的房屋、设备属于委托人的财产，监理人应妥善使用和保管，在本合同</w:t>
      </w:r>
      <w:r>
        <w:rPr>
          <w:color w:val="auto"/>
          <w:spacing w:val="-8"/>
          <w:highlight w:val="none"/>
        </w:rPr>
        <w:t>终止时将这些房屋、设备的清单提交委托人，并按专用条件约定的时间和方式移交。</w:t>
      </w:r>
    </w:p>
    <w:p>
      <w:pPr>
        <w:pStyle w:val="4"/>
        <w:numPr>
          <w:ilvl w:val="0"/>
          <w:numId w:val="22"/>
        </w:numPr>
        <w:tabs>
          <w:tab w:val="left" w:pos="1540"/>
        </w:tabs>
        <w:spacing w:before="0" w:after="0" w:line="269" w:lineRule="exact"/>
        <w:ind w:left="1540" w:right="0" w:hanging="317"/>
        <w:jc w:val="left"/>
        <w:rPr>
          <w:rFonts w:hint="eastAsia" w:ascii="宋体" w:eastAsia="宋体"/>
          <w:color w:val="auto"/>
          <w:highlight w:val="none"/>
        </w:rPr>
      </w:pPr>
      <w:r>
        <w:rPr>
          <w:rFonts w:hint="eastAsia" w:ascii="宋体" w:eastAsia="宋体"/>
          <w:color w:val="auto"/>
          <w:highlight w:val="none"/>
        </w:rPr>
        <w:t>委托人的义务</w:t>
      </w:r>
    </w:p>
    <w:p>
      <w:pPr>
        <w:pStyle w:val="11"/>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告知</w:t>
      </w:r>
    </w:p>
    <w:p>
      <w:pPr>
        <w:pStyle w:val="5"/>
        <w:spacing w:before="139" w:line="364" w:lineRule="auto"/>
        <w:ind w:left="803" w:right="1055" w:firstLine="420"/>
        <w:rPr>
          <w:color w:val="auto"/>
          <w:highlight w:val="none"/>
        </w:rPr>
      </w:pPr>
      <w:r>
        <w:rPr>
          <w:color w:val="auto"/>
          <w:spacing w:val="-1"/>
          <w:w w:val="95"/>
          <w:highlight w:val="none"/>
        </w:rPr>
        <w:t>委托人应在委托人与承包人签订的合同中明确监理人、总监理工程师和授予项目监理机构</w:t>
      </w:r>
      <w:r>
        <w:rPr>
          <w:color w:val="auto"/>
          <w:spacing w:val="-1"/>
          <w:highlight w:val="none"/>
        </w:rPr>
        <w:t>的权限。如有变更，应及时通知承包人。</w:t>
      </w:r>
    </w:p>
    <w:p>
      <w:pPr>
        <w:pStyle w:val="11"/>
        <w:numPr>
          <w:ilvl w:val="1"/>
          <w:numId w:val="22"/>
        </w:numPr>
        <w:tabs>
          <w:tab w:val="left" w:pos="1644"/>
        </w:tabs>
        <w:spacing w:before="0" w:after="0" w:line="240" w:lineRule="auto"/>
        <w:ind w:left="1643" w:right="0" w:hanging="420"/>
        <w:jc w:val="left"/>
        <w:rPr>
          <w:color w:val="auto"/>
          <w:sz w:val="21"/>
          <w:highlight w:val="none"/>
        </w:rPr>
      </w:pPr>
      <w:r>
        <w:rPr>
          <w:color w:val="auto"/>
          <w:sz w:val="21"/>
          <w:highlight w:val="none"/>
        </w:rPr>
        <w:t>提供资料</w:t>
      </w:r>
    </w:p>
    <w:p>
      <w:pPr>
        <w:pStyle w:val="5"/>
        <w:spacing w:before="139" w:line="364" w:lineRule="auto"/>
        <w:ind w:left="803" w:right="1055" w:firstLine="420"/>
        <w:rPr>
          <w:color w:val="auto"/>
          <w:highlight w:val="none"/>
        </w:rPr>
      </w:pPr>
      <w:r>
        <w:rPr>
          <w:color w:val="auto"/>
          <w:spacing w:val="-7"/>
          <w:highlight w:val="none"/>
        </w:rPr>
        <w:t xml:space="preserve">委托人应按照附录 </w:t>
      </w:r>
      <w:r>
        <w:rPr>
          <w:color w:val="auto"/>
          <w:highlight w:val="none"/>
        </w:rPr>
        <w:t>B</w:t>
      </w:r>
      <w:r>
        <w:rPr>
          <w:color w:val="auto"/>
          <w:spacing w:val="-9"/>
          <w:highlight w:val="none"/>
        </w:rPr>
        <w:t xml:space="preserve"> 约定，无偿向监理人提供工程有关的资料。在本合同履行过程中，委托人应及时向监理人提供最新的与工程有关的资料。</w:t>
      </w:r>
    </w:p>
    <w:p>
      <w:pPr>
        <w:pStyle w:val="11"/>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提供工作条件</w:t>
      </w:r>
    </w:p>
    <w:p>
      <w:pPr>
        <w:pStyle w:val="5"/>
        <w:spacing w:before="139"/>
        <w:ind w:left="1223"/>
        <w:rPr>
          <w:color w:val="auto"/>
          <w:highlight w:val="none"/>
        </w:rPr>
      </w:pPr>
      <w:r>
        <w:rPr>
          <w:color w:val="auto"/>
          <w:highlight w:val="none"/>
        </w:rPr>
        <w:t>委托人应为监理人完成监理与相关服务提供必要的条件。</w:t>
      </w:r>
    </w:p>
    <w:p>
      <w:pPr>
        <w:pStyle w:val="11"/>
        <w:numPr>
          <w:ilvl w:val="2"/>
          <w:numId w:val="22"/>
        </w:numPr>
        <w:tabs>
          <w:tab w:val="left" w:pos="1855"/>
        </w:tabs>
        <w:spacing w:before="142" w:after="0" w:line="240" w:lineRule="auto"/>
        <w:ind w:left="1854" w:right="0" w:hanging="631"/>
        <w:jc w:val="left"/>
        <w:rPr>
          <w:color w:val="auto"/>
          <w:sz w:val="21"/>
          <w:highlight w:val="none"/>
        </w:rPr>
      </w:pPr>
      <w:r>
        <w:rPr>
          <w:color w:val="auto"/>
          <w:spacing w:val="-7"/>
          <w:sz w:val="21"/>
          <w:highlight w:val="none"/>
        </w:rPr>
        <w:t xml:space="preserve">委托人应按照附录 </w:t>
      </w:r>
      <w:r>
        <w:rPr>
          <w:color w:val="auto"/>
          <w:sz w:val="21"/>
          <w:highlight w:val="none"/>
        </w:rPr>
        <w:t>B</w:t>
      </w:r>
      <w:r>
        <w:rPr>
          <w:color w:val="auto"/>
          <w:spacing w:val="-13"/>
          <w:sz w:val="21"/>
          <w:highlight w:val="none"/>
        </w:rPr>
        <w:t xml:space="preserve"> 约定，派遣相应的人员，提供房屋、设备，供监理人无偿使用。</w:t>
      </w:r>
    </w:p>
    <w:p>
      <w:pPr>
        <w:pStyle w:val="11"/>
        <w:numPr>
          <w:ilvl w:val="2"/>
          <w:numId w:val="22"/>
        </w:numPr>
        <w:tabs>
          <w:tab w:val="left" w:pos="1855"/>
        </w:tabs>
        <w:spacing w:before="138" w:after="0" w:line="240" w:lineRule="auto"/>
        <w:ind w:left="1854" w:right="0" w:hanging="631"/>
        <w:jc w:val="left"/>
        <w:rPr>
          <w:color w:val="auto"/>
          <w:sz w:val="21"/>
          <w:highlight w:val="none"/>
        </w:rPr>
      </w:pPr>
      <w:r>
        <w:rPr>
          <w:color w:val="auto"/>
          <w:sz w:val="21"/>
          <w:highlight w:val="none"/>
        </w:rPr>
        <w:t>委托人应负责协调工程建设中所有外部关系，为监理人履行本合同提供必要的外部</w:t>
      </w:r>
    </w:p>
    <w:p>
      <w:pPr>
        <w:spacing w:after="0" w:line="240" w:lineRule="auto"/>
        <w:jc w:val="left"/>
        <w:rPr>
          <w:color w:val="auto"/>
          <w:sz w:val="21"/>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ind w:left="803"/>
        <w:rPr>
          <w:color w:val="auto"/>
          <w:highlight w:val="none"/>
        </w:rPr>
      </w:pPr>
      <w:r>
        <w:rPr>
          <w:color w:val="auto"/>
          <w:highlight w:val="none"/>
        </w:rPr>
        <w:t>条件。</w:t>
      </w:r>
    </w:p>
    <w:p>
      <w:pPr>
        <w:pStyle w:val="11"/>
        <w:numPr>
          <w:ilvl w:val="1"/>
          <w:numId w:val="30"/>
        </w:numPr>
        <w:tabs>
          <w:tab w:val="left" w:pos="1644"/>
        </w:tabs>
        <w:spacing w:before="139" w:after="0" w:line="240" w:lineRule="auto"/>
        <w:ind w:left="1643" w:right="0" w:hanging="420"/>
        <w:jc w:val="left"/>
        <w:rPr>
          <w:color w:val="auto"/>
          <w:sz w:val="21"/>
          <w:highlight w:val="none"/>
        </w:rPr>
      </w:pPr>
      <w:r>
        <w:rPr>
          <w:color w:val="auto"/>
          <w:sz w:val="21"/>
          <w:highlight w:val="none"/>
        </w:rPr>
        <w:t>委托人代表</w:t>
      </w:r>
    </w:p>
    <w:p>
      <w:pPr>
        <w:pStyle w:val="5"/>
        <w:spacing w:before="139" w:line="364" w:lineRule="auto"/>
        <w:ind w:left="803" w:right="1055" w:firstLine="420"/>
        <w:rPr>
          <w:color w:val="auto"/>
          <w:highlight w:val="none"/>
        </w:rPr>
      </w:pPr>
      <w:r>
        <w:rPr>
          <w:color w:val="auto"/>
          <w:spacing w:val="-1"/>
          <w:w w:val="95"/>
          <w:highlight w:val="none"/>
        </w:rPr>
        <w:t>委托人应授权一名熟悉工程情况的代表，负责与监理人联系。委托人应在双方签订本合同</w:t>
      </w:r>
      <w:r>
        <w:rPr>
          <w:color w:val="auto"/>
          <w:spacing w:val="-32"/>
          <w:highlight w:val="none"/>
        </w:rPr>
        <w:t xml:space="preserve">后 </w:t>
      </w:r>
      <w:r>
        <w:rPr>
          <w:color w:val="auto"/>
          <w:highlight w:val="none"/>
        </w:rPr>
        <w:t>7</w:t>
      </w:r>
      <w:r>
        <w:rPr>
          <w:color w:val="auto"/>
          <w:spacing w:val="-8"/>
          <w:highlight w:val="none"/>
        </w:rPr>
        <w:t xml:space="preserve"> 天内，将委托人代表的姓名和职责书面告知监理人。当委托人更换委托人代表时，应提前</w:t>
      </w:r>
    </w:p>
    <w:p>
      <w:pPr>
        <w:pStyle w:val="5"/>
        <w:ind w:left="803"/>
        <w:rPr>
          <w:color w:val="auto"/>
          <w:highlight w:val="none"/>
        </w:rPr>
      </w:pPr>
      <w:r>
        <w:rPr>
          <w:color w:val="auto"/>
          <w:highlight w:val="none"/>
        </w:rPr>
        <w:t>7 天通知监理人。</w:t>
      </w:r>
    </w:p>
    <w:p>
      <w:pPr>
        <w:pStyle w:val="11"/>
        <w:numPr>
          <w:ilvl w:val="1"/>
          <w:numId w:val="30"/>
        </w:numPr>
        <w:tabs>
          <w:tab w:val="left" w:pos="1644"/>
        </w:tabs>
        <w:spacing w:before="139" w:after="0" w:line="240" w:lineRule="auto"/>
        <w:ind w:left="1643" w:right="0" w:hanging="420"/>
        <w:jc w:val="left"/>
        <w:rPr>
          <w:color w:val="auto"/>
          <w:sz w:val="21"/>
          <w:highlight w:val="none"/>
        </w:rPr>
      </w:pPr>
      <w:r>
        <w:rPr>
          <w:color w:val="auto"/>
          <w:sz w:val="21"/>
          <w:highlight w:val="none"/>
        </w:rPr>
        <w:t>委托人意见或要求</w:t>
      </w:r>
    </w:p>
    <w:p>
      <w:pPr>
        <w:pStyle w:val="5"/>
        <w:spacing w:before="139" w:line="364" w:lineRule="auto"/>
        <w:ind w:left="803" w:right="1055" w:firstLine="420"/>
        <w:rPr>
          <w:color w:val="auto"/>
          <w:highlight w:val="none"/>
        </w:rPr>
      </w:pPr>
      <w:r>
        <w:rPr>
          <w:color w:val="auto"/>
          <w:spacing w:val="-1"/>
          <w:w w:val="95"/>
          <w:highlight w:val="none"/>
        </w:rPr>
        <w:t xml:space="preserve">在本合同约定的监理与相关服务工作范围内，委托人对承包人的任何意见或要求应通知监   </w:t>
      </w:r>
      <w:r>
        <w:rPr>
          <w:color w:val="auto"/>
          <w:spacing w:val="-1"/>
          <w:highlight w:val="none"/>
        </w:rPr>
        <w:t>理人，由监理人向承包人发出相应指令。</w:t>
      </w:r>
    </w:p>
    <w:p>
      <w:pPr>
        <w:pStyle w:val="11"/>
        <w:numPr>
          <w:ilvl w:val="1"/>
          <w:numId w:val="30"/>
        </w:numPr>
        <w:tabs>
          <w:tab w:val="left" w:pos="1644"/>
        </w:tabs>
        <w:spacing w:before="0" w:after="0" w:line="267" w:lineRule="exact"/>
        <w:ind w:left="1643" w:right="0" w:hanging="420"/>
        <w:jc w:val="left"/>
        <w:rPr>
          <w:color w:val="auto"/>
          <w:sz w:val="21"/>
          <w:highlight w:val="none"/>
        </w:rPr>
      </w:pPr>
      <w:r>
        <w:rPr>
          <w:color w:val="auto"/>
          <w:sz w:val="21"/>
          <w:highlight w:val="none"/>
        </w:rPr>
        <w:t>答复</w:t>
      </w:r>
    </w:p>
    <w:p>
      <w:pPr>
        <w:pStyle w:val="5"/>
        <w:spacing w:before="139" w:line="367" w:lineRule="auto"/>
        <w:ind w:left="803" w:right="1055" w:firstLine="420"/>
        <w:rPr>
          <w:color w:val="auto"/>
          <w:highlight w:val="none"/>
        </w:rPr>
      </w:pPr>
      <w:r>
        <w:rPr>
          <w:color w:val="auto"/>
          <w:spacing w:val="-1"/>
          <w:w w:val="95"/>
          <w:highlight w:val="none"/>
        </w:rPr>
        <w:t xml:space="preserve">委托人应在专用条件约定的时间内，对监理人以书面形式提交并要求作出决定的事宜，给   </w:t>
      </w:r>
      <w:r>
        <w:rPr>
          <w:color w:val="auto"/>
          <w:spacing w:val="-1"/>
          <w:highlight w:val="none"/>
        </w:rPr>
        <w:t>予书面答复。逾期未答复的，视为委托人认可。</w:t>
      </w:r>
    </w:p>
    <w:p>
      <w:pPr>
        <w:pStyle w:val="11"/>
        <w:numPr>
          <w:ilvl w:val="1"/>
          <w:numId w:val="30"/>
        </w:numPr>
        <w:tabs>
          <w:tab w:val="left" w:pos="1644"/>
        </w:tabs>
        <w:spacing w:before="0" w:after="0" w:line="264" w:lineRule="exact"/>
        <w:ind w:left="1643" w:right="0" w:hanging="420"/>
        <w:jc w:val="left"/>
        <w:rPr>
          <w:color w:val="auto"/>
          <w:sz w:val="21"/>
          <w:highlight w:val="none"/>
        </w:rPr>
      </w:pPr>
      <w:r>
        <w:rPr>
          <w:color w:val="auto"/>
          <w:sz w:val="21"/>
          <w:highlight w:val="none"/>
        </w:rPr>
        <w:t>支付</w:t>
      </w:r>
    </w:p>
    <w:p>
      <w:pPr>
        <w:pStyle w:val="5"/>
        <w:spacing w:before="139"/>
        <w:ind w:left="1223"/>
        <w:rPr>
          <w:color w:val="auto"/>
          <w:highlight w:val="none"/>
        </w:rPr>
      </w:pPr>
      <w:r>
        <w:rPr>
          <w:color w:val="auto"/>
          <w:highlight w:val="none"/>
        </w:rPr>
        <w:t>委托人应按本合同约定，向监理人支付酬金。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1"/>
        <w:numPr>
          <w:ilvl w:val="1"/>
          <w:numId w:val="22"/>
        </w:numPr>
        <w:tabs>
          <w:tab w:val="left" w:pos="1644"/>
        </w:tabs>
        <w:spacing w:before="141" w:after="0" w:line="240" w:lineRule="auto"/>
        <w:ind w:left="1643" w:right="0" w:hanging="420"/>
        <w:jc w:val="left"/>
        <w:rPr>
          <w:color w:val="auto"/>
          <w:sz w:val="21"/>
          <w:highlight w:val="none"/>
        </w:rPr>
      </w:pPr>
      <w:r>
        <w:rPr>
          <w:color w:val="auto"/>
          <w:sz w:val="21"/>
          <w:highlight w:val="none"/>
        </w:rPr>
        <w:t>监理人的违约责任</w:t>
      </w:r>
    </w:p>
    <w:p>
      <w:pPr>
        <w:pStyle w:val="5"/>
        <w:spacing w:before="139"/>
        <w:ind w:left="1223"/>
        <w:rPr>
          <w:color w:val="auto"/>
          <w:highlight w:val="none"/>
        </w:rPr>
      </w:pPr>
      <w:r>
        <w:rPr>
          <w:color w:val="auto"/>
          <w:highlight w:val="none"/>
        </w:rPr>
        <w:t>监理人未履行本合同义务的，应承担相应的责任。</w:t>
      </w:r>
    </w:p>
    <w:p>
      <w:pPr>
        <w:pStyle w:val="11"/>
        <w:numPr>
          <w:ilvl w:val="2"/>
          <w:numId w:val="22"/>
        </w:numPr>
        <w:tabs>
          <w:tab w:val="left" w:pos="1855"/>
        </w:tabs>
        <w:spacing w:before="139" w:after="0" w:line="364" w:lineRule="auto"/>
        <w:ind w:left="803" w:right="1055" w:firstLine="420"/>
        <w:jc w:val="both"/>
        <w:rPr>
          <w:color w:val="auto"/>
          <w:sz w:val="21"/>
          <w:highlight w:val="none"/>
        </w:rPr>
      </w:pPr>
      <w:r>
        <w:rPr>
          <w:color w:val="auto"/>
          <w:spacing w:val="-1"/>
          <w:w w:val="95"/>
          <w:sz w:val="21"/>
          <w:highlight w:val="none"/>
        </w:rPr>
        <w:t>因监理人违反本合同约定给委托人造成损失的，监理人应当赔偿委托人损失。赔偿</w:t>
      </w:r>
      <w:r>
        <w:rPr>
          <w:color w:val="auto"/>
          <w:spacing w:val="-2"/>
          <w:w w:val="95"/>
          <w:sz w:val="21"/>
          <w:highlight w:val="none"/>
        </w:rPr>
        <w:t>金额的确定方法在专用条件中约定。监理人承担部分赔偿责任的，其承担赔偿金额由双方协商</w:t>
      </w:r>
      <w:r>
        <w:rPr>
          <w:color w:val="auto"/>
          <w:spacing w:val="-2"/>
          <w:sz w:val="21"/>
          <w:highlight w:val="none"/>
        </w:rPr>
        <w:t>确定。</w:t>
      </w:r>
    </w:p>
    <w:p>
      <w:pPr>
        <w:pStyle w:val="11"/>
        <w:numPr>
          <w:ilvl w:val="2"/>
          <w:numId w:val="22"/>
        </w:numPr>
        <w:tabs>
          <w:tab w:val="left" w:pos="1855"/>
        </w:tabs>
        <w:spacing w:before="0" w:after="0" w:line="269" w:lineRule="exact"/>
        <w:ind w:left="1854" w:right="0" w:hanging="631"/>
        <w:jc w:val="left"/>
        <w:rPr>
          <w:color w:val="auto"/>
          <w:sz w:val="21"/>
          <w:highlight w:val="none"/>
        </w:rPr>
      </w:pPr>
      <w:r>
        <w:rPr>
          <w:color w:val="auto"/>
          <w:sz w:val="21"/>
          <w:highlight w:val="none"/>
        </w:rPr>
        <w:t>监理人向委托人的索赔不成立时，监理人应赔偿委托人由此发生的费用。</w:t>
      </w:r>
    </w:p>
    <w:p>
      <w:pPr>
        <w:pStyle w:val="11"/>
        <w:numPr>
          <w:ilvl w:val="1"/>
          <w:numId w:val="31"/>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5"/>
        <w:spacing w:before="139"/>
        <w:ind w:left="1223"/>
        <w:rPr>
          <w:color w:val="auto"/>
          <w:highlight w:val="none"/>
        </w:rPr>
      </w:pPr>
      <w:r>
        <w:rPr>
          <w:color w:val="auto"/>
          <w:highlight w:val="none"/>
        </w:rPr>
        <w:t>委托人未履行本合同义务的，应承担相应的责任。</w:t>
      </w:r>
    </w:p>
    <w:p>
      <w:pPr>
        <w:pStyle w:val="11"/>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委托人违反本合同约定造成监理人损失的，委托人应予以赔偿。</w:t>
      </w:r>
    </w:p>
    <w:p>
      <w:pPr>
        <w:pStyle w:val="11"/>
        <w:numPr>
          <w:ilvl w:val="2"/>
          <w:numId w:val="31"/>
        </w:numPr>
        <w:tabs>
          <w:tab w:val="left" w:pos="1855"/>
        </w:tabs>
        <w:spacing w:before="139" w:after="0" w:line="240" w:lineRule="auto"/>
        <w:ind w:left="1854" w:right="0" w:hanging="631"/>
        <w:jc w:val="left"/>
        <w:rPr>
          <w:color w:val="auto"/>
          <w:sz w:val="21"/>
          <w:highlight w:val="none"/>
        </w:rPr>
      </w:pPr>
      <w:r>
        <w:rPr>
          <w:color w:val="auto"/>
          <w:sz w:val="21"/>
          <w:highlight w:val="none"/>
        </w:rPr>
        <w:t>委托人向监理人的索赔不成立时，应赔偿监理人由此引起的费用。</w:t>
      </w:r>
    </w:p>
    <w:p>
      <w:pPr>
        <w:pStyle w:val="11"/>
        <w:numPr>
          <w:ilvl w:val="2"/>
          <w:numId w:val="31"/>
        </w:numPr>
        <w:tabs>
          <w:tab w:val="left" w:pos="1855"/>
        </w:tabs>
        <w:spacing w:before="141" w:after="0" w:line="240" w:lineRule="auto"/>
        <w:ind w:left="1854" w:right="0" w:hanging="631"/>
        <w:jc w:val="left"/>
        <w:rPr>
          <w:color w:val="auto"/>
          <w:sz w:val="21"/>
          <w:highlight w:val="none"/>
        </w:rPr>
      </w:pPr>
      <w:r>
        <w:rPr>
          <w:color w:val="auto"/>
          <w:spacing w:val="-4"/>
          <w:sz w:val="21"/>
          <w:highlight w:val="none"/>
        </w:rPr>
        <w:t xml:space="preserve">委托人未能按期支付酬金超过 </w:t>
      </w:r>
      <w:r>
        <w:rPr>
          <w:color w:val="auto"/>
          <w:sz w:val="21"/>
          <w:highlight w:val="none"/>
        </w:rPr>
        <w:t>28</w:t>
      </w:r>
      <w:r>
        <w:rPr>
          <w:color w:val="auto"/>
          <w:spacing w:val="-8"/>
          <w:sz w:val="21"/>
          <w:highlight w:val="none"/>
        </w:rPr>
        <w:t xml:space="preserve"> 天，应按专用条件约定支付逾期付款利息。</w:t>
      </w:r>
    </w:p>
    <w:p>
      <w:pPr>
        <w:pStyle w:val="5"/>
        <w:spacing w:before="139"/>
        <w:ind w:left="1223"/>
        <w:rPr>
          <w:color w:val="auto"/>
          <w:highlight w:val="none"/>
        </w:rPr>
      </w:pPr>
      <w:r>
        <w:rPr>
          <w:color w:val="auto"/>
          <w:highlight w:val="none"/>
        </w:rPr>
        <w:t>4.3 除外责任</w:t>
      </w:r>
    </w:p>
    <w:p>
      <w:pPr>
        <w:pStyle w:val="5"/>
        <w:spacing w:before="139" w:line="364" w:lineRule="auto"/>
        <w:ind w:left="803" w:right="1055" w:firstLine="420"/>
        <w:rPr>
          <w:color w:val="auto"/>
          <w:highlight w:val="none"/>
        </w:rPr>
      </w:pPr>
      <w:r>
        <w:rPr>
          <w:color w:val="auto"/>
          <w:w w:val="95"/>
          <w:highlight w:val="none"/>
        </w:rPr>
        <w:t xml:space="preserve">因非监理人的原因，且监理人无过错，发生工程质量事故、安全事故、工期延误等造成的   </w:t>
      </w:r>
      <w:r>
        <w:rPr>
          <w:color w:val="auto"/>
          <w:highlight w:val="none"/>
        </w:rPr>
        <w:t>损失，监理人不承担赔偿责任。</w:t>
      </w:r>
    </w:p>
    <w:p>
      <w:pPr>
        <w:pStyle w:val="5"/>
        <w:ind w:left="1223"/>
        <w:rPr>
          <w:color w:val="auto"/>
          <w:highlight w:val="none"/>
        </w:rPr>
      </w:pPr>
      <w:r>
        <w:rPr>
          <w:color w:val="auto"/>
          <w:highlight w:val="none"/>
        </w:rPr>
        <w:t>因不可抗力导致本合同全部或部分不能履行时，双方各自承担其因此而造成的损失、损害。</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1"/>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5"/>
        <w:spacing w:before="139" w:line="364" w:lineRule="auto"/>
        <w:ind w:left="803" w:right="1055" w:firstLine="420"/>
        <w:rPr>
          <w:color w:val="auto"/>
          <w:highlight w:val="none"/>
        </w:rPr>
      </w:pPr>
      <w:r>
        <w:rPr>
          <w:color w:val="auto"/>
          <w:w w:val="95"/>
          <w:highlight w:val="none"/>
        </w:rPr>
        <w:t>除专用条件另有约定外，酬金均以人民币支付。涉及外币支付的，所采用的货币种类、比</w:t>
      </w:r>
      <w:r>
        <w:rPr>
          <w:color w:val="auto"/>
          <w:highlight w:val="none"/>
        </w:rPr>
        <w:t>例和汇率在专用条件中约定。</w:t>
      </w:r>
    </w:p>
    <w:p>
      <w:pPr>
        <w:pStyle w:val="11"/>
        <w:numPr>
          <w:ilvl w:val="1"/>
          <w:numId w:val="22"/>
        </w:numPr>
        <w:tabs>
          <w:tab w:val="left" w:pos="1644"/>
        </w:tabs>
        <w:spacing w:before="1" w:after="0" w:line="240" w:lineRule="auto"/>
        <w:ind w:left="1643" w:right="0" w:hanging="420"/>
        <w:jc w:val="left"/>
        <w:rPr>
          <w:color w:val="auto"/>
          <w:sz w:val="21"/>
          <w:highlight w:val="none"/>
        </w:rPr>
      </w:pPr>
      <w:r>
        <w:rPr>
          <w:color w:val="auto"/>
          <w:sz w:val="21"/>
          <w:highlight w:val="none"/>
        </w:rPr>
        <w:t>支付申请</w:t>
      </w:r>
    </w:p>
    <w:p>
      <w:pPr>
        <w:pStyle w:val="5"/>
        <w:spacing w:before="139"/>
        <w:ind w:left="1223"/>
        <w:rPr>
          <w:color w:val="auto"/>
          <w:highlight w:val="none"/>
        </w:rPr>
      </w:pPr>
      <w:r>
        <w:rPr>
          <w:color w:val="auto"/>
          <w:highlight w:val="none"/>
        </w:rPr>
        <w:t>监理人应在本合同约定的每次应付款时间的 7 天前，向委托人提交支付申请书。支付申请</w:t>
      </w:r>
    </w:p>
    <w:p>
      <w:pPr>
        <w:spacing w:after="0"/>
        <w:rPr>
          <w:color w:val="auto"/>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ind w:left="803"/>
        <w:rPr>
          <w:color w:val="auto"/>
          <w:highlight w:val="none"/>
        </w:rPr>
      </w:pPr>
      <w:r>
        <w:rPr>
          <w:color w:val="auto"/>
          <w:highlight w:val="none"/>
        </w:rPr>
        <w:t>书应当说明当期应付款总额，并列出当期应支付的款项及其金额。</w:t>
      </w:r>
    </w:p>
    <w:p>
      <w:pPr>
        <w:pStyle w:val="11"/>
        <w:numPr>
          <w:ilvl w:val="1"/>
          <w:numId w:val="22"/>
        </w:numPr>
        <w:tabs>
          <w:tab w:val="left" w:pos="1749"/>
        </w:tabs>
        <w:spacing w:before="139" w:after="0" w:line="240" w:lineRule="auto"/>
        <w:ind w:left="1748" w:right="0" w:hanging="420"/>
        <w:jc w:val="left"/>
        <w:rPr>
          <w:color w:val="auto"/>
          <w:sz w:val="21"/>
          <w:highlight w:val="none"/>
        </w:rPr>
      </w:pPr>
      <w:r>
        <w:rPr>
          <w:color w:val="auto"/>
          <w:sz w:val="21"/>
          <w:highlight w:val="none"/>
        </w:rPr>
        <w:t>支付酬金</w:t>
      </w:r>
    </w:p>
    <w:p>
      <w:pPr>
        <w:pStyle w:val="5"/>
        <w:spacing w:before="139"/>
        <w:ind w:left="1223"/>
        <w:rPr>
          <w:color w:val="auto"/>
          <w:highlight w:val="none"/>
        </w:rPr>
      </w:pPr>
      <w:r>
        <w:rPr>
          <w:color w:val="auto"/>
          <w:highlight w:val="none"/>
        </w:rPr>
        <w:t>支付的酬金包括正常工作酬金、附加工作酬金、合理化建议奖励金额及费用。</w:t>
      </w:r>
    </w:p>
    <w:p>
      <w:pPr>
        <w:pStyle w:val="11"/>
        <w:numPr>
          <w:ilvl w:val="1"/>
          <w:numId w:val="22"/>
        </w:numPr>
        <w:tabs>
          <w:tab w:val="left" w:pos="1855"/>
        </w:tabs>
        <w:spacing w:before="139" w:after="0" w:line="240" w:lineRule="auto"/>
        <w:ind w:left="1854" w:right="0" w:hanging="420"/>
        <w:jc w:val="left"/>
        <w:rPr>
          <w:color w:val="auto"/>
          <w:sz w:val="21"/>
          <w:highlight w:val="none"/>
        </w:rPr>
      </w:pPr>
      <w:r>
        <w:rPr>
          <w:color w:val="auto"/>
          <w:sz w:val="21"/>
          <w:highlight w:val="none"/>
        </w:rPr>
        <w:t>有争议部分的付款</w:t>
      </w:r>
    </w:p>
    <w:p>
      <w:pPr>
        <w:pStyle w:val="5"/>
        <w:spacing w:before="141" w:line="364" w:lineRule="auto"/>
        <w:ind w:left="803" w:right="1055" w:firstLine="420"/>
        <w:jc w:val="both"/>
        <w:rPr>
          <w:color w:val="auto"/>
          <w:highlight w:val="none"/>
        </w:rPr>
      </w:pPr>
      <w:r>
        <w:rPr>
          <w:color w:val="auto"/>
          <w:spacing w:val="-3"/>
          <w:highlight w:val="none"/>
        </w:rPr>
        <w:t xml:space="preserve">委托人对监理人提交的支付申请书有异议时，应当在收到监理人提交的支付申请书后 </w:t>
      </w:r>
      <w:r>
        <w:rPr>
          <w:color w:val="auto"/>
          <w:highlight w:val="none"/>
        </w:rPr>
        <w:t>7</w:t>
      </w:r>
      <w:r>
        <w:rPr>
          <w:color w:val="auto"/>
          <w:spacing w:val="-30"/>
          <w:highlight w:val="none"/>
        </w:rPr>
        <w:t xml:space="preserve"> 天</w:t>
      </w:r>
      <w:r>
        <w:rPr>
          <w:color w:val="auto"/>
          <w:spacing w:val="-30"/>
          <w:w w:val="95"/>
          <w:highlight w:val="none"/>
        </w:rPr>
        <w:t xml:space="preserve">内，以书面形式向监理人发出异议通知。无异议部分的款项应按期支付，有异议部分的款项按   </w:t>
      </w:r>
      <w:r>
        <w:rPr>
          <w:color w:val="auto"/>
          <w:spacing w:val="-42"/>
          <w:highlight w:val="none"/>
        </w:rPr>
        <w:t xml:space="preserve">第 </w:t>
      </w:r>
      <w:r>
        <w:rPr>
          <w:color w:val="auto"/>
          <w:highlight w:val="none"/>
        </w:rPr>
        <w:t>7</w:t>
      </w:r>
      <w:r>
        <w:rPr>
          <w:color w:val="auto"/>
          <w:spacing w:val="-9"/>
          <w:highlight w:val="none"/>
        </w:rPr>
        <w:t xml:space="preserve"> 条约定办理。</w:t>
      </w:r>
    </w:p>
    <w:p>
      <w:pPr>
        <w:pStyle w:val="4"/>
        <w:numPr>
          <w:ilvl w:val="0"/>
          <w:numId w:val="22"/>
        </w:numPr>
        <w:tabs>
          <w:tab w:val="left" w:pos="1540"/>
        </w:tabs>
        <w:spacing w:before="0" w:after="0" w:line="266" w:lineRule="exact"/>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1"/>
        <w:numPr>
          <w:ilvl w:val="1"/>
          <w:numId w:val="22"/>
        </w:numPr>
        <w:tabs>
          <w:tab w:val="left" w:pos="1591"/>
        </w:tabs>
        <w:spacing w:before="139" w:after="0" w:line="240" w:lineRule="auto"/>
        <w:ind w:left="1590" w:right="0" w:hanging="367"/>
        <w:jc w:val="left"/>
        <w:rPr>
          <w:color w:val="auto"/>
          <w:sz w:val="21"/>
          <w:highlight w:val="none"/>
        </w:rPr>
      </w:pPr>
      <w:r>
        <w:rPr>
          <w:color w:val="auto"/>
          <w:sz w:val="21"/>
          <w:highlight w:val="none"/>
        </w:rPr>
        <w:t>生效</w:t>
      </w:r>
    </w:p>
    <w:p>
      <w:pPr>
        <w:pStyle w:val="5"/>
        <w:spacing w:before="139" w:line="367" w:lineRule="auto"/>
        <w:ind w:left="803" w:right="1055" w:firstLine="420"/>
        <w:jc w:val="both"/>
        <w:rPr>
          <w:color w:val="auto"/>
          <w:highlight w:val="none"/>
        </w:rPr>
      </w:pPr>
      <w:r>
        <w:rPr>
          <w:color w:val="auto"/>
          <w:w w:val="95"/>
          <w:highlight w:val="none"/>
        </w:rPr>
        <w:t xml:space="preserve">除法律另有规定或者专用条件另有约定外，委托人和监理人的法定代表人或其授权代理人   </w:t>
      </w:r>
      <w:r>
        <w:rPr>
          <w:color w:val="auto"/>
          <w:highlight w:val="none"/>
        </w:rPr>
        <w:t>在协议书上签字并盖单位章后本合同生效。</w:t>
      </w:r>
    </w:p>
    <w:p>
      <w:pPr>
        <w:pStyle w:val="11"/>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变更</w:t>
      </w:r>
    </w:p>
    <w:p>
      <w:pPr>
        <w:pStyle w:val="11"/>
        <w:numPr>
          <w:ilvl w:val="2"/>
          <w:numId w:val="22"/>
        </w:numPr>
        <w:tabs>
          <w:tab w:val="left" w:pos="1855"/>
        </w:tabs>
        <w:spacing w:before="139" w:after="0" w:line="240" w:lineRule="auto"/>
        <w:ind w:left="1854" w:right="0" w:hanging="631"/>
        <w:jc w:val="left"/>
        <w:rPr>
          <w:color w:val="auto"/>
          <w:sz w:val="21"/>
          <w:highlight w:val="none"/>
        </w:rPr>
      </w:pPr>
      <w:r>
        <w:rPr>
          <w:color w:val="auto"/>
          <w:sz w:val="21"/>
          <w:highlight w:val="none"/>
        </w:rPr>
        <w:t>任何一方提出变更请求时，双方经协商一致后可进行变更。</w:t>
      </w:r>
    </w:p>
    <w:p>
      <w:pPr>
        <w:pStyle w:val="11"/>
        <w:numPr>
          <w:ilvl w:val="2"/>
          <w:numId w:val="22"/>
        </w:numPr>
        <w:tabs>
          <w:tab w:val="left" w:pos="1802"/>
        </w:tabs>
        <w:spacing w:before="139" w:after="0" w:line="364" w:lineRule="auto"/>
        <w:ind w:left="803" w:right="1055" w:firstLine="420"/>
        <w:jc w:val="both"/>
        <w:rPr>
          <w:color w:val="auto"/>
          <w:sz w:val="21"/>
          <w:highlight w:val="none"/>
        </w:rPr>
      </w:pPr>
      <w:r>
        <w:rPr>
          <w:color w:val="auto"/>
          <w:sz w:val="21"/>
          <w:highlight w:val="none"/>
        </w:rPr>
        <w:t>除不可抗力外，因非监理人原因导致监理人履行合同期限延长、内容增加时，监理</w:t>
      </w:r>
      <w:r>
        <w:rPr>
          <w:color w:val="auto"/>
          <w:w w:val="95"/>
          <w:sz w:val="21"/>
          <w:highlight w:val="none"/>
        </w:rPr>
        <w:t xml:space="preserve">人应当将此情况与可能产生的影响及时通知委托人。增加的监理工作时间、工作内容应视为附   </w:t>
      </w:r>
      <w:r>
        <w:rPr>
          <w:color w:val="auto"/>
          <w:sz w:val="21"/>
          <w:highlight w:val="none"/>
        </w:rPr>
        <w:t>加工作。附加工作酬金的确定方法在专用条件中约定。</w:t>
      </w:r>
    </w:p>
    <w:p>
      <w:pPr>
        <w:pStyle w:val="11"/>
        <w:numPr>
          <w:ilvl w:val="2"/>
          <w:numId w:val="22"/>
        </w:numPr>
        <w:tabs>
          <w:tab w:val="left" w:pos="1802"/>
        </w:tabs>
        <w:spacing w:before="0" w:after="0" w:line="364" w:lineRule="auto"/>
        <w:ind w:left="803" w:right="1055" w:firstLine="420"/>
        <w:jc w:val="both"/>
        <w:rPr>
          <w:color w:val="auto"/>
          <w:sz w:val="21"/>
          <w:highlight w:val="none"/>
        </w:rPr>
      </w:pPr>
      <w:r>
        <w:rPr>
          <w:color w:val="auto"/>
          <w:sz w:val="21"/>
          <w:highlight w:val="none"/>
        </w:rPr>
        <w:t>合同生效后，如果实际情况发生变化使得监理人不能完成全部或部分工作时，监理</w:t>
      </w:r>
      <w:r>
        <w:rPr>
          <w:color w:val="auto"/>
          <w:w w:val="95"/>
          <w:sz w:val="21"/>
          <w:highlight w:val="none"/>
        </w:rPr>
        <w:t xml:space="preserve">人应立即通知委托人。除不可抗力外，其善后工作以及恢复服务的准备工作应为附加工作，附   </w:t>
      </w:r>
      <w:r>
        <w:rPr>
          <w:color w:val="auto"/>
          <w:spacing w:val="-2"/>
          <w:sz w:val="21"/>
          <w:highlight w:val="none"/>
        </w:rPr>
        <w:t xml:space="preserve">加工作酬金的确定方法在专用条件中约定。监理人用于恢复服务的准备时间不应超过 </w:t>
      </w:r>
      <w:r>
        <w:rPr>
          <w:color w:val="auto"/>
          <w:sz w:val="21"/>
          <w:highlight w:val="none"/>
        </w:rPr>
        <w:t>28</w:t>
      </w:r>
      <w:r>
        <w:rPr>
          <w:color w:val="auto"/>
          <w:spacing w:val="-20"/>
          <w:sz w:val="21"/>
          <w:highlight w:val="none"/>
        </w:rPr>
        <w:t xml:space="preserve"> 天。</w:t>
      </w:r>
    </w:p>
    <w:p>
      <w:pPr>
        <w:pStyle w:val="11"/>
        <w:numPr>
          <w:ilvl w:val="2"/>
          <w:numId w:val="22"/>
        </w:numPr>
        <w:tabs>
          <w:tab w:val="left" w:pos="1802"/>
        </w:tabs>
        <w:spacing w:before="0" w:after="0" w:line="364" w:lineRule="auto"/>
        <w:ind w:left="803" w:right="1105" w:firstLine="420"/>
        <w:jc w:val="both"/>
        <w:rPr>
          <w:color w:val="auto"/>
          <w:sz w:val="21"/>
          <w:highlight w:val="none"/>
        </w:rPr>
      </w:pPr>
      <w:r>
        <w:rPr>
          <w:color w:val="auto"/>
          <w:w w:val="95"/>
          <w:sz w:val="21"/>
          <w:highlight w:val="none"/>
        </w:rPr>
        <w:t>合同签订后，遇有与工程相关的法律法规、标准颁布或修订的，双方应遵照执行。</w:t>
      </w:r>
      <w:r>
        <w:rPr>
          <w:color w:val="auto"/>
          <w:sz w:val="21"/>
          <w:highlight w:val="none"/>
        </w:rPr>
        <w:t>由此引起监理与相关服务的范围、时间、酬金变化的，双方应通过协商进行相应调整。</w:t>
      </w:r>
    </w:p>
    <w:p>
      <w:pPr>
        <w:pStyle w:val="11"/>
        <w:numPr>
          <w:ilvl w:val="2"/>
          <w:numId w:val="22"/>
        </w:numPr>
        <w:tabs>
          <w:tab w:val="left" w:pos="1855"/>
        </w:tabs>
        <w:spacing w:before="0" w:after="0" w:line="364" w:lineRule="auto"/>
        <w:ind w:left="803" w:right="1055" w:firstLine="420"/>
        <w:jc w:val="both"/>
        <w:rPr>
          <w:color w:val="auto"/>
          <w:sz w:val="21"/>
          <w:highlight w:val="none"/>
        </w:rPr>
      </w:pPr>
      <w:r>
        <w:rPr>
          <w:color w:val="auto"/>
          <w:w w:val="95"/>
          <w:sz w:val="21"/>
          <w:highlight w:val="none"/>
        </w:rPr>
        <w:t>因非监理人原因造成工程概算投资额或建筑安装工程费增加时，正常工作酬金应作</w:t>
      </w:r>
      <w:r>
        <w:rPr>
          <w:color w:val="auto"/>
          <w:sz w:val="21"/>
          <w:highlight w:val="none"/>
        </w:rPr>
        <w:t>相应调整。调整方法在专用条件中约定。</w:t>
      </w:r>
    </w:p>
    <w:p>
      <w:pPr>
        <w:pStyle w:val="11"/>
        <w:numPr>
          <w:ilvl w:val="2"/>
          <w:numId w:val="22"/>
        </w:numPr>
        <w:tabs>
          <w:tab w:val="left" w:pos="1855"/>
        </w:tabs>
        <w:spacing w:before="0" w:after="0" w:line="367" w:lineRule="auto"/>
        <w:ind w:left="803" w:right="1055" w:firstLine="420"/>
        <w:jc w:val="both"/>
        <w:rPr>
          <w:color w:val="auto"/>
          <w:sz w:val="21"/>
          <w:highlight w:val="none"/>
        </w:rPr>
      </w:pPr>
      <w:r>
        <w:rPr>
          <w:color w:val="auto"/>
          <w:w w:val="95"/>
          <w:sz w:val="21"/>
          <w:highlight w:val="none"/>
        </w:rPr>
        <w:t>因工程规模、监理范围的变化导致监理人的正常工作量减少时，正常工作酬金应作</w:t>
      </w:r>
      <w:r>
        <w:rPr>
          <w:color w:val="auto"/>
          <w:sz w:val="21"/>
          <w:highlight w:val="none"/>
        </w:rPr>
        <w:t>相应调整。调整方法在专用条件中约定。</w:t>
      </w:r>
    </w:p>
    <w:p>
      <w:pPr>
        <w:pStyle w:val="5"/>
        <w:spacing w:line="264" w:lineRule="exact"/>
        <w:ind w:left="1434"/>
        <w:rPr>
          <w:color w:val="auto"/>
          <w:highlight w:val="none"/>
        </w:rPr>
      </w:pPr>
      <w:r>
        <w:rPr>
          <w:color w:val="auto"/>
          <w:highlight w:val="none"/>
        </w:rPr>
        <w:t>6.3 暂停与解除</w:t>
      </w:r>
    </w:p>
    <w:p>
      <w:pPr>
        <w:pStyle w:val="5"/>
        <w:spacing w:before="134" w:line="364" w:lineRule="auto"/>
        <w:ind w:left="803" w:right="1055" w:firstLine="420"/>
        <w:jc w:val="both"/>
        <w:rPr>
          <w:color w:val="auto"/>
          <w:highlight w:val="none"/>
        </w:rPr>
      </w:pPr>
      <w:r>
        <w:rPr>
          <w:color w:val="auto"/>
          <w:spacing w:val="-1"/>
          <w:w w:val="95"/>
          <w:highlight w:val="none"/>
        </w:rPr>
        <w:t xml:space="preserve">除双方协商一致可以解除本合同外，当一方无正当理由未履行本合同约定的义务时，另一   </w:t>
      </w:r>
      <w:r>
        <w:rPr>
          <w:color w:val="auto"/>
          <w:spacing w:val="-1"/>
          <w:highlight w:val="none"/>
        </w:rPr>
        <w:t>方可以根据本合同约定暂停履行本合同直至解除本合同。</w:t>
      </w:r>
    </w:p>
    <w:p>
      <w:pPr>
        <w:pStyle w:val="11"/>
        <w:numPr>
          <w:ilvl w:val="2"/>
          <w:numId w:val="32"/>
        </w:numPr>
        <w:tabs>
          <w:tab w:val="left" w:pos="1855"/>
        </w:tabs>
        <w:spacing w:before="0" w:after="0" w:line="364" w:lineRule="auto"/>
        <w:ind w:left="803" w:right="1055" w:firstLine="420"/>
        <w:jc w:val="both"/>
        <w:rPr>
          <w:color w:val="auto"/>
          <w:sz w:val="21"/>
          <w:highlight w:val="none"/>
        </w:rPr>
      </w:pPr>
      <w:r>
        <w:rPr>
          <w:color w:val="auto"/>
          <w:spacing w:val="-1"/>
          <w:w w:val="95"/>
          <w:sz w:val="21"/>
          <w:highlight w:val="none"/>
        </w:rPr>
        <w:t>在本合同有效期内，由于双方无法预见和控制的原因导致本合同全部或部分无法继续履行或继续履行已无意义，经双方协商一致，可以解除本合同或监理人的部分义务。在解除</w:t>
      </w:r>
      <w:r>
        <w:rPr>
          <w:color w:val="auto"/>
          <w:spacing w:val="-1"/>
          <w:sz w:val="21"/>
          <w:highlight w:val="none"/>
        </w:rPr>
        <w:t>之前，监理人应作出合理安排，使开支减至最小。</w:t>
      </w:r>
    </w:p>
    <w:p>
      <w:pPr>
        <w:pStyle w:val="5"/>
        <w:spacing w:line="364" w:lineRule="auto"/>
        <w:ind w:left="803" w:right="1055" w:firstLine="420"/>
        <w:jc w:val="both"/>
        <w:rPr>
          <w:color w:val="auto"/>
          <w:highlight w:val="none"/>
        </w:rPr>
      </w:pPr>
      <w:r>
        <w:rPr>
          <w:color w:val="auto"/>
          <w:spacing w:val="-1"/>
          <w:w w:val="95"/>
          <w:highlight w:val="none"/>
        </w:rPr>
        <w:t xml:space="preserve">因解除本合同或解除监理人的部分义务导致监理人遭受的损失，除依法可以免除责任的情   </w:t>
      </w:r>
      <w:r>
        <w:rPr>
          <w:color w:val="auto"/>
          <w:spacing w:val="-1"/>
          <w:highlight w:val="none"/>
        </w:rPr>
        <w:t>况外，应由委托人予以补偿，补偿金额由双方协商确定。</w:t>
      </w:r>
    </w:p>
    <w:p>
      <w:pPr>
        <w:pStyle w:val="5"/>
        <w:ind w:left="1223"/>
        <w:rPr>
          <w:color w:val="auto"/>
          <w:highlight w:val="none"/>
        </w:rPr>
      </w:pPr>
      <w:r>
        <w:rPr>
          <w:color w:val="auto"/>
          <w:highlight w:val="none"/>
        </w:rPr>
        <w:t>解除本合同的协议必须采取书面形式，协议未达成之前，本合同仍然有效。</w:t>
      </w:r>
    </w:p>
    <w:p>
      <w:pPr>
        <w:pStyle w:val="11"/>
        <w:numPr>
          <w:ilvl w:val="2"/>
          <w:numId w:val="32"/>
        </w:numPr>
        <w:tabs>
          <w:tab w:val="left" w:pos="1855"/>
        </w:tabs>
        <w:spacing w:before="137" w:after="0" w:line="240" w:lineRule="auto"/>
        <w:ind w:left="1854" w:right="0" w:hanging="631"/>
        <w:jc w:val="left"/>
        <w:rPr>
          <w:color w:val="auto"/>
          <w:sz w:val="21"/>
          <w:highlight w:val="none"/>
        </w:rPr>
      </w:pPr>
      <w:r>
        <w:rPr>
          <w:color w:val="auto"/>
          <w:spacing w:val="-1"/>
          <w:sz w:val="21"/>
          <w:highlight w:val="none"/>
        </w:rPr>
        <w:t>在本合同有效期内，因非监理人的原因导致工程施工全部或部分暂停，委托人可通</w:t>
      </w:r>
    </w:p>
    <w:p>
      <w:pPr>
        <w:spacing w:after="0" w:line="240" w:lineRule="auto"/>
        <w:jc w:val="left"/>
        <w:rPr>
          <w:color w:val="auto"/>
          <w:sz w:val="21"/>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line="364" w:lineRule="auto"/>
        <w:ind w:left="803" w:right="1055"/>
        <w:rPr>
          <w:color w:val="auto"/>
          <w:highlight w:val="none"/>
        </w:rPr>
      </w:pPr>
      <w:r>
        <w:rPr>
          <w:color w:val="auto"/>
          <w:w w:val="95"/>
          <w:highlight w:val="none"/>
        </w:rPr>
        <w:t>知监理人要求暂停全部或部分工作。监理人应立即安排停止工作，并将开支减至最小。除不可</w:t>
      </w:r>
      <w:r>
        <w:rPr>
          <w:color w:val="auto"/>
          <w:highlight w:val="none"/>
        </w:rPr>
        <w:t>抗力外，由此导致监理人遭受的损失应由委托人予以补偿。</w:t>
      </w:r>
    </w:p>
    <w:p>
      <w:pPr>
        <w:pStyle w:val="5"/>
        <w:spacing w:line="267" w:lineRule="exact"/>
        <w:ind w:left="1223"/>
        <w:rPr>
          <w:color w:val="auto"/>
          <w:highlight w:val="none"/>
        </w:rPr>
      </w:pPr>
      <w:r>
        <w:rPr>
          <w:color w:val="auto"/>
          <w:spacing w:val="-5"/>
          <w:highlight w:val="none"/>
        </w:rPr>
        <w:t xml:space="preserve">暂停部分监理与相关服务时间超过 </w:t>
      </w:r>
      <w:r>
        <w:rPr>
          <w:color w:val="auto"/>
          <w:highlight w:val="none"/>
        </w:rPr>
        <w:t>182</w:t>
      </w:r>
      <w:r>
        <w:rPr>
          <w:color w:val="auto"/>
          <w:spacing w:val="-9"/>
          <w:highlight w:val="none"/>
        </w:rPr>
        <w:t xml:space="preserve"> 天，监理人可发出解除本合同约定的该部分义务的</w:t>
      </w:r>
    </w:p>
    <w:p>
      <w:pPr>
        <w:pStyle w:val="5"/>
        <w:spacing w:before="139"/>
        <w:ind w:left="803"/>
        <w:rPr>
          <w:color w:val="auto"/>
          <w:highlight w:val="none"/>
        </w:rPr>
      </w:pPr>
      <w:r>
        <w:rPr>
          <w:color w:val="auto"/>
          <w:spacing w:val="-5"/>
          <w:highlight w:val="none"/>
        </w:rPr>
        <w:t xml:space="preserve">通知；暂停全部工作时间超过 </w:t>
      </w:r>
      <w:r>
        <w:rPr>
          <w:color w:val="auto"/>
          <w:highlight w:val="none"/>
        </w:rPr>
        <w:t>182</w:t>
      </w:r>
      <w:r>
        <w:rPr>
          <w:color w:val="auto"/>
          <w:spacing w:val="-9"/>
          <w:highlight w:val="none"/>
        </w:rPr>
        <w:t xml:space="preserve"> 天，监理人可发出解除本合同的通知，本合同自通知到达委</w:t>
      </w:r>
    </w:p>
    <w:p>
      <w:pPr>
        <w:pStyle w:val="5"/>
        <w:spacing w:before="141" w:line="364" w:lineRule="auto"/>
        <w:ind w:left="803" w:right="1055"/>
        <w:rPr>
          <w:color w:val="auto"/>
          <w:highlight w:val="none"/>
        </w:rPr>
      </w:pPr>
      <w:r>
        <w:rPr>
          <w:color w:val="auto"/>
          <w:spacing w:val="-3"/>
          <w:highlight w:val="none"/>
        </w:rPr>
        <w:t xml:space="preserve">托人时解除。委托人应将监理与相关服务的酬金支付至本合同解除日，且应承担第 </w:t>
      </w:r>
      <w:r>
        <w:rPr>
          <w:color w:val="auto"/>
          <w:highlight w:val="none"/>
        </w:rPr>
        <w:t>4.2</w:t>
      </w:r>
      <w:r>
        <w:rPr>
          <w:color w:val="auto"/>
          <w:spacing w:val="-16"/>
          <w:highlight w:val="none"/>
        </w:rPr>
        <w:t xml:space="preserve"> 款约定的责任。</w:t>
      </w:r>
    </w:p>
    <w:p>
      <w:pPr>
        <w:pStyle w:val="11"/>
        <w:numPr>
          <w:ilvl w:val="2"/>
          <w:numId w:val="32"/>
        </w:numPr>
        <w:tabs>
          <w:tab w:val="left" w:pos="1855"/>
        </w:tabs>
        <w:spacing w:before="0" w:after="0" w:line="364" w:lineRule="auto"/>
        <w:ind w:left="803" w:right="1052" w:firstLine="420"/>
        <w:jc w:val="both"/>
        <w:rPr>
          <w:color w:val="auto"/>
          <w:sz w:val="21"/>
          <w:highlight w:val="none"/>
        </w:rPr>
      </w:pPr>
      <w:r>
        <w:rPr>
          <w:color w:val="auto"/>
          <w:w w:val="95"/>
          <w:sz w:val="21"/>
          <w:highlight w:val="none"/>
        </w:rPr>
        <w:t>当监理人无正当理由未履行本合同约定的义务时，委托人应通知监理人限期改正。</w:t>
      </w:r>
      <w:r>
        <w:rPr>
          <w:color w:val="auto"/>
          <w:spacing w:val="-4"/>
          <w:sz w:val="21"/>
          <w:highlight w:val="none"/>
        </w:rPr>
        <w:t xml:space="preserve">若委托人在监理人接到通知后的 </w:t>
      </w:r>
      <w:r>
        <w:rPr>
          <w:color w:val="auto"/>
          <w:sz w:val="21"/>
          <w:highlight w:val="none"/>
        </w:rPr>
        <w:t>7</w:t>
      </w:r>
      <w:r>
        <w:rPr>
          <w:color w:val="auto"/>
          <w:spacing w:val="-11"/>
          <w:sz w:val="21"/>
          <w:highlight w:val="none"/>
        </w:rPr>
        <w:t xml:space="preserve"> 天内未收到监理人书面形式的合理解释，则可在 </w:t>
      </w:r>
      <w:r>
        <w:rPr>
          <w:color w:val="auto"/>
          <w:sz w:val="21"/>
          <w:highlight w:val="none"/>
        </w:rPr>
        <w:t>7</w:t>
      </w:r>
      <w:r>
        <w:rPr>
          <w:color w:val="auto"/>
          <w:spacing w:val="-12"/>
          <w:sz w:val="21"/>
          <w:highlight w:val="none"/>
        </w:rPr>
        <w:t xml:space="preserve"> 天内发出</w:t>
      </w:r>
      <w:r>
        <w:rPr>
          <w:color w:val="auto"/>
          <w:spacing w:val="-12"/>
          <w:w w:val="95"/>
          <w:sz w:val="21"/>
          <w:highlight w:val="none"/>
        </w:rPr>
        <w:t>解除本合同的通知，自通知到达监理人时本合同解除。委托人应将监理与相关服务的酬金支付</w:t>
      </w:r>
      <w:r>
        <w:rPr>
          <w:color w:val="auto"/>
          <w:spacing w:val="-14"/>
          <w:sz w:val="21"/>
          <w:highlight w:val="none"/>
        </w:rPr>
        <w:t xml:space="preserve">至限期改正通知到达监理人之日，但监理人应承担第 </w:t>
      </w:r>
      <w:r>
        <w:rPr>
          <w:color w:val="auto"/>
          <w:sz w:val="21"/>
          <w:highlight w:val="none"/>
        </w:rPr>
        <w:t>4.1</w:t>
      </w:r>
      <w:r>
        <w:rPr>
          <w:color w:val="auto"/>
          <w:spacing w:val="-8"/>
          <w:sz w:val="21"/>
          <w:highlight w:val="none"/>
        </w:rPr>
        <w:t xml:space="preserve"> 款约定的责任。</w:t>
      </w:r>
    </w:p>
    <w:p>
      <w:pPr>
        <w:pStyle w:val="11"/>
        <w:numPr>
          <w:ilvl w:val="2"/>
          <w:numId w:val="32"/>
        </w:numPr>
        <w:tabs>
          <w:tab w:val="left" w:pos="1855"/>
        </w:tabs>
        <w:spacing w:before="0" w:after="0" w:line="364" w:lineRule="auto"/>
        <w:ind w:left="803" w:right="1055" w:firstLine="420"/>
        <w:jc w:val="left"/>
        <w:rPr>
          <w:color w:val="auto"/>
          <w:sz w:val="21"/>
          <w:highlight w:val="none"/>
        </w:rPr>
      </w:pPr>
      <w:r>
        <w:rPr>
          <w:color w:val="auto"/>
          <w:spacing w:val="-7"/>
          <w:sz w:val="21"/>
          <w:highlight w:val="none"/>
        </w:rPr>
        <w:t xml:space="preserve">监理人在专用条件 </w:t>
      </w:r>
      <w:r>
        <w:rPr>
          <w:color w:val="auto"/>
          <w:sz w:val="21"/>
          <w:highlight w:val="none"/>
        </w:rPr>
        <w:t>5.3</w:t>
      </w:r>
      <w:r>
        <w:rPr>
          <w:color w:val="auto"/>
          <w:spacing w:val="-13"/>
          <w:sz w:val="21"/>
          <w:highlight w:val="none"/>
        </w:rPr>
        <w:t xml:space="preserve"> 中约定的支付之日起 </w:t>
      </w:r>
      <w:r>
        <w:rPr>
          <w:color w:val="auto"/>
          <w:sz w:val="21"/>
          <w:highlight w:val="none"/>
        </w:rPr>
        <w:t>28</w:t>
      </w:r>
      <w:r>
        <w:rPr>
          <w:color w:val="auto"/>
          <w:spacing w:val="-8"/>
          <w:sz w:val="21"/>
          <w:highlight w:val="none"/>
        </w:rPr>
        <w:t xml:space="preserve"> 天后仍未收到委托人按本合同约定</w:t>
      </w:r>
      <w:r>
        <w:rPr>
          <w:color w:val="auto"/>
          <w:spacing w:val="-10"/>
          <w:sz w:val="21"/>
          <w:highlight w:val="none"/>
        </w:rPr>
        <w:t xml:space="preserve">应付的款项，可向委托人发出催付通知。委托人接到通知 </w:t>
      </w:r>
      <w:r>
        <w:rPr>
          <w:color w:val="auto"/>
          <w:sz w:val="21"/>
          <w:highlight w:val="none"/>
        </w:rPr>
        <w:t>14</w:t>
      </w:r>
      <w:r>
        <w:rPr>
          <w:color w:val="auto"/>
          <w:spacing w:val="-8"/>
          <w:sz w:val="21"/>
          <w:highlight w:val="none"/>
        </w:rPr>
        <w:t xml:space="preserve"> 天后仍未支付或未提出监理人可以接受的延期支付安排，监理人可向委托人发出暂停工作的通知并可自行暂停全部或部分工 </w:t>
      </w:r>
      <w:r>
        <w:rPr>
          <w:color w:val="auto"/>
          <w:spacing w:val="-15"/>
          <w:sz w:val="21"/>
          <w:highlight w:val="none"/>
        </w:rPr>
        <w:t xml:space="preserve">作。暂停工作后 </w:t>
      </w:r>
      <w:r>
        <w:rPr>
          <w:color w:val="auto"/>
          <w:sz w:val="21"/>
          <w:highlight w:val="none"/>
        </w:rPr>
        <w:t>14</w:t>
      </w:r>
      <w:r>
        <w:rPr>
          <w:color w:val="auto"/>
          <w:spacing w:val="-8"/>
          <w:sz w:val="21"/>
          <w:highlight w:val="none"/>
        </w:rPr>
        <w:t xml:space="preserve"> 天内监理人仍未获得委托人应付酬金或委托人的合理答复，监理人可向委</w:t>
      </w:r>
      <w:r>
        <w:rPr>
          <w:color w:val="auto"/>
          <w:spacing w:val="-10"/>
          <w:sz w:val="21"/>
          <w:highlight w:val="none"/>
        </w:rPr>
        <w:t xml:space="preserve">托人发出解除本合同的通知，自通知到达委托人时本合同解除。委托人应承担第 </w:t>
      </w:r>
      <w:r>
        <w:rPr>
          <w:color w:val="auto"/>
          <w:sz w:val="21"/>
          <w:highlight w:val="none"/>
        </w:rPr>
        <w:t>4.2.3</w:t>
      </w:r>
      <w:r>
        <w:rPr>
          <w:color w:val="auto"/>
          <w:spacing w:val="-16"/>
          <w:sz w:val="21"/>
          <w:highlight w:val="none"/>
        </w:rPr>
        <w:t xml:space="preserve"> 款约定的责任。</w:t>
      </w:r>
    </w:p>
    <w:p>
      <w:pPr>
        <w:pStyle w:val="11"/>
        <w:numPr>
          <w:ilvl w:val="2"/>
          <w:numId w:val="32"/>
        </w:numPr>
        <w:tabs>
          <w:tab w:val="left" w:pos="1855"/>
        </w:tabs>
        <w:spacing w:before="0" w:after="0" w:line="364" w:lineRule="auto"/>
        <w:ind w:left="803" w:right="1055" w:firstLine="420"/>
        <w:jc w:val="left"/>
        <w:rPr>
          <w:color w:val="auto"/>
          <w:sz w:val="21"/>
          <w:highlight w:val="none"/>
        </w:rPr>
      </w:pPr>
      <w:r>
        <w:rPr>
          <w:color w:val="auto"/>
          <w:spacing w:val="-1"/>
          <w:w w:val="95"/>
          <w:sz w:val="21"/>
          <w:highlight w:val="none"/>
        </w:rPr>
        <w:t>因不可抗力致使本合同部分或全部不能履行时，一方应立即通知另一方，可暂停或</w:t>
      </w:r>
      <w:r>
        <w:rPr>
          <w:color w:val="auto"/>
          <w:spacing w:val="-1"/>
          <w:sz w:val="21"/>
          <w:highlight w:val="none"/>
        </w:rPr>
        <w:t>解除本合同。</w:t>
      </w:r>
    </w:p>
    <w:p>
      <w:pPr>
        <w:pStyle w:val="11"/>
        <w:numPr>
          <w:ilvl w:val="2"/>
          <w:numId w:val="32"/>
        </w:numPr>
        <w:tabs>
          <w:tab w:val="left" w:pos="1855"/>
        </w:tabs>
        <w:spacing w:before="0" w:after="0" w:line="240" w:lineRule="auto"/>
        <w:ind w:left="1854" w:right="0" w:hanging="631"/>
        <w:jc w:val="left"/>
        <w:rPr>
          <w:color w:val="auto"/>
          <w:sz w:val="21"/>
          <w:highlight w:val="none"/>
        </w:rPr>
      </w:pPr>
      <w:r>
        <w:rPr>
          <w:color w:val="auto"/>
          <w:sz w:val="21"/>
          <w:highlight w:val="none"/>
        </w:rPr>
        <w:t>本合同解除后，本合同约定的有关结算、清理、争议解决方式的条件仍然有效。</w:t>
      </w:r>
    </w:p>
    <w:p>
      <w:pPr>
        <w:pStyle w:val="11"/>
        <w:numPr>
          <w:ilvl w:val="1"/>
          <w:numId w:val="32"/>
        </w:numPr>
        <w:tabs>
          <w:tab w:val="left" w:pos="1644"/>
        </w:tabs>
        <w:spacing w:before="133" w:after="0" w:line="240" w:lineRule="auto"/>
        <w:ind w:left="1643" w:right="0" w:hanging="420"/>
        <w:jc w:val="left"/>
        <w:rPr>
          <w:color w:val="auto"/>
          <w:sz w:val="21"/>
          <w:highlight w:val="none"/>
        </w:rPr>
      </w:pPr>
      <w:r>
        <w:rPr>
          <w:color w:val="auto"/>
          <w:sz w:val="21"/>
          <w:highlight w:val="none"/>
        </w:rPr>
        <w:t>终止</w:t>
      </w:r>
    </w:p>
    <w:p>
      <w:pPr>
        <w:pStyle w:val="5"/>
        <w:spacing w:before="138"/>
        <w:ind w:left="1223"/>
        <w:rPr>
          <w:color w:val="auto"/>
          <w:highlight w:val="none"/>
        </w:rPr>
      </w:pPr>
      <w:r>
        <w:rPr>
          <w:color w:val="auto"/>
          <w:highlight w:val="none"/>
        </w:rPr>
        <w:t>以下条件全部满足时，本合同即告终止：</w:t>
      </w:r>
    </w:p>
    <w:p>
      <w:pPr>
        <w:pStyle w:val="11"/>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监理人完成本合同约定的全部工作；</w:t>
      </w:r>
    </w:p>
    <w:p>
      <w:pPr>
        <w:pStyle w:val="11"/>
        <w:numPr>
          <w:ilvl w:val="0"/>
          <w:numId w:val="33"/>
        </w:numPr>
        <w:tabs>
          <w:tab w:val="left" w:pos="1750"/>
        </w:tabs>
        <w:spacing w:before="139" w:after="0" w:line="240" w:lineRule="auto"/>
        <w:ind w:left="1750" w:right="0" w:hanging="527"/>
        <w:jc w:val="left"/>
        <w:rPr>
          <w:color w:val="auto"/>
          <w:sz w:val="21"/>
          <w:highlight w:val="none"/>
        </w:rPr>
      </w:pPr>
      <w:r>
        <w:rPr>
          <w:color w:val="auto"/>
          <w:sz w:val="21"/>
          <w:highlight w:val="none"/>
        </w:rPr>
        <w:t>委托人与监理人结清并支付全部酬金。</w:t>
      </w:r>
    </w:p>
    <w:p>
      <w:pPr>
        <w:pStyle w:val="4"/>
        <w:numPr>
          <w:ilvl w:val="0"/>
          <w:numId w:val="22"/>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1"/>
        <w:numPr>
          <w:ilvl w:val="1"/>
          <w:numId w:val="22"/>
        </w:numPr>
        <w:tabs>
          <w:tab w:val="left" w:pos="1591"/>
        </w:tabs>
        <w:spacing w:before="142" w:after="0" w:line="240" w:lineRule="auto"/>
        <w:ind w:left="1590" w:right="0" w:hanging="367"/>
        <w:jc w:val="left"/>
        <w:rPr>
          <w:color w:val="auto"/>
          <w:sz w:val="21"/>
          <w:highlight w:val="none"/>
        </w:rPr>
      </w:pPr>
      <w:r>
        <w:rPr>
          <w:color w:val="auto"/>
          <w:sz w:val="21"/>
          <w:highlight w:val="none"/>
        </w:rPr>
        <w:t>协商</w:t>
      </w:r>
    </w:p>
    <w:p>
      <w:pPr>
        <w:pStyle w:val="5"/>
        <w:spacing w:before="139"/>
        <w:ind w:left="1223"/>
        <w:rPr>
          <w:color w:val="auto"/>
          <w:highlight w:val="none"/>
        </w:rPr>
      </w:pPr>
      <w:r>
        <w:rPr>
          <w:color w:val="auto"/>
          <w:highlight w:val="none"/>
        </w:rPr>
        <w:t>双方应本着诚信原则协商解决彼此间的争议。</w:t>
      </w:r>
    </w:p>
    <w:p>
      <w:pPr>
        <w:pStyle w:val="11"/>
        <w:numPr>
          <w:ilvl w:val="1"/>
          <w:numId w:val="22"/>
        </w:numPr>
        <w:tabs>
          <w:tab w:val="left" w:pos="1591"/>
        </w:tabs>
        <w:spacing w:before="138" w:after="0" w:line="240" w:lineRule="auto"/>
        <w:ind w:left="1590" w:right="0" w:hanging="367"/>
        <w:jc w:val="left"/>
        <w:rPr>
          <w:color w:val="auto"/>
          <w:sz w:val="21"/>
          <w:highlight w:val="none"/>
        </w:rPr>
      </w:pPr>
      <w:r>
        <w:rPr>
          <w:color w:val="auto"/>
          <w:sz w:val="21"/>
          <w:highlight w:val="none"/>
        </w:rPr>
        <w:t>调解</w:t>
      </w:r>
    </w:p>
    <w:p>
      <w:pPr>
        <w:pStyle w:val="5"/>
        <w:spacing w:before="139" w:line="367" w:lineRule="auto"/>
        <w:ind w:left="803" w:right="1158" w:firstLine="420"/>
        <w:rPr>
          <w:color w:val="auto"/>
          <w:highlight w:val="none"/>
        </w:rPr>
      </w:pPr>
      <w:r>
        <w:rPr>
          <w:color w:val="auto"/>
          <w:spacing w:val="-8"/>
          <w:highlight w:val="none"/>
        </w:rPr>
        <w:t xml:space="preserve">如果双方不能在 </w:t>
      </w:r>
      <w:r>
        <w:rPr>
          <w:color w:val="auto"/>
          <w:highlight w:val="none"/>
        </w:rPr>
        <w:t>14</w:t>
      </w:r>
      <w:r>
        <w:rPr>
          <w:color w:val="auto"/>
          <w:spacing w:val="-8"/>
          <w:highlight w:val="none"/>
        </w:rPr>
        <w:t xml:space="preserve"> 天内或双方商定的其他时间内解决本合同争议，可以将其提交给专用条件约定的或事后达成协议的调解人进行调解。</w:t>
      </w:r>
    </w:p>
    <w:p>
      <w:pPr>
        <w:pStyle w:val="11"/>
        <w:numPr>
          <w:ilvl w:val="1"/>
          <w:numId w:val="22"/>
        </w:numPr>
        <w:tabs>
          <w:tab w:val="left" w:pos="1591"/>
        </w:tabs>
        <w:spacing w:before="0" w:after="0" w:line="264" w:lineRule="exact"/>
        <w:ind w:left="1590" w:right="0" w:hanging="367"/>
        <w:jc w:val="left"/>
        <w:rPr>
          <w:color w:val="auto"/>
          <w:sz w:val="21"/>
          <w:highlight w:val="none"/>
        </w:rPr>
      </w:pPr>
      <w:r>
        <w:rPr>
          <w:color w:val="auto"/>
          <w:sz w:val="21"/>
          <w:highlight w:val="none"/>
        </w:rPr>
        <w:t>仲裁或诉讼</w:t>
      </w:r>
    </w:p>
    <w:p>
      <w:pPr>
        <w:pStyle w:val="5"/>
        <w:spacing w:before="139" w:line="364" w:lineRule="auto"/>
        <w:ind w:left="803" w:right="1264" w:firstLine="420"/>
        <w:rPr>
          <w:color w:val="auto"/>
          <w:highlight w:val="none"/>
        </w:rPr>
      </w:pPr>
      <w:r>
        <w:rPr>
          <w:color w:val="auto"/>
          <w:w w:val="95"/>
          <w:highlight w:val="none"/>
        </w:rPr>
        <w:t>双方均有权不经调解直接向专用条件约定的仲裁机构申请仲裁或向有管辖权的人民法院</w:t>
      </w:r>
      <w:r>
        <w:rPr>
          <w:color w:val="auto"/>
          <w:highlight w:val="none"/>
        </w:rPr>
        <w:t>提起诉讼。</w:t>
      </w:r>
    </w:p>
    <w:p>
      <w:pPr>
        <w:pStyle w:val="4"/>
        <w:numPr>
          <w:ilvl w:val="0"/>
          <w:numId w:val="22"/>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1"/>
        <w:numPr>
          <w:ilvl w:val="1"/>
          <w:numId w:val="22"/>
        </w:numPr>
        <w:tabs>
          <w:tab w:val="left" w:pos="1644"/>
        </w:tabs>
        <w:spacing w:before="142" w:after="0" w:line="240" w:lineRule="auto"/>
        <w:ind w:left="1643" w:right="0" w:hanging="420"/>
        <w:jc w:val="left"/>
        <w:rPr>
          <w:color w:val="auto"/>
          <w:sz w:val="21"/>
          <w:highlight w:val="none"/>
        </w:rPr>
      </w:pPr>
      <w:r>
        <w:rPr>
          <w:color w:val="auto"/>
          <w:sz w:val="21"/>
          <w:highlight w:val="none"/>
        </w:rPr>
        <w:t>外出考察费用</w:t>
      </w:r>
    </w:p>
    <w:p>
      <w:pPr>
        <w:pStyle w:val="5"/>
        <w:spacing w:before="139"/>
        <w:ind w:left="1223"/>
        <w:rPr>
          <w:color w:val="auto"/>
          <w:highlight w:val="none"/>
        </w:rPr>
      </w:pPr>
      <w:r>
        <w:rPr>
          <w:color w:val="auto"/>
          <w:highlight w:val="none"/>
        </w:rPr>
        <w:t>经委托人同意，监理人员外出考察发生的费用由委托人审核后支付。</w:t>
      </w:r>
    </w:p>
    <w:p>
      <w:pPr>
        <w:spacing w:after="0"/>
        <w:rPr>
          <w:color w:val="auto"/>
          <w:highlight w:val="none"/>
        </w:rPr>
        <w:sectPr>
          <w:pgSz w:w="11910" w:h="16840"/>
          <w:pgMar w:top="1080" w:right="520" w:bottom="1180" w:left="920" w:header="891" w:footer="993" w:gutter="0"/>
        </w:sectPr>
      </w:pPr>
    </w:p>
    <w:p>
      <w:pPr>
        <w:pStyle w:val="5"/>
        <w:spacing w:before="3"/>
        <w:rPr>
          <w:color w:val="auto"/>
          <w:sz w:val="11"/>
          <w:highlight w:val="none"/>
        </w:rPr>
      </w:pPr>
    </w:p>
    <w:p>
      <w:pPr>
        <w:pStyle w:val="11"/>
        <w:numPr>
          <w:ilvl w:val="1"/>
          <w:numId w:val="22"/>
        </w:numPr>
        <w:tabs>
          <w:tab w:val="left" w:pos="1644"/>
        </w:tabs>
        <w:spacing w:before="70" w:after="0" w:line="240" w:lineRule="auto"/>
        <w:ind w:left="1643" w:right="0" w:hanging="420"/>
        <w:jc w:val="left"/>
        <w:rPr>
          <w:color w:val="auto"/>
          <w:sz w:val="21"/>
          <w:highlight w:val="none"/>
        </w:rPr>
      </w:pPr>
      <w:r>
        <w:rPr>
          <w:color w:val="auto"/>
          <w:sz w:val="21"/>
          <w:highlight w:val="none"/>
        </w:rPr>
        <w:t>检测费用</w:t>
      </w:r>
    </w:p>
    <w:p>
      <w:pPr>
        <w:pStyle w:val="5"/>
        <w:spacing w:before="139" w:line="364" w:lineRule="auto"/>
        <w:ind w:left="803" w:right="1055" w:firstLine="420"/>
        <w:rPr>
          <w:color w:val="auto"/>
          <w:highlight w:val="none"/>
        </w:rPr>
      </w:pPr>
      <w:r>
        <w:rPr>
          <w:color w:val="auto"/>
          <w:w w:val="95"/>
          <w:highlight w:val="none"/>
        </w:rPr>
        <w:t xml:space="preserve">委托人要求监理人进行的材料和设备检测所发生的费用，由委托人支付，支付时间在专用   </w:t>
      </w:r>
      <w:r>
        <w:rPr>
          <w:color w:val="auto"/>
          <w:highlight w:val="none"/>
        </w:rPr>
        <w:t>条件中约定。</w:t>
      </w:r>
    </w:p>
    <w:p>
      <w:pPr>
        <w:pStyle w:val="11"/>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咨询费用</w:t>
      </w:r>
    </w:p>
    <w:p>
      <w:pPr>
        <w:pStyle w:val="5"/>
        <w:spacing w:before="141" w:line="364" w:lineRule="auto"/>
        <w:ind w:left="803" w:right="1055" w:firstLine="420"/>
        <w:rPr>
          <w:color w:val="auto"/>
          <w:highlight w:val="none"/>
        </w:rPr>
      </w:pPr>
      <w:r>
        <w:rPr>
          <w:color w:val="auto"/>
          <w:w w:val="95"/>
          <w:highlight w:val="none"/>
        </w:rPr>
        <w:t xml:space="preserve">经委托人同意，根据工程需要由监理人组织的相关咨询论证会以及聘请相关专家等发生的   </w:t>
      </w:r>
      <w:r>
        <w:rPr>
          <w:color w:val="auto"/>
          <w:highlight w:val="none"/>
        </w:rPr>
        <w:t>费用由委托人支付，支付时间在专用条件中约定。</w:t>
      </w:r>
    </w:p>
    <w:p>
      <w:pPr>
        <w:pStyle w:val="11"/>
        <w:numPr>
          <w:ilvl w:val="1"/>
          <w:numId w:val="22"/>
        </w:numPr>
        <w:tabs>
          <w:tab w:val="left" w:pos="1644"/>
        </w:tabs>
        <w:spacing w:before="0" w:after="0" w:line="267" w:lineRule="exact"/>
        <w:ind w:left="1643" w:right="0" w:hanging="420"/>
        <w:jc w:val="left"/>
        <w:rPr>
          <w:color w:val="auto"/>
          <w:sz w:val="21"/>
          <w:highlight w:val="none"/>
        </w:rPr>
      </w:pPr>
      <w:r>
        <w:rPr>
          <w:color w:val="auto"/>
          <w:sz w:val="21"/>
          <w:highlight w:val="none"/>
        </w:rPr>
        <w:t>奖励</w:t>
      </w:r>
    </w:p>
    <w:p>
      <w:pPr>
        <w:pStyle w:val="5"/>
        <w:spacing w:before="139" w:line="364" w:lineRule="auto"/>
        <w:ind w:left="803" w:right="1055" w:firstLine="420"/>
        <w:jc w:val="both"/>
        <w:rPr>
          <w:color w:val="auto"/>
          <w:highlight w:val="none"/>
        </w:rPr>
      </w:pPr>
      <w:r>
        <w:rPr>
          <w:color w:val="auto"/>
          <w:spacing w:val="-1"/>
          <w:w w:val="95"/>
          <w:highlight w:val="none"/>
        </w:rPr>
        <w:t>监理人在服务过程中提出的合理化建议，使委托人获得经济效益的，双方在专用条件中约   定奖励金额的确定方法。奖励金额在合理化建议被采纳后，与最近一期的正常工作酬金同期支</w:t>
      </w:r>
      <w:r>
        <w:rPr>
          <w:color w:val="auto"/>
          <w:spacing w:val="-1"/>
          <w:highlight w:val="none"/>
        </w:rPr>
        <w:t>付。</w:t>
      </w:r>
    </w:p>
    <w:p>
      <w:pPr>
        <w:pStyle w:val="11"/>
        <w:numPr>
          <w:ilvl w:val="1"/>
          <w:numId w:val="22"/>
        </w:numPr>
        <w:tabs>
          <w:tab w:val="left" w:pos="1644"/>
        </w:tabs>
        <w:spacing w:before="0" w:after="0" w:line="269" w:lineRule="exact"/>
        <w:ind w:left="1643" w:right="0" w:hanging="420"/>
        <w:jc w:val="left"/>
        <w:rPr>
          <w:color w:val="auto"/>
          <w:sz w:val="21"/>
          <w:highlight w:val="none"/>
        </w:rPr>
      </w:pPr>
      <w:r>
        <w:rPr>
          <w:color w:val="auto"/>
          <w:sz w:val="21"/>
          <w:highlight w:val="none"/>
        </w:rPr>
        <w:t>守法诚信</w:t>
      </w:r>
    </w:p>
    <w:p>
      <w:pPr>
        <w:pStyle w:val="5"/>
        <w:spacing w:before="139"/>
        <w:ind w:left="1223"/>
        <w:rPr>
          <w:color w:val="auto"/>
          <w:highlight w:val="none"/>
        </w:rPr>
      </w:pPr>
      <w:r>
        <w:rPr>
          <w:color w:val="auto"/>
          <w:highlight w:val="none"/>
        </w:rPr>
        <w:t>监理人及其工作人员不得从与实施工程有关的第三方处获得任何经济利益。</w:t>
      </w:r>
    </w:p>
    <w:p>
      <w:pPr>
        <w:pStyle w:val="11"/>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保密</w:t>
      </w:r>
    </w:p>
    <w:p>
      <w:pPr>
        <w:pStyle w:val="5"/>
        <w:spacing w:before="139" w:line="367" w:lineRule="auto"/>
        <w:ind w:left="803" w:right="1055" w:firstLine="420"/>
        <w:rPr>
          <w:color w:val="auto"/>
          <w:highlight w:val="none"/>
        </w:rPr>
      </w:pPr>
      <w:r>
        <w:rPr>
          <w:color w:val="auto"/>
          <w:spacing w:val="-1"/>
          <w:w w:val="95"/>
          <w:highlight w:val="none"/>
        </w:rPr>
        <w:t xml:space="preserve">双方不得泄露对方申明的保密资料，亦不得泄露与实施工程有关的第三方所提供的保密资   </w:t>
      </w:r>
      <w:r>
        <w:rPr>
          <w:color w:val="auto"/>
          <w:spacing w:val="-1"/>
          <w:highlight w:val="none"/>
        </w:rPr>
        <w:t>料，保密事项在专用条件中约定。</w:t>
      </w:r>
    </w:p>
    <w:p>
      <w:pPr>
        <w:pStyle w:val="11"/>
        <w:numPr>
          <w:ilvl w:val="1"/>
          <w:numId w:val="22"/>
        </w:numPr>
        <w:tabs>
          <w:tab w:val="left" w:pos="1644"/>
        </w:tabs>
        <w:spacing w:before="0" w:after="0" w:line="264" w:lineRule="exact"/>
        <w:ind w:left="1643" w:right="0" w:hanging="420"/>
        <w:jc w:val="left"/>
        <w:rPr>
          <w:color w:val="auto"/>
          <w:sz w:val="21"/>
          <w:highlight w:val="none"/>
        </w:rPr>
      </w:pPr>
      <w:r>
        <w:rPr>
          <w:color w:val="auto"/>
          <w:sz w:val="21"/>
          <w:highlight w:val="none"/>
        </w:rPr>
        <w:t>通知</w:t>
      </w:r>
    </w:p>
    <w:p>
      <w:pPr>
        <w:pStyle w:val="5"/>
        <w:spacing w:before="138"/>
        <w:ind w:left="1223"/>
        <w:rPr>
          <w:color w:val="auto"/>
          <w:highlight w:val="none"/>
        </w:rPr>
      </w:pPr>
      <w:r>
        <w:rPr>
          <w:color w:val="auto"/>
          <w:highlight w:val="none"/>
        </w:rPr>
        <w:t>本合同涉及的通知均应当采用书面形式，并在送达对方时生效，收件人应书面签收。</w:t>
      </w:r>
    </w:p>
    <w:p>
      <w:pPr>
        <w:pStyle w:val="11"/>
        <w:numPr>
          <w:ilvl w:val="1"/>
          <w:numId w:val="22"/>
        </w:numPr>
        <w:tabs>
          <w:tab w:val="left" w:pos="1644"/>
        </w:tabs>
        <w:spacing w:before="139" w:after="0" w:line="240" w:lineRule="auto"/>
        <w:ind w:left="1643" w:right="0" w:hanging="420"/>
        <w:jc w:val="left"/>
        <w:rPr>
          <w:color w:val="auto"/>
          <w:sz w:val="21"/>
          <w:highlight w:val="none"/>
        </w:rPr>
      </w:pPr>
      <w:r>
        <w:rPr>
          <w:color w:val="auto"/>
          <w:sz w:val="21"/>
          <w:highlight w:val="none"/>
        </w:rPr>
        <w:t>著作权</w:t>
      </w:r>
    </w:p>
    <w:p>
      <w:pPr>
        <w:pStyle w:val="5"/>
        <w:spacing w:before="142"/>
        <w:ind w:left="1223"/>
        <w:rPr>
          <w:color w:val="auto"/>
          <w:highlight w:val="none"/>
        </w:rPr>
      </w:pPr>
      <w:r>
        <w:rPr>
          <w:color w:val="auto"/>
          <w:highlight w:val="none"/>
        </w:rPr>
        <w:t>监理人对其编制的文件拥有著作权。</w:t>
      </w:r>
    </w:p>
    <w:p>
      <w:pPr>
        <w:pStyle w:val="5"/>
        <w:spacing w:before="139" w:line="364" w:lineRule="auto"/>
        <w:ind w:left="803" w:right="1055" w:firstLine="420"/>
        <w:rPr>
          <w:color w:val="auto"/>
          <w:highlight w:val="none"/>
        </w:rPr>
      </w:pPr>
      <w:r>
        <w:rPr>
          <w:color w:val="auto"/>
          <w:w w:val="95"/>
          <w:highlight w:val="none"/>
        </w:rPr>
        <w:t xml:space="preserve">监理人可单独或与他人联合出版有关监理与相关服务的资料。除专用条件另有约定外，如   </w:t>
      </w:r>
      <w:r>
        <w:rPr>
          <w:color w:val="auto"/>
          <w:highlight w:val="none"/>
        </w:rPr>
        <w:t>果监理人在本合同履行期间及本合同终止后两年内出版涉及本工程的有关监理与相关服务的 资料，应当征得委托人的同意。</w:t>
      </w:r>
    </w:p>
    <w:p>
      <w:pPr>
        <w:spacing w:after="0" w:line="364" w:lineRule="auto"/>
        <w:rPr>
          <w:color w:val="auto"/>
          <w:highlight w:val="none"/>
        </w:rPr>
        <w:sectPr>
          <w:pgSz w:w="11910" w:h="16840"/>
          <w:pgMar w:top="1080" w:right="520" w:bottom="1180" w:left="920" w:header="891" w:footer="993" w:gutter="0"/>
        </w:sectPr>
      </w:pPr>
    </w:p>
    <w:p>
      <w:pPr>
        <w:pStyle w:val="5"/>
        <w:spacing w:before="3"/>
        <w:rPr>
          <w:color w:val="auto"/>
          <w:sz w:val="12"/>
          <w:highlight w:val="none"/>
        </w:rPr>
      </w:pPr>
    </w:p>
    <w:p>
      <w:pPr>
        <w:pStyle w:val="3"/>
        <w:tabs>
          <w:tab w:val="left" w:pos="1504"/>
        </w:tabs>
        <w:ind w:right="252"/>
        <w:jc w:val="center"/>
        <w:rPr>
          <w:color w:val="auto"/>
          <w:highlight w:val="none"/>
        </w:rPr>
      </w:pPr>
      <w:r>
        <w:rPr>
          <w:color w:val="auto"/>
          <w:highlight w:val="none"/>
        </w:rPr>
        <w:t>第三部分</w:t>
      </w:r>
      <w:r>
        <w:rPr>
          <w:color w:val="auto"/>
          <w:highlight w:val="none"/>
        </w:rPr>
        <w:tab/>
      </w:r>
      <w:r>
        <w:rPr>
          <w:color w:val="auto"/>
          <w:highlight w:val="none"/>
        </w:rPr>
        <w:t>专用条件</w:t>
      </w:r>
    </w:p>
    <w:p>
      <w:pPr>
        <w:pStyle w:val="4"/>
        <w:numPr>
          <w:ilvl w:val="0"/>
          <w:numId w:val="34"/>
        </w:numPr>
        <w:tabs>
          <w:tab w:val="left" w:pos="1540"/>
        </w:tabs>
        <w:spacing w:before="198"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定义与解释</w:t>
      </w:r>
    </w:p>
    <w:p>
      <w:pPr>
        <w:pStyle w:val="11"/>
        <w:numPr>
          <w:ilvl w:val="1"/>
          <w:numId w:val="35"/>
        </w:numPr>
        <w:tabs>
          <w:tab w:val="left" w:pos="1748"/>
          <w:tab w:val="left" w:pos="1749"/>
        </w:tabs>
        <w:spacing w:before="139" w:after="0" w:line="240" w:lineRule="auto"/>
        <w:ind w:left="1748" w:right="0" w:hanging="525"/>
        <w:jc w:val="left"/>
        <w:rPr>
          <w:color w:val="auto"/>
          <w:sz w:val="21"/>
          <w:highlight w:val="none"/>
        </w:rPr>
      </w:pPr>
      <w:r>
        <w:rPr>
          <w:color w:val="auto"/>
          <w:sz w:val="21"/>
          <w:highlight w:val="none"/>
        </w:rPr>
        <w:t>解释</w:t>
      </w:r>
    </w:p>
    <w:p>
      <w:pPr>
        <w:pStyle w:val="11"/>
        <w:numPr>
          <w:ilvl w:val="2"/>
          <w:numId w:val="35"/>
        </w:numPr>
        <w:tabs>
          <w:tab w:val="left" w:pos="1855"/>
          <w:tab w:val="left" w:pos="5423"/>
          <w:tab w:val="left" w:pos="6053"/>
        </w:tabs>
        <w:spacing w:before="139" w:after="0" w:line="240" w:lineRule="auto"/>
        <w:ind w:left="1854" w:right="0" w:hanging="631"/>
        <w:jc w:val="left"/>
        <w:rPr>
          <w:color w:val="auto"/>
          <w:sz w:val="21"/>
          <w:highlight w:val="none"/>
        </w:rPr>
      </w:pPr>
      <w:r>
        <w:rPr>
          <w:color w:val="auto"/>
          <w:sz w:val="21"/>
          <w:highlight w:val="none"/>
        </w:rPr>
        <w:t>本合同文件除使用中文外，还可用</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1"/>
        <w:numPr>
          <w:ilvl w:val="2"/>
          <w:numId w:val="35"/>
        </w:numPr>
        <w:tabs>
          <w:tab w:val="left" w:pos="1855"/>
        </w:tabs>
        <w:spacing w:before="141" w:after="0" w:line="240" w:lineRule="auto"/>
        <w:ind w:left="1854" w:right="0" w:hanging="631"/>
        <w:jc w:val="left"/>
        <w:rPr>
          <w:color w:val="auto"/>
          <w:sz w:val="21"/>
          <w:highlight w:val="none"/>
        </w:rPr>
      </w:pPr>
      <w:r>
        <w:rPr>
          <w:color w:val="auto"/>
          <w:sz w:val="21"/>
          <w:highlight w:val="none"/>
        </w:rPr>
        <w:t>约定本合同文件的解释顺序为：</w:t>
      </w:r>
      <w:r>
        <w:rPr>
          <w:color w:val="auto"/>
          <w:spacing w:val="16"/>
          <w:sz w:val="21"/>
          <w:highlight w:val="none"/>
          <w:u w:val="single"/>
        </w:rPr>
        <w:t xml:space="preserve"> 按通用条款</w:t>
      </w:r>
      <w:r>
        <w:rPr>
          <w:color w:val="auto"/>
          <w:sz w:val="21"/>
          <w:highlight w:val="none"/>
        </w:rPr>
        <w:t xml:space="preserve"> 。</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监理人义务</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监理的范围和内容</w:t>
      </w:r>
    </w:p>
    <w:p>
      <w:pPr>
        <w:pStyle w:val="5"/>
        <w:spacing w:before="11"/>
        <w:rPr>
          <w:color w:val="auto"/>
          <w:highlight w:val="none"/>
        </w:rPr>
      </w:pPr>
    </w:p>
    <w:p>
      <w:pPr>
        <w:spacing w:before="70"/>
        <w:ind w:left="803" w:right="0" w:firstLine="424" w:firstLineChars="200"/>
        <w:jc w:val="left"/>
        <w:rPr>
          <w:b/>
          <w:color w:val="auto"/>
          <w:sz w:val="21"/>
          <w:highlight w:val="none"/>
        </w:rPr>
      </w:pPr>
      <w:r>
        <w:rPr>
          <w:rFonts w:hint="eastAsia" w:ascii="宋体" w:eastAsia="宋体"/>
          <w:b w:val="0"/>
          <w:color w:val="auto"/>
          <w:spacing w:val="-4"/>
          <w:highlight w:val="none"/>
        </w:rPr>
        <w:t>监理范围包括：</w:t>
      </w:r>
      <w:r>
        <w:rPr>
          <w:rFonts w:hint="eastAsia" w:ascii="宋体" w:eastAsia="宋体"/>
          <w:color w:val="auto"/>
          <w:highlight w:val="none"/>
          <w:u w:val="single"/>
        </w:rPr>
        <w:t>现场“三通一平”、临设、道路等工程施工全过程及保修阶段的监理</w:t>
      </w:r>
      <w:r>
        <w:rPr>
          <w:b/>
          <w:color w:val="auto"/>
          <w:w w:val="98"/>
          <w:sz w:val="21"/>
          <w:highlight w:val="none"/>
          <w:u w:val="single"/>
        </w:rPr>
        <w:t>.</w:t>
      </w:r>
    </w:p>
    <w:p>
      <w:pPr>
        <w:pStyle w:val="5"/>
        <w:spacing w:before="10"/>
        <w:rPr>
          <w:b/>
          <w:color w:val="auto"/>
          <w:sz w:val="7"/>
          <w:highlight w:val="none"/>
        </w:rPr>
      </w:pPr>
    </w:p>
    <w:p>
      <w:pPr>
        <w:pStyle w:val="11"/>
        <w:numPr>
          <w:ilvl w:val="2"/>
          <w:numId w:val="34"/>
        </w:numPr>
        <w:tabs>
          <w:tab w:val="left" w:pos="1855"/>
        </w:tabs>
        <w:spacing w:before="70" w:after="0" w:line="240" w:lineRule="auto"/>
        <w:ind w:left="1854" w:right="0" w:hanging="631"/>
        <w:jc w:val="left"/>
        <w:rPr>
          <w:color w:val="auto"/>
          <w:sz w:val="8"/>
          <w:highlight w:val="none"/>
        </w:rPr>
      </w:pPr>
      <w:r>
        <w:rPr>
          <w:color w:val="auto"/>
          <w:sz w:val="21"/>
          <w:highlight w:val="none"/>
        </w:rPr>
        <w:t>监理工作内容还包括：</w:t>
      </w:r>
      <w:r>
        <w:rPr>
          <w:color w:val="auto"/>
          <w:sz w:val="21"/>
          <w:highlight w:val="none"/>
          <w:u w:val="single"/>
        </w:rPr>
        <w:t>配合项目前期准备工作、配合结算审核及保修阶段的监理</w:t>
      </w:r>
    </w:p>
    <w:p>
      <w:pPr>
        <w:pStyle w:val="5"/>
        <w:spacing w:before="70"/>
        <w:ind w:left="803"/>
        <w:rPr>
          <w:color w:val="auto"/>
          <w:highlight w:val="none"/>
        </w:rPr>
      </w:pPr>
      <w:r>
        <w:rPr>
          <w:color w:val="auto"/>
          <w:highlight w:val="none"/>
          <w:u w:val="single"/>
        </w:rPr>
        <w:t>但不计入监理服务期。</w:t>
      </w:r>
    </w:p>
    <w:p>
      <w:pPr>
        <w:pStyle w:val="5"/>
        <w:spacing w:before="11"/>
        <w:rPr>
          <w:color w:val="auto"/>
          <w:sz w:val="7"/>
          <w:highlight w:val="none"/>
        </w:rPr>
      </w:pPr>
    </w:p>
    <w:p>
      <w:pPr>
        <w:pStyle w:val="11"/>
        <w:numPr>
          <w:ilvl w:val="1"/>
          <w:numId w:val="34"/>
        </w:numPr>
        <w:tabs>
          <w:tab w:val="left" w:pos="1644"/>
        </w:tabs>
        <w:spacing w:before="70" w:after="0" w:line="240" w:lineRule="auto"/>
        <w:ind w:left="1643" w:right="0" w:hanging="420"/>
        <w:jc w:val="left"/>
        <w:rPr>
          <w:color w:val="auto"/>
          <w:sz w:val="21"/>
          <w:highlight w:val="none"/>
        </w:rPr>
      </w:pPr>
      <w:r>
        <w:rPr>
          <w:color w:val="auto"/>
          <w:sz w:val="21"/>
          <w:highlight w:val="none"/>
        </w:rPr>
        <w:t>监理与相关服务依据</w:t>
      </w:r>
    </w:p>
    <w:p>
      <w:pPr>
        <w:pStyle w:val="11"/>
        <w:numPr>
          <w:ilvl w:val="2"/>
          <w:numId w:val="34"/>
        </w:numPr>
        <w:tabs>
          <w:tab w:val="left" w:pos="1855"/>
        </w:tabs>
        <w:spacing w:before="170" w:after="0" w:line="240" w:lineRule="auto"/>
        <w:ind w:left="1854" w:right="0" w:hanging="631"/>
        <w:jc w:val="left"/>
        <w:rPr>
          <w:color w:val="auto"/>
          <w:sz w:val="8"/>
          <w:highlight w:val="none"/>
        </w:rPr>
      </w:pPr>
      <w:r>
        <w:rPr>
          <w:color w:val="auto"/>
          <w:spacing w:val="-15"/>
          <w:sz w:val="21"/>
          <w:highlight w:val="none"/>
        </w:rPr>
        <w:t>监理依据包括：</w:t>
      </w:r>
      <w:r>
        <w:rPr>
          <w:color w:val="auto"/>
          <w:spacing w:val="-23"/>
          <w:sz w:val="21"/>
          <w:highlight w:val="none"/>
          <w:u w:val="single"/>
        </w:rPr>
        <w:t>《中华人民共和国建筑法》、《建设工程质量管理条例》、《浙江省建</w:t>
      </w:r>
    </w:p>
    <w:p>
      <w:pPr>
        <w:pStyle w:val="5"/>
        <w:spacing w:before="70"/>
        <w:ind w:left="803"/>
        <w:rPr>
          <w:color w:val="auto"/>
          <w:highlight w:val="none"/>
        </w:rPr>
      </w:pPr>
      <w:r>
        <w:rPr>
          <w:color w:val="auto"/>
          <w:highlight w:val="none"/>
          <w:u w:val="single"/>
        </w:rPr>
        <w:t>设工程监理管理条例》、《房屋建筑工程和市政基础设施工程竣工验收暂行规定》、《建设工程监</w:t>
      </w:r>
    </w:p>
    <w:p>
      <w:pPr>
        <w:pStyle w:val="5"/>
        <w:spacing w:before="11"/>
        <w:rPr>
          <w:color w:val="auto"/>
          <w:sz w:val="7"/>
          <w:highlight w:val="none"/>
        </w:rPr>
      </w:pPr>
    </w:p>
    <w:p>
      <w:pPr>
        <w:pStyle w:val="5"/>
        <w:spacing w:before="69"/>
        <w:ind w:left="803"/>
        <w:rPr>
          <w:color w:val="auto"/>
          <w:highlight w:val="none"/>
        </w:rPr>
      </w:pPr>
      <w:r>
        <w:rPr>
          <w:color w:val="auto"/>
          <w:spacing w:val="-26"/>
          <w:w w:val="99"/>
          <w:highlight w:val="none"/>
          <w:u w:val="single"/>
        </w:rPr>
        <w:t>理规范》</w:t>
      </w:r>
      <w:r>
        <w:rPr>
          <w:color w:val="auto"/>
          <w:spacing w:val="-1"/>
          <w:w w:val="99"/>
          <w:highlight w:val="none"/>
          <w:u w:val="single"/>
        </w:rPr>
        <w:t>（</w:t>
      </w:r>
      <w:r>
        <w:rPr>
          <w:color w:val="auto"/>
          <w:spacing w:val="1"/>
          <w:w w:val="99"/>
          <w:highlight w:val="none"/>
          <w:u w:val="single"/>
        </w:rPr>
        <w:t>GB5</w:t>
      </w:r>
      <w:r>
        <w:rPr>
          <w:color w:val="auto"/>
          <w:spacing w:val="-2"/>
          <w:w w:val="99"/>
          <w:highlight w:val="none"/>
          <w:u w:val="single"/>
        </w:rPr>
        <w:t>0</w:t>
      </w:r>
      <w:r>
        <w:rPr>
          <w:color w:val="auto"/>
          <w:spacing w:val="1"/>
          <w:w w:val="99"/>
          <w:highlight w:val="none"/>
          <w:u w:val="single"/>
        </w:rPr>
        <w:t>319</w:t>
      </w:r>
      <w:r>
        <w:rPr>
          <w:color w:val="auto"/>
          <w:spacing w:val="-2"/>
          <w:w w:val="99"/>
          <w:highlight w:val="none"/>
          <w:u w:val="single"/>
        </w:rPr>
        <w:t>-</w:t>
      </w:r>
      <w:r>
        <w:rPr>
          <w:color w:val="auto"/>
          <w:spacing w:val="1"/>
          <w:w w:val="99"/>
          <w:highlight w:val="none"/>
          <w:u w:val="single"/>
        </w:rPr>
        <w:t>201</w:t>
      </w:r>
      <w:r>
        <w:rPr>
          <w:color w:val="auto"/>
          <w:spacing w:val="-2"/>
          <w:w w:val="99"/>
          <w:highlight w:val="none"/>
          <w:u w:val="single"/>
        </w:rPr>
        <w:t>3</w:t>
      </w:r>
      <w:r>
        <w:rPr>
          <w:color w:val="auto"/>
          <w:spacing w:val="-104"/>
          <w:w w:val="99"/>
          <w:highlight w:val="none"/>
          <w:u w:val="single"/>
        </w:rPr>
        <w:t>）</w:t>
      </w:r>
      <w:r>
        <w:rPr>
          <w:color w:val="auto"/>
          <w:spacing w:val="-11"/>
          <w:w w:val="99"/>
          <w:highlight w:val="none"/>
          <w:u w:val="single"/>
        </w:rPr>
        <w:t>、《施工旁站监理管理办法》等有关法律、法规、规章、标准和规范</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 xml:space="preserve">性文件。 </w:t>
      </w:r>
    </w:p>
    <w:p>
      <w:pPr>
        <w:pStyle w:val="11"/>
        <w:numPr>
          <w:ilvl w:val="2"/>
          <w:numId w:val="34"/>
        </w:numPr>
        <w:tabs>
          <w:tab w:val="left" w:pos="1855"/>
          <w:tab w:val="left" w:pos="5423"/>
          <w:tab w:val="left" w:pos="7207"/>
        </w:tabs>
        <w:spacing w:before="172" w:after="0" w:line="240" w:lineRule="auto"/>
        <w:ind w:left="1854" w:right="0" w:hanging="631"/>
        <w:jc w:val="left"/>
        <w:rPr>
          <w:color w:val="auto"/>
          <w:sz w:val="21"/>
          <w:highlight w:val="none"/>
        </w:rPr>
      </w:pPr>
      <w:r>
        <w:rPr>
          <w:color w:val="auto"/>
          <w:sz w:val="21"/>
          <w:highlight w:val="none"/>
        </w:rPr>
        <w:t>相关服务依据包括：</w:t>
      </w:r>
      <w:r>
        <w:rPr>
          <w:color w:val="auto"/>
          <w:sz w:val="21"/>
          <w:highlight w:val="none"/>
          <w:u w:val="single"/>
        </w:rPr>
        <w:t xml:space="preserve"> </w:t>
      </w:r>
      <w:r>
        <w:rPr>
          <w:color w:val="auto"/>
          <w:sz w:val="21"/>
          <w:highlight w:val="none"/>
          <w:u w:val="single"/>
        </w:rPr>
        <w:tab/>
      </w:r>
      <w:r>
        <w:rPr>
          <w:color w:val="auto"/>
          <w:sz w:val="21"/>
          <w:highlight w:val="none"/>
          <w:u w:val="single"/>
        </w:rPr>
        <w:t>/</w:t>
      </w:r>
      <w:r>
        <w:rPr>
          <w:color w:val="auto"/>
          <w:sz w:val="21"/>
          <w:highlight w:val="none"/>
          <w:u w:val="single"/>
        </w:rPr>
        <w:tab/>
      </w:r>
      <w:r>
        <w:rPr>
          <w:color w:val="auto"/>
          <w:sz w:val="21"/>
          <w:highlight w:val="none"/>
        </w:rPr>
        <w:t>。</w:t>
      </w:r>
    </w:p>
    <w:p>
      <w:pPr>
        <w:pStyle w:val="11"/>
        <w:numPr>
          <w:ilvl w:val="1"/>
          <w:numId w:val="34"/>
        </w:numPr>
        <w:tabs>
          <w:tab w:val="left" w:pos="1591"/>
        </w:tabs>
        <w:spacing w:before="170" w:after="0" w:line="240" w:lineRule="auto"/>
        <w:ind w:left="1590" w:right="0" w:hanging="367"/>
        <w:jc w:val="left"/>
        <w:rPr>
          <w:color w:val="auto"/>
          <w:sz w:val="21"/>
          <w:highlight w:val="none"/>
        </w:rPr>
      </w:pPr>
      <w:r>
        <w:rPr>
          <w:color w:val="auto"/>
          <w:sz w:val="21"/>
          <w:highlight w:val="none"/>
        </w:rPr>
        <w:t>项目监理机构和人员</w:t>
      </w:r>
    </w:p>
    <w:p>
      <w:pPr>
        <w:pStyle w:val="5"/>
        <w:tabs>
          <w:tab w:val="left" w:pos="5319"/>
          <w:tab w:val="left" w:pos="7943"/>
        </w:tabs>
        <w:spacing w:before="139"/>
        <w:ind w:left="1223"/>
        <w:rPr>
          <w:color w:val="auto"/>
          <w:highlight w:val="none"/>
        </w:rPr>
      </w:pPr>
      <w:r>
        <w:rPr>
          <w:color w:val="auto"/>
          <w:highlight w:val="none"/>
        </w:rPr>
        <w:t>2.3.4</w:t>
      </w:r>
      <w:r>
        <w:rPr>
          <w:color w:val="auto"/>
          <w:spacing w:val="-3"/>
          <w:highlight w:val="none"/>
        </w:rPr>
        <w:t xml:space="preserve"> </w:t>
      </w:r>
      <w:r>
        <w:rPr>
          <w:color w:val="auto"/>
          <w:highlight w:val="none"/>
        </w:rPr>
        <w:t>更换监理人员的其他情形：</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u w:val="single"/>
        </w:rPr>
        <w:t>。</w:t>
      </w:r>
    </w:p>
    <w:p>
      <w:pPr>
        <w:pStyle w:val="11"/>
        <w:numPr>
          <w:ilvl w:val="1"/>
          <w:numId w:val="36"/>
        </w:numPr>
        <w:tabs>
          <w:tab w:val="left" w:pos="1644"/>
        </w:tabs>
        <w:spacing w:before="22" w:after="0" w:line="240" w:lineRule="auto"/>
        <w:ind w:left="1643" w:right="0" w:hanging="420"/>
        <w:jc w:val="left"/>
        <w:rPr>
          <w:color w:val="auto"/>
          <w:sz w:val="21"/>
          <w:highlight w:val="none"/>
        </w:rPr>
      </w:pPr>
      <w:r>
        <w:rPr>
          <w:color w:val="auto"/>
          <w:sz w:val="21"/>
          <w:highlight w:val="none"/>
        </w:rPr>
        <w:t>履行职责</w:t>
      </w:r>
    </w:p>
    <w:p>
      <w:pPr>
        <w:pStyle w:val="11"/>
        <w:numPr>
          <w:ilvl w:val="2"/>
          <w:numId w:val="36"/>
        </w:numPr>
        <w:tabs>
          <w:tab w:val="left" w:pos="1855"/>
        </w:tabs>
        <w:spacing w:before="141" w:after="0" w:line="240" w:lineRule="auto"/>
        <w:ind w:left="1854" w:right="0" w:hanging="631"/>
        <w:jc w:val="left"/>
        <w:rPr>
          <w:color w:val="auto"/>
          <w:sz w:val="21"/>
          <w:highlight w:val="none"/>
        </w:rPr>
      </w:pPr>
      <w:r>
        <w:rPr>
          <w:color w:val="auto"/>
          <w:sz w:val="21"/>
          <w:highlight w:val="none"/>
        </w:rPr>
        <w:t>对监理人的授权范围：</w:t>
      </w:r>
      <w:r>
        <w:rPr>
          <w:color w:val="auto"/>
          <w:spacing w:val="-1"/>
          <w:sz w:val="21"/>
          <w:highlight w:val="none"/>
          <w:u w:val="single"/>
        </w:rPr>
        <w:t xml:space="preserve"> 在行使权力涉及到施工合同价款变更和工期调整时 。</w:t>
      </w:r>
    </w:p>
    <w:p>
      <w:pPr>
        <w:pStyle w:val="5"/>
        <w:tabs>
          <w:tab w:val="left" w:pos="3427"/>
          <w:tab w:val="left" w:pos="5528"/>
          <w:tab w:val="left" w:pos="5947"/>
        </w:tabs>
        <w:spacing w:before="139" w:line="364" w:lineRule="auto"/>
        <w:ind w:left="803" w:right="1158" w:firstLine="420"/>
        <w:rPr>
          <w:color w:val="auto"/>
          <w:highlight w:val="none"/>
        </w:rPr>
      </w:pPr>
      <w:r>
        <w:rPr>
          <w:color w:val="auto"/>
          <w:highlight w:val="none"/>
        </w:rPr>
        <w:t>在涉及工程延期</w:t>
      </w:r>
      <w:r>
        <w:rPr>
          <w:color w:val="auto"/>
          <w:spacing w:val="101"/>
          <w:highlight w:val="none"/>
          <w:u w:val="single"/>
        </w:rPr>
        <w:t xml:space="preserve"> </w:t>
      </w:r>
      <w:r>
        <w:rPr>
          <w:color w:val="auto"/>
          <w:highlight w:val="none"/>
          <w:u w:val="single"/>
        </w:rPr>
        <w:t>/</w:t>
      </w:r>
      <w:r>
        <w:rPr>
          <w:color w:val="auto"/>
          <w:highlight w:val="none"/>
          <w:u w:val="single"/>
        </w:rPr>
        <w:tab/>
      </w:r>
      <w:r>
        <w:rPr>
          <w:color w:val="auto"/>
          <w:highlight w:val="none"/>
        </w:rPr>
        <w:t>天内和（或）金额</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万元内的变更，监理人不需请示委托人即可向承包人发布变更通知。</w:t>
      </w:r>
    </w:p>
    <w:p>
      <w:pPr>
        <w:pStyle w:val="11"/>
        <w:numPr>
          <w:ilvl w:val="2"/>
          <w:numId w:val="36"/>
        </w:numPr>
        <w:tabs>
          <w:tab w:val="left" w:pos="1855"/>
          <w:tab w:val="left" w:pos="6579"/>
        </w:tabs>
        <w:spacing w:before="0" w:after="0" w:line="364" w:lineRule="auto"/>
        <w:ind w:left="803" w:right="1055" w:firstLine="420"/>
        <w:jc w:val="left"/>
        <w:rPr>
          <w:color w:val="auto"/>
          <w:sz w:val="21"/>
          <w:highlight w:val="none"/>
        </w:rPr>
      </w:pPr>
      <w:r>
        <w:rPr>
          <w:color w:val="auto"/>
          <w:sz w:val="21"/>
          <w:highlight w:val="none"/>
        </w:rPr>
        <w:t>监理人有权要求承包人调换其人员的限制条件</w:t>
      </w:r>
      <w:r>
        <w:rPr>
          <w:color w:val="auto"/>
          <w:spacing w:val="-4"/>
          <w:sz w:val="21"/>
          <w:highlight w:val="none"/>
        </w:rPr>
        <w:t>：</w:t>
      </w:r>
      <w:r>
        <w:rPr>
          <w:color w:val="auto"/>
          <w:spacing w:val="-16"/>
          <w:sz w:val="21"/>
          <w:highlight w:val="none"/>
          <w:u w:val="single"/>
        </w:rPr>
        <w:t xml:space="preserve"> </w:t>
      </w:r>
      <w:r>
        <w:rPr>
          <w:color w:val="auto"/>
          <w:sz w:val="21"/>
          <w:highlight w:val="none"/>
          <w:u w:val="single"/>
        </w:rPr>
        <w:t>1、监理人要求承包人调换项目经理的，应事先和委托人协商，委托人同意后提前</w:t>
      </w:r>
      <w:r>
        <w:rPr>
          <w:color w:val="auto"/>
          <w:spacing w:val="-58"/>
          <w:sz w:val="21"/>
          <w:highlight w:val="none"/>
          <w:u w:val="single"/>
        </w:rPr>
        <w:t xml:space="preserve"> </w:t>
      </w:r>
      <w:r>
        <w:rPr>
          <w:color w:val="auto"/>
          <w:sz w:val="21"/>
          <w:highlight w:val="none"/>
          <w:u w:val="single"/>
        </w:rPr>
        <w:t>7</w:t>
      </w:r>
      <w:r>
        <w:rPr>
          <w:color w:val="auto"/>
          <w:spacing w:val="-57"/>
          <w:sz w:val="21"/>
          <w:highlight w:val="none"/>
          <w:u w:val="single"/>
        </w:rPr>
        <w:t xml:space="preserve"> </w:t>
      </w:r>
      <w:r>
        <w:rPr>
          <w:color w:val="auto"/>
          <w:sz w:val="21"/>
          <w:highlight w:val="none"/>
          <w:u w:val="single"/>
        </w:rPr>
        <w:t>天向承包人发出调换项目经理通知。2、监理人要求承包人调换其他管理人员的应提前</w:t>
      </w:r>
      <w:r>
        <w:rPr>
          <w:color w:val="auto"/>
          <w:spacing w:val="-57"/>
          <w:sz w:val="21"/>
          <w:highlight w:val="none"/>
          <w:u w:val="single"/>
        </w:rPr>
        <w:t xml:space="preserve"> </w:t>
      </w:r>
      <w:r>
        <w:rPr>
          <w:color w:val="auto"/>
          <w:sz w:val="21"/>
          <w:highlight w:val="none"/>
          <w:u w:val="single"/>
        </w:rPr>
        <w:t>7</w:t>
      </w:r>
      <w:r>
        <w:rPr>
          <w:color w:val="auto"/>
          <w:spacing w:val="-55"/>
          <w:sz w:val="21"/>
          <w:highlight w:val="none"/>
          <w:u w:val="single"/>
        </w:rPr>
        <w:t xml:space="preserve"> </w:t>
      </w:r>
      <w:r>
        <w:rPr>
          <w:color w:val="auto"/>
          <w:sz w:val="21"/>
          <w:highlight w:val="none"/>
          <w:u w:val="single"/>
        </w:rPr>
        <w:t>天通知委托人</w:t>
      </w:r>
      <w:r>
        <w:rPr>
          <w:color w:val="auto"/>
          <w:sz w:val="21"/>
          <w:highlight w:val="none"/>
          <w:u w:val="single"/>
        </w:rPr>
        <w:tab/>
      </w:r>
      <w:r>
        <w:rPr>
          <w:color w:val="auto"/>
          <w:sz w:val="21"/>
          <w:highlight w:val="none"/>
          <w:u w:val="single"/>
        </w:rPr>
        <w:t>。</w:t>
      </w:r>
    </w:p>
    <w:p>
      <w:pPr>
        <w:pStyle w:val="11"/>
        <w:numPr>
          <w:ilvl w:val="1"/>
          <w:numId w:val="36"/>
        </w:numPr>
        <w:tabs>
          <w:tab w:val="left" w:pos="1644"/>
        </w:tabs>
        <w:spacing w:before="0" w:after="0" w:line="269" w:lineRule="exact"/>
        <w:ind w:left="1643" w:right="0" w:hanging="420"/>
        <w:jc w:val="left"/>
        <w:rPr>
          <w:color w:val="auto"/>
          <w:sz w:val="21"/>
          <w:highlight w:val="none"/>
        </w:rPr>
      </w:pPr>
      <w:r>
        <w:rPr>
          <w:color w:val="auto"/>
          <w:sz w:val="21"/>
          <w:highlight w:val="none"/>
        </w:rPr>
        <w:t>提交报告</w:t>
      </w:r>
    </w:p>
    <w:p>
      <w:pPr>
        <w:pStyle w:val="5"/>
        <w:tabs>
          <w:tab w:val="left" w:pos="4583"/>
          <w:tab w:val="left" w:pos="8259"/>
        </w:tabs>
        <w:spacing w:before="137" w:line="364" w:lineRule="auto"/>
        <w:ind w:left="803" w:right="949" w:firstLine="420"/>
        <w:rPr>
          <w:color w:val="auto"/>
          <w:highlight w:val="none"/>
        </w:rPr>
      </w:pPr>
      <w:r>
        <w:rPr>
          <w:color w:val="auto"/>
          <w:w w:val="95"/>
          <w:highlight w:val="none"/>
        </w:rPr>
        <w:t>监理人应提交报告的种类(包括监理规划、监理月报及约定的专项报告)、时间和份数：</w:t>
      </w:r>
      <w:r>
        <w:rPr>
          <w:color w:val="auto"/>
          <w:w w:val="95"/>
          <w:highlight w:val="none"/>
          <w:u w:val="single"/>
        </w:rPr>
        <w:t>1、</w:t>
      </w:r>
      <w:r>
        <w:rPr>
          <w:color w:val="auto"/>
          <w:highlight w:val="none"/>
          <w:u w:val="single"/>
        </w:rPr>
        <w:t>监理人应在工程开工前</w:t>
      </w:r>
      <w:r>
        <w:rPr>
          <w:color w:val="auto"/>
          <w:spacing w:val="-54"/>
          <w:highlight w:val="none"/>
          <w:u w:val="single"/>
        </w:rPr>
        <w:t xml:space="preserve"> </w:t>
      </w:r>
      <w:r>
        <w:rPr>
          <w:color w:val="auto"/>
          <w:highlight w:val="none"/>
          <w:u w:val="single"/>
        </w:rPr>
        <w:t>14</w:t>
      </w:r>
      <w:r>
        <w:rPr>
          <w:color w:val="auto"/>
          <w:spacing w:val="-55"/>
          <w:highlight w:val="none"/>
          <w:u w:val="single"/>
        </w:rPr>
        <w:t xml:space="preserve"> </w:t>
      </w:r>
      <w:r>
        <w:rPr>
          <w:color w:val="auto"/>
          <w:highlight w:val="none"/>
          <w:u w:val="single"/>
        </w:rPr>
        <w:t>日向委托人提供</w:t>
      </w:r>
      <w:r>
        <w:rPr>
          <w:color w:val="auto"/>
          <w:spacing w:val="-57"/>
          <w:highlight w:val="none"/>
          <w:u w:val="single"/>
        </w:rPr>
        <w:t xml:space="preserve"> </w:t>
      </w:r>
      <w:r>
        <w:rPr>
          <w:color w:val="auto"/>
          <w:highlight w:val="none"/>
          <w:u w:val="single"/>
        </w:rPr>
        <w:t>2</w:t>
      </w:r>
      <w:r>
        <w:rPr>
          <w:color w:val="auto"/>
          <w:spacing w:val="-55"/>
          <w:highlight w:val="none"/>
          <w:u w:val="single"/>
        </w:rPr>
        <w:t xml:space="preserve"> </w:t>
      </w:r>
      <w:r>
        <w:rPr>
          <w:color w:val="auto"/>
          <w:highlight w:val="none"/>
          <w:u w:val="single"/>
        </w:rPr>
        <w:t>套《监理规划》；2、监理人应在每月的</w:t>
      </w:r>
      <w:r>
        <w:rPr>
          <w:color w:val="auto"/>
          <w:spacing w:val="-56"/>
          <w:highlight w:val="none"/>
          <w:u w:val="single"/>
        </w:rPr>
        <w:t xml:space="preserve"> </w:t>
      </w:r>
      <w:r>
        <w:rPr>
          <w:color w:val="auto"/>
          <w:highlight w:val="none"/>
          <w:u w:val="single"/>
        </w:rPr>
        <w:t>5</w:t>
      </w:r>
      <w:r>
        <w:rPr>
          <w:color w:val="auto"/>
          <w:spacing w:val="-56"/>
          <w:highlight w:val="none"/>
          <w:u w:val="single"/>
        </w:rPr>
        <w:t xml:space="preserve"> </w:t>
      </w:r>
      <w:r>
        <w:rPr>
          <w:color w:val="auto"/>
          <w:highlight w:val="none"/>
          <w:u w:val="single"/>
        </w:rPr>
        <w:t>日前向委托人提供</w:t>
      </w:r>
      <w:r>
        <w:rPr>
          <w:color w:val="auto"/>
          <w:spacing w:val="-58"/>
          <w:highlight w:val="none"/>
          <w:u w:val="single"/>
        </w:rPr>
        <w:t xml:space="preserve"> </w:t>
      </w:r>
      <w:r>
        <w:rPr>
          <w:color w:val="auto"/>
          <w:highlight w:val="none"/>
          <w:u w:val="single"/>
        </w:rPr>
        <w:t>1</w:t>
      </w:r>
      <w:r>
        <w:rPr>
          <w:color w:val="auto"/>
          <w:spacing w:val="-56"/>
          <w:highlight w:val="none"/>
          <w:u w:val="single"/>
        </w:rPr>
        <w:t xml:space="preserve"> </w:t>
      </w:r>
      <w:r>
        <w:rPr>
          <w:color w:val="auto"/>
          <w:highlight w:val="none"/>
          <w:u w:val="single"/>
        </w:rPr>
        <w:t>份上月的《监理月报》；</w:t>
      </w:r>
      <w:r>
        <w:rPr>
          <w:color w:val="auto"/>
          <w:spacing w:val="-6"/>
          <w:highlight w:val="none"/>
          <w:u w:val="single"/>
        </w:rPr>
        <w:t xml:space="preserve"> </w:t>
      </w:r>
      <w:r>
        <w:rPr>
          <w:color w:val="auto"/>
          <w:highlight w:val="none"/>
          <w:u w:val="single"/>
        </w:rPr>
        <w:t>3、监理人应根据工程需要或有关规定编制《监理实施细则》，在专项工程开工前</w:t>
      </w:r>
      <w:r>
        <w:rPr>
          <w:color w:val="auto"/>
          <w:spacing w:val="-50"/>
          <w:highlight w:val="none"/>
          <w:u w:val="single"/>
        </w:rPr>
        <w:t xml:space="preserve"> </w:t>
      </w:r>
      <w:r>
        <w:rPr>
          <w:color w:val="auto"/>
          <w:highlight w:val="none"/>
          <w:u w:val="single"/>
        </w:rPr>
        <w:t>14</w:t>
      </w:r>
      <w:r>
        <w:rPr>
          <w:color w:val="auto"/>
          <w:spacing w:val="-52"/>
          <w:highlight w:val="none"/>
          <w:u w:val="single"/>
        </w:rPr>
        <w:t xml:space="preserve"> </w:t>
      </w:r>
      <w:r>
        <w:rPr>
          <w:color w:val="auto"/>
          <w:highlight w:val="none"/>
          <w:u w:val="single"/>
        </w:rPr>
        <w:t>日向委托人提供</w:t>
      </w:r>
      <w:r>
        <w:rPr>
          <w:color w:val="auto"/>
          <w:spacing w:val="-53"/>
          <w:highlight w:val="none"/>
          <w:u w:val="single"/>
        </w:rPr>
        <w:t xml:space="preserve"> </w:t>
      </w:r>
      <w:r>
        <w:rPr>
          <w:color w:val="auto"/>
          <w:highlight w:val="none"/>
          <w:u w:val="single"/>
        </w:rPr>
        <w:t>2</w:t>
      </w:r>
      <w:r>
        <w:rPr>
          <w:color w:val="auto"/>
          <w:spacing w:val="-51"/>
          <w:highlight w:val="none"/>
          <w:u w:val="single"/>
        </w:rPr>
        <w:t xml:space="preserve"> </w:t>
      </w:r>
      <w:r>
        <w:rPr>
          <w:color w:val="auto"/>
          <w:highlight w:val="none"/>
          <w:u w:val="single"/>
        </w:rPr>
        <w:t>套《监理实施细则》，监理人应及时或按照委托人的要求时限和份数提供专项报告</w:t>
      </w:r>
      <w:r>
        <w:rPr>
          <w:color w:val="auto"/>
          <w:highlight w:val="none"/>
          <w:u w:val="single"/>
        </w:rPr>
        <w:tab/>
      </w:r>
      <w:r>
        <w:rPr>
          <w:color w:val="auto"/>
          <w:highlight w:val="none"/>
          <w:u w:val="single"/>
        </w:rPr>
        <w:t>。</w:t>
      </w:r>
    </w:p>
    <w:p>
      <w:pPr>
        <w:pStyle w:val="5"/>
        <w:spacing w:line="267" w:lineRule="exact"/>
        <w:ind w:left="1328"/>
        <w:rPr>
          <w:color w:val="auto"/>
          <w:highlight w:val="none"/>
        </w:rPr>
      </w:pPr>
      <w:r>
        <w:rPr>
          <w:color w:val="auto"/>
          <w:highlight w:val="none"/>
        </w:rPr>
        <w:t>2.7 使用委托人的财产</w:t>
      </w:r>
    </w:p>
    <w:p>
      <w:pPr>
        <w:pStyle w:val="5"/>
        <w:spacing w:before="139"/>
        <w:ind w:left="1328"/>
        <w:rPr>
          <w:color w:val="auto"/>
          <w:highlight w:val="none"/>
        </w:rPr>
      </w:pPr>
      <w:r>
        <w:rPr>
          <w:color w:val="auto"/>
          <w:highlight w:val="none"/>
        </w:rPr>
        <w:t>附录 B 中由委托人无偿提供的房屋、设备的所有权属于：</w:t>
      </w:r>
      <w:r>
        <w:rPr>
          <w:color w:val="auto"/>
          <w:highlight w:val="none"/>
          <w:u w:val="single"/>
        </w:rPr>
        <w:t xml:space="preserve"> 委托人 </w:t>
      </w:r>
      <w:r>
        <w:rPr>
          <w:color w:val="auto"/>
          <w:highlight w:val="none"/>
        </w:rPr>
        <w:t>。</w:t>
      </w:r>
    </w:p>
    <w:p>
      <w:pPr>
        <w:spacing w:after="0"/>
        <w:rPr>
          <w:color w:val="auto"/>
          <w:highlight w:val="none"/>
        </w:rPr>
        <w:sectPr>
          <w:pgSz w:w="11910" w:h="16840"/>
          <w:pgMar w:top="1080" w:right="520" w:bottom="1180" w:left="920" w:header="891" w:footer="993" w:gutter="0"/>
        </w:sectPr>
      </w:pPr>
    </w:p>
    <w:p>
      <w:pPr>
        <w:pStyle w:val="5"/>
        <w:spacing w:before="9"/>
        <w:rPr>
          <w:color w:val="auto"/>
          <w:sz w:val="10"/>
          <w:highlight w:val="none"/>
        </w:rPr>
      </w:pPr>
    </w:p>
    <w:p>
      <w:pPr>
        <w:pStyle w:val="5"/>
        <w:spacing w:before="77" w:line="364" w:lineRule="auto"/>
        <w:ind w:left="803" w:right="1158" w:firstLine="420"/>
        <w:rPr>
          <w:color w:val="auto"/>
          <w:highlight w:val="none"/>
        </w:rPr>
      </w:pPr>
      <w:r>
        <w:rPr>
          <w:color w:val="auto"/>
          <w:highlight w:val="none"/>
        </w:rPr>
        <w:t>监理人应在本合同终止后</w:t>
      </w:r>
      <w:r>
        <w:rPr>
          <w:color w:val="auto"/>
          <w:highlight w:val="none"/>
          <w:u w:val="single"/>
        </w:rPr>
        <w:t xml:space="preserve"> 7 </w:t>
      </w:r>
      <w:r>
        <w:rPr>
          <w:color w:val="auto"/>
          <w:highlight w:val="none"/>
        </w:rPr>
        <w:t>天内移交委托人无偿提供的房屋、设备，移交的时间和方式为：</w:t>
      </w:r>
      <w:r>
        <w:rPr>
          <w:color w:val="auto"/>
          <w:highlight w:val="none"/>
          <w:u w:val="single"/>
        </w:rPr>
        <w:t>当面移交</w:t>
      </w:r>
      <w:r>
        <w:rPr>
          <w:color w:val="auto"/>
          <w:highlight w:val="none"/>
        </w:rPr>
        <w:t>。</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委托人义务</w:t>
      </w:r>
    </w:p>
    <w:p>
      <w:pPr>
        <w:pStyle w:val="5"/>
        <w:spacing w:before="139"/>
        <w:ind w:left="1223"/>
        <w:rPr>
          <w:color w:val="auto"/>
          <w:highlight w:val="none"/>
        </w:rPr>
      </w:pPr>
      <w:r>
        <w:rPr>
          <w:color w:val="auto"/>
          <w:highlight w:val="none"/>
        </w:rPr>
        <w:t>3.4 委托人代表</w:t>
      </w:r>
    </w:p>
    <w:p>
      <w:pPr>
        <w:pStyle w:val="5"/>
        <w:tabs>
          <w:tab w:val="left" w:pos="6894"/>
        </w:tabs>
        <w:spacing w:before="141"/>
        <w:ind w:left="1223"/>
        <w:rPr>
          <w:color w:val="auto"/>
          <w:highlight w:val="none"/>
        </w:rPr>
      </w:pPr>
      <w:r>
        <w:rPr>
          <w:color w:val="auto"/>
          <w:highlight w:val="none"/>
        </w:rPr>
        <w:t>委托人代表为：</w:t>
      </w:r>
      <w:r>
        <w:rPr>
          <w:color w:val="auto"/>
          <w:highlight w:val="none"/>
          <w:u w:val="single"/>
        </w:rPr>
        <w:t xml:space="preserve"> </w:t>
      </w:r>
      <w:r>
        <w:rPr>
          <w:color w:val="auto"/>
          <w:highlight w:val="none"/>
          <w:u w:val="single"/>
        </w:rPr>
        <w:tab/>
      </w:r>
      <w:r>
        <w:rPr>
          <w:color w:val="auto"/>
          <w:highlight w:val="none"/>
        </w:rPr>
        <w:t>。</w:t>
      </w:r>
    </w:p>
    <w:p>
      <w:pPr>
        <w:pStyle w:val="5"/>
        <w:spacing w:before="139"/>
        <w:ind w:left="1223"/>
        <w:rPr>
          <w:color w:val="auto"/>
          <w:highlight w:val="none"/>
        </w:rPr>
      </w:pPr>
      <w:r>
        <w:rPr>
          <w:color w:val="auto"/>
          <w:highlight w:val="none"/>
        </w:rPr>
        <w:t>3.6 答复</w:t>
      </w:r>
    </w:p>
    <w:p>
      <w:pPr>
        <w:pStyle w:val="5"/>
        <w:tabs>
          <w:tab w:val="left" w:pos="2799"/>
          <w:tab w:val="left" w:pos="3113"/>
        </w:tabs>
        <w:spacing w:before="139"/>
        <w:ind w:left="1223"/>
        <w:rPr>
          <w:color w:val="auto"/>
          <w:highlight w:val="none"/>
        </w:rPr>
      </w:pPr>
      <w:r>
        <w:rPr>
          <w:color w:val="auto"/>
          <w:highlight w:val="none"/>
        </w:rPr>
        <w:t>委托人同意在</w:t>
      </w:r>
      <w:r>
        <w:rPr>
          <w:color w:val="auto"/>
          <w:highlight w:val="none"/>
          <w:u w:val="single"/>
        </w:rPr>
        <w:t xml:space="preserve"> </w:t>
      </w:r>
      <w:r>
        <w:rPr>
          <w:color w:val="auto"/>
          <w:highlight w:val="none"/>
          <w:u w:val="single"/>
        </w:rPr>
        <w:tab/>
      </w:r>
      <w:r>
        <w:rPr>
          <w:color w:val="auto"/>
          <w:highlight w:val="none"/>
          <w:u w:val="single"/>
        </w:rPr>
        <w:t>7</w:t>
      </w:r>
      <w:r>
        <w:rPr>
          <w:color w:val="auto"/>
          <w:highlight w:val="none"/>
          <w:u w:val="single"/>
        </w:rPr>
        <w:tab/>
      </w:r>
      <w:r>
        <w:rPr>
          <w:color w:val="auto"/>
          <w:highlight w:val="none"/>
        </w:rPr>
        <w:t>天内，对监理人书面提交并要求做出决定的事宜给予书面答复。</w:t>
      </w:r>
    </w:p>
    <w:p>
      <w:pPr>
        <w:pStyle w:val="4"/>
        <w:numPr>
          <w:ilvl w:val="0"/>
          <w:numId w:val="34"/>
        </w:numPr>
        <w:tabs>
          <w:tab w:val="left" w:pos="1540"/>
        </w:tabs>
        <w:spacing w:before="13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违约责任</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监理人的违约责任</w:t>
      </w:r>
    </w:p>
    <w:p>
      <w:pPr>
        <w:pStyle w:val="11"/>
        <w:numPr>
          <w:ilvl w:val="2"/>
          <w:numId w:val="34"/>
        </w:numPr>
        <w:tabs>
          <w:tab w:val="left" w:pos="1802"/>
        </w:tabs>
        <w:spacing w:before="139" w:after="0" w:line="240" w:lineRule="auto"/>
        <w:ind w:left="1801" w:right="0" w:hanging="578"/>
        <w:jc w:val="left"/>
        <w:rPr>
          <w:color w:val="auto"/>
          <w:sz w:val="21"/>
          <w:highlight w:val="none"/>
        </w:rPr>
      </w:pPr>
      <w:r>
        <w:rPr>
          <w:color w:val="auto"/>
          <w:sz w:val="21"/>
          <w:highlight w:val="none"/>
        </w:rPr>
        <w:t>监理人赔偿金额按下列方法确定：</w:t>
      </w:r>
    </w:p>
    <w:p>
      <w:pPr>
        <w:pStyle w:val="5"/>
        <w:spacing w:before="141"/>
        <w:ind w:left="1223"/>
        <w:rPr>
          <w:color w:val="auto"/>
          <w:highlight w:val="none"/>
        </w:rPr>
      </w:pPr>
      <w:r>
        <w:rPr>
          <w:color w:val="auto"/>
          <w:highlight w:val="none"/>
        </w:rPr>
        <w:t>赔偿金＝直接经济损失×正常工作酬金÷工程概算投资额（或建筑安装工程费）</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委托人的违约责任</w:t>
      </w:r>
    </w:p>
    <w:p>
      <w:pPr>
        <w:pStyle w:val="5"/>
        <w:spacing w:before="139"/>
        <w:ind w:left="1223"/>
        <w:rPr>
          <w:color w:val="auto"/>
          <w:highlight w:val="none"/>
        </w:rPr>
      </w:pPr>
      <w:r>
        <w:rPr>
          <w:color w:val="auto"/>
          <w:highlight w:val="none"/>
        </w:rPr>
        <w:t>4.2.3 委托人逾期付款利息按下列方法确定：</w:t>
      </w:r>
    </w:p>
    <w:p>
      <w:pPr>
        <w:pStyle w:val="5"/>
        <w:spacing w:before="139"/>
        <w:ind w:left="1223"/>
        <w:rPr>
          <w:color w:val="auto"/>
          <w:highlight w:val="none"/>
        </w:rPr>
      </w:pPr>
      <w:r>
        <w:rPr>
          <w:color w:val="auto"/>
          <w:highlight w:val="none"/>
        </w:rPr>
        <w:t>逾期付款利息＝当期应付款总额×银行同期贷款利率×拖延支付天数</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支付</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支付货币</w:t>
      </w:r>
    </w:p>
    <w:p>
      <w:pPr>
        <w:pStyle w:val="5"/>
        <w:tabs>
          <w:tab w:val="left" w:pos="3219"/>
          <w:tab w:val="left" w:pos="4899"/>
          <w:tab w:val="left" w:pos="6579"/>
        </w:tabs>
        <w:spacing w:before="139"/>
        <w:ind w:left="1223"/>
        <w:rPr>
          <w:color w:val="auto"/>
          <w:highlight w:val="none"/>
        </w:rPr>
      </w:pPr>
      <w:r>
        <w:rPr>
          <w:color w:val="auto"/>
          <w:highlight w:val="none"/>
        </w:rPr>
        <w:t>币种为：</w:t>
      </w:r>
      <w:r>
        <w:rPr>
          <w:color w:val="auto"/>
          <w:spacing w:val="103"/>
          <w:highlight w:val="none"/>
          <w:u w:val="single"/>
        </w:rPr>
        <w:t xml:space="preserve"> </w:t>
      </w:r>
      <w:r>
        <w:rPr>
          <w:color w:val="auto"/>
          <w:highlight w:val="none"/>
          <w:u w:val="single"/>
        </w:rPr>
        <w:t>人民币</w:t>
      </w:r>
      <w:r>
        <w:rPr>
          <w:color w:val="auto"/>
          <w:highlight w:val="none"/>
          <w:u w:val="single"/>
        </w:rPr>
        <w:tab/>
      </w:r>
      <w:r>
        <w:rPr>
          <w:color w:val="auto"/>
          <w:highlight w:val="none"/>
        </w:rPr>
        <w:t>，比例为：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，汇率为：</w:t>
      </w:r>
      <w:r>
        <w:rPr>
          <w:color w:val="auto"/>
          <w:spacing w:val="-1"/>
          <w:highlight w:val="none"/>
          <w:u w:val="single"/>
        </w:rPr>
        <w:t xml:space="preserve"> </w:t>
      </w:r>
      <w:r>
        <w:rPr>
          <w:color w:val="auto"/>
          <w:highlight w:val="none"/>
          <w:u w:val="single"/>
        </w:rPr>
        <w:t>/</w:t>
      </w:r>
      <w:r>
        <w:rPr>
          <w:color w:val="auto"/>
          <w:highlight w:val="none"/>
          <w:u w:val="single"/>
        </w:rPr>
        <w:tab/>
      </w:r>
      <w:r>
        <w:rPr>
          <w:color w:val="auto"/>
          <w:highlight w:val="none"/>
        </w:rPr>
        <w:t>。</w:t>
      </w:r>
    </w:p>
    <w:p>
      <w:pPr>
        <w:pStyle w:val="5"/>
        <w:spacing w:before="139"/>
        <w:ind w:left="1223"/>
        <w:rPr>
          <w:color w:val="auto"/>
          <w:highlight w:val="none"/>
        </w:rPr>
      </w:pPr>
      <w:r>
        <w:rPr>
          <w:color w:val="auto"/>
          <w:highlight w:val="none"/>
        </w:rPr>
        <w:t>5.3 支付酬金</w:t>
      </w:r>
    </w:p>
    <w:p>
      <w:pPr>
        <w:pStyle w:val="5"/>
        <w:spacing w:before="11"/>
        <w:rPr>
          <w:color w:val="auto"/>
          <w:highlight w:val="none"/>
        </w:rPr>
      </w:pPr>
    </w:p>
    <w:p>
      <w:pPr>
        <w:pStyle w:val="5"/>
        <w:ind w:left="1223"/>
        <w:rPr>
          <w:color w:val="auto"/>
          <w:highlight w:val="none"/>
        </w:rPr>
      </w:pPr>
      <w:r>
        <w:rPr>
          <w:color w:val="auto"/>
          <w:highlight w:val="none"/>
        </w:rPr>
        <w:t>正常的监理费用计取及支付：</w:t>
      </w:r>
    </w:p>
    <w:p>
      <w:pPr>
        <w:pStyle w:val="5"/>
        <w:spacing w:before="139"/>
        <w:ind w:left="1434"/>
        <w:rPr>
          <w:color w:val="auto"/>
          <w:highlight w:val="none"/>
        </w:rPr>
      </w:pPr>
      <w:r>
        <w:rPr>
          <w:color w:val="auto"/>
          <w:highlight w:val="none"/>
          <w:u w:val="single"/>
        </w:rPr>
        <w:t>监理费率=监理合同价格÷</w:t>
      </w:r>
      <w:r>
        <w:rPr>
          <w:rFonts w:hint="eastAsia"/>
          <w:color w:val="auto"/>
          <w:highlight w:val="none"/>
          <w:u w:val="single"/>
          <w:lang w:val="en-US" w:eastAsia="zh-CN"/>
        </w:rPr>
        <w:t>535</w:t>
      </w:r>
      <w:r>
        <w:rPr>
          <w:color w:val="auto"/>
          <w:highlight w:val="none"/>
          <w:u w:val="single"/>
        </w:rPr>
        <w:t>万元。</w:t>
      </w:r>
    </w:p>
    <w:p>
      <w:pPr>
        <w:pStyle w:val="5"/>
        <w:spacing w:before="163" w:line="364" w:lineRule="auto"/>
        <w:ind w:left="1434" w:right="1055"/>
        <w:rPr>
          <w:color w:val="auto"/>
          <w:highlight w:val="none"/>
        </w:rPr>
      </w:pPr>
      <w:r>
        <w:rPr>
          <w:color w:val="auto"/>
          <w:highlight w:val="none"/>
          <w:u w:val="single"/>
        </w:rPr>
        <w:t>监理费按中标监理费总报价一次性包死，不作任何调整（包括工程结算造价的变化</w:t>
      </w:r>
      <w:r>
        <w:rPr>
          <w:color w:val="auto"/>
          <w:spacing w:val="-104"/>
          <w:highlight w:val="none"/>
          <w:u w:val="single"/>
        </w:rPr>
        <w:t>）</w:t>
      </w:r>
      <w:r>
        <w:rPr>
          <w:color w:val="auto"/>
          <w:highlight w:val="none"/>
          <w:u w:val="single"/>
        </w:rPr>
        <w:t>。</w:t>
      </w:r>
      <w:r>
        <w:rPr>
          <w:color w:val="auto"/>
          <w:spacing w:val="-1"/>
          <w:w w:val="95"/>
          <w:highlight w:val="none"/>
          <w:u w:val="single"/>
        </w:rPr>
        <w:t>工程施工期间，按每三个月支付一次监理费，支付监理费为三个月工程进度款×监理费</w:t>
      </w:r>
    </w:p>
    <w:p>
      <w:pPr>
        <w:pStyle w:val="5"/>
        <w:spacing w:line="357" w:lineRule="auto"/>
        <w:ind w:left="803" w:right="1055"/>
        <w:rPr>
          <w:color w:val="auto"/>
          <w:highlight w:val="none"/>
        </w:rPr>
      </w:pPr>
      <w:r>
        <w:rPr>
          <w:color w:val="auto"/>
          <w:spacing w:val="-2"/>
          <w:highlight w:val="none"/>
          <w:u w:val="single"/>
        </w:rPr>
        <w:t>率×</w:t>
      </w:r>
      <w:r>
        <w:rPr>
          <w:color w:val="auto"/>
          <w:spacing w:val="-4"/>
          <w:highlight w:val="none"/>
          <w:u w:val="single"/>
        </w:rPr>
        <w:t>80%</w:t>
      </w:r>
      <w:r>
        <w:rPr>
          <w:color w:val="auto"/>
          <w:spacing w:val="-9"/>
          <w:highlight w:val="none"/>
          <w:u w:val="single"/>
        </w:rPr>
        <w:t xml:space="preserve">，付至总监理费的 </w:t>
      </w:r>
      <w:r>
        <w:rPr>
          <w:color w:val="auto"/>
          <w:highlight w:val="none"/>
          <w:u w:val="single"/>
        </w:rPr>
        <w:t>80</w:t>
      </w:r>
      <w:r>
        <w:rPr>
          <w:color w:val="auto"/>
          <w:spacing w:val="-5"/>
          <w:highlight w:val="none"/>
          <w:u w:val="single"/>
        </w:rPr>
        <w:t>%后暂停，余额工程验收合格后并办理结算后结清监理费。以上时间段的付款期限为十天。</w:t>
      </w:r>
    </w:p>
    <w:p>
      <w:pPr>
        <w:pStyle w:val="5"/>
        <w:spacing w:before="22"/>
        <w:ind w:left="1223"/>
        <w:rPr>
          <w:color w:val="auto"/>
          <w:highlight w:val="none"/>
        </w:rPr>
      </w:pPr>
      <w:r>
        <w:rPr>
          <w:color w:val="auto"/>
          <w:highlight w:val="none"/>
          <w:u w:val="single"/>
        </w:rPr>
        <w:t>停工期间不计取酬金。</w:t>
      </w:r>
    </w:p>
    <w:p>
      <w:pPr>
        <w:pStyle w:val="5"/>
        <w:spacing w:before="11"/>
        <w:rPr>
          <w:color w:val="auto"/>
          <w:sz w:val="7"/>
          <w:highlight w:val="none"/>
        </w:rPr>
      </w:pPr>
    </w:p>
    <w:p>
      <w:pPr>
        <w:pStyle w:val="5"/>
        <w:spacing w:before="69"/>
        <w:ind w:left="1223"/>
        <w:rPr>
          <w:b/>
          <w:color w:val="auto"/>
          <w:highlight w:val="none"/>
        </w:rPr>
      </w:pPr>
      <w:r>
        <w:rPr>
          <w:color w:val="auto"/>
          <w:highlight w:val="none"/>
          <w:u w:val="single"/>
        </w:rPr>
        <w:t>工程结算和保修期间每 3 个月提供不少于一次的走访服务</w:t>
      </w:r>
      <w:r>
        <w:rPr>
          <w:b/>
          <w:color w:val="auto"/>
          <w:highlight w:val="none"/>
          <w:u w:val="single"/>
        </w:rPr>
        <w:t>。</w:t>
      </w:r>
    </w:p>
    <w:p>
      <w:pPr>
        <w:pStyle w:val="5"/>
        <w:spacing w:before="139" w:line="357" w:lineRule="auto"/>
        <w:ind w:left="803" w:right="1055" w:firstLine="705"/>
        <w:rPr>
          <w:color w:val="auto"/>
          <w:highlight w:val="none"/>
        </w:rPr>
      </w:pPr>
      <w:r>
        <w:rPr>
          <w:color w:val="auto"/>
          <w:spacing w:val="-4"/>
          <w:w w:val="95"/>
          <w:highlight w:val="none"/>
        </w:rPr>
        <w:t>工程保修期间：</w:t>
      </w:r>
      <w:r>
        <w:rPr>
          <w:color w:val="auto"/>
          <w:spacing w:val="-6"/>
          <w:w w:val="95"/>
          <w:highlight w:val="none"/>
          <w:u w:val="single"/>
        </w:rPr>
        <w:t xml:space="preserve">保修期间，监理方须根据工程保修需要随时到位服务。费用已包括在合  </w:t>
      </w:r>
      <w:r>
        <w:rPr>
          <w:color w:val="auto"/>
          <w:spacing w:val="-6"/>
          <w:highlight w:val="none"/>
          <w:u w:val="single"/>
        </w:rPr>
        <w:t>同价内，不另行计取。</w:t>
      </w:r>
    </w:p>
    <w:p>
      <w:pPr>
        <w:pStyle w:val="5"/>
        <w:spacing w:before="31"/>
        <w:ind w:left="1223"/>
        <w:rPr>
          <w:color w:val="auto"/>
          <w:highlight w:val="none"/>
        </w:rPr>
      </w:pPr>
      <w:r>
        <w:rPr>
          <w:color w:val="auto"/>
          <w:highlight w:val="none"/>
          <w:u w:val="single"/>
        </w:rPr>
        <w:t>工程保修阶段的服务内容：检查和记录工程质量缺陷，对缺陷原因进行调查分析并确定责</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任归属，审核修复方案，监督修复过程并验收，审核修复费用。</w:t>
      </w:r>
    </w:p>
    <w:p>
      <w:pPr>
        <w:pStyle w:val="5"/>
        <w:spacing w:before="10"/>
        <w:rPr>
          <w:color w:val="auto"/>
          <w:sz w:val="7"/>
          <w:highlight w:val="none"/>
        </w:rPr>
      </w:pPr>
    </w:p>
    <w:p>
      <w:pPr>
        <w:pStyle w:val="5"/>
        <w:spacing w:before="70"/>
        <w:ind w:left="1223"/>
        <w:rPr>
          <w:color w:val="auto"/>
          <w:highlight w:val="none"/>
        </w:rPr>
      </w:pPr>
      <w:r>
        <w:rPr>
          <w:color w:val="auto"/>
          <w:highlight w:val="none"/>
          <w:u w:val="single"/>
        </w:rPr>
        <w:t>其他阶段的相关服务收费一般按相关服务工作所需工日和《建设工程监理与相关服务人员</w:t>
      </w:r>
    </w:p>
    <w:p>
      <w:pPr>
        <w:pStyle w:val="5"/>
        <w:spacing w:before="1"/>
        <w:rPr>
          <w:color w:val="auto"/>
          <w:sz w:val="8"/>
          <w:highlight w:val="none"/>
        </w:rPr>
      </w:pPr>
    </w:p>
    <w:p>
      <w:pPr>
        <w:pStyle w:val="5"/>
        <w:spacing w:before="69"/>
        <w:ind w:left="803"/>
        <w:rPr>
          <w:color w:val="auto"/>
          <w:highlight w:val="none"/>
        </w:rPr>
      </w:pPr>
      <w:r>
        <w:rPr>
          <w:color w:val="auto"/>
          <w:highlight w:val="none"/>
          <w:u w:val="single"/>
        </w:rPr>
        <w:t>人工日费用标准》（附表四）收费。</w:t>
      </w:r>
    </w:p>
    <w:p>
      <w:pPr>
        <w:pStyle w:val="4"/>
        <w:numPr>
          <w:ilvl w:val="0"/>
          <w:numId w:val="34"/>
        </w:numPr>
        <w:tabs>
          <w:tab w:val="left" w:pos="1540"/>
        </w:tabs>
        <w:spacing w:before="29"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合同生效、变更、暂停、解除与终止</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生效</w:t>
      </w:r>
    </w:p>
    <w:p>
      <w:pPr>
        <w:spacing w:after="0" w:line="240" w:lineRule="auto"/>
        <w:jc w:val="left"/>
        <w:rPr>
          <w:color w:val="auto"/>
          <w:sz w:val="21"/>
          <w:highlight w:val="none"/>
        </w:rPr>
        <w:sectPr>
          <w:pgSz w:w="11910" w:h="16840"/>
          <w:pgMar w:top="1080" w:right="520" w:bottom="1180" w:left="920" w:header="891" w:footer="993" w:gutter="0"/>
        </w:sectPr>
      </w:pPr>
    </w:p>
    <w:p>
      <w:pPr>
        <w:pStyle w:val="5"/>
        <w:spacing w:before="9"/>
        <w:rPr>
          <w:color w:val="auto"/>
          <w:sz w:val="10"/>
          <w:highlight w:val="none"/>
        </w:rPr>
      </w:pPr>
    </w:p>
    <w:p>
      <w:pPr>
        <w:spacing w:before="77"/>
        <w:ind w:left="1223" w:right="0" w:firstLine="0"/>
        <w:jc w:val="left"/>
        <w:rPr>
          <w:color w:val="auto"/>
          <w:sz w:val="21"/>
          <w:highlight w:val="none"/>
        </w:rPr>
      </w:pPr>
      <w:r>
        <w:rPr>
          <w:color w:val="auto"/>
          <w:sz w:val="21"/>
          <w:highlight w:val="none"/>
        </w:rPr>
        <w:t>本合同生效条件：</w:t>
      </w:r>
      <w:r>
        <w:rPr>
          <w:color w:val="auto"/>
          <w:sz w:val="21"/>
          <w:highlight w:val="none"/>
          <w:u w:val="single"/>
        </w:rPr>
        <w:t xml:space="preserve"> </w:t>
      </w:r>
      <w:r>
        <w:rPr>
          <w:b/>
          <w:color w:val="auto"/>
          <w:sz w:val="21"/>
          <w:highlight w:val="none"/>
          <w:u w:val="single"/>
        </w:rPr>
        <w:t xml:space="preserve">经双方代表签字并盖单位公章后生效 </w:t>
      </w:r>
      <w:r>
        <w:rPr>
          <w:color w:val="auto"/>
          <w:sz w:val="21"/>
          <w:highlight w:val="none"/>
        </w:rPr>
        <w:t>。</w:t>
      </w:r>
    </w:p>
    <w:p>
      <w:pPr>
        <w:pStyle w:val="11"/>
        <w:numPr>
          <w:ilvl w:val="1"/>
          <w:numId w:val="34"/>
        </w:numPr>
        <w:tabs>
          <w:tab w:val="left" w:pos="1644"/>
        </w:tabs>
        <w:spacing w:before="139" w:after="0" w:line="240" w:lineRule="auto"/>
        <w:ind w:left="1643" w:right="0" w:hanging="420"/>
        <w:jc w:val="left"/>
        <w:rPr>
          <w:color w:val="auto"/>
          <w:sz w:val="21"/>
          <w:highlight w:val="none"/>
        </w:rPr>
      </w:pPr>
      <w:r>
        <w:rPr>
          <w:color w:val="auto"/>
          <w:sz w:val="21"/>
          <w:highlight w:val="none"/>
        </w:rPr>
        <w:t>变更</w:t>
      </w:r>
    </w:p>
    <w:p>
      <w:pPr>
        <w:pStyle w:val="5"/>
        <w:tabs>
          <w:tab w:val="left" w:pos="1959"/>
        </w:tabs>
        <w:spacing w:before="138" w:line="364" w:lineRule="auto"/>
        <w:ind w:left="803" w:right="1055" w:firstLine="420"/>
        <w:rPr>
          <w:color w:val="auto"/>
          <w:highlight w:val="none"/>
        </w:rPr>
      </w:pPr>
      <w:r>
        <w:rPr>
          <w:color w:val="auto"/>
          <w:highlight w:val="none"/>
        </w:rPr>
        <w:pict>
          <v:line id="_x0000_s1027" o:spid="_x0000_s1027" o:spt="20" style="position:absolute;left:0pt;margin-left:128.1pt;margin-top:39pt;height:0pt;width:188.95pt;mso-position-horizontal-relative:page;z-index:-57344;mso-width-relative:page;mso-height-relative:page;" stroked="t" coordsize="21600,21600">
            <v:path arrowok="t"/>
            <v:fill focussize="0,0"/>
            <v:stroke weight="0.48pt" color="#000000"/>
            <v:imagedata o:title=""/>
            <o:lock v:ext="edit"/>
          </v:line>
        </w:pict>
      </w:r>
      <w:r>
        <w:rPr>
          <w:color w:val="auto"/>
          <w:highlight w:val="none"/>
        </w:rPr>
        <w:t>6.2.2</w:t>
      </w:r>
      <w:r>
        <w:rPr>
          <w:color w:val="auto"/>
          <w:highlight w:val="none"/>
        </w:rPr>
        <w:tab/>
      </w:r>
      <w:r>
        <w:rPr>
          <w:color w:val="auto"/>
          <w:spacing w:val="-3"/>
          <w:highlight w:val="none"/>
        </w:rPr>
        <w:t>除不可抗力外， 因非监理人原因导致本合同期限延长时，附加工作酬金按下列方法确定：不调整，风险费用视为在合同价中包含。</w:t>
      </w:r>
    </w:p>
    <w:p>
      <w:pPr>
        <w:pStyle w:val="11"/>
        <w:numPr>
          <w:ilvl w:val="2"/>
          <w:numId w:val="37"/>
        </w:numPr>
        <w:tabs>
          <w:tab w:val="left" w:pos="1855"/>
        </w:tabs>
        <w:spacing w:before="1" w:after="0" w:line="240" w:lineRule="auto"/>
        <w:ind w:left="1854" w:right="0" w:hanging="631"/>
        <w:jc w:val="left"/>
        <w:rPr>
          <w:b/>
          <w:color w:val="auto"/>
          <w:sz w:val="21"/>
          <w:highlight w:val="none"/>
        </w:rPr>
      </w:pPr>
      <w:r>
        <w:rPr>
          <w:color w:val="auto"/>
          <w:highlight w:val="none"/>
        </w:rPr>
        <w:pict>
          <v:line id="_x0000_s1028" o:spid="_x0000_s1028" o:spt="20" style="position:absolute;left:0pt;margin-left:317.1pt;margin-top:11.65pt;height:0pt;width:42.25pt;mso-position-horizontal-relative:page;z-index:2048;mso-width-relative:page;mso-height-relative:page;" stroked="t" coordsize="21600,21600">
            <v:path arrowok="t"/>
            <v:fill focussize="0,0"/>
            <v:stroke weight="0.48pt" color="#000000"/>
            <v:imagedata o:title=""/>
            <o:lock v:ext="edit"/>
          </v:line>
        </w:pict>
      </w:r>
      <w:r>
        <w:rPr>
          <w:color w:val="auto"/>
          <w:sz w:val="21"/>
          <w:highlight w:val="none"/>
        </w:rPr>
        <w:t>正常工作酬金增加额按下列方法确定：</w:t>
      </w:r>
      <w:r>
        <w:rPr>
          <w:b/>
          <w:color w:val="auto"/>
          <w:sz w:val="21"/>
          <w:highlight w:val="none"/>
        </w:rPr>
        <w:t>不增加。</w:t>
      </w:r>
    </w:p>
    <w:p>
      <w:pPr>
        <w:pStyle w:val="11"/>
        <w:numPr>
          <w:ilvl w:val="2"/>
          <w:numId w:val="37"/>
        </w:numPr>
        <w:tabs>
          <w:tab w:val="left" w:pos="1855"/>
        </w:tabs>
        <w:spacing w:before="139" w:after="0" w:line="364" w:lineRule="auto"/>
        <w:ind w:left="803" w:right="1055" w:firstLine="420"/>
        <w:jc w:val="left"/>
        <w:rPr>
          <w:color w:val="auto"/>
          <w:sz w:val="21"/>
          <w:highlight w:val="none"/>
        </w:rPr>
      </w:pPr>
      <w:r>
        <w:rPr>
          <w:color w:val="auto"/>
          <w:w w:val="95"/>
          <w:sz w:val="21"/>
          <w:highlight w:val="none"/>
        </w:rPr>
        <w:t>因工程规模、监理范围的变化导致监理人的正常工作量减少时，按减少工作量的比</w:t>
      </w:r>
      <w:r>
        <w:rPr>
          <w:color w:val="auto"/>
          <w:sz w:val="21"/>
          <w:highlight w:val="none"/>
        </w:rPr>
        <w:t>例从协议书约定的正常工作酬金中扣减相同比例的酬金。</w:t>
      </w:r>
    </w:p>
    <w:p>
      <w:pPr>
        <w:pStyle w:val="4"/>
        <w:numPr>
          <w:ilvl w:val="0"/>
          <w:numId w:val="34"/>
        </w:numPr>
        <w:tabs>
          <w:tab w:val="left" w:pos="1540"/>
        </w:tabs>
        <w:spacing w:before="0" w:after="0" w:line="267" w:lineRule="exact"/>
        <w:ind w:left="1540" w:right="0" w:hanging="317"/>
        <w:jc w:val="left"/>
        <w:rPr>
          <w:rFonts w:hint="eastAsia" w:ascii="宋体" w:eastAsia="宋体"/>
          <w:color w:val="auto"/>
          <w:highlight w:val="none"/>
        </w:rPr>
      </w:pPr>
      <w:r>
        <w:rPr>
          <w:rFonts w:hint="eastAsia" w:ascii="宋体" w:eastAsia="宋体"/>
          <w:color w:val="auto"/>
          <w:highlight w:val="none"/>
        </w:rPr>
        <w:t>争议解决</w:t>
      </w:r>
    </w:p>
    <w:p>
      <w:pPr>
        <w:pStyle w:val="11"/>
        <w:numPr>
          <w:ilvl w:val="1"/>
          <w:numId w:val="38"/>
        </w:numPr>
        <w:tabs>
          <w:tab w:val="left" w:pos="1644"/>
        </w:tabs>
        <w:spacing w:before="139" w:after="0" w:line="240" w:lineRule="auto"/>
        <w:ind w:left="1643" w:right="0" w:hanging="420"/>
        <w:jc w:val="left"/>
        <w:rPr>
          <w:color w:val="auto"/>
          <w:sz w:val="21"/>
          <w:highlight w:val="none"/>
        </w:rPr>
      </w:pPr>
      <w:r>
        <w:rPr>
          <w:color w:val="auto"/>
          <w:sz w:val="21"/>
          <w:highlight w:val="none"/>
        </w:rPr>
        <w:t>调解</w:t>
      </w:r>
    </w:p>
    <w:p>
      <w:pPr>
        <w:pStyle w:val="5"/>
        <w:spacing w:before="139"/>
        <w:ind w:left="1223"/>
        <w:rPr>
          <w:color w:val="auto"/>
          <w:highlight w:val="none"/>
        </w:rPr>
      </w:pPr>
      <w:r>
        <w:rPr>
          <w:color w:val="auto"/>
          <w:highlight w:val="none"/>
        </w:rPr>
        <w:t>本合同争议进行调解时，可提交工程所在地</w:t>
      </w:r>
      <w:r>
        <w:rPr>
          <w:color w:val="auto"/>
          <w:highlight w:val="none"/>
          <w:u w:val="single"/>
        </w:rPr>
        <w:t>建设行政主管部门</w:t>
      </w:r>
      <w:r>
        <w:rPr>
          <w:color w:val="auto"/>
          <w:highlight w:val="none"/>
        </w:rPr>
        <w:t>进行调解。</w:t>
      </w:r>
    </w:p>
    <w:p>
      <w:pPr>
        <w:pStyle w:val="11"/>
        <w:numPr>
          <w:ilvl w:val="1"/>
          <w:numId w:val="38"/>
        </w:numPr>
        <w:tabs>
          <w:tab w:val="left" w:pos="1644"/>
        </w:tabs>
        <w:spacing w:before="141" w:after="0" w:line="240" w:lineRule="auto"/>
        <w:ind w:left="1643" w:right="0" w:hanging="420"/>
        <w:jc w:val="left"/>
        <w:rPr>
          <w:color w:val="auto"/>
          <w:sz w:val="21"/>
          <w:highlight w:val="none"/>
        </w:rPr>
      </w:pPr>
      <w:r>
        <w:rPr>
          <w:color w:val="auto"/>
          <w:sz w:val="21"/>
          <w:highlight w:val="none"/>
        </w:rPr>
        <w:t>仲裁或诉讼</w:t>
      </w:r>
    </w:p>
    <w:p>
      <w:pPr>
        <w:pStyle w:val="5"/>
        <w:tabs>
          <w:tab w:val="left" w:pos="4688"/>
        </w:tabs>
        <w:spacing w:before="139"/>
        <w:ind w:left="1223"/>
        <w:rPr>
          <w:color w:val="auto"/>
          <w:highlight w:val="none"/>
        </w:rPr>
      </w:pPr>
      <w:r>
        <w:rPr>
          <w:color w:val="auto"/>
          <w:highlight w:val="none"/>
        </w:rPr>
        <w:t>合同争议的最终解决方式为下列第</w:t>
      </w:r>
      <w:r>
        <w:rPr>
          <w:color w:val="auto"/>
          <w:highlight w:val="none"/>
          <w:u w:val="single"/>
        </w:rPr>
        <w:t xml:space="preserve"> </w:t>
      </w:r>
      <w:r>
        <w:rPr>
          <w:color w:val="auto"/>
          <w:highlight w:val="none"/>
          <w:u w:val="single"/>
        </w:rPr>
        <w:tab/>
      </w:r>
      <w:r>
        <w:rPr>
          <w:color w:val="auto"/>
          <w:highlight w:val="none"/>
          <w:u w:val="single"/>
        </w:rPr>
        <w:t>(1)</w:t>
      </w:r>
      <w:r>
        <w:rPr>
          <w:color w:val="auto"/>
          <w:spacing w:val="-3"/>
          <w:highlight w:val="none"/>
          <w:u w:val="single"/>
        </w:rPr>
        <w:t xml:space="preserve"> </w:t>
      </w:r>
      <w:r>
        <w:rPr>
          <w:color w:val="auto"/>
          <w:highlight w:val="none"/>
        </w:rPr>
        <w:t>种方式：</w:t>
      </w:r>
    </w:p>
    <w:p>
      <w:pPr>
        <w:pStyle w:val="11"/>
        <w:numPr>
          <w:ilvl w:val="0"/>
          <w:numId w:val="39"/>
        </w:numPr>
        <w:tabs>
          <w:tab w:val="left" w:pos="1750"/>
          <w:tab w:val="left" w:pos="3007"/>
        </w:tabs>
        <w:spacing w:before="139" w:after="0" w:line="240" w:lineRule="auto"/>
        <w:ind w:left="1750" w:right="0" w:hanging="527"/>
        <w:jc w:val="left"/>
        <w:rPr>
          <w:color w:val="auto"/>
          <w:sz w:val="21"/>
          <w:highlight w:val="none"/>
        </w:rPr>
      </w:pPr>
      <w:r>
        <w:rPr>
          <w:color w:val="auto"/>
          <w:sz w:val="21"/>
          <w:highlight w:val="none"/>
        </w:rPr>
        <w:t>提 请</w:t>
      </w:r>
      <w:r>
        <w:rPr>
          <w:color w:val="auto"/>
          <w:spacing w:val="-1"/>
          <w:sz w:val="21"/>
          <w:highlight w:val="none"/>
          <w:u w:val="single"/>
        </w:rPr>
        <w:t xml:space="preserve"> </w:t>
      </w:r>
      <w:r>
        <w:rPr>
          <w:color w:val="auto"/>
          <w:sz w:val="21"/>
          <w:highlight w:val="none"/>
          <w:u w:val="single"/>
        </w:rPr>
        <w:t>台州</w:t>
      </w:r>
      <w:r>
        <w:rPr>
          <w:color w:val="auto"/>
          <w:sz w:val="21"/>
          <w:highlight w:val="none"/>
          <w:u w:val="single"/>
        </w:rPr>
        <w:tab/>
      </w:r>
      <w:r>
        <w:rPr>
          <w:color w:val="auto"/>
          <w:sz w:val="21"/>
          <w:highlight w:val="none"/>
        </w:rPr>
        <w:t>仲裁委员会进行仲裁。</w:t>
      </w:r>
    </w:p>
    <w:p>
      <w:pPr>
        <w:pStyle w:val="11"/>
        <w:numPr>
          <w:ilvl w:val="0"/>
          <w:numId w:val="39"/>
        </w:numPr>
        <w:tabs>
          <w:tab w:val="left" w:pos="1750"/>
        </w:tabs>
        <w:spacing w:before="139" w:after="0" w:line="240" w:lineRule="auto"/>
        <w:ind w:left="1750" w:right="0" w:hanging="527"/>
        <w:jc w:val="left"/>
        <w:rPr>
          <w:color w:val="auto"/>
          <w:sz w:val="21"/>
          <w:highlight w:val="none"/>
        </w:rPr>
      </w:pPr>
      <w:r>
        <w:rPr>
          <w:color w:val="auto"/>
          <w:sz w:val="21"/>
          <w:highlight w:val="none"/>
        </w:rPr>
        <w:t>向</w:t>
      </w:r>
      <w:r>
        <w:rPr>
          <w:color w:val="auto"/>
          <w:spacing w:val="-2"/>
          <w:sz w:val="21"/>
          <w:highlight w:val="none"/>
          <w:u w:val="single"/>
        </w:rPr>
        <w:t xml:space="preserve"> 工程所在地</w:t>
      </w:r>
      <w:r>
        <w:rPr>
          <w:color w:val="auto"/>
          <w:sz w:val="21"/>
          <w:highlight w:val="none"/>
        </w:rPr>
        <w:t xml:space="preserve"> 人民法院提起诉讼。</w:t>
      </w:r>
    </w:p>
    <w:p>
      <w:pPr>
        <w:pStyle w:val="4"/>
        <w:numPr>
          <w:ilvl w:val="0"/>
          <w:numId w:val="34"/>
        </w:numPr>
        <w:tabs>
          <w:tab w:val="left" w:pos="1540"/>
        </w:tabs>
        <w:spacing w:before="141" w:after="0" w:line="240" w:lineRule="auto"/>
        <w:ind w:left="1540" w:right="0" w:hanging="317"/>
        <w:jc w:val="left"/>
        <w:rPr>
          <w:rFonts w:hint="eastAsia" w:ascii="宋体" w:eastAsia="宋体"/>
          <w:color w:val="auto"/>
          <w:highlight w:val="none"/>
        </w:rPr>
      </w:pPr>
      <w:r>
        <w:rPr>
          <w:rFonts w:hint="eastAsia" w:ascii="宋体" w:eastAsia="宋体"/>
          <w:color w:val="auto"/>
          <w:highlight w:val="none"/>
        </w:rPr>
        <w:t>其他</w:t>
      </w:r>
    </w:p>
    <w:p>
      <w:pPr>
        <w:pStyle w:val="11"/>
        <w:numPr>
          <w:ilvl w:val="1"/>
          <w:numId w:val="40"/>
        </w:numPr>
        <w:tabs>
          <w:tab w:val="left" w:pos="1639"/>
        </w:tabs>
        <w:spacing w:before="139" w:after="0" w:line="240" w:lineRule="auto"/>
        <w:ind w:left="1638" w:right="0" w:hanging="420"/>
        <w:jc w:val="left"/>
        <w:rPr>
          <w:color w:val="auto"/>
          <w:sz w:val="21"/>
          <w:highlight w:val="none"/>
        </w:rPr>
      </w:pPr>
      <w:r>
        <w:rPr>
          <w:color w:val="auto"/>
          <w:sz w:val="21"/>
          <w:highlight w:val="none"/>
        </w:rPr>
        <w:t>检测费用</w:t>
      </w:r>
    </w:p>
    <w:p>
      <w:pPr>
        <w:pStyle w:val="5"/>
        <w:tabs>
          <w:tab w:val="left" w:pos="4059"/>
          <w:tab w:val="left" w:pos="4479"/>
        </w:tabs>
        <w:spacing w:before="139"/>
        <w:ind w:left="1223"/>
        <w:rPr>
          <w:color w:val="auto"/>
          <w:highlight w:val="none"/>
        </w:rPr>
      </w:pPr>
      <w:r>
        <w:rPr>
          <w:color w:val="auto"/>
          <w:highlight w:val="none"/>
        </w:rPr>
        <w:t>委托人应在检测工作完成后</w:t>
      </w:r>
      <w:r>
        <w:rPr>
          <w:color w:val="auto"/>
          <w:highlight w:val="none"/>
          <w:u w:val="single"/>
        </w:rPr>
        <w:t xml:space="preserve"> </w:t>
      </w:r>
      <w:r>
        <w:rPr>
          <w:color w:val="auto"/>
          <w:highlight w:val="none"/>
          <w:u w:val="single"/>
        </w:rPr>
        <w:tab/>
      </w:r>
      <w:r>
        <w:rPr>
          <w:color w:val="auto"/>
          <w:highlight w:val="none"/>
          <w:u w:val="single"/>
        </w:rPr>
        <w:t>14</w:t>
      </w:r>
      <w:r>
        <w:rPr>
          <w:color w:val="auto"/>
          <w:highlight w:val="none"/>
          <w:u w:val="single"/>
        </w:rPr>
        <w:tab/>
      </w:r>
      <w:r>
        <w:rPr>
          <w:color w:val="auto"/>
          <w:highlight w:val="none"/>
        </w:rPr>
        <w:t>天内支付检测费用。</w:t>
      </w:r>
    </w:p>
    <w:p>
      <w:pPr>
        <w:pStyle w:val="11"/>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咨询费用</w:t>
      </w:r>
    </w:p>
    <w:p>
      <w:pPr>
        <w:pStyle w:val="5"/>
        <w:tabs>
          <w:tab w:val="left" w:pos="4479"/>
        </w:tabs>
        <w:spacing w:before="141"/>
        <w:ind w:left="1223"/>
        <w:rPr>
          <w:color w:val="auto"/>
          <w:highlight w:val="none"/>
        </w:rPr>
      </w:pPr>
      <w:r>
        <w:rPr>
          <w:color w:val="auto"/>
          <w:highlight w:val="none"/>
        </w:rPr>
        <w:t>委托人应在咨询工作完成后</w:t>
      </w:r>
      <w:r>
        <w:rPr>
          <w:color w:val="auto"/>
          <w:spacing w:val="102"/>
          <w:highlight w:val="none"/>
          <w:u w:val="single"/>
        </w:rPr>
        <w:t xml:space="preserve"> </w:t>
      </w:r>
      <w:r>
        <w:rPr>
          <w:color w:val="auto"/>
          <w:highlight w:val="none"/>
          <w:u w:val="single"/>
        </w:rPr>
        <w:t>14</w:t>
      </w:r>
      <w:r>
        <w:rPr>
          <w:color w:val="auto"/>
          <w:highlight w:val="none"/>
          <w:u w:val="single"/>
        </w:rPr>
        <w:tab/>
      </w:r>
      <w:r>
        <w:rPr>
          <w:color w:val="auto"/>
          <w:highlight w:val="none"/>
        </w:rPr>
        <w:t>天内支付咨询费用。</w:t>
      </w:r>
    </w:p>
    <w:p>
      <w:pPr>
        <w:pStyle w:val="11"/>
        <w:numPr>
          <w:ilvl w:val="1"/>
          <w:numId w:val="40"/>
        </w:numPr>
        <w:tabs>
          <w:tab w:val="left" w:pos="1644"/>
        </w:tabs>
        <w:spacing w:before="139" w:after="0" w:line="240" w:lineRule="auto"/>
        <w:ind w:left="1643" w:right="0" w:hanging="420"/>
        <w:jc w:val="left"/>
        <w:rPr>
          <w:color w:val="auto"/>
          <w:sz w:val="21"/>
          <w:highlight w:val="none"/>
        </w:rPr>
      </w:pPr>
      <w:r>
        <w:rPr>
          <w:color w:val="auto"/>
          <w:sz w:val="21"/>
          <w:highlight w:val="none"/>
        </w:rPr>
        <w:t>奖励</w:t>
      </w:r>
    </w:p>
    <w:p>
      <w:pPr>
        <w:pStyle w:val="5"/>
        <w:spacing w:before="139"/>
        <w:ind w:left="1223"/>
        <w:rPr>
          <w:color w:val="auto"/>
          <w:highlight w:val="none"/>
        </w:rPr>
      </w:pPr>
      <w:r>
        <w:rPr>
          <w:color w:val="auto"/>
          <w:highlight w:val="none"/>
        </w:rPr>
        <w:t>合理化建议的奖励金额按下列方法确定为：</w:t>
      </w:r>
    </w:p>
    <w:p>
      <w:pPr>
        <w:pStyle w:val="5"/>
        <w:tabs>
          <w:tab w:val="left" w:pos="3323"/>
          <w:tab w:val="left" w:pos="3953"/>
        </w:tabs>
        <w:spacing w:before="139" w:line="364" w:lineRule="auto"/>
        <w:ind w:left="1223" w:right="4832"/>
        <w:rPr>
          <w:color w:val="auto"/>
          <w:highlight w:val="none"/>
        </w:rPr>
      </w:pPr>
      <w:r>
        <w:rPr>
          <w:color w:val="auto"/>
          <w:w w:val="95"/>
          <w:highlight w:val="none"/>
        </w:rPr>
        <w:t xml:space="preserve">奖励金额＝工程投资节省额×奖励金额的比率； </w:t>
      </w:r>
      <w:r>
        <w:rPr>
          <w:color w:val="auto"/>
          <w:highlight w:val="none"/>
        </w:rPr>
        <w:t>奖励金额的比率为</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5"/>
        <w:spacing w:line="267" w:lineRule="exact"/>
        <w:ind w:left="1223"/>
        <w:rPr>
          <w:color w:val="auto"/>
          <w:highlight w:val="none"/>
        </w:rPr>
      </w:pPr>
      <w:r>
        <w:rPr>
          <w:color w:val="auto"/>
          <w:highlight w:val="none"/>
        </w:rPr>
        <w:t>8.6 保密</w:t>
      </w:r>
    </w:p>
    <w:p>
      <w:pPr>
        <w:pStyle w:val="5"/>
        <w:tabs>
          <w:tab w:val="left" w:pos="5423"/>
          <w:tab w:val="left" w:pos="5528"/>
          <w:tab w:val="left" w:pos="7102"/>
        </w:tabs>
        <w:spacing w:before="141" w:line="364" w:lineRule="auto"/>
        <w:ind w:left="1223" w:right="3152"/>
        <w:jc w:val="both"/>
        <w:rPr>
          <w:color w:val="auto"/>
          <w:highlight w:val="none"/>
        </w:rPr>
      </w:pPr>
      <w:r>
        <w:rPr>
          <w:color w:val="auto"/>
          <w:highlight w:val="none"/>
        </w:rPr>
        <w:t>委托人申明的保密事项和期限：</w:t>
      </w:r>
      <w:r>
        <w:rPr>
          <w:color w:val="auto"/>
          <w:highlight w:val="none"/>
          <w:u w:val="single"/>
        </w:rPr>
        <w:t xml:space="preserve"> </w:t>
      </w:r>
      <w:r>
        <w:rPr>
          <w:color w:val="auto"/>
          <w:highlight w:val="none"/>
          <w:u w:val="single"/>
        </w:rPr>
        <w:tab/>
      </w:r>
      <w:r>
        <w:rPr>
          <w:color w:val="auto"/>
          <w:w w:val="95"/>
          <w:highlight w:val="none"/>
          <w:u w:val="single"/>
        </w:rPr>
        <w:t>/</w:t>
      </w:r>
      <w:r>
        <w:rPr>
          <w:color w:val="auto"/>
          <w:w w:val="95"/>
          <w:highlight w:val="none"/>
          <w:u w:val="single"/>
        </w:rPr>
        <w:tab/>
      </w:r>
      <w:r>
        <w:rPr>
          <w:color w:val="auto"/>
          <w:w w:val="95"/>
          <w:highlight w:val="none"/>
          <w:u w:val="single"/>
        </w:rPr>
        <w:tab/>
      </w:r>
      <w:r>
        <w:rPr>
          <w:color w:val="auto"/>
          <w:spacing w:val="-16"/>
          <w:highlight w:val="none"/>
        </w:rPr>
        <w:t>。</w:t>
      </w:r>
      <w:r>
        <w:rPr>
          <w:color w:val="auto"/>
          <w:highlight w:val="none"/>
        </w:rPr>
        <w:t>监理人申明的保密事项和期限：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r>
        <w:rPr>
          <w:color w:val="auto"/>
          <w:highlight w:val="none"/>
        </w:rPr>
        <w:t>第三方申明的保密事项和期限：</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w:t>
      </w:r>
      <w:r>
        <w:rPr>
          <w:color w:val="auto"/>
          <w:highlight w:val="none"/>
          <w:u w:val="single"/>
        </w:rPr>
        <w:tab/>
      </w:r>
      <w:r>
        <w:rPr>
          <w:color w:val="auto"/>
          <w:spacing w:val="-16"/>
          <w:highlight w:val="none"/>
        </w:rPr>
        <w:t>。</w:t>
      </w:r>
    </w:p>
    <w:p>
      <w:pPr>
        <w:pStyle w:val="5"/>
        <w:spacing w:line="266" w:lineRule="exact"/>
        <w:ind w:left="1223"/>
        <w:rPr>
          <w:color w:val="auto"/>
          <w:highlight w:val="none"/>
        </w:rPr>
      </w:pPr>
      <w:r>
        <w:rPr>
          <w:color w:val="auto"/>
          <w:highlight w:val="none"/>
        </w:rPr>
        <w:t>8.8 著作权</w:t>
      </w:r>
    </w:p>
    <w:p>
      <w:pPr>
        <w:pStyle w:val="5"/>
        <w:tabs>
          <w:tab w:val="left" w:pos="4583"/>
          <w:tab w:val="left" w:pos="7522"/>
        </w:tabs>
        <w:spacing w:before="142" w:line="364" w:lineRule="auto"/>
        <w:ind w:left="803" w:right="1264" w:firstLine="420"/>
        <w:rPr>
          <w:color w:val="auto"/>
          <w:highlight w:val="none"/>
        </w:rPr>
      </w:pPr>
      <w:r>
        <w:rPr>
          <w:color w:val="auto"/>
          <w:w w:val="95"/>
          <w:highlight w:val="none"/>
        </w:rPr>
        <w:t xml:space="preserve">监理人在本合同履行期间及本合同终止后两年内出版涉及本工程的有关监理与相关服务  </w:t>
      </w:r>
      <w:r>
        <w:rPr>
          <w:color w:val="auto"/>
          <w:highlight w:val="none"/>
        </w:rPr>
        <w:t>的资料的限制条件：</w:t>
      </w:r>
      <w:r>
        <w:rPr>
          <w:color w:val="auto"/>
          <w:highlight w:val="none"/>
          <w:u w:val="single"/>
        </w:rPr>
        <w:t xml:space="preserve"> </w:t>
      </w:r>
      <w:r>
        <w:rPr>
          <w:color w:val="auto"/>
          <w:highlight w:val="none"/>
          <w:u w:val="single"/>
        </w:rPr>
        <w:tab/>
      </w:r>
      <w:r>
        <w:rPr>
          <w:color w:val="auto"/>
          <w:highlight w:val="none"/>
          <w:u w:val="single"/>
        </w:rPr>
        <w:t>/</w:t>
      </w:r>
      <w:r>
        <w:rPr>
          <w:color w:val="auto"/>
          <w:highlight w:val="none"/>
          <w:u w:val="single"/>
        </w:rPr>
        <w:tab/>
      </w:r>
      <w:r>
        <w:rPr>
          <w:color w:val="auto"/>
          <w:highlight w:val="none"/>
        </w:rPr>
        <w:t>。</w:t>
      </w:r>
    </w:p>
    <w:p>
      <w:pPr>
        <w:pStyle w:val="11"/>
        <w:numPr>
          <w:ilvl w:val="0"/>
          <w:numId w:val="34"/>
        </w:numPr>
        <w:tabs>
          <w:tab w:val="left" w:pos="1540"/>
        </w:tabs>
        <w:spacing w:before="139" w:after="0" w:line="240" w:lineRule="auto"/>
        <w:ind w:left="1540" w:right="0" w:hanging="317"/>
        <w:jc w:val="left"/>
        <w:rPr>
          <w:color w:val="auto"/>
          <w:sz w:val="21"/>
          <w:highlight w:val="none"/>
        </w:rPr>
      </w:pPr>
      <w:r>
        <w:rPr>
          <w:color w:val="auto"/>
          <w:spacing w:val="-1"/>
          <w:w w:val="99"/>
          <w:sz w:val="21"/>
          <w:highlight w:val="none"/>
        </w:rPr>
        <w:t>补充条款（</w:t>
      </w:r>
      <w:r>
        <w:rPr>
          <w:b/>
          <w:color w:val="auto"/>
          <w:spacing w:val="1"/>
          <w:w w:val="99"/>
          <w:sz w:val="21"/>
          <w:highlight w:val="none"/>
        </w:rPr>
        <w:t>附加协议条款</w:t>
      </w:r>
      <w:r>
        <w:rPr>
          <w:color w:val="auto"/>
          <w:spacing w:val="-106"/>
          <w:w w:val="99"/>
          <w:sz w:val="21"/>
          <w:highlight w:val="none"/>
        </w:rPr>
        <w:t>）</w:t>
      </w:r>
      <w:r>
        <w:rPr>
          <w:color w:val="auto"/>
          <w:w w:val="99"/>
          <w:sz w:val="21"/>
          <w:highlight w:val="none"/>
        </w:rPr>
        <w:t>：</w:t>
      </w:r>
    </w:p>
    <w:p>
      <w:pPr>
        <w:pStyle w:val="5"/>
        <w:spacing w:before="171"/>
        <w:ind w:left="1530"/>
        <w:rPr>
          <w:color w:val="auto"/>
          <w:highlight w:val="none"/>
        </w:rPr>
      </w:pPr>
      <w:r>
        <w:rPr>
          <w:color w:val="auto"/>
          <w:highlight w:val="none"/>
        </w:rPr>
        <w:t>违约责任：</w:t>
      </w:r>
      <w:r>
        <w:rPr>
          <w:color w:val="auto"/>
          <w:highlight w:val="none"/>
          <w:u w:val="single"/>
        </w:rPr>
        <w:t>监理人在投标时承诺的监理工程师及驻现场监理机构的人员和主要检测设备</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必须按工程进度及时到位，监理人员必须在岗，不得擅自更换，到岗以发包人现场签到为依据，</w:t>
      </w:r>
    </w:p>
    <w:p>
      <w:pPr>
        <w:pStyle w:val="5"/>
        <w:rPr>
          <w:color w:val="auto"/>
          <w:sz w:val="8"/>
          <w:highlight w:val="none"/>
        </w:rPr>
      </w:pPr>
    </w:p>
    <w:p>
      <w:pPr>
        <w:pStyle w:val="5"/>
        <w:spacing w:before="70"/>
        <w:ind w:left="803"/>
        <w:rPr>
          <w:color w:val="auto"/>
          <w:highlight w:val="none"/>
        </w:rPr>
      </w:pPr>
      <w:r>
        <w:rPr>
          <w:color w:val="auto"/>
          <w:highlight w:val="none"/>
          <w:u w:val="single"/>
        </w:rPr>
        <w:t>因不可抗力因素确需更换监理人员的，须经委托人确认并报建设主管部门备案，否则将根据情</w:t>
      </w:r>
    </w:p>
    <w:p>
      <w:pPr>
        <w:spacing w:after="0"/>
        <w:rPr>
          <w:color w:val="auto"/>
          <w:highlight w:val="none"/>
        </w:rPr>
        <w:sectPr>
          <w:pgSz w:w="11910" w:h="16840"/>
          <w:pgMar w:top="1080" w:right="520" w:bottom="1180" w:left="920" w:header="891" w:footer="993" w:gutter="0"/>
        </w:sectPr>
      </w:pPr>
    </w:p>
    <w:p>
      <w:pPr>
        <w:pStyle w:val="5"/>
        <w:spacing w:before="4"/>
        <w:rPr>
          <w:color w:val="auto"/>
          <w:sz w:val="22"/>
          <w:highlight w:val="none"/>
        </w:rPr>
      </w:pPr>
    </w:p>
    <w:p>
      <w:pPr>
        <w:pStyle w:val="5"/>
        <w:spacing w:before="69"/>
        <w:ind w:left="803"/>
        <w:rPr>
          <w:color w:val="auto"/>
          <w:highlight w:val="none"/>
        </w:rPr>
      </w:pPr>
      <w:r>
        <w:rPr>
          <w:color w:val="auto"/>
          <w:spacing w:val="-1"/>
          <w:w w:val="95"/>
          <w:highlight w:val="none"/>
          <w:u w:val="single"/>
        </w:rPr>
        <w:t>节提请台州市建设规划局处理。总监理工程师到岗以天为统计单位，其他监理人到岗以半天为</w:t>
      </w:r>
    </w:p>
    <w:p>
      <w:pPr>
        <w:pStyle w:val="5"/>
        <w:spacing w:before="11"/>
        <w:rPr>
          <w:color w:val="auto"/>
          <w:sz w:val="7"/>
          <w:highlight w:val="none"/>
        </w:rPr>
      </w:pPr>
    </w:p>
    <w:p>
      <w:pPr>
        <w:pStyle w:val="5"/>
        <w:spacing w:before="70"/>
        <w:ind w:left="803"/>
        <w:rPr>
          <w:color w:val="auto"/>
          <w:highlight w:val="none"/>
        </w:rPr>
      </w:pPr>
      <w:r>
        <w:rPr>
          <w:color w:val="auto"/>
          <w:w w:val="95"/>
          <w:highlight w:val="none"/>
          <w:u w:val="single"/>
        </w:rPr>
        <w:t>统计单位；总监理工程师月到岗不足20天，或监理人员发生违纪违法等严重失职行为的，或工</w:t>
      </w:r>
    </w:p>
    <w:p>
      <w:pPr>
        <w:pStyle w:val="5"/>
        <w:spacing w:before="11"/>
        <w:rPr>
          <w:color w:val="auto"/>
          <w:sz w:val="7"/>
          <w:highlight w:val="none"/>
        </w:rPr>
      </w:pPr>
    </w:p>
    <w:p>
      <w:pPr>
        <w:pStyle w:val="5"/>
        <w:spacing w:before="69"/>
        <w:ind w:left="803"/>
        <w:rPr>
          <w:color w:val="auto"/>
          <w:highlight w:val="none"/>
        </w:rPr>
      </w:pPr>
      <w:r>
        <w:rPr>
          <w:color w:val="auto"/>
          <w:w w:val="95"/>
          <w:highlight w:val="none"/>
          <w:u w:val="single"/>
        </w:rPr>
        <w:t>程出现重大事故的，或委托人要求更换有失职行为（如施工方不按技术规范施工而监理人员不</w:t>
      </w:r>
    </w:p>
    <w:p>
      <w:pPr>
        <w:pStyle w:val="5"/>
        <w:spacing w:before="1"/>
        <w:rPr>
          <w:color w:val="auto"/>
          <w:sz w:val="8"/>
          <w:highlight w:val="none"/>
        </w:rPr>
      </w:pPr>
    </w:p>
    <w:p>
      <w:pPr>
        <w:pStyle w:val="5"/>
        <w:spacing w:before="69"/>
        <w:ind w:left="803"/>
        <w:rPr>
          <w:color w:val="auto"/>
          <w:highlight w:val="none"/>
        </w:rPr>
      </w:pPr>
      <w:r>
        <w:rPr>
          <w:color w:val="auto"/>
          <w:w w:val="95"/>
          <w:highlight w:val="none"/>
          <w:u w:val="single"/>
        </w:rPr>
        <w:t>予阻止）的监理人员，监理人不予合作的，委托人有权中止合同，不支付监理酬金，同时监理</w:t>
      </w:r>
    </w:p>
    <w:p>
      <w:pPr>
        <w:pStyle w:val="5"/>
        <w:spacing w:before="11"/>
        <w:rPr>
          <w:color w:val="auto"/>
          <w:sz w:val="7"/>
          <w:highlight w:val="none"/>
        </w:rPr>
      </w:pPr>
    </w:p>
    <w:p>
      <w:pPr>
        <w:pStyle w:val="5"/>
        <w:spacing w:before="70"/>
        <w:ind w:left="803"/>
        <w:rPr>
          <w:color w:val="auto"/>
          <w:highlight w:val="none"/>
        </w:rPr>
      </w:pPr>
      <w:r>
        <w:rPr>
          <w:color w:val="auto"/>
          <w:spacing w:val="-1"/>
          <w:w w:val="95"/>
          <w:highlight w:val="none"/>
          <w:u w:val="single"/>
        </w:rPr>
        <w:t>人赔偿委托人由此造成的全部损失；总监理工程师月到岗不足</w:t>
      </w:r>
      <w:r>
        <w:rPr>
          <w:color w:val="auto"/>
          <w:w w:val="95"/>
          <w:highlight w:val="none"/>
          <w:u w:val="single"/>
        </w:rPr>
        <w:t>24天或其他监理人员月到岗不足</w:t>
      </w:r>
    </w:p>
    <w:p>
      <w:pPr>
        <w:pStyle w:val="5"/>
        <w:spacing w:before="10"/>
        <w:rPr>
          <w:color w:val="auto"/>
          <w:sz w:val="7"/>
          <w:highlight w:val="none"/>
        </w:rPr>
      </w:pPr>
    </w:p>
    <w:p>
      <w:pPr>
        <w:pStyle w:val="5"/>
        <w:spacing w:before="70"/>
        <w:ind w:left="803"/>
        <w:rPr>
          <w:color w:val="auto"/>
          <w:highlight w:val="none"/>
        </w:rPr>
      </w:pPr>
      <w:r>
        <w:rPr>
          <w:color w:val="auto"/>
          <w:w w:val="95"/>
          <w:highlight w:val="none"/>
          <w:u w:val="single"/>
        </w:rPr>
        <w:t>26天的，每人每天扣除监理费2000元，并按《台州市建筑业类企业及从业人员违规记分和救济</w:t>
      </w:r>
    </w:p>
    <w:p>
      <w:pPr>
        <w:pStyle w:val="5"/>
        <w:spacing w:before="1"/>
        <w:rPr>
          <w:color w:val="auto"/>
          <w:sz w:val="8"/>
          <w:highlight w:val="none"/>
        </w:rPr>
      </w:pPr>
    </w:p>
    <w:p>
      <w:pPr>
        <w:pStyle w:val="5"/>
        <w:spacing w:before="69"/>
        <w:ind w:left="803"/>
        <w:rPr>
          <w:color w:val="auto"/>
          <w:highlight w:val="none"/>
        </w:rPr>
      </w:pPr>
      <w:r>
        <w:rPr>
          <w:color w:val="auto"/>
          <w:spacing w:val="-21"/>
          <w:w w:val="95"/>
          <w:highlight w:val="none"/>
          <w:u w:val="single"/>
        </w:rPr>
        <w:t>管理办法》</w:t>
      </w:r>
      <w:r>
        <w:rPr>
          <w:color w:val="auto"/>
          <w:w w:val="95"/>
          <w:highlight w:val="none"/>
          <w:u w:val="single"/>
        </w:rPr>
        <w:t>（台建规［2009］285号）记分处理。情节严重的，委托人将把监理人的违约行为上</w:t>
      </w:r>
    </w:p>
    <w:p>
      <w:pPr>
        <w:pStyle w:val="5"/>
        <w:spacing w:before="11"/>
        <w:rPr>
          <w:color w:val="auto"/>
          <w:sz w:val="7"/>
          <w:highlight w:val="none"/>
        </w:rPr>
      </w:pPr>
    </w:p>
    <w:p>
      <w:pPr>
        <w:pStyle w:val="5"/>
        <w:spacing w:before="70"/>
        <w:ind w:left="803"/>
        <w:rPr>
          <w:color w:val="auto"/>
          <w:highlight w:val="none"/>
        </w:rPr>
      </w:pPr>
      <w:r>
        <w:rPr>
          <w:color w:val="auto"/>
          <w:w w:val="95"/>
          <w:highlight w:val="none"/>
          <w:u w:val="single"/>
        </w:rPr>
        <w:t>报到台州市建设规划局，列入不良记录或黑名单。因监理人监督不力，工程出现质量、安全问</w:t>
      </w:r>
    </w:p>
    <w:p>
      <w:pPr>
        <w:pStyle w:val="5"/>
        <w:spacing w:before="10"/>
        <w:rPr>
          <w:color w:val="auto"/>
          <w:sz w:val="7"/>
          <w:highlight w:val="none"/>
        </w:rPr>
      </w:pPr>
    </w:p>
    <w:p>
      <w:pPr>
        <w:pStyle w:val="5"/>
        <w:spacing w:before="70"/>
        <w:ind w:left="803"/>
        <w:rPr>
          <w:color w:val="auto"/>
          <w:highlight w:val="none"/>
        </w:rPr>
      </w:pPr>
      <w:r>
        <w:rPr>
          <w:color w:val="auto"/>
          <w:w w:val="95"/>
          <w:highlight w:val="none"/>
          <w:u w:val="single"/>
        </w:rPr>
        <w:t>题，如列入管理部门不良纪录的，每次扣除监理费2万元，列入黑名单的，每次扣除监理费5万</w:t>
      </w:r>
    </w:p>
    <w:p>
      <w:pPr>
        <w:pStyle w:val="5"/>
        <w:rPr>
          <w:color w:val="auto"/>
          <w:sz w:val="8"/>
          <w:highlight w:val="none"/>
        </w:rPr>
      </w:pPr>
    </w:p>
    <w:p>
      <w:pPr>
        <w:pStyle w:val="4"/>
        <w:spacing w:before="70"/>
        <w:ind w:left="803" w:firstLine="0"/>
        <w:rPr>
          <w:rFonts w:hint="eastAsia" w:ascii="宋体" w:eastAsia="宋体"/>
          <w:color w:val="auto"/>
          <w:highlight w:val="none"/>
        </w:rPr>
      </w:pPr>
      <w:r>
        <w:rPr>
          <w:rFonts w:hint="eastAsia" w:ascii="宋体" w:eastAsia="宋体"/>
          <w:b w:val="0"/>
          <w:color w:val="auto"/>
          <w:highlight w:val="none"/>
          <w:u w:val="single"/>
        </w:rPr>
        <w:t>元。</w:t>
      </w:r>
      <w:r>
        <w:rPr>
          <w:rFonts w:hint="eastAsia" w:ascii="宋体" w:eastAsia="宋体"/>
          <w:color w:val="auto"/>
          <w:highlight w:val="none"/>
          <w:u w:val="single"/>
        </w:rPr>
        <w:t>保修阶段内视工程需要，人员及时到位，否则业主方有权每次扣1467元。</w:t>
      </w:r>
    </w:p>
    <w:p>
      <w:pPr>
        <w:pStyle w:val="5"/>
        <w:spacing w:before="11"/>
        <w:rPr>
          <w:b/>
          <w:color w:val="auto"/>
          <w:sz w:val="7"/>
          <w:highlight w:val="none"/>
        </w:rPr>
      </w:pPr>
    </w:p>
    <w:p>
      <w:pPr>
        <w:pStyle w:val="5"/>
        <w:spacing w:before="70"/>
        <w:ind w:left="1530"/>
        <w:rPr>
          <w:color w:val="auto"/>
          <w:highlight w:val="none"/>
        </w:rPr>
      </w:pPr>
      <w:r>
        <w:rPr>
          <w:color w:val="auto"/>
          <w:highlight w:val="none"/>
          <w:u w:val="single"/>
        </w:rPr>
        <w:t>工程质量未达到承包人投标时承诺的质量等级时，监理人应承担违约责任，并向委托人</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支付监理合同价10%的违约金。</w:t>
      </w:r>
    </w:p>
    <w:p>
      <w:pPr>
        <w:pStyle w:val="5"/>
        <w:rPr>
          <w:color w:val="auto"/>
          <w:sz w:val="8"/>
          <w:highlight w:val="none"/>
        </w:rPr>
      </w:pPr>
    </w:p>
    <w:p>
      <w:pPr>
        <w:pStyle w:val="5"/>
        <w:spacing w:before="70"/>
        <w:ind w:left="1530"/>
        <w:rPr>
          <w:color w:val="auto"/>
          <w:highlight w:val="none"/>
        </w:rPr>
      </w:pPr>
      <w:r>
        <w:rPr>
          <w:color w:val="auto"/>
          <w:w w:val="95"/>
          <w:highlight w:val="none"/>
          <w:u w:val="single"/>
        </w:rPr>
        <w:t>监理人须于施工现场配备至少1台电脑，专项负责造价控制的人员须自行配备预算软件</w:t>
      </w:r>
    </w:p>
    <w:p>
      <w:pPr>
        <w:pStyle w:val="5"/>
        <w:spacing w:before="11"/>
        <w:rPr>
          <w:color w:val="auto"/>
          <w:sz w:val="7"/>
          <w:highlight w:val="none"/>
        </w:rPr>
      </w:pPr>
    </w:p>
    <w:p>
      <w:pPr>
        <w:pStyle w:val="5"/>
        <w:spacing w:before="70"/>
        <w:ind w:left="803"/>
        <w:rPr>
          <w:color w:val="auto"/>
          <w:highlight w:val="none"/>
        </w:rPr>
      </w:pPr>
      <w:r>
        <w:rPr>
          <w:color w:val="auto"/>
          <w:spacing w:val="4"/>
          <w:w w:val="99"/>
          <w:highlight w:val="none"/>
          <w:u w:val="single"/>
        </w:rPr>
        <w:t>（</w:t>
      </w:r>
      <w:r>
        <w:rPr>
          <w:color w:val="auto"/>
          <w:spacing w:val="2"/>
          <w:w w:val="99"/>
          <w:highlight w:val="none"/>
          <w:u w:val="single"/>
        </w:rPr>
        <w:t>其费用由监理人自行负责</w:t>
      </w:r>
      <w:r>
        <w:rPr>
          <w:color w:val="auto"/>
          <w:spacing w:val="-101"/>
          <w:w w:val="99"/>
          <w:highlight w:val="none"/>
          <w:u w:val="single"/>
        </w:rPr>
        <w:t>）</w:t>
      </w:r>
      <w:r>
        <w:rPr>
          <w:color w:val="auto"/>
          <w:spacing w:val="1"/>
          <w:w w:val="99"/>
          <w:highlight w:val="none"/>
          <w:u w:val="single"/>
        </w:rPr>
        <w:t>，每月中旬前根据工程实际完成工程量，将预算造价与实际造价</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的出入情况上报委托人。</w:t>
      </w:r>
    </w:p>
    <w:p>
      <w:pPr>
        <w:pStyle w:val="5"/>
        <w:rPr>
          <w:color w:val="auto"/>
          <w:sz w:val="8"/>
          <w:highlight w:val="none"/>
        </w:rPr>
      </w:pPr>
    </w:p>
    <w:p>
      <w:pPr>
        <w:pStyle w:val="5"/>
        <w:spacing w:before="70"/>
        <w:ind w:left="1530"/>
        <w:rPr>
          <w:color w:val="auto"/>
          <w:highlight w:val="none"/>
        </w:rPr>
      </w:pPr>
      <w:r>
        <w:rPr>
          <w:color w:val="auto"/>
          <w:spacing w:val="-5"/>
          <w:w w:val="95"/>
          <w:highlight w:val="none"/>
          <w:u w:val="single"/>
        </w:rPr>
        <w:t>委托的建设工程监理所必要的监理人员外出考察、订购材料设备监制，其费用已包含在</w:t>
      </w:r>
    </w:p>
    <w:p>
      <w:pPr>
        <w:pStyle w:val="5"/>
        <w:spacing w:before="11"/>
        <w:rPr>
          <w:color w:val="auto"/>
          <w:sz w:val="7"/>
          <w:highlight w:val="none"/>
        </w:rPr>
      </w:pPr>
    </w:p>
    <w:p>
      <w:pPr>
        <w:pStyle w:val="5"/>
        <w:spacing w:before="70"/>
        <w:ind w:left="803"/>
        <w:rPr>
          <w:color w:val="auto"/>
          <w:highlight w:val="none"/>
        </w:rPr>
      </w:pPr>
      <w:r>
        <w:rPr>
          <w:color w:val="auto"/>
          <w:w w:val="95"/>
          <w:highlight w:val="none"/>
          <w:u w:val="single"/>
        </w:rPr>
        <w:t>合同价内，委托人不再另行支付。如委托方要求监理人员外出考察、订购材料设备监制的，其</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费用由委托人另行支付。</w:t>
      </w:r>
    </w:p>
    <w:p>
      <w:pPr>
        <w:pStyle w:val="5"/>
        <w:rPr>
          <w:color w:val="auto"/>
          <w:sz w:val="8"/>
          <w:highlight w:val="none"/>
        </w:rPr>
      </w:pPr>
    </w:p>
    <w:p>
      <w:pPr>
        <w:pStyle w:val="5"/>
        <w:spacing w:before="70"/>
        <w:ind w:left="1530"/>
        <w:rPr>
          <w:color w:val="auto"/>
          <w:highlight w:val="none"/>
        </w:rPr>
      </w:pPr>
      <w:r>
        <w:rPr>
          <w:color w:val="auto"/>
          <w:highlight w:val="none"/>
          <w:u w:val="single"/>
        </w:rPr>
        <w:t>隐蔽工程验收时，监理方必须会同委托人一起验收，并经监理方、委托人代表签字盖章</w:t>
      </w:r>
    </w:p>
    <w:p>
      <w:pPr>
        <w:pStyle w:val="5"/>
        <w:spacing w:before="11"/>
        <w:rPr>
          <w:color w:val="auto"/>
          <w:sz w:val="7"/>
          <w:highlight w:val="none"/>
        </w:rPr>
      </w:pPr>
    </w:p>
    <w:p>
      <w:pPr>
        <w:pStyle w:val="5"/>
        <w:spacing w:before="69"/>
        <w:ind w:left="803"/>
        <w:rPr>
          <w:color w:val="auto"/>
          <w:highlight w:val="none"/>
        </w:rPr>
      </w:pPr>
      <w:r>
        <w:rPr>
          <w:color w:val="auto"/>
          <w:highlight w:val="none"/>
          <w:u w:val="single"/>
        </w:rPr>
        <w:t>确认后，方可进行下道工序施工。</w:t>
      </w:r>
    </w:p>
    <w:p>
      <w:pPr>
        <w:pStyle w:val="5"/>
        <w:spacing w:before="11"/>
        <w:rPr>
          <w:color w:val="auto"/>
          <w:sz w:val="7"/>
          <w:highlight w:val="none"/>
        </w:rPr>
      </w:pPr>
    </w:p>
    <w:p>
      <w:pPr>
        <w:pStyle w:val="5"/>
        <w:spacing w:before="70"/>
        <w:ind w:left="1489"/>
        <w:rPr>
          <w:color w:val="auto"/>
          <w:highlight w:val="none"/>
        </w:rPr>
      </w:pPr>
      <w:r>
        <w:rPr>
          <w:color w:val="auto"/>
          <w:spacing w:val="-3"/>
          <w:w w:val="95"/>
          <w:highlight w:val="none"/>
          <w:u w:val="single"/>
        </w:rPr>
        <w:t>监理人应对驻现场监理人员的人身和财产安全负全部责任，在监理服务期内为派驻到项</w:t>
      </w:r>
    </w:p>
    <w:p>
      <w:pPr>
        <w:pStyle w:val="5"/>
        <w:rPr>
          <w:color w:val="auto"/>
          <w:sz w:val="8"/>
          <w:highlight w:val="none"/>
        </w:rPr>
      </w:pPr>
    </w:p>
    <w:p>
      <w:pPr>
        <w:pStyle w:val="5"/>
        <w:spacing w:before="70"/>
        <w:ind w:left="803"/>
        <w:rPr>
          <w:color w:val="auto"/>
          <w:highlight w:val="none"/>
        </w:rPr>
      </w:pPr>
      <w:r>
        <w:rPr>
          <w:color w:val="auto"/>
          <w:w w:val="95"/>
          <w:highlight w:val="none"/>
          <w:u w:val="single"/>
        </w:rPr>
        <w:t>目所在地的人员办理人身和自有财产的有关保险，并承担有关费用。保险时间应随服务时间的</w:t>
      </w:r>
    </w:p>
    <w:p>
      <w:pPr>
        <w:pStyle w:val="5"/>
        <w:spacing w:before="11"/>
        <w:rPr>
          <w:color w:val="auto"/>
          <w:sz w:val="7"/>
          <w:highlight w:val="none"/>
        </w:rPr>
      </w:pPr>
    </w:p>
    <w:p>
      <w:pPr>
        <w:pStyle w:val="5"/>
        <w:spacing w:before="69"/>
        <w:ind w:left="803"/>
        <w:rPr>
          <w:color w:val="auto"/>
          <w:highlight w:val="none"/>
        </w:rPr>
      </w:pPr>
      <w:r>
        <w:rPr>
          <w:color w:val="auto"/>
          <w:w w:val="95"/>
          <w:highlight w:val="none"/>
          <w:u w:val="single"/>
        </w:rPr>
        <w:t>延长而顺延，并在出险后自行办理索赔。如监理人不办理上述保险，则应对有关风险及后果自</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负其责。</w:t>
      </w:r>
    </w:p>
    <w:p>
      <w:pPr>
        <w:pStyle w:val="5"/>
        <w:rPr>
          <w:color w:val="auto"/>
          <w:sz w:val="8"/>
          <w:highlight w:val="none"/>
        </w:rPr>
      </w:pPr>
    </w:p>
    <w:p>
      <w:pPr>
        <w:pStyle w:val="5"/>
        <w:spacing w:before="70"/>
        <w:ind w:left="1489"/>
        <w:rPr>
          <w:color w:val="auto"/>
          <w:highlight w:val="none"/>
        </w:rPr>
      </w:pPr>
      <w:r>
        <w:rPr>
          <w:color w:val="auto"/>
          <w:highlight w:val="none"/>
          <w:u w:val="single"/>
        </w:rPr>
        <w:t>监理人须设立监察点，全程监察施工时对相邻建筑物的安全影响。</w:t>
      </w:r>
    </w:p>
    <w:p>
      <w:pPr>
        <w:pStyle w:val="5"/>
        <w:spacing w:before="11"/>
        <w:rPr>
          <w:color w:val="auto"/>
          <w:sz w:val="7"/>
          <w:highlight w:val="none"/>
        </w:rPr>
      </w:pPr>
    </w:p>
    <w:p>
      <w:pPr>
        <w:pStyle w:val="5"/>
        <w:spacing w:before="69"/>
        <w:ind w:left="1489"/>
        <w:rPr>
          <w:color w:val="auto"/>
          <w:highlight w:val="none"/>
        </w:rPr>
      </w:pPr>
      <w:r>
        <w:rPr>
          <w:color w:val="auto"/>
          <w:highlight w:val="none"/>
          <w:u w:val="single"/>
        </w:rPr>
        <w:t>监理人须协助委托人做好工程前期准备工作，包括总承包、各专业工程、设备材料招标、</w:t>
      </w:r>
    </w:p>
    <w:p>
      <w:pPr>
        <w:pStyle w:val="5"/>
        <w:spacing w:before="11"/>
        <w:rPr>
          <w:color w:val="auto"/>
          <w:sz w:val="7"/>
          <w:highlight w:val="none"/>
        </w:rPr>
      </w:pPr>
    </w:p>
    <w:p>
      <w:pPr>
        <w:pStyle w:val="5"/>
        <w:spacing w:before="70"/>
        <w:ind w:left="803"/>
        <w:rPr>
          <w:color w:val="auto"/>
          <w:highlight w:val="none"/>
        </w:rPr>
      </w:pPr>
      <w:r>
        <w:rPr>
          <w:color w:val="auto"/>
          <w:highlight w:val="none"/>
          <w:u w:val="single"/>
        </w:rPr>
        <w:t>办理各项手续等工作。</w:t>
      </w:r>
    </w:p>
    <w:p>
      <w:pPr>
        <w:pStyle w:val="5"/>
        <w:rPr>
          <w:color w:val="auto"/>
          <w:sz w:val="8"/>
          <w:highlight w:val="none"/>
        </w:rPr>
      </w:pPr>
    </w:p>
    <w:p>
      <w:pPr>
        <w:pStyle w:val="4"/>
        <w:spacing w:before="70"/>
        <w:ind w:left="1376" w:firstLine="0"/>
        <w:rPr>
          <w:rFonts w:hint="eastAsia" w:ascii="宋体" w:eastAsia="宋体"/>
          <w:color w:val="auto"/>
          <w:highlight w:val="none"/>
        </w:rPr>
      </w:pPr>
      <w:r>
        <w:rPr>
          <w:rFonts w:hint="eastAsia" w:ascii="宋体" w:eastAsia="宋体"/>
          <w:color w:val="auto"/>
          <w:w w:val="95"/>
          <w:highlight w:val="none"/>
        </w:rPr>
        <w:t>总监在处理以下事项时：</w:t>
      </w:r>
      <w:r>
        <w:rPr>
          <w:rFonts w:hint="eastAsia" w:ascii="宋体" w:eastAsia="宋体"/>
          <w:color w:val="auto"/>
          <w:spacing w:val="2"/>
          <w:w w:val="95"/>
          <w:highlight w:val="none"/>
          <w:u w:val="single"/>
        </w:rPr>
        <w:t>1</w:t>
      </w:r>
      <w:r>
        <w:rPr>
          <w:rFonts w:hint="eastAsia" w:ascii="宋体" w:eastAsia="宋体"/>
          <w:color w:val="auto"/>
          <w:w w:val="95"/>
          <w:highlight w:val="none"/>
          <w:u w:val="single"/>
        </w:rPr>
        <w:t>、工程计量；</w:t>
      </w:r>
      <w:r>
        <w:rPr>
          <w:rFonts w:hint="eastAsia" w:ascii="宋体" w:eastAsia="宋体"/>
          <w:color w:val="auto"/>
          <w:spacing w:val="3"/>
          <w:w w:val="95"/>
          <w:highlight w:val="none"/>
          <w:u w:val="single"/>
        </w:rPr>
        <w:t>2</w:t>
      </w:r>
      <w:r>
        <w:rPr>
          <w:rFonts w:hint="eastAsia" w:ascii="宋体" w:eastAsia="宋体"/>
          <w:color w:val="auto"/>
          <w:w w:val="95"/>
          <w:highlight w:val="none"/>
          <w:u w:val="single"/>
        </w:rPr>
        <w:t>、工程价款</w:t>
      </w:r>
      <w:r>
        <w:rPr>
          <w:rFonts w:hint="eastAsia" w:ascii="宋体" w:eastAsia="宋体"/>
          <w:color w:val="auto"/>
          <w:spacing w:val="4"/>
          <w:w w:val="95"/>
          <w:highlight w:val="none"/>
          <w:u w:val="single"/>
        </w:rPr>
        <w:t>（</w:t>
      </w:r>
      <w:r>
        <w:rPr>
          <w:rFonts w:hint="eastAsia" w:ascii="宋体" w:eastAsia="宋体"/>
          <w:color w:val="auto"/>
          <w:w w:val="95"/>
          <w:highlight w:val="none"/>
          <w:u w:val="single"/>
        </w:rPr>
        <w:t>包括工程预付款、进度款、结算</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pacing w:val="4"/>
          <w:w w:val="95"/>
          <w:sz w:val="21"/>
          <w:highlight w:val="none"/>
          <w:u w:val="single"/>
        </w:rPr>
        <w:t>款）</w:t>
      </w:r>
      <w:r>
        <w:rPr>
          <w:b/>
          <w:color w:val="auto"/>
          <w:spacing w:val="2"/>
          <w:w w:val="95"/>
          <w:sz w:val="21"/>
          <w:highlight w:val="none"/>
          <w:u w:val="single"/>
        </w:rPr>
        <w:t>的确认和支付；</w:t>
      </w:r>
      <w:r>
        <w:rPr>
          <w:b/>
          <w:color w:val="auto"/>
          <w:spacing w:val="3"/>
          <w:w w:val="95"/>
          <w:sz w:val="21"/>
          <w:highlight w:val="none"/>
          <w:u w:val="single"/>
        </w:rPr>
        <w:t>3、工程变更和价格调整；4、竣工结算；5、工期确认</w:t>
      </w:r>
      <w:r>
        <w:rPr>
          <w:b/>
          <w:color w:val="auto"/>
          <w:spacing w:val="4"/>
          <w:w w:val="95"/>
          <w:sz w:val="21"/>
          <w:highlight w:val="none"/>
          <w:u w:val="single"/>
        </w:rPr>
        <w:t>（</w:t>
      </w:r>
      <w:r>
        <w:rPr>
          <w:b/>
          <w:color w:val="auto"/>
          <w:spacing w:val="3"/>
          <w:w w:val="95"/>
          <w:sz w:val="21"/>
          <w:highlight w:val="none"/>
          <w:u w:val="single"/>
        </w:rPr>
        <w:t>包括开工日期、</w:t>
      </w:r>
    </w:p>
    <w:p>
      <w:pPr>
        <w:pStyle w:val="5"/>
        <w:spacing w:before="11"/>
        <w:rPr>
          <w:b/>
          <w:color w:val="auto"/>
          <w:sz w:val="7"/>
          <w:highlight w:val="none"/>
        </w:rPr>
      </w:pPr>
    </w:p>
    <w:p>
      <w:pPr>
        <w:spacing w:before="70"/>
        <w:ind w:left="803" w:right="0" w:firstLine="0"/>
        <w:jc w:val="left"/>
        <w:rPr>
          <w:b/>
          <w:color w:val="auto"/>
          <w:sz w:val="21"/>
          <w:highlight w:val="none"/>
        </w:rPr>
      </w:pPr>
      <w:r>
        <w:rPr>
          <w:b/>
          <w:color w:val="auto"/>
          <w:w w:val="99"/>
          <w:sz w:val="21"/>
          <w:highlight w:val="none"/>
          <w:u w:val="single"/>
        </w:rPr>
        <w:t>竣工日期、工期延误的确认</w:t>
      </w:r>
      <w:r>
        <w:rPr>
          <w:b/>
          <w:color w:val="auto"/>
          <w:spacing w:val="-104"/>
          <w:w w:val="99"/>
          <w:sz w:val="21"/>
          <w:highlight w:val="none"/>
          <w:u w:val="single"/>
        </w:rPr>
        <w:t>）</w:t>
      </w:r>
      <w:r>
        <w:rPr>
          <w:b/>
          <w:color w:val="auto"/>
          <w:spacing w:val="-5"/>
          <w:w w:val="99"/>
          <w:sz w:val="21"/>
          <w:highlight w:val="none"/>
          <w:u w:val="single"/>
        </w:rPr>
        <w:t>；</w:t>
      </w:r>
      <w:r>
        <w:rPr>
          <w:b/>
          <w:color w:val="auto"/>
          <w:spacing w:val="3"/>
          <w:w w:val="98"/>
          <w:sz w:val="21"/>
          <w:highlight w:val="none"/>
          <w:u w:val="single"/>
        </w:rPr>
        <w:t>6</w:t>
      </w:r>
      <w:r>
        <w:rPr>
          <w:b/>
          <w:color w:val="auto"/>
          <w:spacing w:val="-2"/>
          <w:w w:val="99"/>
          <w:sz w:val="21"/>
          <w:highlight w:val="none"/>
          <w:u w:val="single"/>
        </w:rPr>
        <w:t>、索赔处理。须按施工合同约定的时限内完成，且必须经委托</w:t>
      </w:r>
    </w:p>
    <w:p>
      <w:pPr>
        <w:pStyle w:val="5"/>
        <w:rPr>
          <w:b/>
          <w:color w:val="auto"/>
          <w:sz w:val="8"/>
          <w:highlight w:val="none"/>
        </w:rPr>
      </w:pPr>
    </w:p>
    <w:p>
      <w:pPr>
        <w:spacing w:before="70"/>
        <w:ind w:left="803" w:right="0" w:firstLine="0"/>
        <w:jc w:val="left"/>
        <w:rPr>
          <w:b/>
          <w:color w:val="auto"/>
          <w:sz w:val="21"/>
          <w:highlight w:val="none"/>
        </w:rPr>
      </w:pPr>
      <w:r>
        <w:rPr>
          <w:b/>
          <w:color w:val="auto"/>
          <w:spacing w:val="-5"/>
          <w:w w:val="95"/>
          <w:sz w:val="21"/>
          <w:highlight w:val="none"/>
          <w:u w:val="single"/>
        </w:rPr>
        <w:t>人审查同意、书面签认后，方可将确认结果回复予承包人。未在规定的期限内完成，或未经委</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pacing w:val="-2"/>
          <w:sz w:val="21"/>
          <w:highlight w:val="none"/>
          <w:u w:val="single"/>
        </w:rPr>
        <w:t xml:space="preserve">托人书面签认，每次委托人向监理人扣监理合同价的 </w:t>
      </w:r>
      <w:r>
        <w:rPr>
          <w:b/>
          <w:color w:val="auto"/>
          <w:sz w:val="21"/>
          <w:highlight w:val="none"/>
          <w:u w:val="single"/>
        </w:rPr>
        <w:t>0.5%</w:t>
      </w:r>
      <w:r>
        <w:rPr>
          <w:b/>
          <w:color w:val="auto"/>
          <w:spacing w:val="-6"/>
          <w:sz w:val="21"/>
          <w:highlight w:val="none"/>
          <w:u w:val="single"/>
        </w:rPr>
        <w:t xml:space="preserve">，如发现监理签认的误差超过 </w:t>
      </w:r>
      <w:r>
        <w:rPr>
          <w:b/>
          <w:color w:val="auto"/>
          <w:sz w:val="21"/>
          <w:highlight w:val="none"/>
          <w:u w:val="single"/>
        </w:rPr>
        <w:t>3%以</w:t>
      </w:r>
    </w:p>
    <w:p>
      <w:pPr>
        <w:spacing w:after="0"/>
        <w:jc w:val="left"/>
        <w:rPr>
          <w:color w:val="auto"/>
          <w:sz w:val="21"/>
          <w:highlight w:val="none"/>
        </w:rPr>
        <w:sectPr>
          <w:pgSz w:w="11910" w:h="16840"/>
          <w:pgMar w:top="1080" w:right="520" w:bottom="1180" w:left="920" w:header="891" w:footer="993" w:gutter="0"/>
        </w:sectPr>
      </w:pPr>
    </w:p>
    <w:p>
      <w:pPr>
        <w:pStyle w:val="5"/>
        <w:spacing w:before="4"/>
        <w:rPr>
          <w:b/>
          <w:color w:val="auto"/>
          <w:sz w:val="22"/>
          <w:highlight w:val="none"/>
        </w:rPr>
      </w:pPr>
    </w:p>
    <w:p>
      <w:pPr>
        <w:spacing w:before="69"/>
        <w:ind w:left="803" w:right="0" w:firstLine="0"/>
        <w:jc w:val="left"/>
        <w:rPr>
          <w:b/>
          <w:color w:val="auto"/>
          <w:sz w:val="21"/>
          <w:highlight w:val="none"/>
        </w:rPr>
      </w:pPr>
      <w:r>
        <w:rPr>
          <w:b/>
          <w:color w:val="auto"/>
          <w:sz w:val="21"/>
          <w:highlight w:val="none"/>
          <w:u w:val="single"/>
        </w:rPr>
        <w:t>上的，委托人按超过实际金额的 10%向监理人扣除监理费。</w:t>
      </w:r>
    </w:p>
    <w:p>
      <w:pPr>
        <w:pStyle w:val="5"/>
        <w:spacing w:before="11"/>
        <w:rPr>
          <w:b/>
          <w:color w:val="auto"/>
          <w:sz w:val="7"/>
          <w:highlight w:val="none"/>
        </w:rPr>
      </w:pPr>
    </w:p>
    <w:p>
      <w:pPr>
        <w:spacing w:before="70"/>
        <w:ind w:left="1376" w:right="0" w:firstLine="0"/>
        <w:jc w:val="left"/>
        <w:rPr>
          <w:b/>
          <w:color w:val="auto"/>
          <w:sz w:val="21"/>
          <w:highlight w:val="none"/>
        </w:rPr>
      </w:pPr>
      <w:r>
        <w:rPr>
          <w:b/>
          <w:color w:val="auto"/>
          <w:w w:val="95"/>
          <w:sz w:val="21"/>
          <w:highlight w:val="none"/>
          <w:u w:val="single"/>
        </w:rPr>
        <w:t>除因管理原因发生重大安全事故不适合再任、因生病住院、终止劳动合同关系</w:t>
      </w:r>
      <w:r>
        <w:rPr>
          <w:b/>
          <w:color w:val="auto"/>
          <w:spacing w:val="4"/>
          <w:w w:val="95"/>
          <w:sz w:val="21"/>
          <w:highlight w:val="none"/>
          <w:u w:val="single"/>
        </w:rPr>
        <w:t>（</w:t>
      </w:r>
      <w:r>
        <w:rPr>
          <w:b/>
          <w:color w:val="auto"/>
          <w:spacing w:val="1"/>
          <w:w w:val="95"/>
          <w:sz w:val="21"/>
          <w:highlight w:val="none"/>
          <w:u w:val="single"/>
        </w:rPr>
        <w:t>提供相</w:t>
      </w:r>
    </w:p>
    <w:p>
      <w:pPr>
        <w:pStyle w:val="5"/>
        <w:spacing w:before="11"/>
        <w:rPr>
          <w:b/>
          <w:color w:val="auto"/>
          <w:sz w:val="7"/>
          <w:highlight w:val="none"/>
        </w:rPr>
      </w:pPr>
    </w:p>
    <w:p>
      <w:pPr>
        <w:spacing w:before="69"/>
        <w:ind w:left="803" w:right="0" w:firstLine="0"/>
        <w:jc w:val="left"/>
        <w:rPr>
          <w:b/>
          <w:color w:val="auto"/>
          <w:sz w:val="21"/>
          <w:highlight w:val="none"/>
        </w:rPr>
      </w:pPr>
      <w:r>
        <w:rPr>
          <w:b/>
          <w:color w:val="auto"/>
          <w:spacing w:val="3"/>
          <w:sz w:val="21"/>
          <w:highlight w:val="none"/>
          <w:u w:val="single"/>
        </w:rPr>
        <w:t>关部门或单位证明材料</w:t>
      </w:r>
      <w:r>
        <w:rPr>
          <w:b/>
          <w:color w:val="auto"/>
          <w:spacing w:val="-101"/>
          <w:sz w:val="21"/>
          <w:highlight w:val="none"/>
          <w:u w:val="single"/>
        </w:rPr>
        <w:t>）</w:t>
      </w:r>
      <w:r>
        <w:rPr>
          <w:b/>
          <w:color w:val="auto"/>
          <w:spacing w:val="-3"/>
          <w:sz w:val="21"/>
          <w:highlight w:val="none"/>
          <w:u w:val="single"/>
        </w:rPr>
        <w:t xml:space="preserve">、被责令停止执业、羁押或判刑、连续停工超过 </w:t>
      </w:r>
      <w:r>
        <w:rPr>
          <w:b/>
          <w:color w:val="auto"/>
          <w:sz w:val="21"/>
          <w:highlight w:val="none"/>
          <w:u w:val="single"/>
        </w:rPr>
        <w:t>120</w:t>
      </w:r>
      <w:r>
        <w:rPr>
          <w:b/>
          <w:color w:val="auto"/>
          <w:spacing w:val="-8"/>
          <w:sz w:val="21"/>
          <w:highlight w:val="none"/>
          <w:u w:val="single"/>
        </w:rPr>
        <w:t xml:space="preserve"> 天及以上情形而</w:t>
      </w:r>
    </w:p>
    <w:p>
      <w:pPr>
        <w:pStyle w:val="5"/>
        <w:spacing w:before="1"/>
        <w:rPr>
          <w:b/>
          <w:color w:val="auto"/>
          <w:sz w:val="8"/>
          <w:highlight w:val="none"/>
        </w:rPr>
      </w:pPr>
    </w:p>
    <w:p>
      <w:pPr>
        <w:spacing w:before="69"/>
        <w:ind w:left="803" w:right="0" w:firstLine="0"/>
        <w:jc w:val="left"/>
        <w:rPr>
          <w:b/>
          <w:color w:val="auto"/>
          <w:sz w:val="21"/>
          <w:highlight w:val="none"/>
        </w:rPr>
      </w:pPr>
      <w:r>
        <w:rPr>
          <w:b/>
          <w:color w:val="auto"/>
          <w:spacing w:val="-5"/>
          <w:w w:val="95"/>
          <w:sz w:val="21"/>
          <w:highlight w:val="none"/>
          <w:u w:val="single"/>
        </w:rPr>
        <w:t>更换之外的，如监理人要求更换人员，须经委托人认可，同时，总监每更换一人次扣除监理合</w:t>
      </w:r>
    </w:p>
    <w:p>
      <w:pPr>
        <w:pStyle w:val="5"/>
        <w:spacing w:before="11"/>
        <w:rPr>
          <w:b/>
          <w:color w:val="auto"/>
          <w:sz w:val="7"/>
          <w:highlight w:val="none"/>
        </w:rPr>
      </w:pPr>
    </w:p>
    <w:p>
      <w:pPr>
        <w:spacing w:before="70"/>
        <w:ind w:left="803" w:right="0" w:firstLine="0"/>
        <w:jc w:val="left"/>
        <w:rPr>
          <w:b/>
          <w:color w:val="auto"/>
          <w:sz w:val="21"/>
          <w:highlight w:val="none"/>
        </w:rPr>
      </w:pPr>
      <w:r>
        <w:rPr>
          <w:b/>
          <w:color w:val="auto"/>
          <w:spacing w:val="-15"/>
          <w:sz w:val="21"/>
          <w:highlight w:val="none"/>
          <w:u w:val="single"/>
        </w:rPr>
        <w:t xml:space="preserve">同价的 </w:t>
      </w:r>
      <w:r>
        <w:rPr>
          <w:b/>
          <w:color w:val="auto"/>
          <w:spacing w:val="-4"/>
          <w:sz w:val="21"/>
          <w:highlight w:val="none"/>
          <w:u w:val="single"/>
        </w:rPr>
        <w:t xml:space="preserve">10%；监理工程师每更换一人次扣除监理合同价的 </w:t>
      </w:r>
      <w:r>
        <w:rPr>
          <w:b/>
          <w:color w:val="auto"/>
          <w:spacing w:val="-5"/>
          <w:sz w:val="21"/>
          <w:highlight w:val="none"/>
          <w:u w:val="single"/>
        </w:rPr>
        <w:t>5</w:t>
      </w:r>
      <w:r>
        <w:rPr>
          <w:b/>
          <w:color w:val="auto"/>
          <w:spacing w:val="-2"/>
          <w:sz w:val="21"/>
          <w:highlight w:val="none"/>
          <w:u w:val="single"/>
        </w:rPr>
        <w:t>%；其他关键岗位人员每更换一人次</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z w:val="21"/>
          <w:highlight w:val="none"/>
          <w:u w:val="single"/>
        </w:rPr>
        <w:t>扣除监理合同价的 2%。</w:t>
      </w:r>
    </w:p>
    <w:p>
      <w:pPr>
        <w:pStyle w:val="5"/>
        <w:spacing w:before="1"/>
        <w:rPr>
          <w:b/>
          <w:color w:val="auto"/>
          <w:sz w:val="8"/>
          <w:highlight w:val="none"/>
        </w:rPr>
      </w:pPr>
    </w:p>
    <w:p>
      <w:pPr>
        <w:pStyle w:val="5"/>
        <w:spacing w:before="69"/>
        <w:ind w:left="1376"/>
        <w:rPr>
          <w:color w:val="auto"/>
          <w:highlight w:val="none"/>
        </w:rPr>
      </w:pPr>
      <w:r>
        <w:rPr>
          <w:color w:val="auto"/>
          <w:highlight w:val="none"/>
          <w:u w:val="single"/>
        </w:rPr>
        <w:t>工程监理单位应公正行使监理职责，督促监理人员严格遵守监理职业道德，如监理人员</w:t>
      </w:r>
    </w:p>
    <w:p>
      <w:pPr>
        <w:pStyle w:val="5"/>
        <w:spacing w:before="11"/>
        <w:rPr>
          <w:color w:val="auto"/>
          <w:sz w:val="7"/>
          <w:highlight w:val="none"/>
        </w:rPr>
      </w:pPr>
    </w:p>
    <w:p>
      <w:pPr>
        <w:pStyle w:val="5"/>
        <w:spacing w:before="70"/>
        <w:ind w:left="803"/>
        <w:rPr>
          <w:color w:val="auto"/>
          <w:highlight w:val="none"/>
        </w:rPr>
      </w:pPr>
      <w:r>
        <w:rPr>
          <w:color w:val="auto"/>
          <w:spacing w:val="2"/>
          <w:w w:val="99"/>
          <w:highlight w:val="none"/>
          <w:u w:val="single"/>
        </w:rPr>
        <w:t>违反《工程监理廉政责任书》中的乙方责任条款（该条款的相关单位包括受监理单位</w:t>
      </w:r>
      <w:r>
        <w:rPr>
          <w:color w:val="auto"/>
          <w:spacing w:val="-101"/>
          <w:w w:val="99"/>
          <w:highlight w:val="none"/>
          <w:u w:val="single"/>
        </w:rPr>
        <w:t>）</w:t>
      </w:r>
      <w:r>
        <w:rPr>
          <w:color w:val="auto"/>
          <w:spacing w:val="2"/>
          <w:w w:val="99"/>
          <w:highlight w:val="none"/>
          <w:u w:val="single"/>
        </w:rPr>
        <w:t>，委托</w:t>
      </w:r>
    </w:p>
    <w:p>
      <w:pPr>
        <w:pStyle w:val="5"/>
        <w:spacing w:before="10"/>
        <w:rPr>
          <w:color w:val="auto"/>
          <w:sz w:val="7"/>
          <w:highlight w:val="none"/>
        </w:rPr>
      </w:pPr>
    </w:p>
    <w:p>
      <w:pPr>
        <w:pStyle w:val="5"/>
        <w:spacing w:before="70"/>
        <w:ind w:left="803"/>
        <w:rPr>
          <w:color w:val="auto"/>
          <w:highlight w:val="none"/>
        </w:rPr>
      </w:pPr>
      <w:r>
        <w:rPr>
          <w:color w:val="auto"/>
          <w:w w:val="95"/>
          <w:highlight w:val="none"/>
          <w:u w:val="single"/>
        </w:rPr>
        <w:t>人有权要求其更换项目监理人员并罚除监理人监理合同价的３%～５%；情节严重，给委托人造</w:t>
      </w:r>
    </w:p>
    <w:p>
      <w:pPr>
        <w:pStyle w:val="5"/>
        <w:rPr>
          <w:color w:val="auto"/>
          <w:sz w:val="8"/>
          <w:highlight w:val="none"/>
        </w:rPr>
      </w:pPr>
    </w:p>
    <w:p>
      <w:pPr>
        <w:pStyle w:val="5"/>
        <w:spacing w:before="70"/>
        <w:ind w:left="803"/>
        <w:rPr>
          <w:color w:val="auto"/>
          <w:highlight w:val="none"/>
        </w:rPr>
      </w:pPr>
      <w:r>
        <w:rPr>
          <w:color w:val="auto"/>
          <w:highlight w:val="none"/>
          <w:u w:val="single"/>
        </w:rPr>
        <w:t>成损失的，委托人有权终止合同，监理单位并依法承担赔偿责任。</w:t>
      </w:r>
    </w:p>
    <w:p>
      <w:pPr>
        <w:pStyle w:val="5"/>
        <w:spacing w:before="11"/>
        <w:rPr>
          <w:color w:val="auto"/>
          <w:sz w:val="7"/>
          <w:highlight w:val="none"/>
        </w:rPr>
      </w:pPr>
    </w:p>
    <w:p>
      <w:pPr>
        <w:pStyle w:val="5"/>
        <w:spacing w:before="70"/>
        <w:ind w:left="1376"/>
        <w:rPr>
          <w:color w:val="auto"/>
          <w:highlight w:val="none"/>
        </w:rPr>
      </w:pPr>
      <w:r>
        <w:rPr>
          <w:color w:val="auto"/>
          <w:highlight w:val="none"/>
          <w:u w:val="single"/>
        </w:rPr>
        <w:t>如发现监理人有与施工方（或生产厂家）合谋，偷工减料、弄虚作假、以次代好的现象，</w:t>
      </w:r>
    </w:p>
    <w:p>
      <w:pPr>
        <w:pStyle w:val="5"/>
        <w:spacing w:before="10"/>
        <w:rPr>
          <w:color w:val="auto"/>
          <w:sz w:val="7"/>
          <w:highlight w:val="none"/>
        </w:rPr>
      </w:pPr>
    </w:p>
    <w:p>
      <w:pPr>
        <w:pStyle w:val="5"/>
        <w:spacing w:before="70"/>
        <w:ind w:left="803"/>
        <w:rPr>
          <w:color w:val="auto"/>
          <w:highlight w:val="none"/>
        </w:rPr>
      </w:pPr>
      <w:r>
        <w:rPr>
          <w:color w:val="auto"/>
          <w:highlight w:val="none"/>
          <w:u w:val="single"/>
        </w:rPr>
        <w:t>委托人有权立即停止施工，查明情况后，根据情节轻重每次罚除监理人监理合同价的3%。如造</w:t>
      </w:r>
    </w:p>
    <w:p>
      <w:pPr>
        <w:pStyle w:val="5"/>
        <w:rPr>
          <w:color w:val="auto"/>
          <w:sz w:val="8"/>
          <w:highlight w:val="none"/>
        </w:rPr>
      </w:pPr>
    </w:p>
    <w:p>
      <w:pPr>
        <w:pStyle w:val="5"/>
        <w:spacing w:before="70"/>
        <w:ind w:left="803"/>
        <w:rPr>
          <w:color w:val="auto"/>
          <w:highlight w:val="none"/>
        </w:rPr>
      </w:pPr>
      <w:r>
        <w:rPr>
          <w:color w:val="auto"/>
          <w:highlight w:val="none"/>
          <w:u w:val="single"/>
        </w:rPr>
        <w:t>成委托人损失的，赔偿损失。</w:t>
      </w:r>
    </w:p>
    <w:p>
      <w:pPr>
        <w:pStyle w:val="5"/>
        <w:spacing w:before="11"/>
        <w:rPr>
          <w:color w:val="auto"/>
          <w:sz w:val="7"/>
          <w:highlight w:val="none"/>
        </w:rPr>
      </w:pPr>
    </w:p>
    <w:p>
      <w:pPr>
        <w:pStyle w:val="4"/>
        <w:spacing w:before="70"/>
        <w:ind w:left="1223" w:firstLine="0"/>
        <w:rPr>
          <w:rFonts w:hint="eastAsia" w:ascii="宋体" w:eastAsia="宋体"/>
          <w:color w:val="auto"/>
          <w:highlight w:val="none"/>
        </w:rPr>
      </w:pPr>
      <w:r>
        <w:rPr>
          <w:rFonts w:hint="eastAsia" w:ascii="宋体" w:eastAsia="宋体"/>
          <w:color w:val="auto"/>
          <w:highlight w:val="none"/>
          <w:u w:val="single"/>
        </w:rPr>
        <w:t>如监理人有违反廉政规定并被纪检部门或司法机关查处的，则监理人向委托人支付合同价</w:t>
      </w:r>
    </w:p>
    <w:p>
      <w:pPr>
        <w:pStyle w:val="5"/>
        <w:spacing w:before="10"/>
        <w:rPr>
          <w:b/>
          <w:color w:val="auto"/>
          <w:sz w:val="7"/>
          <w:highlight w:val="none"/>
        </w:rPr>
      </w:pPr>
    </w:p>
    <w:p>
      <w:pPr>
        <w:spacing w:before="70"/>
        <w:ind w:left="803" w:right="0" w:firstLine="0"/>
        <w:jc w:val="left"/>
        <w:rPr>
          <w:b/>
          <w:color w:val="auto"/>
          <w:sz w:val="21"/>
          <w:highlight w:val="none"/>
        </w:rPr>
      </w:pPr>
      <w:r>
        <w:rPr>
          <w:b/>
          <w:color w:val="auto"/>
          <w:sz w:val="21"/>
          <w:highlight w:val="none"/>
          <w:u w:val="single"/>
        </w:rPr>
        <w:t>10%的违约金。</w:t>
      </w:r>
    </w:p>
    <w:p>
      <w:pPr>
        <w:spacing w:after="0"/>
        <w:jc w:val="left"/>
        <w:rPr>
          <w:color w:val="auto"/>
          <w:sz w:val="21"/>
          <w:highlight w:val="none"/>
        </w:rPr>
        <w:sectPr>
          <w:footerReference r:id="rId10" w:type="default"/>
          <w:pgSz w:w="11910" w:h="16840"/>
          <w:pgMar w:top="1080" w:right="520" w:bottom="1180" w:left="920" w:header="891" w:footer="993" w:gutter="0"/>
          <w:pgNumType w:start="30"/>
        </w:sectPr>
      </w:pPr>
    </w:p>
    <w:p>
      <w:pPr>
        <w:pStyle w:val="5"/>
        <w:spacing w:before="6"/>
        <w:rPr>
          <w:b/>
          <w:color w:val="auto"/>
          <w:sz w:val="12"/>
          <w:highlight w:val="none"/>
        </w:rPr>
      </w:pPr>
    </w:p>
    <w:p>
      <w:pPr>
        <w:tabs>
          <w:tab w:val="left" w:pos="4784"/>
        </w:tabs>
        <w:spacing w:before="54"/>
        <w:ind w:left="3181" w:right="0" w:firstLine="0"/>
        <w:jc w:val="left"/>
        <w:rPr>
          <w:rFonts w:hint="eastAsia" w:ascii="黑体" w:eastAsia="黑体"/>
          <w:b/>
          <w:color w:val="auto"/>
          <w:sz w:val="32"/>
          <w:highlight w:val="none"/>
        </w:rPr>
      </w:pPr>
      <w:r>
        <w:rPr>
          <w:rFonts w:hint="eastAsia" w:ascii="黑体" w:eastAsia="黑体"/>
          <w:b/>
          <w:color w:val="auto"/>
          <w:sz w:val="32"/>
          <w:highlight w:val="none"/>
        </w:rPr>
        <w:t>第四部分</w:t>
      </w:r>
      <w:r>
        <w:rPr>
          <w:rFonts w:hint="eastAsia" w:ascii="黑体" w:eastAsia="黑体"/>
          <w:b/>
          <w:color w:val="auto"/>
          <w:sz w:val="32"/>
          <w:highlight w:val="none"/>
        </w:rPr>
        <w:tab/>
      </w:r>
      <w:r>
        <w:rPr>
          <w:rFonts w:hint="eastAsia" w:ascii="黑体" w:eastAsia="黑体"/>
          <w:b/>
          <w:color w:val="auto"/>
          <w:sz w:val="32"/>
          <w:highlight w:val="none"/>
        </w:rPr>
        <w:t>工程监理廉政责任书</w:t>
      </w:r>
    </w:p>
    <w:p>
      <w:pPr>
        <w:pStyle w:val="5"/>
        <w:rPr>
          <w:rFonts w:ascii="黑体"/>
          <w:b/>
          <w:color w:val="auto"/>
          <w:sz w:val="38"/>
          <w:highlight w:val="none"/>
        </w:rPr>
      </w:pPr>
    </w:p>
    <w:p>
      <w:pPr>
        <w:pStyle w:val="5"/>
        <w:spacing w:before="1" w:line="336" w:lineRule="auto"/>
        <w:ind w:left="1120" w:right="1472"/>
        <w:rPr>
          <w:rFonts w:hint="eastAsia"/>
          <w:color w:val="auto"/>
          <w:highlight w:val="none"/>
          <w:lang w:eastAsia="zh-CN"/>
        </w:rPr>
      </w:pPr>
      <w:r>
        <w:rPr>
          <w:color w:val="auto"/>
          <w:highlight w:val="none"/>
        </w:rPr>
        <w:t>工程项目名称：</w:t>
      </w:r>
      <w:r>
        <w:rPr>
          <w:rFonts w:hint="eastAsia"/>
          <w:color w:val="auto"/>
          <w:highlight w:val="none"/>
          <w:u w:val="single"/>
          <w:lang w:eastAsia="zh-CN"/>
        </w:rPr>
        <w:t>玉环市漩门三期围垦配套工程（监理）</w:t>
      </w:r>
    </w:p>
    <w:p>
      <w:pPr>
        <w:pStyle w:val="5"/>
        <w:spacing w:before="1" w:line="336" w:lineRule="auto"/>
        <w:ind w:left="1120" w:right="1472"/>
        <w:rPr>
          <w:color w:val="auto"/>
          <w:highlight w:val="none"/>
        </w:rPr>
      </w:pPr>
      <w:r>
        <w:rPr>
          <w:color w:val="auto"/>
          <w:highlight w:val="none"/>
        </w:rPr>
        <w:t>工程地点：</w:t>
      </w:r>
      <w:r>
        <w:rPr>
          <w:rFonts w:hint="eastAsia"/>
          <w:color w:val="auto"/>
          <w:highlight w:val="none"/>
          <w:u w:val="single"/>
        </w:rPr>
        <w:t>漩门三期目鱼屿、冲坦屿</w:t>
      </w:r>
    </w:p>
    <w:p>
      <w:pPr>
        <w:pStyle w:val="5"/>
        <w:spacing w:before="1" w:line="336" w:lineRule="auto"/>
        <w:ind w:left="1120" w:right="1472"/>
        <w:rPr>
          <w:rFonts w:hint="eastAsia"/>
          <w:color w:val="auto"/>
          <w:highlight w:val="none"/>
          <w:u w:val="single"/>
          <w:lang w:eastAsia="zh-CN"/>
        </w:rPr>
      </w:pPr>
      <w:r>
        <w:rPr>
          <w:color w:val="auto"/>
          <w:highlight w:val="none"/>
        </w:rPr>
        <w:t>建设单位（甲方）：</w:t>
      </w:r>
      <w:r>
        <w:rPr>
          <w:rFonts w:hint="eastAsia"/>
          <w:color w:val="auto"/>
          <w:highlight w:val="none"/>
          <w:u w:val="single"/>
          <w:lang w:eastAsia="zh-CN"/>
        </w:rPr>
        <w:t>玉环市漩门三期开发有限公司</w:t>
      </w:r>
    </w:p>
    <w:p>
      <w:pPr>
        <w:pStyle w:val="5"/>
        <w:tabs>
          <w:tab w:val="left" w:pos="7365"/>
        </w:tabs>
        <w:spacing w:before="108"/>
        <w:ind w:left="1120"/>
        <w:rPr>
          <w:rFonts w:ascii="Times New Roman" w:eastAsia="Times New Roman"/>
          <w:color w:val="auto"/>
          <w:highlight w:val="none"/>
        </w:rPr>
      </w:pPr>
      <w:r>
        <w:rPr>
          <w:color w:val="auto"/>
          <w:spacing w:val="-1"/>
          <w:w w:val="99"/>
          <w:highlight w:val="none"/>
        </w:rPr>
        <w:t>监</w:t>
      </w:r>
      <w:r>
        <w:rPr>
          <w:color w:val="auto"/>
          <w:spacing w:val="2"/>
          <w:w w:val="99"/>
          <w:highlight w:val="none"/>
        </w:rPr>
        <w:t>理</w:t>
      </w:r>
      <w:r>
        <w:rPr>
          <w:color w:val="auto"/>
          <w:spacing w:val="-1"/>
          <w:w w:val="99"/>
          <w:highlight w:val="none"/>
        </w:rPr>
        <w:t>单</w:t>
      </w:r>
      <w:r>
        <w:rPr>
          <w:color w:val="auto"/>
          <w:spacing w:val="2"/>
          <w:w w:val="99"/>
          <w:highlight w:val="none"/>
        </w:rPr>
        <w:t>位</w:t>
      </w:r>
      <w:r>
        <w:rPr>
          <w:color w:val="auto"/>
          <w:spacing w:val="-1"/>
          <w:w w:val="99"/>
          <w:highlight w:val="none"/>
        </w:rPr>
        <w:t>（</w:t>
      </w:r>
      <w:r>
        <w:rPr>
          <w:color w:val="auto"/>
          <w:spacing w:val="2"/>
          <w:w w:val="99"/>
          <w:highlight w:val="none"/>
        </w:rPr>
        <w:t>乙</w:t>
      </w:r>
      <w:r>
        <w:rPr>
          <w:color w:val="auto"/>
          <w:spacing w:val="-1"/>
          <w:w w:val="99"/>
          <w:highlight w:val="none"/>
        </w:rPr>
        <w:t>方</w:t>
      </w:r>
      <w:r>
        <w:rPr>
          <w:color w:val="auto"/>
          <w:spacing w:val="-104"/>
          <w:w w:val="99"/>
          <w:highlight w:val="none"/>
        </w:rPr>
        <w:t>）</w:t>
      </w:r>
      <w:r>
        <w:rPr>
          <w:color w:val="auto"/>
          <w:spacing w:val="-1"/>
          <w:w w:val="99"/>
          <w:highlight w:val="none"/>
        </w:rPr>
        <w:t>：</w:t>
      </w: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p>
    <w:p>
      <w:pPr>
        <w:pStyle w:val="5"/>
        <w:spacing w:before="107" w:line="290" w:lineRule="auto"/>
        <w:ind w:left="803" w:right="1055" w:firstLine="316"/>
        <w:jc w:val="both"/>
        <w:rPr>
          <w:color w:val="auto"/>
          <w:highlight w:val="none"/>
        </w:rPr>
      </w:pPr>
      <w:r>
        <w:rPr>
          <w:color w:val="auto"/>
          <w:highlight w:val="none"/>
        </w:rPr>
        <w:t>为加强工程建设中的廉政建设，规范工程建设监理委托与被委托双方的各项活动，防止发</w:t>
      </w:r>
      <w:r>
        <w:rPr>
          <w:color w:val="auto"/>
          <w:w w:val="95"/>
          <w:highlight w:val="none"/>
        </w:rPr>
        <w:t xml:space="preserve">生各种谋取不正当利益的违法违纪行为，保护国家、集体和当事人的合法权益，根据国家有关   </w:t>
      </w:r>
      <w:r>
        <w:rPr>
          <w:color w:val="auto"/>
          <w:highlight w:val="none"/>
        </w:rPr>
        <w:t>工程建设的法律法规和廉政建设责任制规定，特订立本廉政责任书。</w:t>
      </w:r>
    </w:p>
    <w:p>
      <w:pPr>
        <w:pStyle w:val="5"/>
        <w:tabs>
          <w:tab w:val="left" w:pos="1959"/>
        </w:tabs>
        <w:spacing w:before="53"/>
        <w:ind w:left="1120"/>
        <w:rPr>
          <w:color w:val="auto"/>
          <w:highlight w:val="none"/>
        </w:rPr>
      </w:pPr>
      <w:r>
        <w:rPr>
          <w:color w:val="auto"/>
          <w:highlight w:val="none"/>
        </w:rPr>
        <w:t>第一条</w:t>
      </w:r>
      <w:r>
        <w:rPr>
          <w:color w:val="auto"/>
          <w:highlight w:val="none"/>
        </w:rPr>
        <w:tab/>
      </w:r>
      <w:r>
        <w:rPr>
          <w:color w:val="auto"/>
          <w:highlight w:val="none"/>
        </w:rPr>
        <w:t>甲乙双方的责任</w:t>
      </w:r>
    </w:p>
    <w:p>
      <w:pPr>
        <w:pStyle w:val="5"/>
        <w:spacing w:before="108" w:line="290" w:lineRule="auto"/>
        <w:ind w:left="803" w:right="1055" w:firstLine="316"/>
        <w:rPr>
          <w:color w:val="auto"/>
          <w:highlight w:val="none"/>
        </w:rPr>
      </w:pPr>
      <w:r>
        <w:rPr>
          <w:color w:val="auto"/>
          <w:highlight w:val="none"/>
        </w:rPr>
        <w:t>（一）应严格遵守国家关于市场准入、项目招标投标、工程建设、工程监理和市场活动的有关法律、法规，相关政策，以及廉政建设的各项规定。</w:t>
      </w:r>
    </w:p>
    <w:p>
      <w:pPr>
        <w:pStyle w:val="5"/>
        <w:spacing w:before="52"/>
        <w:ind w:left="1120"/>
        <w:rPr>
          <w:color w:val="auto"/>
          <w:highlight w:val="none"/>
        </w:rPr>
      </w:pPr>
      <w:r>
        <w:rPr>
          <w:color w:val="auto"/>
          <w:highlight w:val="none"/>
        </w:rPr>
        <w:t>（二）严格执行建设工程项目监理合同文件，自觉按合同办事。</w:t>
      </w:r>
    </w:p>
    <w:p>
      <w:pPr>
        <w:pStyle w:val="5"/>
        <w:spacing w:before="110" w:line="290" w:lineRule="auto"/>
        <w:ind w:left="803" w:right="1055" w:firstLine="316"/>
        <w:jc w:val="both"/>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业务活动必须坚持公开、公平、公正、诚信、透明的原则</w:t>
      </w:r>
      <w:r>
        <w:rPr>
          <w:color w:val="auto"/>
          <w:spacing w:val="4"/>
          <w:highlight w:val="none"/>
        </w:rPr>
        <w:t>（</w:t>
      </w:r>
      <w:r>
        <w:rPr>
          <w:color w:val="auto"/>
          <w:highlight w:val="none"/>
        </w:rPr>
        <w:t>除法律法规另有规定者</w:t>
      </w:r>
      <w:r>
        <w:rPr>
          <w:color w:val="auto"/>
          <w:spacing w:val="4"/>
          <w:w w:val="99"/>
          <w:highlight w:val="none"/>
        </w:rPr>
        <w:t>外</w:t>
      </w:r>
      <w:r>
        <w:rPr>
          <w:color w:val="auto"/>
          <w:spacing w:val="-101"/>
          <w:w w:val="99"/>
          <w:highlight w:val="none"/>
        </w:rPr>
        <w:t>）</w:t>
      </w:r>
      <w:r>
        <w:rPr>
          <w:color w:val="auto"/>
          <w:spacing w:val="1"/>
          <w:w w:val="99"/>
          <w:highlight w:val="none"/>
        </w:rPr>
        <w:t>，不得为获取不正当的利益，损害国家、集体和对方利益，不得违反工程建设管理、建设</w:t>
      </w:r>
      <w:r>
        <w:rPr>
          <w:color w:val="auto"/>
          <w:spacing w:val="1"/>
          <w:highlight w:val="none"/>
        </w:rPr>
        <w:t>监理的规章制度。</w:t>
      </w:r>
    </w:p>
    <w:p>
      <w:pPr>
        <w:pStyle w:val="5"/>
        <w:spacing w:before="53" w:line="290" w:lineRule="auto"/>
        <w:ind w:left="803" w:right="947" w:firstLine="316"/>
        <w:rPr>
          <w:color w:val="auto"/>
          <w:highlight w:val="none"/>
        </w:rPr>
      </w:pPr>
      <w:r>
        <w:rPr>
          <w:color w:val="auto"/>
          <w:w w:val="95"/>
          <w:highlight w:val="none"/>
        </w:rPr>
        <w:t>（四）发现对方在业务活动中有违规、违纪、违法行为的，应及时提醒对方，情节严重的，</w:t>
      </w:r>
      <w:r>
        <w:rPr>
          <w:color w:val="auto"/>
          <w:highlight w:val="none"/>
        </w:rPr>
        <w:t>应向其上级主管部门或纪检监察、司法等有关机关举报。</w:t>
      </w:r>
    </w:p>
    <w:p>
      <w:pPr>
        <w:pStyle w:val="5"/>
        <w:tabs>
          <w:tab w:val="left" w:pos="1959"/>
        </w:tabs>
        <w:spacing w:before="52"/>
        <w:ind w:left="1120"/>
        <w:rPr>
          <w:color w:val="auto"/>
          <w:highlight w:val="none"/>
        </w:rPr>
      </w:pPr>
      <w:r>
        <w:rPr>
          <w:color w:val="auto"/>
          <w:highlight w:val="none"/>
        </w:rPr>
        <w:t>第二条</w:t>
      </w:r>
      <w:r>
        <w:rPr>
          <w:color w:val="auto"/>
          <w:highlight w:val="none"/>
        </w:rPr>
        <w:tab/>
      </w:r>
      <w:r>
        <w:rPr>
          <w:color w:val="auto"/>
          <w:highlight w:val="none"/>
        </w:rPr>
        <w:t>甲方的责任</w:t>
      </w:r>
    </w:p>
    <w:p>
      <w:pPr>
        <w:pStyle w:val="5"/>
        <w:spacing w:before="108" w:line="290" w:lineRule="auto"/>
        <w:ind w:left="803" w:right="1055" w:firstLine="316"/>
        <w:rPr>
          <w:color w:val="auto"/>
          <w:highlight w:val="none"/>
        </w:rPr>
      </w:pPr>
      <w:r>
        <w:rPr>
          <w:color w:val="auto"/>
          <w:highlight w:val="none"/>
        </w:rPr>
        <w:t>甲方的领导和从事该建设工程项目的工作人员在工程建设的事前、事中、事后应遵守以下规定：</w:t>
      </w:r>
    </w:p>
    <w:p>
      <w:pPr>
        <w:pStyle w:val="5"/>
        <w:spacing w:before="52" w:line="290" w:lineRule="auto"/>
        <w:ind w:left="803" w:right="1055" w:firstLine="316"/>
        <w:rPr>
          <w:color w:val="auto"/>
          <w:highlight w:val="none"/>
        </w:rPr>
      </w:pPr>
      <w:r>
        <w:rPr>
          <w:color w:val="auto"/>
          <w:highlight w:val="none"/>
        </w:rPr>
        <w:t>（一）不准向乙方和相关单位索要或接受回扣、礼金、有价证券、贵重物品和好处费、感谢费等。</w:t>
      </w:r>
    </w:p>
    <w:p>
      <w:pPr>
        <w:pStyle w:val="5"/>
        <w:spacing w:before="52"/>
        <w:ind w:left="1120"/>
        <w:rPr>
          <w:color w:val="auto"/>
          <w:highlight w:val="none"/>
        </w:rPr>
      </w:pPr>
      <w:r>
        <w:rPr>
          <w:color w:val="auto"/>
          <w:highlight w:val="none"/>
        </w:rPr>
        <w:t>（二）不准在乙方和相关单位报销任何应由甲方或个人支付的费用。</w:t>
      </w:r>
    </w:p>
    <w:p>
      <w:pPr>
        <w:pStyle w:val="5"/>
        <w:spacing w:before="108" w:line="292" w:lineRule="auto"/>
        <w:ind w:left="803" w:right="1055" w:firstLine="316"/>
        <w:rPr>
          <w:color w:val="auto"/>
          <w:highlight w:val="none"/>
        </w:rPr>
      </w:pPr>
      <w:r>
        <w:rPr>
          <w:color w:val="auto"/>
          <w:spacing w:val="4"/>
          <w:highlight w:val="none"/>
        </w:rPr>
        <w:t>（</w:t>
      </w:r>
      <w:r>
        <w:rPr>
          <w:color w:val="auto"/>
          <w:highlight w:val="none"/>
        </w:rPr>
        <w:t>三</w:t>
      </w:r>
      <w:r>
        <w:rPr>
          <w:color w:val="auto"/>
          <w:spacing w:val="4"/>
          <w:highlight w:val="none"/>
        </w:rPr>
        <w:t>）</w:t>
      </w:r>
      <w:r>
        <w:rPr>
          <w:color w:val="auto"/>
          <w:highlight w:val="none"/>
        </w:rPr>
        <w:t>不准要求、暗示或接受乙方和相关单位为个人装修住房、婚丧嫁娶、配偶子女的工作安排以及出国（境</w:t>
      </w:r>
      <w:r>
        <w:rPr>
          <w:color w:val="auto"/>
          <w:spacing w:val="-104"/>
          <w:highlight w:val="none"/>
        </w:rPr>
        <w:t>）</w:t>
      </w:r>
      <w:r>
        <w:rPr>
          <w:color w:val="auto"/>
          <w:highlight w:val="none"/>
        </w:rPr>
        <w:t>、旅游等提供方便。</w:t>
      </w:r>
    </w:p>
    <w:p>
      <w:pPr>
        <w:pStyle w:val="5"/>
        <w:spacing w:before="46"/>
        <w:ind w:left="1120"/>
        <w:rPr>
          <w:color w:val="auto"/>
          <w:highlight w:val="none"/>
        </w:rPr>
      </w:pPr>
      <w:r>
        <w:rPr>
          <w:color w:val="auto"/>
          <w:highlight w:val="none"/>
        </w:rPr>
        <w:t>（四）不准参加有可能影响公正执行公务的乙方和相关单位的宴请、健身、娱乐等活动。</w:t>
      </w:r>
    </w:p>
    <w:p>
      <w:pPr>
        <w:pStyle w:val="5"/>
        <w:spacing w:before="108" w:line="292" w:lineRule="auto"/>
        <w:ind w:left="803" w:right="1055" w:firstLine="316"/>
        <w:jc w:val="both"/>
        <w:rPr>
          <w:color w:val="auto"/>
          <w:highlight w:val="none"/>
        </w:rPr>
      </w:pPr>
      <w:r>
        <w:rPr>
          <w:color w:val="auto"/>
          <w:spacing w:val="4"/>
          <w:highlight w:val="none"/>
        </w:rPr>
        <w:t>（</w:t>
      </w:r>
      <w:r>
        <w:rPr>
          <w:color w:val="auto"/>
          <w:highlight w:val="none"/>
        </w:rPr>
        <w:t>五</w:t>
      </w:r>
      <w:r>
        <w:rPr>
          <w:color w:val="auto"/>
          <w:spacing w:val="4"/>
          <w:highlight w:val="none"/>
        </w:rPr>
        <w:t>）</w:t>
      </w:r>
      <w:r>
        <w:rPr>
          <w:color w:val="auto"/>
          <w:highlight w:val="none"/>
        </w:rPr>
        <w:t>不准向乙方和相关单位介绍或为配偶、子女、亲属参与同甲方工程项目合同有关的</w:t>
      </w:r>
      <w:r>
        <w:rPr>
          <w:color w:val="auto"/>
          <w:w w:val="95"/>
          <w:highlight w:val="none"/>
        </w:rPr>
        <w:t xml:space="preserve">监理分包项目等活动。不准向乙方和相关单位介绍或为配偶、子女、亲属参与同项目工程合同   有关的设备、材料、工程分包、劳务等经济活动。不得以任何理由向乙方和相关单位推荐分包   </w:t>
      </w:r>
      <w:r>
        <w:rPr>
          <w:color w:val="auto"/>
          <w:highlight w:val="none"/>
        </w:rPr>
        <w:t>单位和要求购买与项目工程合同规定以外的材料、设备等。</w:t>
      </w:r>
    </w:p>
    <w:p>
      <w:pPr>
        <w:pStyle w:val="5"/>
        <w:tabs>
          <w:tab w:val="left" w:pos="1959"/>
        </w:tabs>
        <w:spacing w:before="46"/>
        <w:ind w:left="1120"/>
        <w:rPr>
          <w:color w:val="auto"/>
          <w:highlight w:val="none"/>
        </w:rPr>
      </w:pPr>
      <w:r>
        <w:rPr>
          <w:color w:val="auto"/>
          <w:highlight w:val="none"/>
        </w:rPr>
        <w:t>第三条</w:t>
      </w:r>
      <w:r>
        <w:rPr>
          <w:color w:val="auto"/>
          <w:highlight w:val="none"/>
        </w:rPr>
        <w:tab/>
      </w:r>
      <w:r>
        <w:rPr>
          <w:color w:val="auto"/>
          <w:highlight w:val="none"/>
        </w:rPr>
        <w:t>乙方的责任</w:t>
      </w:r>
    </w:p>
    <w:p>
      <w:pPr>
        <w:pStyle w:val="5"/>
        <w:spacing w:before="107" w:line="290" w:lineRule="auto"/>
        <w:ind w:left="803" w:right="1052" w:firstLine="316"/>
        <w:jc w:val="both"/>
        <w:rPr>
          <w:color w:val="auto"/>
          <w:highlight w:val="none"/>
        </w:rPr>
      </w:pPr>
      <w:r>
        <w:rPr>
          <w:color w:val="auto"/>
          <w:highlight w:val="none"/>
        </w:rPr>
        <w:t>应与甲方和相关单位保持正常的业务交往，按照有关法律法规和程序开展业务工作，严格</w:t>
      </w:r>
      <w:r>
        <w:rPr>
          <w:color w:val="auto"/>
          <w:w w:val="95"/>
          <w:highlight w:val="none"/>
        </w:rPr>
        <w:t xml:space="preserve">执行工程建设的方针、政策，尤其是有关勘察设计、建筑施工安装的强制性标准和规范，以及   </w:t>
      </w:r>
      <w:r>
        <w:rPr>
          <w:color w:val="auto"/>
          <w:highlight w:val="none"/>
        </w:rPr>
        <w:t>监理法规，认真履行监理职责，并遵守以下规定：</w:t>
      </w:r>
    </w:p>
    <w:p>
      <w:pPr>
        <w:pStyle w:val="5"/>
        <w:spacing w:before="56" w:line="290" w:lineRule="auto"/>
        <w:ind w:left="803" w:right="949" w:firstLine="316"/>
        <w:rPr>
          <w:color w:val="auto"/>
          <w:highlight w:val="none"/>
        </w:rPr>
      </w:pPr>
      <w:r>
        <w:rPr>
          <w:color w:val="auto"/>
          <w:w w:val="95"/>
          <w:highlight w:val="none"/>
        </w:rPr>
        <w:t>（一）不准以任何理由向甲方和相关单位及其工作人员索要、接受或赠送礼金、有价证券、</w:t>
      </w:r>
      <w:r>
        <w:rPr>
          <w:color w:val="auto"/>
          <w:highlight w:val="none"/>
        </w:rPr>
        <w:t>贵重物品及回扣、好处费、感谢费等。</w:t>
      </w:r>
    </w:p>
    <w:p>
      <w:pPr>
        <w:pStyle w:val="5"/>
        <w:spacing w:before="49"/>
        <w:ind w:left="1120"/>
        <w:rPr>
          <w:color w:val="auto"/>
          <w:highlight w:val="none"/>
        </w:rPr>
      </w:pPr>
      <w:r>
        <w:rPr>
          <w:color w:val="auto"/>
          <w:highlight w:val="none"/>
        </w:rPr>
        <w:t>（二）不准以任何理由为甲方和相关单位报销应由对方或个人支付的费用。</w:t>
      </w:r>
    </w:p>
    <w:p>
      <w:pPr>
        <w:pStyle w:val="5"/>
        <w:spacing w:before="110"/>
        <w:ind w:left="1120"/>
        <w:rPr>
          <w:color w:val="auto"/>
          <w:highlight w:val="none"/>
        </w:rPr>
      </w:pPr>
      <w:r>
        <w:rPr>
          <w:color w:val="auto"/>
          <w:highlight w:val="none"/>
        </w:rPr>
        <w:t>（三）不准接受或暗示为甲方、相关单位或个人装修住房、婚丧嫁娶、配偶子女的工作安</w:t>
      </w:r>
    </w:p>
    <w:p>
      <w:pPr>
        <w:spacing w:after="0"/>
        <w:rPr>
          <w:color w:val="auto"/>
          <w:highlight w:val="none"/>
        </w:rPr>
        <w:sectPr>
          <w:pgSz w:w="11910" w:h="16840"/>
          <w:pgMar w:top="1080" w:right="520" w:bottom="1180" w:left="920" w:header="891" w:footer="993" w:gutter="0"/>
        </w:sectPr>
      </w:pPr>
    </w:p>
    <w:p>
      <w:pPr>
        <w:pStyle w:val="5"/>
        <w:spacing w:before="3"/>
        <w:rPr>
          <w:color w:val="auto"/>
          <w:sz w:val="11"/>
          <w:highlight w:val="none"/>
        </w:rPr>
      </w:pPr>
    </w:p>
    <w:p>
      <w:pPr>
        <w:pStyle w:val="5"/>
        <w:spacing w:before="70"/>
        <w:ind w:left="803"/>
        <w:rPr>
          <w:color w:val="auto"/>
          <w:highlight w:val="none"/>
        </w:rPr>
      </w:pPr>
      <w:bookmarkStart w:id="108" w:name="_bookmark11"/>
      <w:bookmarkEnd w:id="108"/>
      <w:bookmarkStart w:id="109" w:name="附件一："/>
      <w:bookmarkEnd w:id="109"/>
      <w:r>
        <w:rPr>
          <w:color w:val="auto"/>
          <w:highlight w:val="none"/>
        </w:rPr>
        <w:t>排以及出国（境</w:t>
      </w:r>
      <w:r>
        <w:rPr>
          <w:color w:val="auto"/>
          <w:spacing w:val="-104"/>
          <w:highlight w:val="none"/>
        </w:rPr>
        <w:t>）</w:t>
      </w:r>
      <w:r>
        <w:rPr>
          <w:color w:val="auto"/>
          <w:highlight w:val="none"/>
        </w:rPr>
        <w:t>、旅游等提供方便。</w:t>
      </w:r>
    </w:p>
    <w:p>
      <w:pPr>
        <w:pStyle w:val="5"/>
        <w:spacing w:before="105"/>
        <w:ind w:left="1120"/>
        <w:rPr>
          <w:color w:val="auto"/>
          <w:highlight w:val="none"/>
        </w:rPr>
      </w:pPr>
      <w:r>
        <w:rPr>
          <w:color w:val="auto"/>
          <w:highlight w:val="none"/>
        </w:rPr>
        <w:t>（四）不准违反合同约定而使用甲方、相关单位提供的通信、交通工具和高档办公用品。</w:t>
      </w:r>
    </w:p>
    <w:p>
      <w:pPr>
        <w:pStyle w:val="5"/>
        <w:spacing w:before="110" w:line="290" w:lineRule="auto"/>
        <w:ind w:left="803" w:right="1055" w:firstLine="316"/>
        <w:rPr>
          <w:color w:val="auto"/>
          <w:highlight w:val="none"/>
        </w:rPr>
      </w:pPr>
      <w:r>
        <w:rPr>
          <w:color w:val="auto"/>
          <w:highlight w:val="none"/>
        </w:rPr>
        <w:t>（五）不准以任何理由为甲方、相关单位或个人组织有可能影响公正执行公务的宴请、健身、娱乐等活动。</w:t>
      </w:r>
    </w:p>
    <w:p>
      <w:pPr>
        <w:pStyle w:val="5"/>
        <w:tabs>
          <w:tab w:val="left" w:pos="1959"/>
        </w:tabs>
        <w:spacing w:before="52" w:line="336" w:lineRule="auto"/>
        <w:ind w:left="1120" w:right="4096"/>
        <w:rPr>
          <w:color w:val="auto"/>
          <w:highlight w:val="none"/>
        </w:rPr>
      </w:pPr>
      <w:r>
        <w:rPr>
          <w:color w:val="auto"/>
          <w:w w:val="95"/>
          <w:highlight w:val="none"/>
        </w:rPr>
        <w:t xml:space="preserve">（六）不准接受受监理单位的宴请、健身、娱乐等活动。 </w:t>
      </w:r>
      <w:r>
        <w:rPr>
          <w:color w:val="auto"/>
          <w:highlight w:val="none"/>
        </w:rPr>
        <w:t>第四条</w:t>
      </w:r>
      <w:r>
        <w:rPr>
          <w:color w:val="auto"/>
          <w:highlight w:val="none"/>
        </w:rPr>
        <w:tab/>
      </w:r>
      <w:r>
        <w:rPr>
          <w:color w:val="auto"/>
          <w:highlight w:val="none"/>
        </w:rPr>
        <w:t>违约责任</w:t>
      </w:r>
    </w:p>
    <w:p>
      <w:pPr>
        <w:pStyle w:val="5"/>
        <w:spacing w:before="1" w:line="290" w:lineRule="auto"/>
        <w:ind w:left="803" w:right="1055" w:firstLine="316"/>
        <w:jc w:val="both"/>
        <w:rPr>
          <w:color w:val="auto"/>
          <w:highlight w:val="none"/>
        </w:rPr>
      </w:pPr>
      <w:r>
        <w:rPr>
          <w:color w:val="auto"/>
          <w:spacing w:val="4"/>
          <w:highlight w:val="none"/>
        </w:rPr>
        <w:t>（</w:t>
      </w:r>
      <w:r>
        <w:rPr>
          <w:color w:val="auto"/>
          <w:highlight w:val="none"/>
        </w:rPr>
        <w:t>一</w:t>
      </w:r>
      <w:r>
        <w:rPr>
          <w:color w:val="auto"/>
          <w:spacing w:val="4"/>
          <w:highlight w:val="none"/>
        </w:rPr>
        <w:t>）</w:t>
      </w:r>
      <w:r>
        <w:rPr>
          <w:color w:val="auto"/>
          <w:highlight w:val="none"/>
        </w:rPr>
        <w:t>甲方工作人员有违反本责任书第一、二条责任行为的，按照管理权限，依据有关法</w:t>
      </w:r>
      <w:r>
        <w:rPr>
          <w:color w:val="auto"/>
          <w:w w:val="95"/>
          <w:highlight w:val="none"/>
        </w:rPr>
        <w:t xml:space="preserve">律法规和规定给予党纪、政纪处分或组织处理；涉嫌犯罪的，移交司法机关追究刑事责任；给   </w:t>
      </w:r>
      <w:r>
        <w:rPr>
          <w:color w:val="auto"/>
          <w:highlight w:val="none"/>
        </w:rPr>
        <w:t>乙方单位造成经济损失的，应予以赔偿。</w:t>
      </w:r>
    </w:p>
    <w:p>
      <w:pPr>
        <w:pStyle w:val="5"/>
        <w:spacing w:before="52" w:line="290" w:lineRule="auto"/>
        <w:ind w:left="803" w:right="1055" w:firstLine="316"/>
        <w:jc w:val="both"/>
        <w:rPr>
          <w:color w:val="auto"/>
          <w:highlight w:val="none"/>
        </w:rPr>
      </w:pPr>
      <w:r>
        <w:rPr>
          <w:color w:val="auto"/>
          <w:spacing w:val="4"/>
          <w:highlight w:val="none"/>
        </w:rPr>
        <w:t>（</w:t>
      </w:r>
      <w:r>
        <w:rPr>
          <w:color w:val="auto"/>
          <w:highlight w:val="none"/>
        </w:rPr>
        <w:t>二</w:t>
      </w:r>
      <w:r>
        <w:rPr>
          <w:color w:val="auto"/>
          <w:spacing w:val="4"/>
          <w:highlight w:val="none"/>
        </w:rPr>
        <w:t>）</w:t>
      </w:r>
      <w:r>
        <w:rPr>
          <w:color w:val="auto"/>
          <w:highlight w:val="none"/>
        </w:rPr>
        <w:t>乙方工作人员有违反本责任书第一、三条责任行为的，按照管理权限，依据有关法</w:t>
      </w:r>
      <w:r>
        <w:rPr>
          <w:color w:val="auto"/>
          <w:w w:val="95"/>
          <w:highlight w:val="none"/>
        </w:rPr>
        <w:t xml:space="preserve">律法规和规定给予党纪、政纪处分或组织处理；涉嫌犯罪的，移交司法机关追究刑事责任；给   </w:t>
      </w:r>
      <w:r>
        <w:rPr>
          <w:color w:val="auto"/>
          <w:highlight w:val="none"/>
        </w:rPr>
        <w:t>甲方单位造成经济损失的，应予以赔偿。</w:t>
      </w:r>
    </w:p>
    <w:p>
      <w:pPr>
        <w:pStyle w:val="5"/>
        <w:spacing w:before="53"/>
        <w:ind w:left="1120"/>
        <w:rPr>
          <w:color w:val="auto"/>
          <w:highlight w:val="none"/>
        </w:rPr>
      </w:pPr>
      <w:r>
        <w:rPr>
          <w:color w:val="auto"/>
          <w:highlight w:val="none"/>
        </w:rPr>
        <w:t>（三）乙方工作人员有违反本责任书第三条责任行为中任何一条规定的，每次罚款人民币</w:t>
      </w:r>
    </w:p>
    <w:p>
      <w:pPr>
        <w:pStyle w:val="5"/>
        <w:spacing w:before="60"/>
        <w:ind w:left="803"/>
        <w:rPr>
          <w:color w:val="auto"/>
          <w:highlight w:val="none"/>
        </w:rPr>
      </w:pPr>
      <w:r>
        <w:rPr>
          <w:rFonts w:ascii="Times New Roman" w:eastAsia="Times New Roman"/>
          <w:color w:val="auto"/>
          <w:highlight w:val="none"/>
        </w:rPr>
        <w:t xml:space="preserve">1000 </w:t>
      </w:r>
      <w:r>
        <w:rPr>
          <w:color w:val="auto"/>
          <w:highlight w:val="none"/>
        </w:rPr>
        <w:t>元。</w:t>
      </w:r>
    </w:p>
    <w:p>
      <w:pPr>
        <w:pStyle w:val="5"/>
        <w:tabs>
          <w:tab w:val="left" w:pos="1969"/>
        </w:tabs>
        <w:spacing w:before="108" w:line="290" w:lineRule="auto"/>
        <w:ind w:left="803" w:right="1055" w:firstLine="316"/>
        <w:rPr>
          <w:color w:val="auto"/>
          <w:highlight w:val="none"/>
        </w:rPr>
      </w:pPr>
      <w:r>
        <w:rPr>
          <w:color w:val="auto"/>
          <w:spacing w:val="4"/>
          <w:highlight w:val="none"/>
        </w:rPr>
        <w:t>第</w:t>
      </w:r>
      <w:r>
        <w:rPr>
          <w:color w:val="auto"/>
          <w:highlight w:val="none"/>
        </w:rPr>
        <w:t>五条</w:t>
      </w:r>
      <w:r>
        <w:rPr>
          <w:color w:val="auto"/>
          <w:highlight w:val="none"/>
        </w:rPr>
        <w:tab/>
      </w:r>
      <w:r>
        <w:rPr>
          <w:color w:val="auto"/>
          <w:spacing w:val="4"/>
          <w:highlight w:val="none"/>
        </w:rPr>
        <w:t>本</w:t>
      </w:r>
      <w:r>
        <w:rPr>
          <w:color w:val="auto"/>
          <w:highlight w:val="none"/>
        </w:rPr>
        <w:t>责</w:t>
      </w:r>
      <w:r>
        <w:rPr>
          <w:color w:val="auto"/>
          <w:spacing w:val="4"/>
          <w:highlight w:val="none"/>
        </w:rPr>
        <w:t>任</w:t>
      </w:r>
      <w:r>
        <w:rPr>
          <w:color w:val="auto"/>
          <w:highlight w:val="none"/>
        </w:rPr>
        <w:t>书</w:t>
      </w:r>
      <w:r>
        <w:rPr>
          <w:color w:val="auto"/>
          <w:spacing w:val="4"/>
          <w:highlight w:val="none"/>
        </w:rPr>
        <w:t>作为</w:t>
      </w:r>
      <w:r>
        <w:rPr>
          <w:color w:val="auto"/>
          <w:highlight w:val="none"/>
        </w:rPr>
        <w:t>工</w:t>
      </w:r>
      <w:r>
        <w:rPr>
          <w:color w:val="auto"/>
          <w:spacing w:val="4"/>
          <w:highlight w:val="none"/>
        </w:rPr>
        <w:t>程监</w:t>
      </w:r>
      <w:r>
        <w:rPr>
          <w:color w:val="auto"/>
          <w:highlight w:val="none"/>
        </w:rPr>
        <w:t>理</w:t>
      </w:r>
      <w:r>
        <w:rPr>
          <w:color w:val="auto"/>
          <w:spacing w:val="4"/>
          <w:highlight w:val="none"/>
        </w:rPr>
        <w:t>合</w:t>
      </w:r>
      <w:r>
        <w:rPr>
          <w:color w:val="auto"/>
          <w:highlight w:val="none"/>
        </w:rPr>
        <w:t>同</w:t>
      </w:r>
      <w:r>
        <w:rPr>
          <w:color w:val="auto"/>
          <w:spacing w:val="4"/>
          <w:highlight w:val="none"/>
        </w:rPr>
        <w:t>的附</w:t>
      </w:r>
      <w:r>
        <w:rPr>
          <w:color w:val="auto"/>
          <w:highlight w:val="none"/>
        </w:rPr>
        <w:t>件</w:t>
      </w:r>
      <w:r>
        <w:rPr>
          <w:color w:val="auto"/>
          <w:spacing w:val="4"/>
          <w:highlight w:val="none"/>
        </w:rPr>
        <w:t>，与</w:t>
      </w:r>
      <w:r>
        <w:rPr>
          <w:color w:val="auto"/>
          <w:highlight w:val="none"/>
        </w:rPr>
        <w:t>工</w:t>
      </w:r>
      <w:r>
        <w:rPr>
          <w:color w:val="auto"/>
          <w:spacing w:val="4"/>
          <w:highlight w:val="none"/>
        </w:rPr>
        <w:t>程</w:t>
      </w:r>
      <w:r>
        <w:rPr>
          <w:color w:val="auto"/>
          <w:highlight w:val="none"/>
        </w:rPr>
        <w:t>监</w:t>
      </w:r>
      <w:r>
        <w:rPr>
          <w:color w:val="auto"/>
          <w:spacing w:val="4"/>
          <w:highlight w:val="none"/>
        </w:rPr>
        <w:t>理合</w:t>
      </w:r>
      <w:r>
        <w:rPr>
          <w:color w:val="auto"/>
          <w:highlight w:val="none"/>
        </w:rPr>
        <w:t>同</w:t>
      </w:r>
      <w:r>
        <w:rPr>
          <w:color w:val="auto"/>
          <w:spacing w:val="4"/>
          <w:highlight w:val="none"/>
        </w:rPr>
        <w:t>具</w:t>
      </w:r>
      <w:r>
        <w:rPr>
          <w:color w:val="auto"/>
          <w:highlight w:val="none"/>
        </w:rPr>
        <w:t>有</w:t>
      </w:r>
      <w:r>
        <w:rPr>
          <w:color w:val="auto"/>
          <w:spacing w:val="4"/>
          <w:highlight w:val="none"/>
        </w:rPr>
        <w:t>同等</w:t>
      </w:r>
      <w:r>
        <w:rPr>
          <w:color w:val="auto"/>
          <w:highlight w:val="none"/>
        </w:rPr>
        <w:t>法</w:t>
      </w:r>
      <w:r>
        <w:rPr>
          <w:color w:val="auto"/>
          <w:spacing w:val="4"/>
          <w:highlight w:val="none"/>
        </w:rPr>
        <w:t>律效</w:t>
      </w:r>
      <w:r>
        <w:rPr>
          <w:color w:val="auto"/>
          <w:highlight w:val="none"/>
        </w:rPr>
        <w:t>力</w:t>
      </w:r>
      <w:r>
        <w:rPr>
          <w:color w:val="auto"/>
          <w:spacing w:val="4"/>
          <w:highlight w:val="none"/>
        </w:rPr>
        <w:t>。</w:t>
      </w:r>
      <w:r>
        <w:rPr>
          <w:color w:val="auto"/>
          <w:highlight w:val="none"/>
        </w:rPr>
        <w:t>经</w:t>
      </w:r>
      <w:r>
        <w:rPr>
          <w:color w:val="auto"/>
          <w:spacing w:val="4"/>
          <w:highlight w:val="none"/>
        </w:rPr>
        <w:t>双</w:t>
      </w:r>
      <w:r>
        <w:rPr>
          <w:color w:val="auto"/>
          <w:highlight w:val="none"/>
        </w:rPr>
        <w:t>方签署后立即生效。</w:t>
      </w:r>
    </w:p>
    <w:p>
      <w:pPr>
        <w:pStyle w:val="5"/>
        <w:tabs>
          <w:tab w:val="left" w:pos="1959"/>
        </w:tabs>
        <w:spacing w:before="52"/>
        <w:ind w:left="1120"/>
        <w:rPr>
          <w:color w:val="auto"/>
          <w:highlight w:val="none"/>
        </w:rPr>
      </w:pPr>
      <w:r>
        <w:rPr>
          <w:color w:val="auto"/>
          <w:highlight w:val="none"/>
        </w:rPr>
        <w:t>第六条</w:t>
      </w:r>
      <w:r>
        <w:rPr>
          <w:color w:val="auto"/>
          <w:highlight w:val="none"/>
        </w:rPr>
        <w:tab/>
      </w:r>
      <w:r>
        <w:rPr>
          <w:color w:val="auto"/>
          <w:highlight w:val="none"/>
        </w:rPr>
        <w:t>本责任书的有效期为双方签署之日起至该工程项目竣工验收合格时止。</w:t>
      </w:r>
    </w:p>
    <w:p>
      <w:pPr>
        <w:pStyle w:val="5"/>
        <w:tabs>
          <w:tab w:val="left" w:pos="1959"/>
          <w:tab w:val="left" w:pos="5634"/>
        </w:tabs>
        <w:spacing w:before="108" w:line="638" w:lineRule="auto"/>
        <w:ind w:left="1120" w:right="1367"/>
        <w:rPr>
          <w:color w:val="auto"/>
          <w:highlight w:val="none"/>
        </w:rPr>
      </w:pPr>
      <w:r>
        <w:rPr>
          <w:color w:val="auto"/>
          <w:highlight w:val="none"/>
        </w:rPr>
        <w:t>第七条</w:t>
      </w:r>
      <w:r>
        <w:rPr>
          <w:color w:val="auto"/>
          <w:highlight w:val="none"/>
        </w:rPr>
        <w:tab/>
      </w:r>
      <w:r>
        <w:rPr>
          <w:color w:val="auto"/>
          <w:w w:val="95"/>
          <w:highlight w:val="none"/>
        </w:rPr>
        <w:t>本责任书一式四份，由甲乙双方各执一份，送交甲乙双方的监督单位各一份。</w:t>
      </w:r>
      <w:r>
        <w:rPr>
          <w:color w:val="auto"/>
          <w:spacing w:val="-1"/>
          <w:w w:val="99"/>
          <w:highlight w:val="none"/>
        </w:rPr>
        <w:t>甲</w:t>
      </w:r>
      <w:r>
        <w:rPr>
          <w:color w:val="auto"/>
          <w:spacing w:val="2"/>
          <w:w w:val="99"/>
          <w:highlight w:val="none"/>
        </w:rPr>
        <w:t>方</w:t>
      </w:r>
      <w:r>
        <w:rPr>
          <w:color w:val="auto"/>
          <w:spacing w:val="-1"/>
          <w:w w:val="99"/>
          <w:highlight w:val="none"/>
        </w:rPr>
        <w:t>单</w:t>
      </w:r>
      <w:r>
        <w:rPr>
          <w:color w:val="auto"/>
          <w:spacing w:val="2"/>
          <w:w w:val="99"/>
          <w:highlight w:val="none"/>
        </w:rPr>
        <w:t>位</w:t>
      </w:r>
      <w:r>
        <w:rPr>
          <w:color w:val="auto"/>
          <w:spacing w:val="-106"/>
          <w:w w:val="99"/>
          <w:highlight w:val="none"/>
        </w:rPr>
        <w:t>：</w:t>
      </w:r>
      <w:r>
        <w:rPr>
          <w:color w:val="auto"/>
          <w:spacing w:val="-1"/>
          <w:w w:val="99"/>
          <w:highlight w:val="none"/>
        </w:rPr>
        <w:t>（</w:t>
      </w:r>
      <w:r>
        <w:rPr>
          <w:color w:val="auto"/>
          <w:spacing w:val="2"/>
          <w:w w:val="99"/>
          <w:highlight w:val="none"/>
        </w:rPr>
        <w:t>盖</w:t>
      </w:r>
      <w:r>
        <w:rPr>
          <w:color w:val="auto"/>
          <w:spacing w:val="-1"/>
          <w:w w:val="99"/>
          <w:highlight w:val="none"/>
        </w:rPr>
        <w:t>章</w:t>
      </w:r>
      <w:r>
        <w:rPr>
          <w:color w:val="auto"/>
          <w:w w:val="99"/>
          <w:highlight w:val="none"/>
        </w:rPr>
        <w:t>）</w:t>
      </w:r>
      <w:r>
        <w:rPr>
          <w:color w:val="auto"/>
          <w:highlight w:val="none"/>
        </w:rPr>
        <w:tab/>
      </w:r>
      <w:r>
        <w:rPr>
          <w:color w:val="auto"/>
          <w:spacing w:val="-1"/>
          <w:w w:val="99"/>
          <w:highlight w:val="none"/>
        </w:rPr>
        <w:t>乙</w:t>
      </w:r>
      <w:r>
        <w:rPr>
          <w:color w:val="auto"/>
          <w:spacing w:val="2"/>
          <w:w w:val="99"/>
          <w:highlight w:val="none"/>
        </w:rPr>
        <w:t>方</w:t>
      </w:r>
      <w:r>
        <w:rPr>
          <w:color w:val="auto"/>
          <w:spacing w:val="-1"/>
          <w:w w:val="99"/>
          <w:highlight w:val="none"/>
        </w:rPr>
        <w:t>单</w:t>
      </w:r>
      <w:r>
        <w:rPr>
          <w:color w:val="auto"/>
          <w:spacing w:val="2"/>
          <w:w w:val="99"/>
          <w:highlight w:val="none"/>
        </w:rPr>
        <w:t>位</w:t>
      </w:r>
      <w:r>
        <w:rPr>
          <w:color w:val="auto"/>
          <w:spacing w:val="-104"/>
          <w:w w:val="99"/>
          <w:highlight w:val="none"/>
        </w:rPr>
        <w:t>：</w:t>
      </w:r>
      <w:r>
        <w:rPr>
          <w:color w:val="auto"/>
          <w:spacing w:val="-1"/>
          <w:w w:val="99"/>
          <w:highlight w:val="none"/>
        </w:rPr>
        <w:t>（</w:t>
      </w:r>
      <w:r>
        <w:rPr>
          <w:color w:val="auto"/>
          <w:spacing w:val="2"/>
          <w:w w:val="99"/>
          <w:highlight w:val="none"/>
        </w:rPr>
        <w:t>盖</w:t>
      </w:r>
      <w:r>
        <w:rPr>
          <w:color w:val="auto"/>
          <w:spacing w:val="-1"/>
          <w:w w:val="99"/>
          <w:highlight w:val="none"/>
        </w:rPr>
        <w:t>章</w:t>
      </w:r>
      <w:r>
        <w:rPr>
          <w:color w:val="auto"/>
          <w:w w:val="99"/>
          <w:highlight w:val="none"/>
        </w:rPr>
        <w:t>）</w:t>
      </w:r>
    </w:p>
    <w:p>
      <w:pPr>
        <w:pStyle w:val="5"/>
        <w:spacing w:before="6"/>
        <w:rPr>
          <w:color w:val="auto"/>
          <w:sz w:val="26"/>
          <w:highlight w:val="none"/>
        </w:rPr>
      </w:pPr>
    </w:p>
    <w:p>
      <w:pPr>
        <w:pStyle w:val="5"/>
        <w:tabs>
          <w:tab w:val="left" w:pos="5528"/>
        </w:tabs>
        <w:ind w:left="1120"/>
        <w:rPr>
          <w:color w:val="auto"/>
          <w:highlight w:val="none"/>
        </w:rPr>
      </w:pPr>
      <w:r>
        <w:rPr>
          <w:color w:val="auto"/>
          <w:spacing w:val="-1"/>
          <w:w w:val="99"/>
          <w:highlight w:val="none"/>
        </w:rPr>
        <w:t>法</w:t>
      </w:r>
      <w:r>
        <w:rPr>
          <w:color w:val="auto"/>
          <w:spacing w:val="2"/>
          <w:w w:val="99"/>
          <w:highlight w:val="none"/>
        </w:rPr>
        <w:t>定</w:t>
      </w:r>
      <w:r>
        <w:rPr>
          <w:color w:val="auto"/>
          <w:spacing w:val="-1"/>
          <w:w w:val="99"/>
          <w:highlight w:val="none"/>
        </w:rPr>
        <w:t>代</w:t>
      </w:r>
      <w:r>
        <w:rPr>
          <w:color w:val="auto"/>
          <w:spacing w:val="2"/>
          <w:w w:val="99"/>
          <w:highlight w:val="none"/>
        </w:rPr>
        <w:t>表</w:t>
      </w:r>
      <w:r>
        <w:rPr>
          <w:color w:val="auto"/>
          <w:spacing w:val="-1"/>
          <w:w w:val="99"/>
          <w:highlight w:val="none"/>
        </w:rPr>
        <w:t>人</w:t>
      </w:r>
      <w:r>
        <w:rPr>
          <w:color w:val="auto"/>
          <w:spacing w:val="2"/>
          <w:w w:val="99"/>
          <w:highlight w:val="none"/>
        </w:rPr>
        <w:t>（</w:t>
      </w:r>
      <w:r>
        <w:rPr>
          <w:color w:val="auto"/>
          <w:spacing w:val="-1"/>
          <w:w w:val="99"/>
          <w:highlight w:val="none"/>
        </w:rPr>
        <w:t>签</w:t>
      </w:r>
      <w:r>
        <w:rPr>
          <w:color w:val="auto"/>
          <w:spacing w:val="2"/>
          <w:w w:val="99"/>
          <w:highlight w:val="none"/>
        </w:rPr>
        <w:t>章</w:t>
      </w:r>
      <w:r>
        <w:rPr>
          <w:color w:val="auto"/>
          <w:spacing w:val="-106"/>
          <w:w w:val="99"/>
          <w:highlight w:val="none"/>
        </w:rPr>
        <w:t>）</w:t>
      </w:r>
      <w:r>
        <w:rPr>
          <w:color w:val="auto"/>
          <w:w w:val="99"/>
          <w:highlight w:val="none"/>
        </w:rPr>
        <w:t>：</w:t>
      </w:r>
      <w:r>
        <w:rPr>
          <w:color w:val="auto"/>
          <w:highlight w:val="none"/>
        </w:rPr>
        <w:tab/>
      </w:r>
      <w:r>
        <w:rPr>
          <w:color w:val="auto"/>
          <w:spacing w:val="-1"/>
          <w:w w:val="99"/>
          <w:highlight w:val="none"/>
        </w:rPr>
        <w:t>法</w:t>
      </w:r>
      <w:r>
        <w:rPr>
          <w:color w:val="auto"/>
          <w:spacing w:val="2"/>
          <w:w w:val="99"/>
          <w:highlight w:val="none"/>
        </w:rPr>
        <w:t>定</w:t>
      </w:r>
      <w:r>
        <w:rPr>
          <w:color w:val="auto"/>
          <w:spacing w:val="-1"/>
          <w:w w:val="99"/>
          <w:highlight w:val="none"/>
        </w:rPr>
        <w:t>代</w:t>
      </w:r>
      <w:r>
        <w:rPr>
          <w:color w:val="auto"/>
          <w:spacing w:val="2"/>
          <w:w w:val="99"/>
          <w:highlight w:val="none"/>
        </w:rPr>
        <w:t>表</w:t>
      </w:r>
      <w:r>
        <w:rPr>
          <w:color w:val="auto"/>
          <w:spacing w:val="-1"/>
          <w:w w:val="99"/>
          <w:highlight w:val="none"/>
        </w:rPr>
        <w:t>人</w:t>
      </w:r>
      <w:r>
        <w:rPr>
          <w:color w:val="auto"/>
          <w:spacing w:val="2"/>
          <w:w w:val="99"/>
          <w:highlight w:val="none"/>
        </w:rPr>
        <w:t>（</w:t>
      </w:r>
      <w:r>
        <w:rPr>
          <w:color w:val="auto"/>
          <w:spacing w:val="-1"/>
          <w:w w:val="99"/>
          <w:highlight w:val="none"/>
        </w:rPr>
        <w:t>签</w:t>
      </w:r>
      <w:r>
        <w:rPr>
          <w:color w:val="auto"/>
          <w:spacing w:val="2"/>
          <w:w w:val="99"/>
          <w:highlight w:val="none"/>
        </w:rPr>
        <w:t>章</w:t>
      </w:r>
      <w:r>
        <w:rPr>
          <w:color w:val="auto"/>
          <w:spacing w:val="-104"/>
          <w:w w:val="99"/>
          <w:highlight w:val="none"/>
        </w:rPr>
        <w:t>）</w:t>
      </w:r>
      <w:r>
        <w:rPr>
          <w:color w:val="auto"/>
          <w:w w:val="99"/>
          <w:highlight w:val="none"/>
        </w:rPr>
        <w:t>：</w:t>
      </w:r>
    </w:p>
    <w:p>
      <w:pPr>
        <w:spacing w:after="0"/>
        <w:rPr>
          <w:color w:val="auto"/>
          <w:highlight w:val="none"/>
        </w:rPr>
        <w:sectPr>
          <w:pgSz w:w="11910" w:h="16840"/>
          <w:pgMar w:top="1080" w:right="520" w:bottom="1180" w:left="920" w:header="891" w:footer="993" w:gutter="0"/>
        </w:sectPr>
      </w:pPr>
    </w:p>
    <w:p>
      <w:pPr>
        <w:pStyle w:val="5"/>
        <w:rPr>
          <w:color w:val="auto"/>
          <w:sz w:val="20"/>
          <w:highlight w:val="none"/>
        </w:rPr>
      </w:pPr>
    </w:p>
    <w:p>
      <w:pPr>
        <w:spacing w:before="199"/>
        <w:ind w:left="803" w:right="0" w:firstLine="0"/>
        <w:jc w:val="left"/>
        <w:rPr>
          <w:color w:val="auto"/>
          <w:sz w:val="28"/>
          <w:highlight w:val="none"/>
        </w:rPr>
      </w:pPr>
      <w:r>
        <w:rPr>
          <w:color w:val="auto"/>
          <w:sz w:val="28"/>
          <w:highlight w:val="none"/>
        </w:rPr>
        <w:t>附件一：</w:t>
      </w:r>
    </w:p>
    <w:p>
      <w:pPr>
        <w:spacing w:before="64"/>
        <w:ind w:left="822" w:right="0" w:firstLine="0"/>
        <w:jc w:val="center"/>
        <w:rPr>
          <w:rFonts w:hint="eastAsia" w:ascii="黑体" w:eastAsia="黑体"/>
          <w:b/>
          <w:color w:val="auto"/>
          <w:sz w:val="28"/>
          <w:highlight w:val="none"/>
        </w:rPr>
      </w:pPr>
      <w:bookmarkStart w:id="110" w:name="玉环市滨港工业城二期海口南路西段工程（丽江路至金波路）（监理）"/>
      <w:bookmarkEnd w:id="110"/>
      <w:r>
        <w:rPr>
          <w:rFonts w:hint="eastAsia" w:ascii="黑体" w:eastAsia="黑体"/>
          <w:b/>
          <w:color w:val="auto"/>
          <w:spacing w:val="-1"/>
          <w:w w:val="99"/>
          <w:sz w:val="28"/>
          <w:highlight w:val="none"/>
          <w:u w:val="single"/>
          <w:lang w:eastAsia="zh-CN"/>
        </w:rPr>
        <w:t>玉环市漩门三期围垦配套工程（监理）</w:t>
      </w:r>
    </w:p>
    <w:p>
      <w:pPr>
        <w:spacing w:before="185"/>
        <w:ind w:left="3" w:right="252" w:firstLine="0"/>
        <w:jc w:val="center"/>
        <w:rPr>
          <w:rFonts w:hint="eastAsia" w:ascii="黑体" w:eastAsia="黑体"/>
          <w:b/>
          <w:color w:val="auto"/>
          <w:sz w:val="36"/>
          <w:highlight w:val="none"/>
        </w:rPr>
      </w:pPr>
      <w:bookmarkStart w:id="111" w:name="投标函"/>
      <w:bookmarkEnd w:id="111"/>
      <w:r>
        <w:rPr>
          <w:rFonts w:hint="eastAsia" w:ascii="黑体" w:eastAsia="黑体"/>
          <w:b/>
          <w:color w:val="auto"/>
          <w:sz w:val="36"/>
          <w:highlight w:val="none"/>
        </w:rPr>
        <w:t>投标函</w:t>
      </w:r>
    </w:p>
    <w:p>
      <w:pPr>
        <w:spacing w:before="241"/>
        <w:ind w:left="803" w:right="0" w:firstLine="0"/>
        <w:jc w:val="left"/>
        <w:rPr>
          <w:color w:val="auto"/>
          <w:sz w:val="28"/>
          <w:highlight w:val="none"/>
        </w:rPr>
      </w:pPr>
      <w:r>
        <w:rPr>
          <w:rFonts w:hint="eastAsia"/>
          <w:color w:val="auto"/>
          <w:sz w:val="28"/>
          <w:highlight w:val="none"/>
          <w:u w:val="single"/>
          <w:lang w:eastAsia="zh-CN"/>
        </w:rPr>
        <w:t>玉环市漩门三期开发有限公司</w:t>
      </w:r>
      <w:r>
        <w:rPr>
          <w:color w:val="auto"/>
          <w:sz w:val="28"/>
          <w:highlight w:val="none"/>
          <w:u w:val="single"/>
        </w:rPr>
        <w:t>：</w:t>
      </w:r>
    </w:p>
    <w:p>
      <w:pPr>
        <w:tabs>
          <w:tab w:val="left" w:pos="3327"/>
          <w:tab w:val="left" w:pos="3925"/>
          <w:tab w:val="left" w:pos="4626"/>
          <w:tab w:val="left" w:pos="5327"/>
          <w:tab w:val="left" w:pos="6618"/>
        </w:tabs>
        <w:spacing w:before="183" w:line="364" w:lineRule="auto"/>
        <w:ind w:left="803" w:right="858" w:firstLine="532"/>
        <w:jc w:val="left"/>
        <w:rPr>
          <w:color w:val="auto"/>
          <w:sz w:val="28"/>
          <w:highlight w:val="none"/>
        </w:rPr>
      </w:pPr>
      <w:r>
        <w:rPr>
          <w:color w:val="auto"/>
          <w:sz w:val="28"/>
          <w:highlight w:val="none"/>
        </w:rPr>
        <w:t>一</w:t>
      </w:r>
      <w:r>
        <w:rPr>
          <w:color w:val="auto"/>
          <w:spacing w:val="-25"/>
          <w:sz w:val="28"/>
          <w:highlight w:val="none"/>
        </w:rPr>
        <w:t>、</w:t>
      </w:r>
      <w:r>
        <w:rPr>
          <w:color w:val="auto"/>
          <w:sz w:val="28"/>
          <w:highlight w:val="none"/>
        </w:rPr>
        <w:t>根</w:t>
      </w:r>
      <w:r>
        <w:rPr>
          <w:color w:val="auto"/>
          <w:spacing w:val="-3"/>
          <w:sz w:val="28"/>
          <w:highlight w:val="none"/>
        </w:rPr>
        <w:t>据</w:t>
      </w:r>
      <w:r>
        <w:rPr>
          <w:color w:val="auto"/>
          <w:sz w:val="28"/>
          <w:highlight w:val="none"/>
        </w:rPr>
        <w:t>己收</w:t>
      </w:r>
      <w:r>
        <w:rPr>
          <w:color w:val="auto"/>
          <w:spacing w:val="-3"/>
          <w:sz w:val="28"/>
          <w:highlight w:val="none"/>
        </w:rPr>
        <w:t>到</w:t>
      </w:r>
      <w:r>
        <w:rPr>
          <w:color w:val="auto"/>
          <w:sz w:val="28"/>
          <w:highlight w:val="none"/>
        </w:rPr>
        <w:t>的</w:t>
      </w:r>
      <w:r>
        <w:rPr>
          <w:rFonts w:hint="eastAsia"/>
          <w:color w:val="auto"/>
          <w:sz w:val="28"/>
          <w:highlight w:val="none"/>
          <w:u w:val="single"/>
          <w:lang w:eastAsia="zh-CN"/>
        </w:rPr>
        <w:t>玉环市漩门三期围垦配套工程（监理）</w:t>
      </w:r>
      <w:r>
        <w:rPr>
          <w:color w:val="auto"/>
          <w:spacing w:val="-1"/>
          <w:w w:val="100"/>
          <w:sz w:val="28"/>
          <w:highlight w:val="none"/>
        </w:rPr>
        <w:t>招</w:t>
      </w:r>
      <w:r>
        <w:rPr>
          <w:color w:val="auto"/>
          <w:spacing w:val="2"/>
          <w:w w:val="100"/>
          <w:sz w:val="28"/>
          <w:highlight w:val="none"/>
        </w:rPr>
        <w:t>标</w:t>
      </w:r>
      <w:r>
        <w:rPr>
          <w:color w:val="auto"/>
          <w:spacing w:val="-1"/>
          <w:w w:val="100"/>
          <w:sz w:val="28"/>
          <w:highlight w:val="none"/>
        </w:rPr>
        <w:t>文</w:t>
      </w:r>
      <w:r>
        <w:rPr>
          <w:color w:val="auto"/>
          <w:spacing w:val="2"/>
          <w:w w:val="100"/>
          <w:sz w:val="28"/>
          <w:highlight w:val="none"/>
        </w:rPr>
        <w:t>件</w:t>
      </w:r>
      <w:r>
        <w:rPr>
          <w:color w:val="auto"/>
          <w:spacing w:val="-1"/>
          <w:w w:val="100"/>
          <w:sz w:val="28"/>
          <w:highlight w:val="none"/>
        </w:rPr>
        <w:t>，</w:t>
      </w:r>
      <w:r>
        <w:rPr>
          <w:color w:val="auto"/>
          <w:spacing w:val="2"/>
          <w:w w:val="100"/>
          <w:sz w:val="28"/>
          <w:highlight w:val="none"/>
        </w:rPr>
        <w:t>我单</w:t>
      </w:r>
      <w:r>
        <w:rPr>
          <w:color w:val="auto"/>
          <w:spacing w:val="-1"/>
          <w:w w:val="100"/>
          <w:sz w:val="28"/>
          <w:highlight w:val="none"/>
        </w:rPr>
        <w:t>位</w:t>
      </w:r>
      <w:r>
        <w:rPr>
          <w:color w:val="auto"/>
          <w:spacing w:val="2"/>
          <w:w w:val="100"/>
          <w:sz w:val="28"/>
          <w:highlight w:val="none"/>
        </w:rPr>
        <w:t>经</w:t>
      </w:r>
      <w:r>
        <w:rPr>
          <w:color w:val="auto"/>
          <w:spacing w:val="-1"/>
          <w:w w:val="100"/>
          <w:sz w:val="28"/>
          <w:highlight w:val="none"/>
        </w:rPr>
        <w:t>考</w:t>
      </w:r>
      <w:r>
        <w:rPr>
          <w:color w:val="auto"/>
          <w:spacing w:val="2"/>
          <w:w w:val="100"/>
          <w:sz w:val="28"/>
          <w:highlight w:val="none"/>
        </w:rPr>
        <w:t>察现</w:t>
      </w:r>
      <w:r>
        <w:rPr>
          <w:color w:val="auto"/>
          <w:spacing w:val="-1"/>
          <w:w w:val="100"/>
          <w:sz w:val="28"/>
          <w:highlight w:val="none"/>
        </w:rPr>
        <w:t>场</w:t>
      </w:r>
      <w:r>
        <w:rPr>
          <w:color w:val="auto"/>
          <w:spacing w:val="2"/>
          <w:w w:val="100"/>
          <w:sz w:val="28"/>
          <w:highlight w:val="none"/>
        </w:rPr>
        <w:t>和</w:t>
      </w:r>
      <w:r>
        <w:rPr>
          <w:color w:val="auto"/>
          <w:spacing w:val="-1"/>
          <w:w w:val="100"/>
          <w:sz w:val="28"/>
          <w:highlight w:val="none"/>
        </w:rPr>
        <w:t>研</w:t>
      </w:r>
      <w:r>
        <w:rPr>
          <w:color w:val="auto"/>
          <w:spacing w:val="2"/>
          <w:w w:val="100"/>
          <w:sz w:val="28"/>
          <w:highlight w:val="none"/>
        </w:rPr>
        <w:t>究上</w:t>
      </w:r>
      <w:r>
        <w:rPr>
          <w:color w:val="auto"/>
          <w:spacing w:val="-1"/>
          <w:w w:val="100"/>
          <w:sz w:val="28"/>
          <w:highlight w:val="none"/>
        </w:rPr>
        <w:t>述</w:t>
      </w:r>
      <w:r>
        <w:rPr>
          <w:color w:val="auto"/>
          <w:spacing w:val="2"/>
          <w:w w:val="100"/>
          <w:sz w:val="28"/>
          <w:highlight w:val="none"/>
        </w:rPr>
        <w:t>项</w:t>
      </w:r>
      <w:r>
        <w:rPr>
          <w:color w:val="auto"/>
          <w:spacing w:val="-1"/>
          <w:w w:val="100"/>
          <w:sz w:val="28"/>
          <w:highlight w:val="none"/>
        </w:rPr>
        <w:t>目</w:t>
      </w:r>
      <w:r>
        <w:rPr>
          <w:color w:val="auto"/>
          <w:w w:val="100"/>
          <w:sz w:val="28"/>
          <w:highlight w:val="none"/>
        </w:rPr>
        <w:t>的</w:t>
      </w:r>
      <w:r>
        <w:rPr>
          <w:color w:val="auto"/>
          <w:sz w:val="28"/>
          <w:highlight w:val="none"/>
        </w:rPr>
        <w:t>招</w:t>
      </w:r>
      <w:r>
        <w:rPr>
          <w:color w:val="auto"/>
          <w:spacing w:val="-3"/>
          <w:sz w:val="28"/>
          <w:highlight w:val="none"/>
        </w:rPr>
        <w:t>标</w:t>
      </w:r>
      <w:r>
        <w:rPr>
          <w:color w:val="auto"/>
          <w:sz w:val="28"/>
          <w:highlight w:val="none"/>
        </w:rPr>
        <w:t>文件后</w:t>
      </w:r>
      <w:r>
        <w:rPr>
          <w:color w:val="auto"/>
          <w:spacing w:val="-49"/>
          <w:sz w:val="28"/>
          <w:highlight w:val="none"/>
        </w:rPr>
        <w:t>，</w:t>
      </w:r>
      <w:r>
        <w:rPr>
          <w:color w:val="auto"/>
          <w:spacing w:val="-6"/>
          <w:sz w:val="28"/>
          <w:highlight w:val="none"/>
        </w:rPr>
        <w:t>我方愿以</w:t>
      </w:r>
      <w:r>
        <w:rPr>
          <w:color w:val="auto"/>
          <w:sz w:val="28"/>
          <w:highlight w:val="none"/>
        </w:rPr>
        <w:t>监</w:t>
      </w:r>
      <w:r>
        <w:rPr>
          <w:color w:val="auto"/>
          <w:spacing w:val="-3"/>
          <w:sz w:val="28"/>
          <w:highlight w:val="none"/>
        </w:rPr>
        <w:t>理</w:t>
      </w:r>
      <w:r>
        <w:rPr>
          <w:color w:val="auto"/>
          <w:sz w:val="28"/>
          <w:highlight w:val="none"/>
        </w:rPr>
        <w:t>费</w:t>
      </w:r>
      <w:r>
        <w:rPr>
          <w:color w:val="auto"/>
          <w:spacing w:val="-6"/>
          <w:sz w:val="28"/>
          <w:highlight w:val="none"/>
        </w:rPr>
        <w:t>总报</w:t>
      </w:r>
      <w:r>
        <w:rPr>
          <w:color w:val="auto"/>
          <w:spacing w:val="-9"/>
          <w:sz w:val="28"/>
          <w:highlight w:val="none"/>
        </w:rPr>
        <w:t>价</w:t>
      </w:r>
      <w:r>
        <w:rPr>
          <w:rFonts w:hint="eastAsia"/>
          <w:color w:val="auto"/>
          <w:spacing w:val="-9"/>
          <w:sz w:val="28"/>
          <w:highlight w:val="none"/>
          <w:u w:val="single"/>
          <w:lang w:val="en-US" w:eastAsia="zh-CN"/>
        </w:rPr>
        <w:t xml:space="preserve">       </w:t>
      </w:r>
      <w:r>
        <w:rPr>
          <w:color w:val="auto"/>
          <w:spacing w:val="-49"/>
          <w:sz w:val="28"/>
          <w:highlight w:val="none"/>
        </w:rPr>
        <w:t>元</w:t>
      </w:r>
      <w:r>
        <w:rPr>
          <w:color w:val="auto"/>
          <w:spacing w:val="-25"/>
          <w:sz w:val="28"/>
          <w:highlight w:val="none"/>
        </w:rPr>
        <w:t xml:space="preserve">， </w:t>
      </w:r>
      <w:r>
        <w:rPr>
          <w:color w:val="auto"/>
          <w:spacing w:val="-6"/>
          <w:sz w:val="28"/>
          <w:highlight w:val="none"/>
        </w:rPr>
        <w:t>大写金额人民</w:t>
      </w:r>
      <w:r>
        <w:rPr>
          <w:color w:val="auto"/>
          <w:spacing w:val="-5"/>
          <w:sz w:val="28"/>
          <w:highlight w:val="none"/>
        </w:rPr>
        <w:t>币</w:t>
      </w:r>
      <w:r>
        <w:rPr>
          <w:color w:val="auto"/>
          <w:spacing w:val="-5"/>
          <w:sz w:val="28"/>
          <w:highlight w:val="none"/>
          <w:u w:val="single"/>
        </w:rPr>
        <w:t xml:space="preserve"> </w:t>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万</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仟</w:t>
      </w:r>
      <w:r>
        <w:rPr>
          <w:color w:val="auto"/>
          <w:sz w:val="28"/>
          <w:highlight w:val="none"/>
          <w:u w:val="single"/>
        </w:rPr>
        <w:t xml:space="preserve"> </w:t>
      </w:r>
      <w:r>
        <w:rPr>
          <w:rFonts w:hint="eastAsia"/>
          <w:color w:val="auto"/>
          <w:sz w:val="28"/>
          <w:highlight w:val="none"/>
          <w:u w:val="single"/>
          <w:lang w:val="en-US" w:eastAsia="zh-CN"/>
        </w:rPr>
        <w:t xml:space="preserve"> </w:t>
      </w:r>
      <w:r>
        <w:rPr>
          <w:color w:val="auto"/>
          <w:sz w:val="28"/>
          <w:highlight w:val="none"/>
        </w:rPr>
        <w:t>佰</w:t>
      </w:r>
      <w:r>
        <w:rPr>
          <w:color w:val="auto"/>
          <w:spacing w:val="-5"/>
          <w:sz w:val="28"/>
          <w:highlight w:val="none"/>
          <w:u w:val="single"/>
        </w:rPr>
        <w:tab/>
      </w:r>
      <w:r>
        <w:rPr>
          <w:rFonts w:hint="eastAsia"/>
          <w:color w:val="auto"/>
          <w:spacing w:val="-5"/>
          <w:sz w:val="28"/>
          <w:highlight w:val="none"/>
          <w:u w:val="single"/>
          <w:lang w:val="en-US" w:eastAsia="zh-CN"/>
        </w:rPr>
        <w:t xml:space="preserve"> </w:t>
      </w:r>
      <w:r>
        <w:rPr>
          <w:color w:val="auto"/>
          <w:spacing w:val="-7"/>
          <w:sz w:val="28"/>
          <w:highlight w:val="none"/>
        </w:rPr>
        <w:t>拾</w:t>
      </w:r>
      <w:r>
        <w:rPr>
          <w:color w:val="auto"/>
          <w:spacing w:val="-7"/>
          <w:sz w:val="28"/>
          <w:highlight w:val="none"/>
          <w:u w:val="single"/>
        </w:rPr>
        <w:t xml:space="preserve"> </w:t>
      </w:r>
      <w:r>
        <w:rPr>
          <w:color w:val="auto"/>
          <w:spacing w:val="-7"/>
          <w:sz w:val="28"/>
          <w:highlight w:val="none"/>
          <w:u w:val="single"/>
        </w:rPr>
        <w:tab/>
      </w:r>
      <w:r>
        <w:rPr>
          <w:rFonts w:hint="eastAsia"/>
          <w:color w:val="auto"/>
          <w:spacing w:val="-7"/>
          <w:sz w:val="28"/>
          <w:highlight w:val="none"/>
          <w:u w:val="single"/>
          <w:lang w:val="en-US" w:eastAsia="zh-CN"/>
        </w:rPr>
        <w:t xml:space="preserve"> </w:t>
      </w:r>
      <w:r>
        <w:rPr>
          <w:color w:val="auto"/>
          <w:sz w:val="28"/>
          <w:highlight w:val="none"/>
        </w:rPr>
        <w:t>元</w:t>
      </w:r>
      <w:r>
        <w:rPr>
          <w:color w:val="auto"/>
          <w:spacing w:val="-113"/>
          <w:sz w:val="28"/>
          <w:highlight w:val="none"/>
        </w:rPr>
        <w:t>，</w:t>
      </w:r>
      <w:r>
        <w:rPr>
          <w:color w:val="auto"/>
          <w:sz w:val="28"/>
          <w:highlight w:val="none"/>
        </w:rPr>
        <w:t>承担</w:t>
      </w:r>
      <w:r>
        <w:rPr>
          <w:color w:val="auto"/>
          <w:spacing w:val="-3"/>
          <w:sz w:val="28"/>
          <w:highlight w:val="none"/>
        </w:rPr>
        <w:t>上</w:t>
      </w:r>
      <w:r>
        <w:rPr>
          <w:color w:val="auto"/>
          <w:sz w:val="28"/>
          <w:highlight w:val="none"/>
        </w:rPr>
        <w:t>述项</w:t>
      </w:r>
      <w:r>
        <w:rPr>
          <w:color w:val="auto"/>
          <w:spacing w:val="-3"/>
          <w:sz w:val="28"/>
          <w:highlight w:val="none"/>
        </w:rPr>
        <w:t>目</w:t>
      </w:r>
      <w:r>
        <w:rPr>
          <w:color w:val="auto"/>
          <w:sz w:val="28"/>
          <w:highlight w:val="none"/>
        </w:rPr>
        <w:t>的施</w:t>
      </w:r>
      <w:r>
        <w:rPr>
          <w:color w:val="auto"/>
          <w:spacing w:val="-3"/>
          <w:sz w:val="28"/>
          <w:highlight w:val="none"/>
        </w:rPr>
        <w:t>工</w:t>
      </w:r>
      <w:r>
        <w:rPr>
          <w:color w:val="auto"/>
          <w:sz w:val="28"/>
          <w:highlight w:val="none"/>
        </w:rPr>
        <w:t>及保修阶</w:t>
      </w:r>
      <w:r>
        <w:rPr>
          <w:color w:val="auto"/>
          <w:spacing w:val="-3"/>
          <w:sz w:val="28"/>
          <w:highlight w:val="none"/>
        </w:rPr>
        <w:t>段</w:t>
      </w:r>
      <w:r>
        <w:rPr>
          <w:color w:val="auto"/>
          <w:sz w:val="28"/>
          <w:highlight w:val="none"/>
        </w:rPr>
        <w:t>监理</w:t>
      </w:r>
      <w:r>
        <w:rPr>
          <w:color w:val="auto"/>
          <w:spacing w:val="-3"/>
          <w:sz w:val="28"/>
          <w:highlight w:val="none"/>
        </w:rPr>
        <w:t>。</w:t>
      </w:r>
      <w:r>
        <w:rPr>
          <w:color w:val="auto"/>
          <w:sz w:val="28"/>
          <w:highlight w:val="none"/>
        </w:rPr>
        <w:t>监理</w:t>
      </w:r>
      <w:r>
        <w:rPr>
          <w:color w:val="auto"/>
          <w:spacing w:val="-3"/>
          <w:sz w:val="28"/>
          <w:highlight w:val="none"/>
        </w:rPr>
        <w:t>费</w:t>
      </w:r>
      <w:r>
        <w:rPr>
          <w:color w:val="auto"/>
          <w:sz w:val="28"/>
          <w:highlight w:val="none"/>
        </w:rPr>
        <w:t>一次</w:t>
      </w:r>
      <w:r>
        <w:rPr>
          <w:color w:val="auto"/>
          <w:spacing w:val="-3"/>
          <w:sz w:val="28"/>
          <w:highlight w:val="none"/>
        </w:rPr>
        <w:t>性</w:t>
      </w:r>
      <w:r>
        <w:rPr>
          <w:color w:val="auto"/>
          <w:sz w:val="28"/>
          <w:highlight w:val="none"/>
        </w:rPr>
        <w:t>包死</w:t>
      </w:r>
      <w:r>
        <w:rPr>
          <w:color w:val="auto"/>
          <w:spacing w:val="-3"/>
          <w:sz w:val="28"/>
          <w:highlight w:val="none"/>
        </w:rPr>
        <w:t>，</w:t>
      </w:r>
      <w:r>
        <w:rPr>
          <w:color w:val="auto"/>
          <w:sz w:val="28"/>
          <w:highlight w:val="none"/>
        </w:rPr>
        <w:t>结算</w:t>
      </w:r>
      <w:r>
        <w:rPr>
          <w:color w:val="auto"/>
          <w:spacing w:val="-3"/>
          <w:sz w:val="28"/>
          <w:highlight w:val="none"/>
        </w:rPr>
        <w:t>时</w:t>
      </w:r>
      <w:r>
        <w:rPr>
          <w:color w:val="auto"/>
          <w:sz w:val="28"/>
          <w:highlight w:val="none"/>
        </w:rPr>
        <w:t>不作</w:t>
      </w:r>
      <w:r>
        <w:rPr>
          <w:color w:val="auto"/>
          <w:spacing w:val="-3"/>
          <w:sz w:val="28"/>
          <w:highlight w:val="none"/>
        </w:rPr>
        <w:t>任</w:t>
      </w:r>
      <w:r>
        <w:rPr>
          <w:color w:val="auto"/>
          <w:sz w:val="28"/>
          <w:highlight w:val="none"/>
        </w:rPr>
        <w:t>何调</w:t>
      </w:r>
      <w:r>
        <w:rPr>
          <w:color w:val="auto"/>
          <w:spacing w:val="-3"/>
          <w:sz w:val="28"/>
          <w:highlight w:val="none"/>
        </w:rPr>
        <w:t>整</w:t>
      </w:r>
      <w:r>
        <w:rPr>
          <w:color w:val="auto"/>
          <w:sz w:val="28"/>
          <w:highlight w:val="none"/>
        </w:rPr>
        <w:t>。</w:t>
      </w:r>
    </w:p>
    <w:p>
      <w:pPr>
        <w:spacing w:before="0" w:line="364" w:lineRule="auto"/>
        <w:ind w:left="803" w:right="1052" w:firstLine="532"/>
        <w:jc w:val="both"/>
        <w:rPr>
          <w:color w:val="auto"/>
          <w:sz w:val="28"/>
          <w:highlight w:val="none"/>
        </w:rPr>
      </w:pPr>
      <w:r>
        <w:rPr>
          <w:color w:val="auto"/>
          <w:spacing w:val="-8"/>
          <w:sz w:val="28"/>
          <w:highlight w:val="none"/>
        </w:rPr>
        <w:t>二、一旦我方中标，我方在全部同意招标文件内容前提下，并保证人员设备按监理大纲的部署及时到位。保证总监与监理工程师的到位率</w:t>
      </w:r>
      <w:r>
        <w:rPr>
          <w:color w:val="auto"/>
          <w:spacing w:val="-9"/>
          <w:sz w:val="28"/>
          <w:highlight w:val="none"/>
        </w:rPr>
        <w:t>达到招标文件要求，同时保证本投标文件的所有资料真实有效，如有虚</w:t>
      </w:r>
      <w:r>
        <w:rPr>
          <w:color w:val="auto"/>
          <w:spacing w:val="-3"/>
          <w:sz w:val="28"/>
          <w:highlight w:val="none"/>
        </w:rPr>
        <w:t>假成份，愿承担一切后果。</w:t>
      </w:r>
    </w:p>
    <w:p>
      <w:pPr>
        <w:spacing w:before="0" w:line="364" w:lineRule="auto"/>
        <w:ind w:left="803" w:right="1052" w:firstLine="480"/>
        <w:jc w:val="left"/>
        <w:rPr>
          <w:color w:val="auto"/>
          <w:sz w:val="28"/>
          <w:highlight w:val="none"/>
        </w:rPr>
      </w:pPr>
      <w:r>
        <w:rPr>
          <w:color w:val="auto"/>
          <w:spacing w:val="-3"/>
          <w:sz w:val="28"/>
          <w:highlight w:val="none"/>
        </w:rPr>
        <w:t>三、除非另外达成协议并生效，你方的中标通知书和本投标文件将构成约束我们双方的合同。</w:t>
      </w:r>
    </w:p>
    <w:p>
      <w:pPr>
        <w:spacing w:before="0" w:line="607" w:lineRule="auto"/>
        <w:ind w:left="803" w:right="3299" w:firstLine="480"/>
        <w:jc w:val="left"/>
        <w:rPr>
          <w:color w:val="auto"/>
          <w:sz w:val="28"/>
          <w:highlight w:val="none"/>
        </w:rPr>
      </w:pPr>
      <w:r>
        <w:rPr>
          <w:color w:val="auto"/>
          <w:spacing w:val="-3"/>
          <w:sz w:val="28"/>
          <w:highlight w:val="none"/>
        </w:rPr>
        <w:t>四、我方的投标担保已按招标文件的要求递交。</w:t>
      </w:r>
      <w:r>
        <w:rPr>
          <w:color w:val="auto"/>
          <w:spacing w:val="-3"/>
          <w:w w:val="100"/>
          <w:sz w:val="28"/>
          <w:highlight w:val="none"/>
        </w:rPr>
        <w:t>法定代表人</w:t>
      </w:r>
      <w:r>
        <w:rPr>
          <w:color w:val="auto"/>
          <w:spacing w:val="-1"/>
          <w:w w:val="100"/>
          <w:sz w:val="28"/>
          <w:highlight w:val="none"/>
        </w:rPr>
        <w:t>（</w:t>
      </w:r>
      <w:r>
        <w:rPr>
          <w:color w:val="auto"/>
          <w:spacing w:val="-2"/>
          <w:w w:val="100"/>
          <w:sz w:val="28"/>
          <w:highlight w:val="none"/>
        </w:rPr>
        <w:t>签字或盖章</w:t>
      </w:r>
      <w:r>
        <w:rPr>
          <w:color w:val="auto"/>
          <w:spacing w:val="-142"/>
          <w:w w:val="100"/>
          <w:sz w:val="28"/>
          <w:highlight w:val="none"/>
        </w:rPr>
        <w:t>）</w:t>
      </w:r>
      <w:r>
        <w:rPr>
          <w:color w:val="auto"/>
          <w:w w:val="100"/>
          <w:sz w:val="28"/>
          <w:highlight w:val="none"/>
        </w:rPr>
        <w:t>：</w:t>
      </w:r>
    </w:p>
    <w:p>
      <w:pPr>
        <w:spacing w:before="176"/>
        <w:ind w:left="803" w:right="0" w:firstLine="0"/>
        <w:jc w:val="left"/>
        <w:rPr>
          <w:color w:val="auto"/>
          <w:sz w:val="28"/>
          <w:highlight w:val="none"/>
        </w:rPr>
      </w:pPr>
      <w:r>
        <w:rPr>
          <w:color w:val="auto"/>
          <w:spacing w:val="-2"/>
          <w:w w:val="100"/>
          <w:sz w:val="28"/>
          <w:highlight w:val="none"/>
        </w:rPr>
        <w:t>投标人</w:t>
      </w:r>
      <w:r>
        <w:rPr>
          <w:color w:val="auto"/>
          <w:spacing w:val="-1"/>
          <w:w w:val="100"/>
          <w:sz w:val="28"/>
          <w:highlight w:val="none"/>
        </w:rPr>
        <w:t>（</w:t>
      </w:r>
      <w:r>
        <w:rPr>
          <w:color w:val="auto"/>
          <w:spacing w:val="-2"/>
          <w:w w:val="100"/>
          <w:sz w:val="28"/>
          <w:highlight w:val="none"/>
        </w:rPr>
        <w:t>盖章</w:t>
      </w:r>
      <w:r>
        <w:rPr>
          <w:color w:val="auto"/>
          <w:spacing w:val="-140"/>
          <w:w w:val="100"/>
          <w:sz w:val="28"/>
          <w:highlight w:val="none"/>
        </w:rPr>
        <w:t>）</w:t>
      </w:r>
      <w:r>
        <w:rPr>
          <w:color w:val="auto"/>
          <w:w w:val="100"/>
          <w:sz w:val="28"/>
          <w:highlight w:val="none"/>
        </w:rPr>
        <w:t>：</w:t>
      </w:r>
    </w:p>
    <w:p>
      <w:pPr>
        <w:pStyle w:val="5"/>
        <w:rPr>
          <w:color w:val="auto"/>
          <w:sz w:val="28"/>
          <w:highlight w:val="none"/>
        </w:rPr>
      </w:pPr>
    </w:p>
    <w:p>
      <w:pPr>
        <w:pStyle w:val="5"/>
        <w:spacing w:before="1"/>
        <w:rPr>
          <w:color w:val="auto"/>
          <w:sz w:val="29"/>
          <w:highlight w:val="none"/>
        </w:rPr>
      </w:pPr>
    </w:p>
    <w:p>
      <w:pPr>
        <w:tabs>
          <w:tab w:val="left" w:pos="698"/>
          <w:tab w:val="left" w:pos="1399"/>
        </w:tabs>
        <w:spacing w:before="0"/>
        <w:ind w:left="0" w:right="1052" w:firstLine="0"/>
        <w:jc w:val="righ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right"/>
        <w:rPr>
          <w:color w:val="auto"/>
          <w:sz w:val="28"/>
          <w:highlight w:val="none"/>
        </w:rPr>
        <w:sectPr>
          <w:pgSz w:w="11910" w:h="16840"/>
          <w:pgMar w:top="1080" w:right="520" w:bottom="1180" w:left="920" w:header="891" w:footer="993" w:gutter="0"/>
        </w:sectPr>
      </w:pPr>
    </w:p>
    <w:p>
      <w:pPr>
        <w:pStyle w:val="5"/>
        <w:spacing w:line="20" w:lineRule="exact"/>
        <w:ind w:left="319"/>
        <w:rPr>
          <w:color w:val="auto"/>
          <w:sz w:val="2"/>
          <w:highlight w:val="none"/>
        </w:rPr>
      </w:pPr>
      <w:r>
        <w:rPr>
          <w:color w:val="auto"/>
          <w:sz w:val="2"/>
          <w:highlight w:val="none"/>
        </w:rPr>
        <w:pict>
          <v:group id="_x0000_s1029" o:spid="_x0000_s1029" o:spt="203" style="height:0.75pt;width:467.8pt;" coordsize="9356,15">
            <o:lock v:ext="edit"/>
            <v:line id="_x0000_s1030" o:spid="_x0000_s1030" o:spt="20" style="position:absolute;left:0;top:7;height:0;width:9356;" stroked="t" coordsize="21600,21600">
              <v:path arrowok="t"/>
              <v:fill focussize="0,0"/>
              <v:stroke weight="0.72pt" color="#000000"/>
              <v:imagedata o:title=""/>
              <o:lock v:ext="edit"/>
            </v:line>
            <w10:wrap type="none"/>
            <w10:anchorlock/>
          </v:group>
        </w:pict>
      </w:r>
    </w:p>
    <w:p>
      <w:pPr>
        <w:pStyle w:val="5"/>
        <w:spacing w:before="8"/>
        <w:rPr>
          <w:color w:val="auto"/>
          <w:sz w:val="25"/>
          <w:highlight w:val="none"/>
        </w:rPr>
      </w:pPr>
    </w:p>
    <w:p>
      <w:pPr>
        <w:spacing w:before="61"/>
        <w:ind w:left="328" w:right="0" w:firstLine="0"/>
        <w:jc w:val="left"/>
        <w:rPr>
          <w:color w:val="auto"/>
          <w:sz w:val="28"/>
          <w:highlight w:val="none"/>
        </w:rPr>
      </w:pPr>
      <w:bookmarkStart w:id="112" w:name="附件二："/>
      <w:bookmarkEnd w:id="112"/>
      <w:bookmarkStart w:id="113" w:name="_bookmark12"/>
      <w:bookmarkEnd w:id="113"/>
      <w:r>
        <w:rPr>
          <w:color w:val="auto"/>
          <w:sz w:val="28"/>
          <w:highlight w:val="none"/>
        </w:rPr>
        <w:t>附件二：</w:t>
      </w:r>
    </w:p>
    <w:p>
      <w:pPr>
        <w:spacing w:before="65"/>
        <w:ind w:left="414" w:right="0" w:firstLine="0"/>
        <w:jc w:val="center"/>
        <w:rPr>
          <w:rFonts w:hint="eastAsia" w:ascii="黑体" w:eastAsia="黑体"/>
          <w:b/>
          <w:color w:val="auto"/>
          <w:sz w:val="30"/>
          <w:highlight w:val="none"/>
        </w:rPr>
      </w:pPr>
      <w:bookmarkStart w:id="114" w:name="玉环市滨港工业城二期海口南路西段工程（丽江路至金波路）（监理）"/>
      <w:bookmarkEnd w:id="114"/>
      <w:r>
        <w:rPr>
          <w:rFonts w:hint="eastAsia" w:ascii="黑体" w:eastAsia="黑体"/>
          <w:b/>
          <w:color w:val="auto"/>
          <w:w w:val="99"/>
          <w:sz w:val="30"/>
          <w:highlight w:val="none"/>
          <w:u w:val="single"/>
          <w:lang w:eastAsia="zh-CN"/>
        </w:rPr>
        <w:t>玉环市漩门三期围垦配套工程（监理）</w:t>
      </w:r>
    </w:p>
    <w:p>
      <w:pPr>
        <w:spacing w:before="108"/>
        <w:ind w:left="31" w:right="484" w:firstLine="0"/>
        <w:jc w:val="center"/>
        <w:rPr>
          <w:rFonts w:hint="eastAsia" w:ascii="黑体" w:eastAsia="黑体"/>
          <w:b/>
          <w:color w:val="auto"/>
          <w:sz w:val="36"/>
          <w:highlight w:val="none"/>
        </w:rPr>
      </w:pPr>
      <w:r>
        <w:rPr>
          <w:rFonts w:hint="eastAsia" w:ascii="黑体" w:eastAsia="黑体"/>
          <w:b/>
          <w:color w:val="auto"/>
          <w:sz w:val="36"/>
          <w:highlight w:val="none"/>
        </w:rPr>
        <w:t>监理人员一览表</w:t>
      </w:r>
    </w:p>
    <w:p>
      <w:pPr>
        <w:pStyle w:val="5"/>
        <w:spacing w:before="12"/>
        <w:rPr>
          <w:rFonts w:ascii="黑体"/>
          <w:b/>
          <w:color w:val="auto"/>
          <w:sz w:val="23"/>
          <w:highlight w:val="none"/>
        </w:rPr>
      </w:pPr>
    </w:p>
    <w:tbl>
      <w:tblPr>
        <w:tblStyle w:val="9"/>
        <w:tblW w:w="10028"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924"/>
        <w:gridCol w:w="1107"/>
        <w:gridCol w:w="911"/>
        <w:gridCol w:w="1471"/>
        <w:gridCol w:w="650"/>
        <w:gridCol w:w="2942"/>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435" w:type="dxa"/>
          </w:tcPr>
          <w:p>
            <w:pPr>
              <w:pStyle w:val="12"/>
              <w:spacing w:before="2"/>
              <w:rPr>
                <w:rFonts w:ascii="黑体"/>
                <w:b/>
                <w:color w:val="auto"/>
                <w:sz w:val="21"/>
                <w:highlight w:val="none"/>
              </w:rPr>
            </w:pPr>
          </w:p>
          <w:p>
            <w:pPr>
              <w:pStyle w:val="12"/>
              <w:spacing w:before="1"/>
              <w:ind w:left="274" w:right="267"/>
              <w:jc w:val="center"/>
              <w:rPr>
                <w:color w:val="auto"/>
                <w:sz w:val="21"/>
                <w:highlight w:val="none"/>
              </w:rPr>
            </w:pPr>
            <w:r>
              <w:rPr>
                <w:color w:val="auto"/>
                <w:sz w:val="21"/>
                <w:highlight w:val="none"/>
              </w:rPr>
              <w:t>职务</w:t>
            </w:r>
          </w:p>
        </w:tc>
        <w:tc>
          <w:tcPr>
            <w:tcW w:w="924" w:type="dxa"/>
          </w:tcPr>
          <w:p>
            <w:pPr>
              <w:pStyle w:val="12"/>
              <w:spacing w:before="2"/>
              <w:rPr>
                <w:rFonts w:ascii="黑体"/>
                <w:b/>
                <w:color w:val="auto"/>
                <w:sz w:val="21"/>
                <w:highlight w:val="none"/>
              </w:rPr>
            </w:pPr>
          </w:p>
          <w:p>
            <w:pPr>
              <w:pStyle w:val="12"/>
              <w:spacing w:before="1"/>
              <w:ind w:left="250"/>
              <w:rPr>
                <w:color w:val="auto"/>
                <w:sz w:val="21"/>
                <w:highlight w:val="none"/>
              </w:rPr>
            </w:pPr>
            <w:r>
              <w:rPr>
                <w:color w:val="auto"/>
                <w:sz w:val="21"/>
                <w:highlight w:val="none"/>
              </w:rPr>
              <w:t>姓名</w:t>
            </w:r>
          </w:p>
        </w:tc>
        <w:tc>
          <w:tcPr>
            <w:tcW w:w="1107" w:type="dxa"/>
          </w:tcPr>
          <w:p>
            <w:pPr>
              <w:pStyle w:val="12"/>
              <w:spacing w:before="135" w:line="244" w:lineRule="auto"/>
              <w:ind w:left="341" w:right="124" w:hanging="209"/>
              <w:rPr>
                <w:color w:val="auto"/>
                <w:sz w:val="21"/>
                <w:highlight w:val="none"/>
              </w:rPr>
            </w:pPr>
            <w:r>
              <w:rPr>
                <w:color w:val="auto"/>
                <w:sz w:val="21"/>
                <w:highlight w:val="none"/>
              </w:rPr>
              <w:t>岗位证书号码</w:t>
            </w:r>
          </w:p>
        </w:tc>
        <w:tc>
          <w:tcPr>
            <w:tcW w:w="911" w:type="dxa"/>
          </w:tcPr>
          <w:p>
            <w:pPr>
              <w:pStyle w:val="12"/>
              <w:spacing w:before="135" w:line="244" w:lineRule="auto"/>
              <w:ind w:left="350" w:right="130" w:hanging="212"/>
              <w:rPr>
                <w:color w:val="auto"/>
                <w:sz w:val="21"/>
                <w:highlight w:val="none"/>
              </w:rPr>
            </w:pPr>
            <w:r>
              <w:rPr>
                <w:color w:val="auto"/>
                <w:sz w:val="21"/>
                <w:highlight w:val="none"/>
              </w:rPr>
              <w:t>身份证号</w:t>
            </w:r>
          </w:p>
        </w:tc>
        <w:tc>
          <w:tcPr>
            <w:tcW w:w="1471" w:type="dxa"/>
          </w:tcPr>
          <w:p>
            <w:pPr>
              <w:pStyle w:val="12"/>
              <w:spacing w:line="242" w:lineRule="auto"/>
              <w:ind w:left="210" w:right="199"/>
              <w:jc w:val="center"/>
              <w:rPr>
                <w:color w:val="auto"/>
                <w:sz w:val="21"/>
                <w:highlight w:val="none"/>
              </w:rPr>
            </w:pPr>
            <w:r>
              <w:rPr>
                <w:color w:val="auto"/>
                <w:sz w:val="21"/>
                <w:highlight w:val="none"/>
              </w:rPr>
              <w:t>年度安全教育考核合格</w:t>
            </w:r>
          </w:p>
          <w:p>
            <w:pPr>
              <w:pStyle w:val="12"/>
              <w:spacing w:line="253" w:lineRule="exact"/>
              <w:ind w:left="204" w:right="199"/>
              <w:jc w:val="center"/>
              <w:rPr>
                <w:color w:val="auto"/>
                <w:sz w:val="21"/>
                <w:highlight w:val="none"/>
              </w:rPr>
            </w:pPr>
            <w:r>
              <w:rPr>
                <w:color w:val="auto"/>
                <w:sz w:val="21"/>
                <w:highlight w:val="none"/>
              </w:rPr>
              <w:t>证号</w:t>
            </w:r>
          </w:p>
        </w:tc>
        <w:tc>
          <w:tcPr>
            <w:tcW w:w="650" w:type="dxa"/>
          </w:tcPr>
          <w:p>
            <w:pPr>
              <w:pStyle w:val="12"/>
              <w:spacing w:before="135" w:line="244" w:lineRule="auto"/>
              <w:ind w:left="114" w:right="105"/>
              <w:rPr>
                <w:color w:val="auto"/>
                <w:sz w:val="21"/>
                <w:highlight w:val="none"/>
              </w:rPr>
            </w:pPr>
            <w:r>
              <w:rPr>
                <w:color w:val="auto"/>
                <w:sz w:val="21"/>
                <w:highlight w:val="none"/>
              </w:rPr>
              <w:t>进场安排</w:t>
            </w:r>
          </w:p>
        </w:tc>
        <w:tc>
          <w:tcPr>
            <w:tcW w:w="2942" w:type="dxa"/>
          </w:tcPr>
          <w:p>
            <w:pPr>
              <w:pStyle w:val="12"/>
              <w:spacing w:before="135" w:line="244" w:lineRule="auto"/>
              <w:ind w:left="1259" w:right="56" w:hanging="1152"/>
              <w:rPr>
                <w:color w:val="auto"/>
                <w:sz w:val="21"/>
                <w:highlight w:val="none"/>
              </w:rPr>
            </w:pPr>
            <w:r>
              <w:rPr>
                <w:color w:val="auto"/>
                <w:sz w:val="21"/>
                <w:highlight w:val="none"/>
              </w:rPr>
              <w:t>须提供的证书复印件（原件备查）</w:t>
            </w:r>
          </w:p>
        </w:tc>
        <w:tc>
          <w:tcPr>
            <w:tcW w:w="588" w:type="dxa"/>
          </w:tcPr>
          <w:p>
            <w:pPr>
              <w:pStyle w:val="12"/>
              <w:spacing w:before="2"/>
              <w:rPr>
                <w:rFonts w:ascii="黑体"/>
                <w:b/>
                <w:color w:val="auto"/>
                <w:sz w:val="21"/>
                <w:highlight w:val="none"/>
              </w:rPr>
            </w:pPr>
          </w:p>
          <w:p>
            <w:pPr>
              <w:pStyle w:val="12"/>
              <w:spacing w:before="1"/>
              <w:ind w:left="65" w:right="53"/>
              <w:jc w:val="center"/>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0" w:hRule="atLeast"/>
        </w:trPr>
        <w:tc>
          <w:tcPr>
            <w:tcW w:w="1435" w:type="dxa"/>
          </w:tcPr>
          <w:p>
            <w:pPr>
              <w:pStyle w:val="12"/>
              <w:spacing w:before="7"/>
              <w:rPr>
                <w:rFonts w:ascii="黑体"/>
                <w:b/>
                <w:color w:val="auto"/>
                <w:sz w:val="25"/>
                <w:highlight w:val="none"/>
              </w:rPr>
            </w:pPr>
          </w:p>
          <w:p>
            <w:pPr>
              <w:pStyle w:val="12"/>
              <w:spacing w:before="1"/>
              <w:ind w:left="87"/>
              <w:rPr>
                <w:color w:val="auto"/>
                <w:sz w:val="21"/>
                <w:highlight w:val="none"/>
              </w:rPr>
            </w:pPr>
            <w:r>
              <w:rPr>
                <w:color w:val="auto"/>
                <w:sz w:val="21"/>
                <w:highlight w:val="none"/>
              </w:rPr>
              <w:t>总监理工程师</w:t>
            </w:r>
          </w:p>
          <w:p>
            <w:pPr>
              <w:pStyle w:val="12"/>
              <w:spacing w:before="3"/>
              <w:ind w:left="175"/>
              <w:rPr>
                <w:color w:val="auto"/>
                <w:sz w:val="18"/>
                <w:highlight w:val="none"/>
              </w:rPr>
            </w:pPr>
            <w:r>
              <w:rPr>
                <w:color w:val="auto"/>
                <w:sz w:val="18"/>
                <w:highlight w:val="none"/>
              </w:rPr>
              <w:t>（市政公用）</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1"/>
              <w:rPr>
                <w:rFonts w:ascii="黑体"/>
                <w:b/>
                <w:color w:val="auto"/>
                <w:sz w:val="24"/>
                <w:highlight w:val="none"/>
              </w:rPr>
            </w:pPr>
          </w:p>
          <w:p>
            <w:pPr>
              <w:pStyle w:val="12"/>
              <w:spacing w:line="242" w:lineRule="auto"/>
              <w:ind w:left="107" w:right="-44" w:hanging="192"/>
              <w:rPr>
                <w:color w:val="auto"/>
                <w:sz w:val="21"/>
                <w:highlight w:val="none"/>
              </w:rPr>
            </w:pPr>
            <w:r>
              <w:rPr>
                <w:color w:val="auto"/>
                <w:spacing w:val="7"/>
                <w:w w:val="95"/>
                <w:sz w:val="21"/>
                <w:highlight w:val="none"/>
              </w:rPr>
              <w:t>《中华人民共和国注册监理工程</w:t>
            </w:r>
            <w:r>
              <w:rPr>
                <w:color w:val="auto"/>
                <w:spacing w:val="-17"/>
                <w:sz w:val="21"/>
                <w:highlight w:val="none"/>
              </w:rPr>
              <w:t>师注册执业证书》、》</w:t>
            </w:r>
          </w:p>
        </w:tc>
        <w:tc>
          <w:tcPr>
            <w:tcW w:w="588" w:type="dxa"/>
          </w:tcPr>
          <w:p>
            <w:pPr>
              <w:pStyle w:val="12"/>
              <w:spacing w:before="1"/>
              <w:rPr>
                <w:rFonts w:ascii="黑体"/>
                <w:b/>
                <w:color w:val="auto"/>
                <w:sz w:val="24"/>
                <w:highlight w:val="none"/>
              </w:rPr>
            </w:pPr>
          </w:p>
          <w:p>
            <w:pPr>
              <w:pStyle w:val="12"/>
              <w:spacing w:line="242" w:lineRule="auto"/>
              <w:ind w:left="86" w:right="71"/>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8" w:hRule="atLeast"/>
        </w:trPr>
        <w:tc>
          <w:tcPr>
            <w:tcW w:w="1435" w:type="dxa"/>
          </w:tcPr>
          <w:p>
            <w:pPr>
              <w:pStyle w:val="12"/>
              <w:spacing w:before="6"/>
              <w:rPr>
                <w:rFonts w:ascii="黑体"/>
                <w:b/>
                <w:color w:val="auto"/>
                <w:sz w:val="24"/>
                <w:highlight w:val="none"/>
              </w:rPr>
            </w:pPr>
          </w:p>
          <w:p>
            <w:pPr>
              <w:pStyle w:val="12"/>
              <w:spacing w:line="242" w:lineRule="auto"/>
              <w:ind w:left="115" w:right="107" w:firstLine="2"/>
              <w:jc w:val="center"/>
              <w:rPr>
                <w:color w:val="auto"/>
                <w:sz w:val="18"/>
                <w:highlight w:val="none"/>
              </w:rPr>
            </w:pPr>
            <w:r>
              <w:rPr>
                <w:color w:val="auto"/>
                <w:sz w:val="21"/>
                <w:highlight w:val="none"/>
              </w:rPr>
              <w:t>主导专业监理工程师</w:t>
            </w:r>
            <w:r>
              <w:rPr>
                <w:color w:val="auto"/>
                <w:sz w:val="18"/>
                <w:highlight w:val="none"/>
              </w:rPr>
              <w:t>（市政公用）</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rPr>
                <w:rFonts w:ascii="黑体"/>
                <w:b/>
                <w:color w:val="auto"/>
                <w:sz w:val="23"/>
                <w:highlight w:val="none"/>
              </w:rPr>
            </w:pPr>
          </w:p>
          <w:p>
            <w:pPr>
              <w:pStyle w:val="12"/>
              <w:spacing w:line="242" w:lineRule="auto"/>
              <w:ind w:left="107" w:right="-29" w:hanging="140"/>
              <w:rPr>
                <w:color w:val="auto"/>
                <w:sz w:val="21"/>
                <w:highlight w:val="none"/>
              </w:rPr>
            </w:pPr>
            <w:r>
              <w:rPr>
                <w:color w:val="auto"/>
                <w:sz w:val="21"/>
                <w:highlight w:val="none"/>
              </w:rPr>
              <w:t>《中华人民共和国注册监理工程</w:t>
            </w:r>
            <w:r>
              <w:rPr>
                <w:color w:val="auto"/>
                <w:spacing w:val="-10"/>
                <w:sz w:val="21"/>
                <w:highlight w:val="none"/>
              </w:rPr>
              <w:t>师注册执业证书》或《浙江省监</w:t>
            </w:r>
          </w:p>
          <w:p>
            <w:pPr>
              <w:pStyle w:val="12"/>
              <w:spacing w:before="1"/>
              <w:ind w:left="798"/>
              <w:rPr>
                <w:color w:val="auto"/>
                <w:sz w:val="21"/>
                <w:highlight w:val="none"/>
              </w:rPr>
            </w:pPr>
            <w:r>
              <w:rPr>
                <w:color w:val="auto"/>
                <w:sz w:val="21"/>
                <w:highlight w:val="none"/>
              </w:rPr>
              <w:t>理工程师证书》</w:t>
            </w:r>
          </w:p>
        </w:tc>
        <w:tc>
          <w:tcPr>
            <w:tcW w:w="588" w:type="dxa"/>
          </w:tcPr>
          <w:p>
            <w:pPr>
              <w:pStyle w:val="12"/>
              <w:rPr>
                <w:rFonts w:ascii="黑体"/>
                <w:b/>
                <w:color w:val="auto"/>
                <w:sz w:val="20"/>
                <w:highlight w:val="none"/>
              </w:rPr>
            </w:pPr>
          </w:p>
          <w:p>
            <w:pPr>
              <w:pStyle w:val="12"/>
              <w:spacing w:before="175" w:line="242" w:lineRule="auto"/>
              <w:ind w:left="86" w:right="71"/>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6" w:hRule="atLeast"/>
        </w:trPr>
        <w:tc>
          <w:tcPr>
            <w:tcW w:w="1435" w:type="dxa"/>
          </w:tcPr>
          <w:p>
            <w:pPr>
              <w:pStyle w:val="12"/>
              <w:spacing w:before="156"/>
              <w:ind w:left="9"/>
              <w:jc w:val="center"/>
              <w:rPr>
                <w:color w:val="auto"/>
                <w:sz w:val="21"/>
                <w:highlight w:val="none"/>
              </w:rPr>
            </w:pPr>
            <w:r>
              <w:rPr>
                <w:color w:val="auto"/>
                <w:w w:val="99"/>
                <w:sz w:val="21"/>
                <w:highlight w:val="none"/>
              </w:rPr>
              <w:t>…</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156"/>
              <w:ind w:left="1139" w:right="1333"/>
              <w:jc w:val="center"/>
              <w:rPr>
                <w:color w:val="auto"/>
                <w:sz w:val="21"/>
                <w:highlight w:val="none"/>
              </w:rPr>
            </w:pPr>
            <w:r>
              <w:rPr>
                <w:color w:val="auto"/>
                <w:sz w:val="21"/>
                <w:highlight w:val="none"/>
              </w:rPr>
              <w:t>同上</w:t>
            </w:r>
          </w:p>
        </w:tc>
        <w:tc>
          <w:tcPr>
            <w:tcW w:w="588"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1435" w:type="dxa"/>
          </w:tcPr>
          <w:p>
            <w:pPr>
              <w:pStyle w:val="12"/>
              <w:spacing w:before="156"/>
              <w:ind w:left="9"/>
              <w:jc w:val="center"/>
              <w:rPr>
                <w:color w:val="auto"/>
                <w:sz w:val="21"/>
                <w:highlight w:val="none"/>
              </w:rPr>
            </w:pPr>
            <w:r>
              <w:rPr>
                <w:color w:val="auto"/>
                <w:w w:val="99"/>
                <w:sz w:val="21"/>
                <w:highlight w:val="none"/>
              </w:rPr>
              <w:t>…</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156"/>
              <w:ind w:left="1139" w:right="1333"/>
              <w:jc w:val="center"/>
              <w:rPr>
                <w:color w:val="auto"/>
                <w:sz w:val="21"/>
                <w:highlight w:val="none"/>
              </w:rPr>
            </w:pPr>
            <w:r>
              <w:rPr>
                <w:color w:val="auto"/>
                <w:sz w:val="21"/>
                <w:highlight w:val="none"/>
              </w:rPr>
              <w:t>同上</w:t>
            </w:r>
          </w:p>
        </w:tc>
        <w:tc>
          <w:tcPr>
            <w:tcW w:w="588"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trPr>
        <w:tc>
          <w:tcPr>
            <w:tcW w:w="1435" w:type="dxa"/>
          </w:tcPr>
          <w:p>
            <w:pPr>
              <w:pStyle w:val="12"/>
              <w:spacing w:before="157"/>
              <w:ind w:left="9"/>
              <w:jc w:val="center"/>
              <w:rPr>
                <w:color w:val="auto"/>
                <w:sz w:val="21"/>
                <w:highlight w:val="none"/>
              </w:rPr>
            </w:pPr>
            <w:r>
              <w:rPr>
                <w:color w:val="auto"/>
                <w:w w:val="99"/>
                <w:sz w:val="21"/>
                <w:highlight w:val="none"/>
              </w:rPr>
              <w:t>…</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157"/>
              <w:ind w:left="1139" w:right="1333"/>
              <w:jc w:val="center"/>
              <w:rPr>
                <w:color w:val="auto"/>
                <w:sz w:val="21"/>
                <w:highlight w:val="none"/>
              </w:rPr>
            </w:pPr>
            <w:r>
              <w:rPr>
                <w:color w:val="auto"/>
                <w:sz w:val="21"/>
                <w:highlight w:val="none"/>
              </w:rPr>
              <w:t>同上</w:t>
            </w:r>
          </w:p>
        </w:tc>
        <w:tc>
          <w:tcPr>
            <w:tcW w:w="588"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1435" w:type="dxa"/>
          </w:tcPr>
          <w:p>
            <w:pPr>
              <w:pStyle w:val="12"/>
              <w:spacing w:before="50"/>
              <w:ind w:left="274" w:right="267"/>
              <w:jc w:val="center"/>
              <w:rPr>
                <w:color w:val="auto"/>
                <w:sz w:val="21"/>
                <w:highlight w:val="none"/>
              </w:rPr>
            </w:pPr>
            <w:r>
              <w:rPr>
                <w:color w:val="auto"/>
                <w:sz w:val="21"/>
                <w:highlight w:val="none"/>
              </w:rPr>
              <w:t>监理员</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50" w:line="242" w:lineRule="auto"/>
              <w:ind w:left="1317" w:right="38" w:hanging="1155"/>
              <w:rPr>
                <w:color w:val="auto"/>
                <w:sz w:val="21"/>
                <w:highlight w:val="none"/>
              </w:rPr>
            </w:pPr>
            <w:r>
              <w:rPr>
                <w:color w:val="auto"/>
                <w:sz w:val="21"/>
                <w:highlight w:val="none"/>
              </w:rPr>
              <w:t>市政监理员证书并兼负责安全工作</w:t>
            </w:r>
          </w:p>
        </w:tc>
        <w:tc>
          <w:tcPr>
            <w:tcW w:w="588" w:type="dxa"/>
          </w:tcPr>
          <w:p>
            <w:pPr>
              <w:pStyle w:val="12"/>
              <w:spacing w:before="50" w:line="242" w:lineRule="auto"/>
              <w:ind w:left="86" w:right="71"/>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trPr>
        <w:tc>
          <w:tcPr>
            <w:tcW w:w="1435" w:type="dxa"/>
          </w:tcPr>
          <w:p>
            <w:pPr>
              <w:pStyle w:val="12"/>
              <w:spacing w:before="7"/>
              <w:rPr>
                <w:rFonts w:ascii="黑体"/>
                <w:b/>
                <w:color w:val="auto"/>
                <w:sz w:val="14"/>
                <w:highlight w:val="none"/>
              </w:rPr>
            </w:pPr>
          </w:p>
          <w:p>
            <w:pPr>
              <w:pStyle w:val="12"/>
              <w:ind w:left="274" w:right="270"/>
              <w:jc w:val="center"/>
              <w:rPr>
                <w:color w:val="auto"/>
                <w:sz w:val="21"/>
                <w:highlight w:val="none"/>
              </w:rPr>
            </w:pPr>
            <w:r>
              <w:rPr>
                <w:color w:val="auto"/>
                <w:sz w:val="21"/>
                <w:highlight w:val="none"/>
              </w:rPr>
              <w:t>造价人员</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spacing w:before="50" w:line="242" w:lineRule="auto"/>
              <w:ind w:left="1002" w:right="38" w:hanging="840"/>
              <w:rPr>
                <w:color w:val="auto"/>
                <w:sz w:val="21"/>
                <w:highlight w:val="none"/>
              </w:rPr>
            </w:pPr>
            <w:r>
              <w:rPr>
                <w:color w:val="auto"/>
                <w:sz w:val="21"/>
                <w:highlight w:val="none"/>
              </w:rPr>
              <w:t>《中华人民共和国注册造价工程师证书》</w:t>
            </w:r>
          </w:p>
        </w:tc>
        <w:tc>
          <w:tcPr>
            <w:tcW w:w="588" w:type="dxa"/>
          </w:tcPr>
          <w:p>
            <w:pPr>
              <w:pStyle w:val="12"/>
              <w:spacing w:before="50" w:line="242" w:lineRule="auto"/>
              <w:ind w:left="86" w:right="71"/>
              <w:rPr>
                <w:color w:val="auto"/>
                <w:sz w:val="21"/>
                <w:highlight w:val="none"/>
              </w:rPr>
            </w:pPr>
            <w:r>
              <w:rPr>
                <w:color w:val="auto"/>
                <w:sz w:val="21"/>
                <w:highlight w:val="none"/>
              </w:rPr>
              <w:t>必须配备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1435" w:type="dxa"/>
          </w:tcPr>
          <w:p>
            <w:pPr>
              <w:pStyle w:val="12"/>
              <w:spacing w:before="105"/>
              <w:ind w:left="9"/>
              <w:jc w:val="center"/>
              <w:rPr>
                <w:color w:val="auto"/>
                <w:sz w:val="21"/>
                <w:highlight w:val="none"/>
              </w:rPr>
            </w:pPr>
            <w:r>
              <w:rPr>
                <w:color w:val="auto"/>
                <w:w w:val="99"/>
                <w:sz w:val="21"/>
                <w:highlight w:val="none"/>
              </w:rPr>
              <w:t>…</w:t>
            </w:r>
          </w:p>
        </w:tc>
        <w:tc>
          <w:tcPr>
            <w:tcW w:w="924" w:type="dxa"/>
          </w:tcPr>
          <w:p>
            <w:pPr>
              <w:pStyle w:val="12"/>
              <w:rPr>
                <w:rFonts w:ascii="Times New Roman"/>
                <w:color w:val="auto"/>
                <w:sz w:val="20"/>
                <w:highlight w:val="none"/>
              </w:rPr>
            </w:pPr>
          </w:p>
        </w:tc>
        <w:tc>
          <w:tcPr>
            <w:tcW w:w="1107" w:type="dxa"/>
          </w:tcPr>
          <w:p>
            <w:pPr>
              <w:pStyle w:val="12"/>
              <w:rPr>
                <w:rFonts w:ascii="Times New Roman"/>
                <w:color w:val="auto"/>
                <w:sz w:val="20"/>
                <w:highlight w:val="none"/>
              </w:rPr>
            </w:pPr>
          </w:p>
        </w:tc>
        <w:tc>
          <w:tcPr>
            <w:tcW w:w="911" w:type="dxa"/>
          </w:tcPr>
          <w:p>
            <w:pPr>
              <w:pStyle w:val="12"/>
              <w:rPr>
                <w:rFonts w:ascii="Times New Roman"/>
                <w:color w:val="auto"/>
                <w:sz w:val="20"/>
                <w:highlight w:val="none"/>
              </w:rPr>
            </w:pPr>
          </w:p>
        </w:tc>
        <w:tc>
          <w:tcPr>
            <w:tcW w:w="1471" w:type="dxa"/>
          </w:tcPr>
          <w:p>
            <w:pPr>
              <w:pStyle w:val="12"/>
              <w:rPr>
                <w:rFonts w:ascii="Times New Roman"/>
                <w:color w:val="auto"/>
                <w:sz w:val="20"/>
                <w:highlight w:val="none"/>
              </w:rPr>
            </w:pPr>
          </w:p>
        </w:tc>
        <w:tc>
          <w:tcPr>
            <w:tcW w:w="650" w:type="dxa"/>
          </w:tcPr>
          <w:p>
            <w:pPr>
              <w:pStyle w:val="12"/>
              <w:rPr>
                <w:rFonts w:ascii="Times New Roman"/>
                <w:color w:val="auto"/>
                <w:sz w:val="20"/>
                <w:highlight w:val="none"/>
              </w:rPr>
            </w:pPr>
          </w:p>
        </w:tc>
        <w:tc>
          <w:tcPr>
            <w:tcW w:w="2942" w:type="dxa"/>
          </w:tcPr>
          <w:p>
            <w:pPr>
              <w:pStyle w:val="12"/>
              <w:rPr>
                <w:rFonts w:ascii="Times New Roman"/>
                <w:color w:val="auto"/>
                <w:sz w:val="20"/>
                <w:highlight w:val="none"/>
              </w:rPr>
            </w:pPr>
          </w:p>
        </w:tc>
        <w:tc>
          <w:tcPr>
            <w:tcW w:w="588" w:type="dxa"/>
          </w:tcPr>
          <w:p>
            <w:pPr>
              <w:pStyle w:val="12"/>
              <w:spacing w:before="105"/>
              <w:ind w:left="16"/>
              <w:jc w:val="center"/>
              <w:rPr>
                <w:color w:val="auto"/>
                <w:sz w:val="21"/>
                <w:highlight w:val="none"/>
              </w:rPr>
            </w:pPr>
            <w:r>
              <w:rPr>
                <w:color w:val="auto"/>
                <w:w w:val="99"/>
                <w:sz w:val="21"/>
                <w:highlight w:val="none"/>
              </w:rPr>
              <w:t>/</w:t>
            </w:r>
          </w:p>
        </w:tc>
      </w:tr>
    </w:tbl>
    <w:p>
      <w:pPr>
        <w:pStyle w:val="4"/>
        <w:spacing w:line="244" w:lineRule="auto"/>
        <w:ind w:left="328" w:right="693" w:firstLine="0"/>
        <w:rPr>
          <w:color w:val="auto"/>
          <w:highlight w:val="none"/>
        </w:rPr>
      </w:pPr>
      <w:r>
        <w:rPr>
          <w:color w:val="auto"/>
          <w:highlight w:val="none"/>
        </w:rPr>
        <w:pict>
          <v:group id="_x0000_s1031" o:spid="_x0000_s1031" o:spt="203" style="position:absolute;left:0pt;margin-left:281.1pt;margin-top:-123.35pt;height:123.2pt;width:73.8pt;mso-position-horizontal-relative:page;z-index:-57344;mso-width-relative:page;mso-height-relative:page;" coordorigin="5622,-2467" coordsize="1476,2464">
            <o:lock v:ext="edit"/>
            <v:line id="_x0000_s1032" o:spid="_x0000_s1032" o:spt="20" style="position:absolute;left:5627;top:-2462;flip:y;height:650;width:1466;" stroked="t" coordsize="21600,21600">
              <v:path arrowok="t"/>
              <v:fill focussize="0,0"/>
              <v:stroke weight="0.5pt" color="#000000"/>
              <v:imagedata o:title=""/>
              <o:lock v:ext="edit"/>
            </v:line>
            <v:line id="_x0000_s1033" o:spid="_x0000_s1033" o:spt="20" style="position:absolute;left:5627;top:-1807;flip:y;height:650;width:1466;" stroked="t" coordsize="21600,21600">
              <v:path arrowok="t"/>
              <v:fill focussize="0,0"/>
              <v:stroke weight="0.5pt" color="#000000"/>
              <v:imagedata o:title=""/>
              <o:lock v:ext="edit"/>
            </v:line>
            <v:line id="_x0000_s1034" o:spid="_x0000_s1034" o:spt="20" style="position:absolute;left:5627;top:-1152;flip:y;height:650;width:1466;" stroked="t" coordsize="21600,21600">
              <v:path arrowok="t"/>
              <v:fill focussize="0,0"/>
              <v:stroke weight="0.5pt" color="#000000"/>
              <v:imagedata o:title=""/>
              <o:lock v:ext="edit"/>
            </v:line>
            <v:line id="_x0000_s1035" o:spid="_x0000_s1035" o:spt="20" style="position:absolute;left:5627;top:-497;flip:y;height:489;width:1466;" stroked="t" coordsize="21600,21600">
              <v:path arrowok="t"/>
              <v:fill focussize="0,0"/>
              <v:stroke weight="0.5pt" color="#000000"/>
              <v:imagedata o:title=""/>
              <o:lock v:ext="edit"/>
            </v:line>
          </v:group>
        </w:pict>
      </w:r>
      <w:r>
        <w:rPr>
          <w:color w:val="auto"/>
          <w:w w:val="95"/>
          <w:highlight w:val="none"/>
        </w:rPr>
        <w:t xml:space="preserve">注意：1、表中招标人所列的人员必须填写，其余监理人员的配备及到位安排由投标人根据工程实际情   </w:t>
      </w:r>
      <w:r>
        <w:rPr>
          <w:color w:val="auto"/>
          <w:highlight w:val="none"/>
        </w:rPr>
        <w:t>况结合评标办法自行配备。</w:t>
      </w:r>
    </w:p>
    <w:p>
      <w:pPr>
        <w:spacing w:before="0" w:line="265" w:lineRule="exact"/>
        <w:ind w:left="320" w:right="0" w:firstLine="0"/>
        <w:jc w:val="left"/>
        <w:rPr>
          <w:rFonts w:hint="eastAsia" w:ascii="黑体" w:eastAsia="黑体"/>
          <w:b/>
          <w:color w:val="auto"/>
          <w:sz w:val="21"/>
          <w:highlight w:val="none"/>
        </w:rPr>
      </w:pPr>
      <w:r>
        <w:rPr>
          <w:rFonts w:hint="eastAsia" w:ascii="黑体" w:eastAsia="黑体"/>
          <w:b/>
          <w:color w:val="auto"/>
          <w:sz w:val="21"/>
          <w:highlight w:val="none"/>
        </w:rPr>
        <w:t>2、岗位证书必须为在本单位注册的证书。若证书不能反映注册单位的，应提供相应的劳动合同复印件。</w:t>
      </w:r>
    </w:p>
    <w:p>
      <w:pPr>
        <w:pStyle w:val="5"/>
        <w:spacing w:before="58" w:line="244" w:lineRule="auto"/>
        <w:ind w:left="328" w:right="7513"/>
        <w:rPr>
          <w:color w:val="auto"/>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10"/>
          <w:w w:val="99"/>
          <w:highlight w:val="none"/>
        </w:rPr>
        <w:t>）</w:t>
      </w:r>
      <w:r>
        <w:rPr>
          <w:color w:val="auto"/>
          <w:spacing w:val="-11"/>
          <w:w w:val="99"/>
          <w:highlight w:val="none"/>
        </w:rPr>
        <w:t>：</w:t>
      </w:r>
      <w:r>
        <w:rPr>
          <w:color w:val="auto"/>
          <w:spacing w:val="-1"/>
          <w:w w:val="99"/>
          <w:highlight w:val="none"/>
        </w:rPr>
        <w:t>投标人</w:t>
      </w:r>
      <w:r>
        <w:rPr>
          <w:color w:val="auto"/>
          <w:spacing w:val="2"/>
          <w:w w:val="99"/>
          <w:highlight w:val="none"/>
        </w:rPr>
        <w:t>（</w:t>
      </w:r>
      <w:r>
        <w:rPr>
          <w:color w:val="auto"/>
          <w:w w:val="99"/>
          <w:highlight w:val="none"/>
        </w:rPr>
        <w:t>盖章</w:t>
      </w:r>
      <w:r>
        <w:rPr>
          <w:color w:val="auto"/>
          <w:spacing w:val="-106"/>
          <w:w w:val="99"/>
          <w:highlight w:val="none"/>
        </w:rPr>
        <w:t>）</w:t>
      </w:r>
      <w:r>
        <w:rPr>
          <w:color w:val="auto"/>
          <w:w w:val="99"/>
          <w:highlight w:val="none"/>
        </w:rPr>
        <w:t>：</w:t>
      </w:r>
    </w:p>
    <w:p>
      <w:pPr>
        <w:pStyle w:val="5"/>
        <w:tabs>
          <w:tab w:val="left" w:pos="7887"/>
          <w:tab w:val="left" w:pos="8411"/>
          <w:tab w:val="left" w:pos="8936"/>
        </w:tabs>
        <w:spacing w:line="265" w:lineRule="exact"/>
        <w:ind w:left="6942"/>
        <w:rPr>
          <w:color w:val="auto"/>
          <w:highlight w:val="none"/>
        </w:rPr>
      </w:pPr>
      <w:r>
        <w:rPr>
          <w:color w:val="auto"/>
          <w:highlight w:val="none"/>
        </w:rPr>
        <w:t>日期：</w:t>
      </w:r>
      <w:r>
        <w:rPr>
          <w:color w:val="auto"/>
          <w:highlight w:val="none"/>
        </w:rPr>
        <w:tab/>
      </w:r>
      <w:r>
        <w:rPr>
          <w:color w:val="auto"/>
          <w:highlight w:val="none"/>
        </w:rPr>
        <w:t>年</w:t>
      </w:r>
      <w:r>
        <w:rPr>
          <w:color w:val="auto"/>
          <w:highlight w:val="none"/>
        </w:rPr>
        <w:tab/>
      </w:r>
      <w:r>
        <w:rPr>
          <w:color w:val="auto"/>
          <w:highlight w:val="none"/>
        </w:rPr>
        <w:t>月</w:t>
      </w:r>
      <w:r>
        <w:rPr>
          <w:color w:val="auto"/>
          <w:highlight w:val="none"/>
        </w:rPr>
        <w:tab/>
      </w:r>
      <w:r>
        <w:rPr>
          <w:color w:val="auto"/>
          <w:highlight w:val="none"/>
        </w:rPr>
        <w:t>日</w:t>
      </w:r>
    </w:p>
    <w:p>
      <w:pPr>
        <w:spacing w:after="0" w:line="265" w:lineRule="exact"/>
        <w:rPr>
          <w:color w:val="auto"/>
          <w:highlight w:val="none"/>
        </w:rPr>
        <w:sectPr>
          <w:headerReference r:id="rId11" w:type="default"/>
          <w:footerReference r:id="rId12" w:type="default"/>
          <w:pgSz w:w="11910" w:h="16840"/>
          <w:pgMar w:top="1080" w:right="520" w:bottom="1180" w:left="920" w:header="0" w:footer="991" w:gutter="0"/>
        </w:sectPr>
      </w:pPr>
    </w:p>
    <w:p>
      <w:pPr>
        <w:pStyle w:val="5"/>
        <w:spacing w:line="20" w:lineRule="exact"/>
        <w:ind w:left="875"/>
        <w:rPr>
          <w:color w:val="auto"/>
          <w:sz w:val="2"/>
          <w:highlight w:val="none"/>
        </w:rPr>
      </w:pPr>
      <w:r>
        <w:rPr>
          <w:color w:val="auto"/>
          <w:sz w:val="2"/>
          <w:highlight w:val="none"/>
        </w:rPr>
        <w:pict>
          <v:group id="_x0000_s1036" o:spid="_x0000_s1036" o:spt="203" style="height:0.5pt;width:397.3pt;" coordsize="7946,10">
            <o:lock v:ext="edit"/>
            <v:line id="_x0000_s1037" o:spid="_x0000_s1037" o:spt="20" style="position:absolute;left:0;top:5;height:0;width:7946;" stroked="t" coordsize="21600,21600">
              <v:path arrowok="t"/>
              <v:fill focussize="0,0"/>
              <v:stroke weight="0.48pt" color="#000000"/>
              <v:imagedata o:title=""/>
              <o:lock v:ext="edit"/>
            </v:line>
            <w10:wrap type="none"/>
            <w10:anchorlock/>
          </v:group>
        </w:pict>
      </w:r>
    </w:p>
    <w:p>
      <w:pPr>
        <w:pStyle w:val="5"/>
        <w:rPr>
          <w:color w:val="auto"/>
          <w:sz w:val="20"/>
          <w:highlight w:val="none"/>
        </w:rPr>
      </w:pPr>
    </w:p>
    <w:p>
      <w:pPr>
        <w:pStyle w:val="5"/>
        <w:spacing w:before="9"/>
        <w:rPr>
          <w:color w:val="auto"/>
          <w:sz w:val="20"/>
          <w:highlight w:val="none"/>
        </w:rPr>
      </w:pPr>
    </w:p>
    <w:p>
      <w:pPr>
        <w:spacing w:before="62"/>
        <w:ind w:left="880" w:right="0" w:firstLine="0"/>
        <w:jc w:val="left"/>
        <w:rPr>
          <w:color w:val="auto"/>
          <w:sz w:val="28"/>
          <w:highlight w:val="none"/>
        </w:rPr>
      </w:pPr>
      <w:bookmarkStart w:id="115" w:name="附件三："/>
      <w:bookmarkEnd w:id="115"/>
      <w:bookmarkStart w:id="116" w:name="_bookmark13"/>
      <w:bookmarkEnd w:id="116"/>
      <w:r>
        <w:rPr>
          <w:color w:val="auto"/>
          <w:sz w:val="28"/>
          <w:highlight w:val="none"/>
        </w:rPr>
        <w:t>附件三：</w:t>
      </w:r>
    </w:p>
    <w:p>
      <w:pPr>
        <w:spacing w:before="66"/>
        <w:ind w:left="930" w:right="0" w:firstLine="0"/>
        <w:jc w:val="center"/>
        <w:rPr>
          <w:rFonts w:hint="eastAsia" w:ascii="黑体" w:eastAsia="黑体"/>
          <w:b/>
          <w:color w:val="auto"/>
          <w:sz w:val="28"/>
          <w:highlight w:val="none"/>
        </w:rPr>
      </w:pPr>
      <w:r>
        <w:rPr>
          <w:rFonts w:hint="eastAsia" w:ascii="黑体" w:eastAsia="黑体"/>
          <w:b/>
          <w:color w:val="auto"/>
          <w:spacing w:val="-13"/>
          <w:w w:val="99"/>
          <w:sz w:val="28"/>
          <w:highlight w:val="none"/>
          <w:u w:val="single"/>
          <w:lang w:eastAsia="zh-CN"/>
        </w:rPr>
        <w:t>玉环市漩门三期围垦配套工程（监理）</w:t>
      </w:r>
    </w:p>
    <w:p>
      <w:pPr>
        <w:spacing w:before="183"/>
        <w:ind w:left="2324"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台州市建设工程投标人资格自查表</w:t>
      </w:r>
    </w:p>
    <w:p>
      <w:pPr>
        <w:pStyle w:val="5"/>
        <w:spacing w:before="8"/>
        <w:rPr>
          <w:rFonts w:ascii="黑体"/>
          <w:b/>
          <w:color w:val="auto"/>
          <w:sz w:val="18"/>
          <w:highlight w:val="none"/>
        </w:rPr>
      </w:pPr>
    </w:p>
    <w:tbl>
      <w:tblPr>
        <w:tblStyle w:val="9"/>
        <w:tblW w:w="995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220"/>
        <w:gridCol w:w="1800"/>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648" w:type="dxa"/>
          </w:tcPr>
          <w:p>
            <w:pPr>
              <w:pStyle w:val="12"/>
              <w:spacing w:before="3"/>
              <w:ind w:left="204"/>
              <w:rPr>
                <w:rFonts w:hint="eastAsia" w:ascii="黑体" w:eastAsia="黑体"/>
                <w:b/>
                <w:color w:val="auto"/>
                <w:sz w:val="24"/>
                <w:highlight w:val="none"/>
              </w:rPr>
            </w:pPr>
            <w:r>
              <w:rPr>
                <w:rFonts w:hint="eastAsia" w:ascii="黑体" w:eastAsia="黑体"/>
                <w:b/>
                <w:color w:val="auto"/>
                <w:w w:val="99"/>
                <w:sz w:val="24"/>
                <w:highlight w:val="none"/>
              </w:rPr>
              <w:t>序</w:t>
            </w:r>
          </w:p>
          <w:p>
            <w:pPr>
              <w:pStyle w:val="12"/>
              <w:spacing w:before="158"/>
              <w:ind w:left="204"/>
              <w:rPr>
                <w:rFonts w:hint="eastAsia" w:ascii="黑体" w:eastAsia="黑体"/>
                <w:b/>
                <w:color w:val="auto"/>
                <w:sz w:val="24"/>
                <w:highlight w:val="none"/>
              </w:rPr>
            </w:pPr>
            <w:r>
              <w:rPr>
                <w:rFonts w:hint="eastAsia" w:ascii="黑体" w:eastAsia="黑体"/>
                <w:b/>
                <w:color w:val="auto"/>
                <w:w w:val="99"/>
                <w:sz w:val="24"/>
                <w:highlight w:val="none"/>
              </w:rPr>
              <w:t>号</w:t>
            </w:r>
          </w:p>
        </w:tc>
        <w:tc>
          <w:tcPr>
            <w:tcW w:w="5220" w:type="dxa"/>
          </w:tcPr>
          <w:p>
            <w:pPr>
              <w:pStyle w:val="12"/>
              <w:spacing w:before="5"/>
              <w:rPr>
                <w:rFonts w:ascii="黑体"/>
                <w:b/>
                <w:color w:val="auto"/>
                <w:sz w:val="18"/>
                <w:highlight w:val="none"/>
              </w:rPr>
            </w:pPr>
          </w:p>
          <w:p>
            <w:pPr>
              <w:pStyle w:val="12"/>
              <w:ind w:left="2108" w:right="2098"/>
              <w:jc w:val="center"/>
              <w:rPr>
                <w:rFonts w:hint="eastAsia" w:ascii="黑体" w:eastAsia="黑体"/>
                <w:b/>
                <w:color w:val="auto"/>
                <w:sz w:val="24"/>
                <w:highlight w:val="none"/>
              </w:rPr>
            </w:pPr>
            <w:r>
              <w:rPr>
                <w:rFonts w:hint="eastAsia" w:ascii="黑体" w:eastAsia="黑体"/>
                <w:b/>
                <w:color w:val="auto"/>
                <w:sz w:val="24"/>
                <w:highlight w:val="none"/>
              </w:rPr>
              <w:t>自查内容</w:t>
            </w:r>
          </w:p>
        </w:tc>
        <w:tc>
          <w:tcPr>
            <w:tcW w:w="1800" w:type="dxa"/>
          </w:tcPr>
          <w:p>
            <w:pPr>
              <w:pStyle w:val="12"/>
              <w:spacing w:before="3"/>
              <w:ind w:left="159" w:right="144"/>
              <w:jc w:val="center"/>
              <w:rPr>
                <w:rFonts w:hint="eastAsia" w:ascii="黑体" w:eastAsia="黑体"/>
                <w:b/>
                <w:color w:val="auto"/>
                <w:sz w:val="24"/>
                <w:highlight w:val="none"/>
              </w:rPr>
            </w:pPr>
            <w:r>
              <w:rPr>
                <w:rFonts w:hint="eastAsia" w:ascii="黑体" w:eastAsia="黑体"/>
                <w:b/>
                <w:color w:val="auto"/>
                <w:sz w:val="24"/>
                <w:highlight w:val="none"/>
              </w:rPr>
              <w:t>招标文件条款</w:t>
            </w:r>
          </w:p>
          <w:p>
            <w:pPr>
              <w:pStyle w:val="12"/>
              <w:spacing w:before="158"/>
              <w:ind w:left="10"/>
              <w:jc w:val="center"/>
              <w:rPr>
                <w:rFonts w:hint="eastAsia" w:ascii="黑体" w:eastAsia="黑体"/>
                <w:b/>
                <w:color w:val="auto"/>
                <w:sz w:val="24"/>
                <w:highlight w:val="none"/>
              </w:rPr>
            </w:pPr>
            <w:r>
              <w:rPr>
                <w:rFonts w:hint="eastAsia" w:ascii="黑体" w:eastAsia="黑体"/>
                <w:b/>
                <w:color w:val="auto"/>
                <w:w w:val="99"/>
                <w:sz w:val="24"/>
                <w:highlight w:val="none"/>
              </w:rPr>
              <w:t>号</w:t>
            </w:r>
          </w:p>
        </w:tc>
        <w:tc>
          <w:tcPr>
            <w:tcW w:w="1142" w:type="dxa"/>
          </w:tcPr>
          <w:p>
            <w:pPr>
              <w:pStyle w:val="12"/>
              <w:spacing w:before="3"/>
              <w:ind w:left="191" w:right="178"/>
              <w:jc w:val="center"/>
              <w:rPr>
                <w:rFonts w:hint="eastAsia" w:ascii="黑体" w:eastAsia="黑体"/>
                <w:b/>
                <w:color w:val="auto"/>
                <w:sz w:val="24"/>
                <w:highlight w:val="none"/>
              </w:rPr>
            </w:pPr>
            <w:r>
              <w:rPr>
                <w:rFonts w:hint="eastAsia" w:ascii="黑体" w:eastAsia="黑体"/>
                <w:b/>
                <w:color w:val="auto"/>
                <w:sz w:val="24"/>
                <w:highlight w:val="none"/>
              </w:rPr>
              <w:t>投标要</w:t>
            </w:r>
          </w:p>
          <w:p>
            <w:pPr>
              <w:pStyle w:val="12"/>
              <w:spacing w:before="158"/>
              <w:ind w:left="11"/>
              <w:jc w:val="center"/>
              <w:rPr>
                <w:rFonts w:hint="eastAsia" w:ascii="黑体" w:eastAsia="黑体"/>
                <w:b/>
                <w:color w:val="auto"/>
                <w:sz w:val="24"/>
                <w:highlight w:val="none"/>
              </w:rPr>
            </w:pPr>
            <w:r>
              <w:rPr>
                <w:rFonts w:hint="eastAsia" w:ascii="黑体" w:eastAsia="黑体"/>
                <w:b/>
                <w:color w:val="auto"/>
                <w:w w:val="99"/>
                <w:sz w:val="24"/>
                <w:highlight w:val="none"/>
              </w:rPr>
              <w:t>求</w:t>
            </w:r>
          </w:p>
        </w:tc>
        <w:tc>
          <w:tcPr>
            <w:tcW w:w="1140" w:type="dxa"/>
          </w:tcPr>
          <w:p>
            <w:pPr>
              <w:pStyle w:val="12"/>
              <w:spacing w:before="3"/>
              <w:ind w:left="189" w:right="178"/>
              <w:jc w:val="center"/>
              <w:rPr>
                <w:rFonts w:hint="eastAsia" w:ascii="黑体" w:eastAsia="黑体"/>
                <w:b/>
                <w:color w:val="auto"/>
                <w:sz w:val="24"/>
                <w:highlight w:val="none"/>
              </w:rPr>
            </w:pPr>
            <w:r>
              <w:rPr>
                <w:rFonts w:hint="eastAsia" w:ascii="黑体" w:eastAsia="黑体"/>
                <w:b/>
                <w:color w:val="auto"/>
                <w:sz w:val="24"/>
                <w:highlight w:val="none"/>
              </w:rPr>
              <w:t>自查情</w:t>
            </w:r>
          </w:p>
          <w:p>
            <w:pPr>
              <w:pStyle w:val="12"/>
              <w:spacing w:before="158"/>
              <w:ind w:left="9"/>
              <w:jc w:val="center"/>
              <w:rPr>
                <w:rFonts w:hint="eastAsia" w:ascii="黑体" w:eastAsia="黑体"/>
                <w:b/>
                <w:color w:val="auto"/>
                <w:sz w:val="24"/>
                <w:highlight w:val="none"/>
              </w:rPr>
            </w:pPr>
            <w:r>
              <w:rPr>
                <w:rFonts w:hint="eastAsia" w:ascii="黑体" w:eastAsia="黑体"/>
                <w:b/>
                <w:color w:val="auto"/>
                <w:w w:val="99"/>
                <w:sz w:val="24"/>
                <w:highlight w:val="none"/>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2"/>
              <w:spacing w:before="44"/>
              <w:ind w:left="9"/>
              <w:jc w:val="center"/>
              <w:rPr>
                <w:color w:val="auto"/>
                <w:sz w:val="21"/>
                <w:highlight w:val="none"/>
              </w:rPr>
            </w:pPr>
            <w:r>
              <w:rPr>
                <w:color w:val="auto"/>
                <w:w w:val="99"/>
                <w:sz w:val="21"/>
                <w:highlight w:val="none"/>
              </w:rPr>
              <w:t>1</w:t>
            </w:r>
          </w:p>
        </w:tc>
        <w:tc>
          <w:tcPr>
            <w:tcW w:w="5220" w:type="dxa"/>
          </w:tcPr>
          <w:p>
            <w:pPr>
              <w:pStyle w:val="12"/>
              <w:spacing w:before="114"/>
              <w:ind w:left="108"/>
              <w:rPr>
                <w:color w:val="auto"/>
                <w:sz w:val="21"/>
                <w:highlight w:val="none"/>
              </w:rPr>
            </w:pPr>
            <w:r>
              <w:rPr>
                <w:color w:val="auto"/>
                <w:sz w:val="21"/>
                <w:highlight w:val="none"/>
              </w:rPr>
              <w:t>投标人资质条件是否符合</w:t>
            </w:r>
          </w:p>
        </w:tc>
        <w:tc>
          <w:tcPr>
            <w:tcW w:w="1800" w:type="dxa"/>
          </w:tcPr>
          <w:p>
            <w:pPr>
              <w:pStyle w:val="12"/>
              <w:spacing w:before="44"/>
              <w:ind w:left="528"/>
              <w:rPr>
                <w:color w:val="auto"/>
                <w:sz w:val="21"/>
                <w:highlight w:val="none"/>
              </w:rPr>
            </w:pPr>
            <w:r>
              <w:rPr>
                <w:color w:val="auto"/>
                <w:sz w:val="21"/>
                <w:highlight w:val="none"/>
              </w:rPr>
              <w:t>5.1.1</w:t>
            </w:r>
          </w:p>
        </w:tc>
        <w:tc>
          <w:tcPr>
            <w:tcW w:w="1142" w:type="dxa"/>
          </w:tcPr>
          <w:p>
            <w:pPr>
              <w:pStyle w:val="12"/>
              <w:spacing w:before="44"/>
              <w:ind w:left="8"/>
              <w:jc w:val="center"/>
              <w:rPr>
                <w:color w:val="auto"/>
                <w:sz w:val="21"/>
                <w:highlight w:val="none"/>
              </w:rPr>
            </w:pPr>
            <w:r>
              <w:rPr>
                <w:color w:val="auto"/>
                <w:w w:val="99"/>
                <w:sz w:val="21"/>
                <w:highlight w:val="none"/>
              </w:rPr>
              <w:t>是</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2"/>
              <w:spacing w:before="45"/>
              <w:ind w:left="9"/>
              <w:jc w:val="center"/>
              <w:rPr>
                <w:color w:val="auto"/>
                <w:sz w:val="21"/>
                <w:highlight w:val="none"/>
              </w:rPr>
            </w:pPr>
            <w:r>
              <w:rPr>
                <w:color w:val="auto"/>
                <w:w w:val="99"/>
                <w:sz w:val="21"/>
                <w:highlight w:val="none"/>
              </w:rPr>
              <w:t>2</w:t>
            </w:r>
          </w:p>
        </w:tc>
        <w:tc>
          <w:tcPr>
            <w:tcW w:w="5220" w:type="dxa"/>
          </w:tcPr>
          <w:p>
            <w:pPr>
              <w:pStyle w:val="12"/>
              <w:spacing w:before="113"/>
              <w:ind w:left="108"/>
              <w:rPr>
                <w:color w:val="auto"/>
                <w:sz w:val="21"/>
                <w:highlight w:val="none"/>
              </w:rPr>
            </w:pPr>
            <w:r>
              <w:rPr>
                <w:color w:val="auto"/>
                <w:sz w:val="21"/>
                <w:highlight w:val="none"/>
              </w:rPr>
              <w:t>是否为招标人不具有独立法人资格的附属机构（单位）</w:t>
            </w:r>
          </w:p>
        </w:tc>
        <w:tc>
          <w:tcPr>
            <w:tcW w:w="1800" w:type="dxa"/>
          </w:tcPr>
          <w:p>
            <w:pPr>
              <w:pStyle w:val="12"/>
              <w:spacing w:before="45"/>
              <w:ind w:left="480"/>
              <w:rPr>
                <w:color w:val="auto"/>
                <w:sz w:val="21"/>
                <w:highlight w:val="none"/>
              </w:rPr>
            </w:pPr>
            <w:r>
              <w:rPr>
                <w:color w:val="auto"/>
                <w:sz w:val="21"/>
                <w:highlight w:val="none"/>
              </w:rPr>
              <w:t>5.3（1）</w:t>
            </w:r>
          </w:p>
        </w:tc>
        <w:tc>
          <w:tcPr>
            <w:tcW w:w="1142" w:type="dxa"/>
          </w:tcPr>
          <w:p>
            <w:pPr>
              <w:pStyle w:val="12"/>
              <w:spacing w:before="45"/>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2"/>
              <w:spacing w:before="159"/>
              <w:ind w:left="9"/>
              <w:jc w:val="center"/>
              <w:rPr>
                <w:color w:val="auto"/>
                <w:sz w:val="21"/>
                <w:highlight w:val="none"/>
              </w:rPr>
            </w:pPr>
            <w:r>
              <w:rPr>
                <w:color w:val="auto"/>
                <w:w w:val="99"/>
                <w:sz w:val="21"/>
                <w:highlight w:val="none"/>
              </w:rPr>
              <w:t>3</w:t>
            </w:r>
          </w:p>
        </w:tc>
        <w:tc>
          <w:tcPr>
            <w:tcW w:w="5220" w:type="dxa"/>
          </w:tcPr>
          <w:p>
            <w:pPr>
              <w:pStyle w:val="12"/>
              <w:spacing w:before="8"/>
              <w:rPr>
                <w:rFonts w:ascii="黑体"/>
                <w:b/>
                <w:color w:val="auto"/>
                <w:sz w:val="17"/>
                <w:highlight w:val="none"/>
              </w:rPr>
            </w:pPr>
          </w:p>
          <w:p>
            <w:pPr>
              <w:pStyle w:val="12"/>
              <w:spacing w:before="1"/>
              <w:ind w:left="108"/>
              <w:rPr>
                <w:color w:val="auto"/>
                <w:sz w:val="21"/>
                <w:highlight w:val="none"/>
              </w:rPr>
            </w:pPr>
            <w:r>
              <w:rPr>
                <w:color w:val="auto"/>
                <w:sz w:val="21"/>
                <w:highlight w:val="none"/>
              </w:rPr>
              <w:t>是否为本工程提供招标代理业务</w:t>
            </w:r>
          </w:p>
        </w:tc>
        <w:tc>
          <w:tcPr>
            <w:tcW w:w="1800" w:type="dxa"/>
          </w:tcPr>
          <w:p>
            <w:pPr>
              <w:pStyle w:val="12"/>
              <w:spacing w:before="159"/>
              <w:ind w:left="480"/>
              <w:rPr>
                <w:color w:val="auto"/>
                <w:sz w:val="21"/>
                <w:highlight w:val="none"/>
              </w:rPr>
            </w:pPr>
            <w:r>
              <w:rPr>
                <w:color w:val="auto"/>
                <w:sz w:val="21"/>
                <w:highlight w:val="none"/>
              </w:rPr>
              <w:t>5.3（2）</w:t>
            </w:r>
          </w:p>
        </w:tc>
        <w:tc>
          <w:tcPr>
            <w:tcW w:w="1142" w:type="dxa"/>
          </w:tcPr>
          <w:p>
            <w:pPr>
              <w:pStyle w:val="12"/>
              <w:spacing w:before="159"/>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2"/>
              <w:spacing w:before="44"/>
              <w:ind w:left="9"/>
              <w:jc w:val="center"/>
              <w:rPr>
                <w:color w:val="auto"/>
                <w:sz w:val="21"/>
                <w:highlight w:val="none"/>
              </w:rPr>
            </w:pPr>
            <w:r>
              <w:rPr>
                <w:color w:val="auto"/>
                <w:w w:val="99"/>
                <w:sz w:val="21"/>
                <w:highlight w:val="none"/>
              </w:rPr>
              <w:t>4</w:t>
            </w:r>
          </w:p>
        </w:tc>
        <w:tc>
          <w:tcPr>
            <w:tcW w:w="5220" w:type="dxa"/>
          </w:tcPr>
          <w:p>
            <w:pPr>
              <w:pStyle w:val="12"/>
              <w:spacing w:before="113"/>
              <w:ind w:left="108"/>
              <w:rPr>
                <w:color w:val="auto"/>
                <w:sz w:val="21"/>
                <w:highlight w:val="none"/>
              </w:rPr>
            </w:pPr>
            <w:r>
              <w:rPr>
                <w:color w:val="auto"/>
                <w:sz w:val="21"/>
                <w:highlight w:val="none"/>
              </w:rPr>
              <w:t>是否为本工程的代建人</w:t>
            </w:r>
          </w:p>
        </w:tc>
        <w:tc>
          <w:tcPr>
            <w:tcW w:w="1800" w:type="dxa"/>
          </w:tcPr>
          <w:p>
            <w:pPr>
              <w:pStyle w:val="12"/>
              <w:spacing w:before="44"/>
              <w:ind w:left="480"/>
              <w:rPr>
                <w:color w:val="auto"/>
                <w:sz w:val="21"/>
                <w:highlight w:val="none"/>
              </w:rPr>
            </w:pPr>
            <w:r>
              <w:rPr>
                <w:color w:val="auto"/>
                <w:sz w:val="21"/>
                <w:highlight w:val="none"/>
              </w:rPr>
              <w:t>5.3（3）</w:t>
            </w:r>
          </w:p>
        </w:tc>
        <w:tc>
          <w:tcPr>
            <w:tcW w:w="1142" w:type="dxa"/>
          </w:tcPr>
          <w:p>
            <w:pPr>
              <w:pStyle w:val="12"/>
              <w:spacing w:before="44"/>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2"/>
              <w:spacing w:before="158"/>
              <w:ind w:left="9"/>
              <w:jc w:val="center"/>
              <w:rPr>
                <w:color w:val="auto"/>
                <w:sz w:val="21"/>
                <w:highlight w:val="none"/>
              </w:rPr>
            </w:pPr>
            <w:r>
              <w:rPr>
                <w:color w:val="auto"/>
                <w:w w:val="99"/>
                <w:sz w:val="21"/>
                <w:highlight w:val="none"/>
              </w:rPr>
              <w:t>5</w:t>
            </w:r>
          </w:p>
        </w:tc>
        <w:tc>
          <w:tcPr>
            <w:tcW w:w="5220" w:type="dxa"/>
          </w:tcPr>
          <w:p>
            <w:pPr>
              <w:pStyle w:val="12"/>
              <w:spacing w:before="91" w:line="242" w:lineRule="auto"/>
              <w:ind w:left="108" w:right="97"/>
              <w:rPr>
                <w:color w:val="auto"/>
                <w:sz w:val="21"/>
                <w:highlight w:val="none"/>
              </w:rPr>
            </w:pPr>
            <w:r>
              <w:rPr>
                <w:color w:val="auto"/>
                <w:spacing w:val="6"/>
                <w:w w:val="95"/>
                <w:sz w:val="21"/>
                <w:highlight w:val="none"/>
              </w:rPr>
              <w:t xml:space="preserve">是否与本工程的代建人或招标代理机构同为一个法定 </w:t>
            </w:r>
            <w:r>
              <w:rPr>
                <w:color w:val="auto"/>
                <w:sz w:val="21"/>
                <w:highlight w:val="none"/>
              </w:rPr>
              <w:t>代表人</w:t>
            </w:r>
          </w:p>
        </w:tc>
        <w:tc>
          <w:tcPr>
            <w:tcW w:w="1800" w:type="dxa"/>
          </w:tcPr>
          <w:p>
            <w:pPr>
              <w:pStyle w:val="12"/>
              <w:spacing w:before="158"/>
              <w:ind w:left="480"/>
              <w:rPr>
                <w:color w:val="auto"/>
                <w:sz w:val="21"/>
                <w:highlight w:val="none"/>
              </w:rPr>
            </w:pPr>
            <w:r>
              <w:rPr>
                <w:color w:val="auto"/>
                <w:sz w:val="21"/>
                <w:highlight w:val="none"/>
              </w:rPr>
              <w:t>5.3（4）</w:t>
            </w:r>
          </w:p>
        </w:tc>
        <w:tc>
          <w:tcPr>
            <w:tcW w:w="1142" w:type="dxa"/>
          </w:tcPr>
          <w:p>
            <w:pPr>
              <w:pStyle w:val="12"/>
              <w:spacing w:before="158"/>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12"/>
              <w:spacing w:before="158"/>
              <w:ind w:left="9"/>
              <w:jc w:val="center"/>
              <w:rPr>
                <w:color w:val="auto"/>
                <w:sz w:val="21"/>
                <w:highlight w:val="none"/>
              </w:rPr>
            </w:pPr>
            <w:r>
              <w:rPr>
                <w:color w:val="auto"/>
                <w:w w:val="99"/>
                <w:sz w:val="21"/>
                <w:highlight w:val="none"/>
              </w:rPr>
              <w:t>6</w:t>
            </w:r>
          </w:p>
        </w:tc>
        <w:tc>
          <w:tcPr>
            <w:tcW w:w="5220" w:type="dxa"/>
          </w:tcPr>
          <w:p>
            <w:pPr>
              <w:pStyle w:val="12"/>
              <w:spacing w:before="90" w:line="242" w:lineRule="auto"/>
              <w:ind w:left="108" w:right="97"/>
              <w:rPr>
                <w:color w:val="auto"/>
                <w:sz w:val="21"/>
                <w:highlight w:val="none"/>
              </w:rPr>
            </w:pPr>
            <w:r>
              <w:rPr>
                <w:color w:val="auto"/>
                <w:spacing w:val="6"/>
                <w:w w:val="95"/>
                <w:sz w:val="21"/>
                <w:highlight w:val="none"/>
              </w:rPr>
              <w:t xml:space="preserve">是否与本工程的代建人或招标代理机构相互任职或工 </w:t>
            </w:r>
            <w:r>
              <w:rPr>
                <w:color w:val="auto"/>
                <w:sz w:val="21"/>
                <w:highlight w:val="none"/>
              </w:rPr>
              <w:t>作</w:t>
            </w:r>
          </w:p>
        </w:tc>
        <w:tc>
          <w:tcPr>
            <w:tcW w:w="1800" w:type="dxa"/>
          </w:tcPr>
          <w:p>
            <w:pPr>
              <w:pStyle w:val="12"/>
              <w:spacing w:before="158"/>
              <w:ind w:left="480"/>
              <w:rPr>
                <w:color w:val="auto"/>
                <w:sz w:val="21"/>
                <w:highlight w:val="none"/>
              </w:rPr>
            </w:pPr>
            <w:r>
              <w:rPr>
                <w:color w:val="auto"/>
                <w:sz w:val="21"/>
                <w:highlight w:val="none"/>
              </w:rPr>
              <w:t>5.3（5）</w:t>
            </w:r>
          </w:p>
        </w:tc>
        <w:tc>
          <w:tcPr>
            <w:tcW w:w="1142" w:type="dxa"/>
          </w:tcPr>
          <w:p>
            <w:pPr>
              <w:pStyle w:val="12"/>
              <w:spacing w:before="158"/>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2"/>
              <w:spacing w:before="160"/>
              <w:ind w:left="9"/>
              <w:jc w:val="center"/>
              <w:rPr>
                <w:color w:val="auto"/>
                <w:sz w:val="21"/>
                <w:highlight w:val="none"/>
              </w:rPr>
            </w:pPr>
            <w:r>
              <w:rPr>
                <w:color w:val="auto"/>
                <w:w w:val="99"/>
                <w:sz w:val="21"/>
                <w:highlight w:val="none"/>
              </w:rPr>
              <w:t>7</w:t>
            </w:r>
          </w:p>
        </w:tc>
        <w:tc>
          <w:tcPr>
            <w:tcW w:w="5220" w:type="dxa"/>
          </w:tcPr>
          <w:p>
            <w:pPr>
              <w:pStyle w:val="12"/>
              <w:spacing w:before="90" w:line="244" w:lineRule="auto"/>
              <w:ind w:left="108" w:right="97"/>
              <w:rPr>
                <w:color w:val="auto"/>
                <w:sz w:val="21"/>
                <w:highlight w:val="none"/>
              </w:rPr>
            </w:pPr>
            <w:r>
              <w:rPr>
                <w:color w:val="auto"/>
                <w:spacing w:val="6"/>
                <w:w w:val="95"/>
                <w:sz w:val="21"/>
                <w:highlight w:val="none"/>
              </w:rPr>
              <w:t xml:space="preserve">是否与本工程的代建人或招标代理机构相互控股或参 </w:t>
            </w:r>
            <w:r>
              <w:rPr>
                <w:color w:val="auto"/>
                <w:sz w:val="21"/>
                <w:highlight w:val="none"/>
              </w:rPr>
              <w:t>股</w:t>
            </w:r>
          </w:p>
        </w:tc>
        <w:tc>
          <w:tcPr>
            <w:tcW w:w="1800" w:type="dxa"/>
          </w:tcPr>
          <w:p>
            <w:pPr>
              <w:pStyle w:val="12"/>
              <w:spacing w:before="160"/>
              <w:ind w:left="480"/>
              <w:rPr>
                <w:color w:val="auto"/>
                <w:sz w:val="21"/>
                <w:highlight w:val="none"/>
              </w:rPr>
            </w:pPr>
            <w:r>
              <w:rPr>
                <w:color w:val="auto"/>
                <w:sz w:val="21"/>
                <w:highlight w:val="none"/>
              </w:rPr>
              <w:t>5.3（6）</w:t>
            </w:r>
          </w:p>
        </w:tc>
        <w:tc>
          <w:tcPr>
            <w:tcW w:w="1142" w:type="dxa"/>
          </w:tcPr>
          <w:p>
            <w:pPr>
              <w:pStyle w:val="12"/>
              <w:spacing w:before="160"/>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2"/>
              <w:spacing w:before="44"/>
              <w:ind w:left="9"/>
              <w:jc w:val="center"/>
              <w:rPr>
                <w:color w:val="auto"/>
                <w:sz w:val="21"/>
                <w:highlight w:val="none"/>
              </w:rPr>
            </w:pPr>
            <w:r>
              <w:rPr>
                <w:color w:val="auto"/>
                <w:w w:val="99"/>
                <w:sz w:val="21"/>
                <w:highlight w:val="none"/>
              </w:rPr>
              <w:t>8</w:t>
            </w:r>
          </w:p>
        </w:tc>
        <w:tc>
          <w:tcPr>
            <w:tcW w:w="5220" w:type="dxa"/>
          </w:tcPr>
          <w:p>
            <w:pPr>
              <w:pStyle w:val="12"/>
              <w:spacing w:before="112"/>
              <w:ind w:left="108"/>
              <w:rPr>
                <w:color w:val="auto"/>
                <w:sz w:val="21"/>
                <w:highlight w:val="none"/>
              </w:rPr>
            </w:pPr>
            <w:r>
              <w:rPr>
                <w:color w:val="auto"/>
                <w:sz w:val="21"/>
                <w:highlight w:val="none"/>
              </w:rPr>
              <w:t>是否被责令停业</w:t>
            </w:r>
          </w:p>
        </w:tc>
        <w:tc>
          <w:tcPr>
            <w:tcW w:w="1800" w:type="dxa"/>
          </w:tcPr>
          <w:p>
            <w:pPr>
              <w:pStyle w:val="12"/>
              <w:spacing w:before="44"/>
              <w:ind w:left="480"/>
              <w:rPr>
                <w:color w:val="auto"/>
                <w:sz w:val="21"/>
                <w:highlight w:val="none"/>
              </w:rPr>
            </w:pPr>
            <w:r>
              <w:rPr>
                <w:color w:val="auto"/>
                <w:sz w:val="21"/>
                <w:highlight w:val="none"/>
              </w:rPr>
              <w:t>5.3（7）</w:t>
            </w:r>
          </w:p>
        </w:tc>
        <w:tc>
          <w:tcPr>
            <w:tcW w:w="1142" w:type="dxa"/>
          </w:tcPr>
          <w:p>
            <w:pPr>
              <w:pStyle w:val="12"/>
              <w:spacing w:before="44"/>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8" w:type="dxa"/>
          </w:tcPr>
          <w:p>
            <w:pPr>
              <w:pStyle w:val="12"/>
              <w:spacing w:before="46"/>
              <w:ind w:left="9"/>
              <w:jc w:val="center"/>
              <w:rPr>
                <w:color w:val="auto"/>
                <w:sz w:val="21"/>
                <w:highlight w:val="none"/>
              </w:rPr>
            </w:pPr>
            <w:r>
              <w:rPr>
                <w:color w:val="auto"/>
                <w:w w:val="99"/>
                <w:sz w:val="21"/>
                <w:highlight w:val="none"/>
              </w:rPr>
              <w:t>9</w:t>
            </w:r>
          </w:p>
        </w:tc>
        <w:tc>
          <w:tcPr>
            <w:tcW w:w="5220" w:type="dxa"/>
          </w:tcPr>
          <w:p>
            <w:pPr>
              <w:pStyle w:val="12"/>
              <w:spacing w:before="113"/>
              <w:ind w:left="108"/>
              <w:rPr>
                <w:color w:val="auto"/>
                <w:sz w:val="21"/>
                <w:highlight w:val="none"/>
              </w:rPr>
            </w:pPr>
            <w:r>
              <w:rPr>
                <w:color w:val="auto"/>
                <w:sz w:val="21"/>
                <w:highlight w:val="none"/>
              </w:rPr>
              <w:t>是否被暂停或取消投标资格</w:t>
            </w:r>
          </w:p>
        </w:tc>
        <w:tc>
          <w:tcPr>
            <w:tcW w:w="1800" w:type="dxa"/>
          </w:tcPr>
          <w:p>
            <w:pPr>
              <w:pStyle w:val="12"/>
              <w:spacing w:before="46"/>
              <w:ind w:left="480"/>
              <w:rPr>
                <w:color w:val="auto"/>
                <w:sz w:val="21"/>
                <w:highlight w:val="none"/>
              </w:rPr>
            </w:pPr>
            <w:r>
              <w:rPr>
                <w:color w:val="auto"/>
                <w:sz w:val="21"/>
                <w:highlight w:val="none"/>
              </w:rPr>
              <w:t>5.3（8）</w:t>
            </w:r>
          </w:p>
        </w:tc>
        <w:tc>
          <w:tcPr>
            <w:tcW w:w="1142" w:type="dxa"/>
          </w:tcPr>
          <w:p>
            <w:pPr>
              <w:pStyle w:val="12"/>
              <w:spacing w:before="46"/>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4" w:hRule="atLeast"/>
        </w:trPr>
        <w:tc>
          <w:tcPr>
            <w:tcW w:w="648" w:type="dxa"/>
          </w:tcPr>
          <w:p>
            <w:pPr>
              <w:pStyle w:val="12"/>
              <w:spacing w:before="3"/>
              <w:rPr>
                <w:rFonts w:ascii="黑体"/>
                <w:b/>
                <w:color w:val="auto"/>
                <w:sz w:val="21"/>
                <w:highlight w:val="none"/>
              </w:rPr>
            </w:pPr>
          </w:p>
          <w:p>
            <w:pPr>
              <w:pStyle w:val="12"/>
              <w:ind w:left="198" w:right="189"/>
              <w:jc w:val="center"/>
              <w:rPr>
                <w:color w:val="auto"/>
                <w:sz w:val="21"/>
                <w:highlight w:val="none"/>
              </w:rPr>
            </w:pPr>
            <w:r>
              <w:rPr>
                <w:color w:val="auto"/>
                <w:sz w:val="21"/>
                <w:highlight w:val="none"/>
              </w:rPr>
              <w:t>10</w:t>
            </w:r>
          </w:p>
        </w:tc>
        <w:tc>
          <w:tcPr>
            <w:tcW w:w="5220" w:type="dxa"/>
          </w:tcPr>
          <w:p>
            <w:pPr>
              <w:pStyle w:val="12"/>
              <w:spacing w:before="68"/>
              <w:ind w:left="108"/>
              <w:rPr>
                <w:color w:val="auto"/>
                <w:sz w:val="21"/>
                <w:highlight w:val="none"/>
              </w:rPr>
            </w:pPr>
            <w:r>
              <w:rPr>
                <w:color w:val="auto"/>
                <w:sz w:val="21"/>
                <w:highlight w:val="none"/>
              </w:rPr>
              <w:t>是否存在投标人（包括法定代表人）有行贿犯罪记录的</w:t>
            </w:r>
          </w:p>
          <w:p>
            <w:pPr>
              <w:pStyle w:val="12"/>
              <w:spacing w:before="3" w:line="242" w:lineRule="auto"/>
              <w:ind w:left="108" w:right="97"/>
              <w:rPr>
                <w:color w:val="auto"/>
                <w:sz w:val="21"/>
                <w:highlight w:val="none"/>
              </w:rPr>
            </w:pPr>
            <w:r>
              <w:rPr>
                <w:color w:val="auto"/>
                <w:sz w:val="21"/>
                <w:highlight w:val="none"/>
              </w:rPr>
              <w:t>（</w:t>
            </w:r>
            <w:r>
              <w:rPr>
                <w:color w:val="auto"/>
                <w:spacing w:val="-5"/>
                <w:sz w:val="21"/>
                <w:highlight w:val="none"/>
              </w:rPr>
              <w:t xml:space="preserve">由投标文件提交截止之日上溯 </w:t>
            </w:r>
            <w:r>
              <w:rPr>
                <w:color w:val="auto"/>
                <w:sz w:val="21"/>
                <w:highlight w:val="none"/>
              </w:rPr>
              <w:t>3</w:t>
            </w:r>
            <w:r>
              <w:rPr>
                <w:color w:val="auto"/>
                <w:spacing w:val="-12"/>
                <w:sz w:val="21"/>
                <w:highlight w:val="none"/>
              </w:rPr>
              <w:t xml:space="preserve"> 年，行贿犯罪记录日期以法院判决生效日期为准）</w:t>
            </w:r>
          </w:p>
        </w:tc>
        <w:tc>
          <w:tcPr>
            <w:tcW w:w="1800" w:type="dxa"/>
          </w:tcPr>
          <w:p>
            <w:pPr>
              <w:pStyle w:val="12"/>
              <w:spacing w:before="3"/>
              <w:rPr>
                <w:rFonts w:ascii="黑体"/>
                <w:b/>
                <w:color w:val="auto"/>
                <w:sz w:val="21"/>
                <w:highlight w:val="none"/>
              </w:rPr>
            </w:pPr>
          </w:p>
          <w:p>
            <w:pPr>
              <w:pStyle w:val="12"/>
              <w:ind w:left="480"/>
              <w:rPr>
                <w:color w:val="auto"/>
                <w:sz w:val="21"/>
                <w:highlight w:val="none"/>
              </w:rPr>
            </w:pPr>
            <w:r>
              <w:rPr>
                <w:color w:val="auto"/>
                <w:sz w:val="21"/>
                <w:highlight w:val="none"/>
              </w:rPr>
              <w:t>5.3（9）</w:t>
            </w:r>
          </w:p>
        </w:tc>
        <w:tc>
          <w:tcPr>
            <w:tcW w:w="1142" w:type="dxa"/>
          </w:tcPr>
          <w:p>
            <w:pPr>
              <w:pStyle w:val="12"/>
              <w:spacing w:before="3"/>
              <w:rPr>
                <w:rFonts w:ascii="黑体"/>
                <w:b/>
                <w:color w:val="auto"/>
                <w:sz w:val="21"/>
                <w:highlight w:val="none"/>
              </w:rPr>
            </w:pPr>
          </w:p>
          <w:p>
            <w:pPr>
              <w:pStyle w:val="12"/>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trPr>
        <w:tc>
          <w:tcPr>
            <w:tcW w:w="648" w:type="dxa"/>
          </w:tcPr>
          <w:p>
            <w:pPr>
              <w:pStyle w:val="12"/>
              <w:spacing w:before="6"/>
              <w:rPr>
                <w:rFonts w:ascii="黑体"/>
                <w:b/>
                <w:color w:val="auto"/>
                <w:sz w:val="16"/>
                <w:highlight w:val="none"/>
              </w:rPr>
            </w:pPr>
          </w:p>
          <w:p>
            <w:pPr>
              <w:pStyle w:val="12"/>
              <w:ind w:left="198" w:right="189"/>
              <w:jc w:val="center"/>
              <w:rPr>
                <w:color w:val="auto"/>
                <w:sz w:val="21"/>
                <w:highlight w:val="none"/>
              </w:rPr>
            </w:pPr>
            <w:r>
              <w:rPr>
                <w:color w:val="auto"/>
                <w:sz w:val="21"/>
                <w:highlight w:val="none"/>
              </w:rPr>
              <w:t>11</w:t>
            </w:r>
          </w:p>
        </w:tc>
        <w:tc>
          <w:tcPr>
            <w:tcW w:w="5220" w:type="dxa"/>
          </w:tcPr>
          <w:p>
            <w:pPr>
              <w:pStyle w:val="12"/>
              <w:spacing w:before="144" w:line="242" w:lineRule="auto"/>
              <w:ind w:left="108" w:right="97"/>
              <w:rPr>
                <w:color w:val="auto"/>
                <w:sz w:val="21"/>
                <w:highlight w:val="none"/>
              </w:rPr>
            </w:pPr>
            <w:r>
              <w:rPr>
                <w:color w:val="auto"/>
                <w:spacing w:val="-4"/>
                <w:w w:val="95"/>
                <w:sz w:val="21"/>
                <w:highlight w:val="none"/>
              </w:rPr>
              <w:t xml:space="preserve">主导专业监理工程师、监理员证书上的企业名称是否与 </w:t>
            </w:r>
            <w:r>
              <w:rPr>
                <w:color w:val="auto"/>
                <w:spacing w:val="-4"/>
                <w:sz w:val="21"/>
                <w:highlight w:val="none"/>
              </w:rPr>
              <w:t>投标人不一致；</w:t>
            </w:r>
          </w:p>
        </w:tc>
        <w:tc>
          <w:tcPr>
            <w:tcW w:w="1800" w:type="dxa"/>
          </w:tcPr>
          <w:p>
            <w:pPr>
              <w:pStyle w:val="12"/>
              <w:spacing w:before="6"/>
              <w:rPr>
                <w:rFonts w:ascii="黑体"/>
                <w:b/>
                <w:color w:val="auto"/>
                <w:sz w:val="16"/>
                <w:highlight w:val="none"/>
              </w:rPr>
            </w:pPr>
          </w:p>
          <w:p>
            <w:pPr>
              <w:pStyle w:val="12"/>
              <w:ind w:left="427"/>
              <w:rPr>
                <w:color w:val="auto"/>
                <w:sz w:val="21"/>
                <w:highlight w:val="none"/>
              </w:rPr>
            </w:pPr>
            <w:r>
              <w:rPr>
                <w:color w:val="auto"/>
                <w:sz w:val="21"/>
                <w:highlight w:val="none"/>
              </w:rPr>
              <w:t>5.3（10）</w:t>
            </w:r>
          </w:p>
        </w:tc>
        <w:tc>
          <w:tcPr>
            <w:tcW w:w="1142" w:type="dxa"/>
          </w:tcPr>
          <w:p>
            <w:pPr>
              <w:pStyle w:val="12"/>
              <w:spacing w:before="6"/>
              <w:rPr>
                <w:rFonts w:ascii="黑体"/>
                <w:b/>
                <w:color w:val="auto"/>
                <w:sz w:val="16"/>
                <w:highlight w:val="none"/>
              </w:rPr>
            </w:pPr>
          </w:p>
          <w:p>
            <w:pPr>
              <w:pStyle w:val="12"/>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12"/>
              <w:spacing w:before="159"/>
              <w:ind w:left="198" w:right="189"/>
              <w:jc w:val="center"/>
              <w:rPr>
                <w:color w:val="auto"/>
                <w:sz w:val="21"/>
                <w:highlight w:val="none"/>
              </w:rPr>
            </w:pPr>
            <w:r>
              <w:rPr>
                <w:color w:val="auto"/>
                <w:sz w:val="21"/>
                <w:highlight w:val="none"/>
              </w:rPr>
              <w:t>12</w:t>
            </w:r>
          </w:p>
        </w:tc>
        <w:tc>
          <w:tcPr>
            <w:tcW w:w="5220" w:type="dxa"/>
          </w:tcPr>
          <w:p>
            <w:pPr>
              <w:pStyle w:val="12"/>
              <w:spacing w:before="91" w:line="242" w:lineRule="auto"/>
              <w:ind w:left="108" w:right="97"/>
              <w:rPr>
                <w:color w:val="auto"/>
                <w:sz w:val="21"/>
                <w:highlight w:val="none"/>
              </w:rPr>
            </w:pPr>
            <w:r>
              <w:rPr>
                <w:color w:val="auto"/>
                <w:spacing w:val="-5"/>
                <w:w w:val="95"/>
                <w:sz w:val="21"/>
                <w:highlight w:val="none"/>
              </w:rPr>
              <w:t xml:space="preserve">是否存在《省外企业进浙承接业务备案证明》超出有效 </w:t>
            </w:r>
            <w:r>
              <w:rPr>
                <w:color w:val="auto"/>
                <w:spacing w:val="-5"/>
                <w:sz w:val="21"/>
                <w:highlight w:val="none"/>
              </w:rPr>
              <w:t>期或已注销（仅指浙江省外企业）</w:t>
            </w:r>
          </w:p>
        </w:tc>
        <w:tc>
          <w:tcPr>
            <w:tcW w:w="1800" w:type="dxa"/>
          </w:tcPr>
          <w:p>
            <w:pPr>
              <w:pStyle w:val="12"/>
              <w:spacing w:before="159"/>
              <w:ind w:left="427"/>
              <w:rPr>
                <w:color w:val="auto"/>
                <w:sz w:val="21"/>
                <w:highlight w:val="none"/>
              </w:rPr>
            </w:pPr>
            <w:r>
              <w:rPr>
                <w:color w:val="auto"/>
                <w:sz w:val="21"/>
                <w:highlight w:val="none"/>
              </w:rPr>
              <w:t>5.3（11）</w:t>
            </w:r>
          </w:p>
        </w:tc>
        <w:tc>
          <w:tcPr>
            <w:tcW w:w="1142" w:type="dxa"/>
          </w:tcPr>
          <w:p>
            <w:pPr>
              <w:pStyle w:val="12"/>
              <w:spacing w:before="159"/>
              <w:ind w:left="8"/>
              <w:jc w:val="center"/>
              <w:rPr>
                <w:color w:val="auto"/>
                <w:sz w:val="21"/>
                <w:highlight w:val="none"/>
              </w:rPr>
            </w:pPr>
            <w:r>
              <w:rPr>
                <w:color w:val="auto"/>
                <w:w w:val="99"/>
                <w:sz w:val="21"/>
                <w:highlight w:val="none"/>
              </w:rPr>
              <w:t>否</w:t>
            </w:r>
          </w:p>
        </w:tc>
        <w:tc>
          <w:tcPr>
            <w:tcW w:w="1140" w:type="dxa"/>
          </w:tcPr>
          <w:p>
            <w:pPr>
              <w:pStyle w:val="12"/>
              <w:rPr>
                <w:rFonts w:ascii="Times New Roman"/>
                <w:color w:val="auto"/>
                <w:sz w:val="22"/>
                <w:highlight w:val="none"/>
              </w:rPr>
            </w:pPr>
          </w:p>
        </w:tc>
      </w:tr>
    </w:tbl>
    <w:p>
      <w:pPr>
        <w:pStyle w:val="5"/>
        <w:spacing w:before="11"/>
        <w:rPr>
          <w:rFonts w:ascii="黑体"/>
          <w:b/>
          <w:color w:val="auto"/>
          <w:sz w:val="39"/>
          <w:highlight w:val="none"/>
        </w:rPr>
      </w:pPr>
    </w:p>
    <w:p>
      <w:pPr>
        <w:tabs>
          <w:tab w:val="left" w:pos="1439"/>
          <w:tab w:val="left" w:pos="2000"/>
        </w:tabs>
        <w:spacing w:before="0" w:line="590" w:lineRule="auto"/>
        <w:ind w:left="880" w:right="6083" w:firstLine="0"/>
        <w:jc w:val="left"/>
        <w:rPr>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（签</w:t>
      </w:r>
      <w:r>
        <w:rPr>
          <w:color w:val="auto"/>
          <w:spacing w:val="-3"/>
          <w:w w:val="100"/>
          <w:sz w:val="28"/>
          <w:highlight w:val="none"/>
        </w:rPr>
        <w:t>字</w:t>
      </w:r>
      <w:r>
        <w:rPr>
          <w:color w:val="auto"/>
          <w:spacing w:val="-1"/>
          <w:w w:val="100"/>
          <w:sz w:val="28"/>
          <w:highlight w:val="none"/>
        </w:rPr>
        <w:t>或盖</w:t>
      </w:r>
      <w:r>
        <w:rPr>
          <w:color w:val="auto"/>
          <w:spacing w:val="-3"/>
          <w:w w:val="100"/>
          <w:sz w:val="28"/>
          <w:highlight w:val="none"/>
        </w:rPr>
        <w:t>章</w:t>
      </w:r>
      <w:r>
        <w:rPr>
          <w:color w:val="auto"/>
          <w:spacing w:val="-140"/>
          <w:w w:val="100"/>
          <w:sz w:val="28"/>
          <w:highlight w:val="none"/>
        </w:rPr>
        <w:t>）</w:t>
      </w: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tabs>
          <w:tab w:val="left" w:pos="7506"/>
          <w:tab w:val="left" w:pos="8346"/>
        </w:tabs>
        <w:spacing w:before="0" w:line="355" w:lineRule="exact"/>
        <w:ind w:left="6666" w:right="0" w:firstLine="0"/>
        <w:jc w:val="left"/>
        <w:rPr>
          <w:color w:val="auto"/>
          <w:sz w:val="28"/>
          <w:highlight w:val="none"/>
        </w:rPr>
      </w:pPr>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pStyle w:val="5"/>
        <w:rPr>
          <w:color w:val="auto"/>
          <w:sz w:val="20"/>
          <w:highlight w:val="none"/>
        </w:rPr>
      </w:pPr>
    </w:p>
    <w:p>
      <w:pPr>
        <w:pStyle w:val="5"/>
        <w:spacing w:before="9"/>
        <w:rPr>
          <w:color w:val="auto"/>
          <w:sz w:val="24"/>
          <w:highlight w:val="none"/>
        </w:rPr>
      </w:pPr>
    </w:p>
    <w:p>
      <w:pPr>
        <w:spacing w:before="93"/>
        <w:ind w:left="5542" w:right="4708" w:firstLine="0"/>
        <w:jc w:val="center"/>
        <w:rPr>
          <w:rFonts w:ascii="Times New Roman"/>
          <w:color w:val="auto"/>
          <w:sz w:val="18"/>
          <w:highlight w:val="none"/>
        </w:rPr>
      </w:pPr>
      <w:r>
        <w:rPr>
          <w:rFonts w:ascii="Times New Roman"/>
          <w:color w:val="auto"/>
          <w:sz w:val="18"/>
          <w:highlight w:val="none"/>
        </w:rPr>
        <w:t>40</w:t>
      </w:r>
    </w:p>
    <w:p>
      <w:pPr>
        <w:spacing w:after="0"/>
        <w:jc w:val="center"/>
        <w:rPr>
          <w:rFonts w:ascii="Times New Roman"/>
          <w:color w:val="auto"/>
          <w:sz w:val="18"/>
          <w:highlight w:val="none"/>
        </w:rPr>
        <w:sectPr>
          <w:headerReference r:id="rId13" w:type="default"/>
          <w:footerReference r:id="rId14" w:type="default"/>
          <w:pgSz w:w="11910" w:h="16840"/>
          <w:pgMar w:top="1060" w:right="519" w:bottom="280" w:left="920" w:header="0" w:footer="0" w:gutter="0"/>
        </w:sectPr>
      </w:pPr>
    </w:p>
    <w:p>
      <w:pPr>
        <w:pStyle w:val="5"/>
        <w:spacing w:before="8"/>
        <w:rPr>
          <w:rFonts w:ascii="Times New Roman"/>
          <w:color w:val="auto"/>
          <w:sz w:val="29"/>
          <w:highlight w:val="none"/>
        </w:rPr>
      </w:pPr>
    </w:p>
    <w:p>
      <w:pPr>
        <w:spacing w:before="61"/>
        <w:ind w:left="328" w:right="0" w:firstLine="0"/>
        <w:jc w:val="left"/>
        <w:rPr>
          <w:color w:val="auto"/>
          <w:sz w:val="28"/>
          <w:highlight w:val="none"/>
        </w:rPr>
      </w:pPr>
      <w:bookmarkStart w:id="117" w:name="_bookmark14"/>
      <w:bookmarkEnd w:id="117"/>
      <w:bookmarkStart w:id="118" w:name="附件四："/>
      <w:bookmarkEnd w:id="118"/>
      <w:r>
        <w:rPr>
          <w:color w:val="auto"/>
          <w:sz w:val="28"/>
          <w:highlight w:val="none"/>
        </w:rPr>
        <w:t>附件四：</w:t>
      </w:r>
    </w:p>
    <w:p>
      <w:pPr>
        <w:spacing w:before="66"/>
        <w:ind w:left="510" w:right="0" w:firstLine="0"/>
        <w:jc w:val="center"/>
        <w:rPr>
          <w:rFonts w:hint="eastAsia" w:ascii="黑体" w:eastAsia="黑体"/>
          <w:b/>
          <w:color w:val="auto"/>
          <w:sz w:val="30"/>
          <w:highlight w:val="none"/>
        </w:rPr>
      </w:pPr>
      <w:r>
        <w:rPr>
          <w:rFonts w:hint="eastAsia" w:ascii="黑体" w:eastAsia="黑体"/>
          <w:b/>
          <w:color w:val="auto"/>
          <w:w w:val="99"/>
          <w:sz w:val="30"/>
          <w:highlight w:val="none"/>
          <w:u w:val="single"/>
          <w:lang w:eastAsia="zh-CN"/>
        </w:rPr>
        <w:t>玉环市漩门三期围垦配套工程（监理）</w:t>
      </w:r>
    </w:p>
    <w:p>
      <w:pPr>
        <w:spacing w:before="196"/>
        <w:ind w:left="1756" w:right="0" w:firstLine="0"/>
        <w:jc w:val="left"/>
        <w:rPr>
          <w:rFonts w:hint="eastAsia" w:ascii="黑体" w:eastAsia="黑体"/>
          <w:b/>
          <w:color w:val="auto"/>
          <w:sz w:val="36"/>
          <w:highlight w:val="none"/>
        </w:rPr>
      </w:pPr>
      <w:r>
        <w:rPr>
          <w:rFonts w:hint="eastAsia" w:ascii="黑体" w:eastAsia="黑体"/>
          <w:b/>
          <w:color w:val="auto"/>
          <w:sz w:val="36"/>
          <w:highlight w:val="none"/>
        </w:rPr>
        <w:t>台州市建设工程投标项目总监资格自查表</w:t>
      </w:r>
    </w:p>
    <w:p>
      <w:pPr>
        <w:pStyle w:val="5"/>
        <w:spacing w:before="7" w:after="1"/>
        <w:rPr>
          <w:rFonts w:ascii="黑体"/>
          <w:b/>
          <w:color w:val="auto"/>
          <w:sz w:val="18"/>
          <w:highlight w:val="none"/>
        </w:rPr>
      </w:pPr>
    </w:p>
    <w:tbl>
      <w:tblPr>
        <w:tblStyle w:val="9"/>
        <w:tblW w:w="9506"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80"/>
        <w:gridCol w:w="1219"/>
        <w:gridCol w:w="123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648" w:type="dxa"/>
          </w:tcPr>
          <w:p>
            <w:pPr>
              <w:pStyle w:val="12"/>
              <w:spacing w:before="30" w:line="362" w:lineRule="auto"/>
              <w:ind w:left="204" w:right="191"/>
              <w:rPr>
                <w:rFonts w:hint="eastAsia" w:ascii="黑体" w:eastAsia="黑体"/>
                <w:b/>
                <w:color w:val="auto"/>
                <w:sz w:val="24"/>
                <w:highlight w:val="none"/>
              </w:rPr>
            </w:pPr>
            <w:r>
              <w:rPr>
                <w:rFonts w:hint="eastAsia" w:ascii="黑体" w:eastAsia="黑体"/>
                <w:b/>
                <w:color w:val="auto"/>
                <w:sz w:val="24"/>
                <w:highlight w:val="none"/>
              </w:rPr>
              <w:t>序号</w:t>
            </w:r>
          </w:p>
        </w:tc>
        <w:tc>
          <w:tcPr>
            <w:tcW w:w="5580" w:type="dxa"/>
          </w:tcPr>
          <w:p>
            <w:pPr>
              <w:pStyle w:val="12"/>
              <w:spacing w:before="6"/>
              <w:rPr>
                <w:rFonts w:ascii="黑体"/>
                <w:b/>
                <w:color w:val="auto"/>
                <w:sz w:val="20"/>
                <w:highlight w:val="none"/>
              </w:rPr>
            </w:pPr>
          </w:p>
          <w:p>
            <w:pPr>
              <w:pStyle w:val="12"/>
              <w:ind w:left="2288" w:right="2277"/>
              <w:jc w:val="center"/>
              <w:rPr>
                <w:rFonts w:hint="eastAsia" w:ascii="黑体" w:eastAsia="黑体"/>
                <w:b/>
                <w:color w:val="auto"/>
                <w:sz w:val="24"/>
                <w:highlight w:val="none"/>
              </w:rPr>
            </w:pPr>
            <w:r>
              <w:rPr>
                <w:rFonts w:hint="eastAsia" w:ascii="黑体" w:eastAsia="黑体"/>
                <w:b/>
                <w:color w:val="auto"/>
                <w:sz w:val="24"/>
                <w:highlight w:val="none"/>
              </w:rPr>
              <w:t>自查内容</w:t>
            </w:r>
          </w:p>
        </w:tc>
        <w:tc>
          <w:tcPr>
            <w:tcW w:w="1219" w:type="dxa"/>
          </w:tcPr>
          <w:p>
            <w:pPr>
              <w:pStyle w:val="12"/>
              <w:spacing w:before="30" w:line="362" w:lineRule="auto"/>
              <w:ind w:left="247" w:right="116" w:hanging="120"/>
              <w:rPr>
                <w:rFonts w:hint="eastAsia" w:ascii="黑体" w:eastAsia="黑体"/>
                <w:b/>
                <w:color w:val="auto"/>
                <w:sz w:val="24"/>
                <w:highlight w:val="none"/>
              </w:rPr>
            </w:pPr>
            <w:r>
              <w:rPr>
                <w:rFonts w:hint="eastAsia" w:ascii="黑体" w:eastAsia="黑体"/>
                <w:b/>
                <w:color w:val="auto"/>
                <w:sz w:val="24"/>
                <w:highlight w:val="none"/>
              </w:rPr>
              <w:t>招标文件条款号</w:t>
            </w:r>
          </w:p>
        </w:tc>
        <w:tc>
          <w:tcPr>
            <w:tcW w:w="1230" w:type="dxa"/>
          </w:tcPr>
          <w:p>
            <w:pPr>
              <w:pStyle w:val="12"/>
              <w:spacing w:before="6"/>
              <w:rPr>
                <w:rFonts w:ascii="黑体"/>
                <w:b/>
                <w:color w:val="auto"/>
                <w:sz w:val="20"/>
                <w:highlight w:val="none"/>
              </w:rPr>
            </w:pPr>
          </w:p>
          <w:p>
            <w:pPr>
              <w:pStyle w:val="12"/>
              <w:ind w:left="135"/>
              <w:rPr>
                <w:rFonts w:hint="eastAsia" w:ascii="黑体" w:eastAsia="黑体"/>
                <w:b/>
                <w:color w:val="auto"/>
                <w:sz w:val="24"/>
                <w:highlight w:val="none"/>
              </w:rPr>
            </w:pPr>
            <w:r>
              <w:rPr>
                <w:rFonts w:hint="eastAsia" w:ascii="黑体" w:eastAsia="黑体"/>
                <w:b/>
                <w:color w:val="auto"/>
                <w:sz w:val="24"/>
                <w:highlight w:val="none"/>
              </w:rPr>
              <w:t>投标要求</w:t>
            </w:r>
          </w:p>
        </w:tc>
        <w:tc>
          <w:tcPr>
            <w:tcW w:w="829" w:type="dxa"/>
          </w:tcPr>
          <w:p>
            <w:pPr>
              <w:pStyle w:val="12"/>
              <w:spacing w:before="30" w:line="362" w:lineRule="auto"/>
              <w:ind w:left="172" w:right="164"/>
              <w:rPr>
                <w:rFonts w:hint="eastAsia" w:ascii="黑体" w:eastAsia="黑体"/>
                <w:b/>
                <w:color w:val="auto"/>
                <w:sz w:val="24"/>
                <w:highlight w:val="none"/>
              </w:rPr>
            </w:pPr>
            <w:r>
              <w:rPr>
                <w:rFonts w:hint="eastAsia" w:ascii="黑体" w:eastAsia="黑体"/>
                <w:b/>
                <w:color w:val="auto"/>
                <w:sz w:val="24"/>
                <w:highlight w:val="none"/>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648" w:type="dxa"/>
          </w:tcPr>
          <w:p>
            <w:pPr>
              <w:pStyle w:val="12"/>
              <w:ind w:right="261"/>
              <w:jc w:val="right"/>
              <w:rPr>
                <w:color w:val="auto"/>
                <w:sz w:val="21"/>
                <w:highlight w:val="none"/>
              </w:rPr>
            </w:pPr>
            <w:r>
              <w:rPr>
                <w:color w:val="auto"/>
                <w:w w:val="99"/>
                <w:sz w:val="21"/>
                <w:highlight w:val="none"/>
              </w:rPr>
              <w:t>1</w:t>
            </w:r>
          </w:p>
        </w:tc>
        <w:tc>
          <w:tcPr>
            <w:tcW w:w="5580" w:type="dxa"/>
          </w:tcPr>
          <w:p>
            <w:pPr>
              <w:pStyle w:val="12"/>
              <w:ind w:left="108"/>
              <w:rPr>
                <w:color w:val="auto"/>
                <w:sz w:val="21"/>
                <w:highlight w:val="none"/>
              </w:rPr>
            </w:pPr>
            <w:r>
              <w:rPr>
                <w:color w:val="auto"/>
                <w:sz w:val="21"/>
                <w:highlight w:val="none"/>
              </w:rPr>
              <w:t>投标项目总监专业和等级是否符合</w:t>
            </w:r>
          </w:p>
        </w:tc>
        <w:tc>
          <w:tcPr>
            <w:tcW w:w="1219" w:type="dxa"/>
          </w:tcPr>
          <w:p>
            <w:pPr>
              <w:pStyle w:val="12"/>
              <w:ind w:left="346"/>
              <w:rPr>
                <w:color w:val="auto"/>
                <w:sz w:val="21"/>
                <w:highlight w:val="none"/>
              </w:rPr>
            </w:pPr>
            <w:r>
              <w:rPr>
                <w:color w:val="auto"/>
                <w:sz w:val="21"/>
                <w:highlight w:val="none"/>
              </w:rPr>
              <w:t>5.1.2</w:t>
            </w:r>
          </w:p>
        </w:tc>
        <w:tc>
          <w:tcPr>
            <w:tcW w:w="1230" w:type="dxa"/>
          </w:tcPr>
          <w:p>
            <w:pPr>
              <w:pStyle w:val="12"/>
              <w:ind w:left="8"/>
              <w:jc w:val="center"/>
              <w:rPr>
                <w:color w:val="auto"/>
                <w:sz w:val="21"/>
                <w:highlight w:val="none"/>
              </w:rPr>
            </w:pPr>
            <w:r>
              <w:rPr>
                <w:color w:val="auto"/>
                <w:w w:val="99"/>
                <w:sz w:val="21"/>
                <w:highlight w:val="none"/>
              </w:rPr>
              <w:t>是</w:t>
            </w:r>
          </w:p>
        </w:tc>
        <w:tc>
          <w:tcPr>
            <w:tcW w:w="829"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9" w:hRule="atLeast"/>
        </w:trPr>
        <w:tc>
          <w:tcPr>
            <w:tcW w:w="648" w:type="dxa"/>
            <w:tcBorders>
              <w:bottom w:val="nil"/>
            </w:tcBorders>
          </w:tcPr>
          <w:p>
            <w:pPr>
              <w:pStyle w:val="12"/>
              <w:rPr>
                <w:rFonts w:ascii="Times New Roman"/>
                <w:color w:val="auto"/>
                <w:sz w:val="20"/>
                <w:highlight w:val="none"/>
              </w:rPr>
            </w:pPr>
          </w:p>
        </w:tc>
        <w:tc>
          <w:tcPr>
            <w:tcW w:w="5580" w:type="dxa"/>
            <w:vMerge w:val="restart"/>
          </w:tcPr>
          <w:p>
            <w:pPr>
              <w:pStyle w:val="12"/>
              <w:spacing w:before="1"/>
              <w:ind w:left="108"/>
              <w:rPr>
                <w:color w:val="auto"/>
                <w:sz w:val="21"/>
                <w:highlight w:val="none"/>
              </w:rPr>
            </w:pPr>
            <w:r>
              <w:rPr>
                <w:color w:val="auto"/>
                <w:sz w:val="21"/>
                <w:highlight w:val="none"/>
              </w:rPr>
              <w:t>投标项目总监在监状态存在下列情形的：</w:t>
            </w:r>
          </w:p>
          <w:p>
            <w:pPr>
              <w:pStyle w:val="12"/>
              <w:numPr>
                <w:ilvl w:val="0"/>
                <w:numId w:val="41"/>
              </w:numPr>
              <w:tabs>
                <w:tab w:val="left" w:pos="1044"/>
              </w:tabs>
              <w:spacing w:before="2" w:after="0" w:line="240" w:lineRule="auto"/>
              <w:ind w:left="1043" w:right="0" w:hanging="524"/>
              <w:jc w:val="left"/>
              <w:rPr>
                <w:color w:val="auto"/>
                <w:sz w:val="21"/>
                <w:highlight w:val="none"/>
              </w:rPr>
            </w:pPr>
            <w:r>
              <w:rPr>
                <w:color w:val="auto"/>
                <w:sz w:val="21"/>
                <w:highlight w:val="none"/>
              </w:rPr>
              <w:t>无在监；</w:t>
            </w:r>
          </w:p>
          <w:p>
            <w:pPr>
              <w:pStyle w:val="12"/>
              <w:numPr>
                <w:ilvl w:val="0"/>
                <w:numId w:val="41"/>
              </w:numPr>
              <w:tabs>
                <w:tab w:val="left" w:pos="1048"/>
              </w:tabs>
              <w:spacing w:before="5" w:after="0" w:line="242"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）第三条（一）规定；</w:t>
            </w:r>
          </w:p>
          <w:p>
            <w:pPr>
              <w:pStyle w:val="12"/>
              <w:numPr>
                <w:ilvl w:val="0"/>
                <w:numId w:val="41"/>
              </w:numPr>
              <w:tabs>
                <w:tab w:val="left" w:pos="1048"/>
              </w:tabs>
              <w:spacing w:before="1" w:after="0" w:line="242"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）第三条（三）规定；</w:t>
            </w:r>
          </w:p>
          <w:p>
            <w:pPr>
              <w:pStyle w:val="12"/>
              <w:numPr>
                <w:ilvl w:val="0"/>
                <w:numId w:val="41"/>
              </w:numPr>
              <w:tabs>
                <w:tab w:val="left" w:pos="1048"/>
              </w:tabs>
              <w:spacing w:before="1" w:after="0" w:line="242"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）第三条（四）规定；</w:t>
            </w:r>
          </w:p>
          <w:p>
            <w:pPr>
              <w:pStyle w:val="12"/>
              <w:numPr>
                <w:ilvl w:val="0"/>
                <w:numId w:val="41"/>
              </w:numPr>
              <w:tabs>
                <w:tab w:val="left" w:pos="1048"/>
              </w:tabs>
              <w:spacing w:before="0" w:after="0" w:line="244"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）第三条（五）规定；</w:t>
            </w:r>
          </w:p>
          <w:p>
            <w:pPr>
              <w:pStyle w:val="12"/>
              <w:numPr>
                <w:ilvl w:val="0"/>
                <w:numId w:val="41"/>
              </w:numPr>
              <w:tabs>
                <w:tab w:val="left" w:pos="1048"/>
              </w:tabs>
              <w:spacing w:before="0" w:after="0" w:line="242"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）第四条（一）规定；</w:t>
            </w:r>
          </w:p>
          <w:p>
            <w:pPr>
              <w:pStyle w:val="12"/>
              <w:numPr>
                <w:ilvl w:val="0"/>
                <w:numId w:val="41"/>
              </w:numPr>
              <w:tabs>
                <w:tab w:val="left" w:pos="1048"/>
              </w:tabs>
              <w:spacing w:before="0" w:after="0" w:line="242"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）第四条（二）规定；</w:t>
            </w:r>
          </w:p>
          <w:p>
            <w:pPr>
              <w:pStyle w:val="12"/>
              <w:numPr>
                <w:ilvl w:val="0"/>
                <w:numId w:val="41"/>
              </w:numPr>
              <w:tabs>
                <w:tab w:val="left" w:pos="1048"/>
              </w:tabs>
              <w:spacing w:before="0" w:after="0" w:line="244" w:lineRule="auto"/>
              <w:ind w:left="108" w:right="97" w:firstLine="411"/>
              <w:jc w:val="left"/>
              <w:rPr>
                <w:color w:val="auto"/>
                <w:sz w:val="21"/>
                <w:highlight w:val="none"/>
              </w:rPr>
            </w:pPr>
            <w:r>
              <w:rPr>
                <w:color w:val="auto"/>
                <w:sz w:val="21"/>
                <w:highlight w:val="none"/>
              </w:rPr>
              <w:t>符合《台州市建筑工程施工现场监理人员管理规</w:t>
            </w:r>
            <w:r>
              <w:rPr>
                <w:color w:val="auto"/>
                <w:spacing w:val="-52"/>
                <w:sz w:val="21"/>
                <w:highlight w:val="none"/>
              </w:rPr>
              <w:t>定》</w:t>
            </w:r>
            <w:r>
              <w:rPr>
                <w:color w:val="auto"/>
                <w:sz w:val="21"/>
                <w:highlight w:val="none"/>
              </w:rPr>
              <w:t>（台建规【2011】397</w:t>
            </w:r>
            <w:r>
              <w:rPr>
                <w:color w:val="auto"/>
                <w:spacing w:val="-28"/>
                <w:sz w:val="21"/>
                <w:highlight w:val="none"/>
              </w:rPr>
              <w:t xml:space="preserve"> 号</w:t>
            </w:r>
            <w:r>
              <w:rPr>
                <w:color w:val="auto"/>
                <w:sz w:val="21"/>
                <w:highlight w:val="none"/>
              </w:rPr>
              <w:t>）第四条（三）规定。</w:t>
            </w:r>
          </w:p>
          <w:p>
            <w:pPr>
              <w:pStyle w:val="12"/>
              <w:spacing w:line="265" w:lineRule="exact"/>
              <w:ind w:left="519"/>
              <w:rPr>
                <w:color w:val="auto"/>
                <w:sz w:val="21"/>
                <w:highlight w:val="none"/>
              </w:rPr>
            </w:pPr>
            <w:r>
              <w:rPr>
                <w:color w:val="auto"/>
                <w:sz w:val="21"/>
                <w:highlight w:val="none"/>
              </w:rPr>
              <w:t>（9）符合 5.1.3 第（3）点规定。</w:t>
            </w:r>
          </w:p>
          <w:p>
            <w:pPr>
              <w:pStyle w:val="12"/>
              <w:spacing w:before="1" w:line="270" w:lineRule="atLeast"/>
              <w:ind w:left="108" w:right="1" w:firstLine="410"/>
              <w:rPr>
                <w:color w:val="auto"/>
                <w:sz w:val="21"/>
                <w:highlight w:val="none"/>
              </w:rPr>
            </w:pPr>
            <w:r>
              <w:rPr>
                <w:color w:val="auto"/>
                <w:w w:val="99"/>
                <w:sz w:val="21"/>
                <w:highlight w:val="none"/>
              </w:rPr>
              <w:t>属上述</w:t>
            </w:r>
            <w:r>
              <w:rPr>
                <w:color w:val="auto"/>
                <w:spacing w:val="1"/>
                <w:w w:val="99"/>
                <w:sz w:val="21"/>
                <w:highlight w:val="none"/>
              </w:rPr>
              <w:t>(2</w:t>
            </w:r>
            <w:r>
              <w:rPr>
                <w:color w:val="auto"/>
                <w:spacing w:val="-60"/>
                <w:w w:val="99"/>
                <w:sz w:val="21"/>
                <w:highlight w:val="none"/>
              </w:rPr>
              <w:t>)、</w:t>
            </w:r>
            <w:r>
              <w:rPr>
                <w:color w:val="auto"/>
                <w:spacing w:val="-1"/>
                <w:w w:val="99"/>
                <w:sz w:val="21"/>
                <w:highlight w:val="none"/>
              </w:rPr>
              <w:t>（</w:t>
            </w:r>
            <w:r>
              <w:rPr>
                <w:color w:val="auto"/>
                <w:spacing w:val="1"/>
                <w:w w:val="99"/>
                <w:sz w:val="21"/>
                <w:highlight w:val="none"/>
              </w:rPr>
              <w:t>3</w:t>
            </w:r>
            <w:r>
              <w:rPr>
                <w:color w:val="auto"/>
                <w:spacing w:val="-106"/>
                <w:w w:val="99"/>
                <w:sz w:val="21"/>
                <w:highlight w:val="none"/>
              </w:rPr>
              <w:t>）</w:t>
            </w:r>
            <w:r>
              <w:rPr>
                <w:color w:val="auto"/>
                <w:spacing w:val="-118"/>
                <w:w w:val="99"/>
                <w:sz w:val="21"/>
                <w:highlight w:val="none"/>
              </w:rPr>
              <w:t>、</w:t>
            </w:r>
            <w:r>
              <w:rPr>
                <w:color w:val="auto"/>
                <w:spacing w:val="2"/>
                <w:w w:val="99"/>
                <w:sz w:val="21"/>
                <w:highlight w:val="none"/>
              </w:rPr>
              <w:t>（</w:t>
            </w:r>
            <w:r>
              <w:rPr>
                <w:color w:val="auto"/>
                <w:spacing w:val="1"/>
                <w:w w:val="99"/>
                <w:sz w:val="21"/>
                <w:highlight w:val="none"/>
              </w:rPr>
              <w:t>4</w:t>
            </w:r>
            <w:r>
              <w:rPr>
                <w:color w:val="auto"/>
                <w:spacing w:val="-106"/>
                <w:w w:val="99"/>
                <w:sz w:val="21"/>
                <w:highlight w:val="none"/>
              </w:rPr>
              <w:t>）</w:t>
            </w:r>
            <w:r>
              <w:rPr>
                <w:color w:val="auto"/>
                <w:spacing w:val="-118"/>
                <w:w w:val="99"/>
                <w:sz w:val="21"/>
                <w:highlight w:val="none"/>
              </w:rPr>
              <w:t>、</w:t>
            </w:r>
            <w:r>
              <w:rPr>
                <w:color w:val="auto"/>
                <w:spacing w:val="2"/>
                <w:w w:val="99"/>
                <w:sz w:val="21"/>
                <w:highlight w:val="none"/>
              </w:rPr>
              <w:t>（</w:t>
            </w:r>
            <w:r>
              <w:rPr>
                <w:color w:val="auto"/>
                <w:spacing w:val="1"/>
                <w:w w:val="99"/>
                <w:sz w:val="21"/>
                <w:highlight w:val="none"/>
              </w:rPr>
              <w:t>5</w:t>
            </w:r>
            <w:r>
              <w:rPr>
                <w:color w:val="auto"/>
                <w:spacing w:val="-106"/>
                <w:w w:val="99"/>
                <w:sz w:val="21"/>
                <w:highlight w:val="none"/>
              </w:rPr>
              <w:t>）</w:t>
            </w:r>
            <w:r>
              <w:rPr>
                <w:color w:val="auto"/>
                <w:spacing w:val="-118"/>
                <w:w w:val="99"/>
                <w:sz w:val="21"/>
                <w:highlight w:val="none"/>
              </w:rPr>
              <w:t>、</w:t>
            </w:r>
            <w:r>
              <w:rPr>
                <w:color w:val="auto"/>
                <w:spacing w:val="-1"/>
                <w:w w:val="99"/>
                <w:sz w:val="21"/>
                <w:highlight w:val="none"/>
              </w:rPr>
              <w:t>（</w:t>
            </w:r>
            <w:r>
              <w:rPr>
                <w:color w:val="auto"/>
                <w:spacing w:val="1"/>
                <w:w w:val="99"/>
                <w:sz w:val="21"/>
                <w:highlight w:val="none"/>
              </w:rPr>
              <w:t>9</w:t>
            </w:r>
            <w:r>
              <w:rPr>
                <w:color w:val="auto"/>
                <w:spacing w:val="-13"/>
                <w:w w:val="99"/>
                <w:sz w:val="21"/>
                <w:highlight w:val="none"/>
              </w:rPr>
              <w:t>）</w:t>
            </w:r>
            <w:r>
              <w:rPr>
                <w:color w:val="auto"/>
                <w:spacing w:val="-4"/>
                <w:w w:val="99"/>
                <w:sz w:val="21"/>
                <w:highlight w:val="none"/>
              </w:rPr>
              <w:t>情形之一的，投标人</w:t>
            </w:r>
            <w:r>
              <w:rPr>
                <w:color w:val="auto"/>
                <w:spacing w:val="-4"/>
                <w:w w:val="95"/>
                <w:sz w:val="21"/>
                <w:highlight w:val="none"/>
              </w:rPr>
              <w:t>应在递交投标文件的同时将有关书面证明材料提交招标人。</w:t>
            </w:r>
          </w:p>
        </w:tc>
        <w:tc>
          <w:tcPr>
            <w:tcW w:w="1219" w:type="dxa"/>
            <w:tcBorders>
              <w:bottom w:val="nil"/>
            </w:tcBorders>
          </w:tcPr>
          <w:p>
            <w:pPr>
              <w:pStyle w:val="12"/>
              <w:rPr>
                <w:rFonts w:ascii="Times New Roman"/>
                <w:color w:val="auto"/>
                <w:sz w:val="20"/>
                <w:highlight w:val="none"/>
              </w:rPr>
            </w:pPr>
          </w:p>
        </w:tc>
        <w:tc>
          <w:tcPr>
            <w:tcW w:w="1230" w:type="dxa"/>
            <w:tcBorders>
              <w:bottom w:val="nil"/>
            </w:tcBorders>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2"/>
              <w:rPr>
                <w:rFonts w:ascii="黑体"/>
                <w:b/>
                <w:color w:val="auto"/>
                <w:sz w:val="22"/>
                <w:highlight w:val="none"/>
              </w:rPr>
            </w:pPr>
          </w:p>
          <w:p>
            <w:pPr>
              <w:pStyle w:val="12"/>
              <w:spacing w:before="1"/>
              <w:ind w:left="106"/>
              <w:rPr>
                <w:b/>
                <w:color w:val="auto"/>
                <w:sz w:val="21"/>
                <w:highlight w:val="none"/>
              </w:rPr>
            </w:pPr>
            <w:r>
              <w:rPr>
                <w:b/>
                <w:color w:val="auto"/>
                <w:sz w:val="21"/>
                <w:highlight w:val="none"/>
              </w:rPr>
              <w:t>应是（1）-</w:t>
            </w:r>
          </w:p>
        </w:tc>
        <w:tc>
          <w:tcPr>
            <w:tcW w:w="829" w:type="dxa"/>
            <w:vMerge w:val="restart"/>
          </w:tcPr>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rPr>
                <w:rFonts w:ascii="黑体"/>
                <w:b/>
                <w:color w:val="auto"/>
                <w:sz w:val="20"/>
                <w:highlight w:val="none"/>
              </w:rPr>
            </w:pPr>
          </w:p>
          <w:p>
            <w:pPr>
              <w:pStyle w:val="12"/>
              <w:spacing w:before="12"/>
              <w:rPr>
                <w:rFonts w:ascii="黑体"/>
                <w:b/>
                <w:color w:val="auto"/>
                <w:sz w:val="29"/>
                <w:highlight w:val="none"/>
              </w:rPr>
            </w:pPr>
          </w:p>
          <w:p>
            <w:pPr>
              <w:pStyle w:val="12"/>
              <w:tabs>
                <w:tab w:val="left" w:pos="684"/>
              </w:tabs>
              <w:spacing w:line="364" w:lineRule="auto"/>
              <w:ind w:left="107" w:right="132"/>
              <w:rPr>
                <w:color w:val="auto"/>
                <w:sz w:val="21"/>
                <w:highlight w:val="none"/>
              </w:rPr>
            </w:pPr>
            <w:r>
              <w:rPr>
                <w:color w:val="auto"/>
                <w:sz w:val="21"/>
                <w:highlight w:val="none"/>
              </w:rPr>
              <w:t>属</w:t>
            </w:r>
            <w:r>
              <w:rPr>
                <w:color w:val="auto"/>
                <w:sz w:val="21"/>
                <w:highlight w:val="none"/>
                <w:u w:val="single"/>
              </w:rPr>
              <w:tab/>
            </w:r>
            <w:r>
              <w:rPr>
                <w:color w:val="auto"/>
                <w:sz w:val="21"/>
                <w:highlight w:val="none"/>
                <w:u w:val="single"/>
              </w:rPr>
              <w:t xml:space="preserve"> </w:t>
            </w:r>
            <w:r>
              <w:rPr>
                <w:color w:val="auto"/>
                <w:sz w:val="21"/>
                <w:highlight w:val="none"/>
              </w:rPr>
              <w:t>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48" w:type="dxa"/>
            <w:tcBorders>
              <w:top w:val="nil"/>
              <w:bottom w:val="nil"/>
            </w:tcBorders>
          </w:tcPr>
          <w:p>
            <w:pPr>
              <w:pStyle w:val="12"/>
              <w:rPr>
                <w:rFonts w:ascii="Times New Roman"/>
                <w:color w:val="auto"/>
                <w:sz w:val="20"/>
                <w:highlight w:val="none"/>
              </w:rPr>
            </w:pPr>
          </w:p>
        </w:tc>
        <w:tc>
          <w:tcPr>
            <w:tcW w:w="5580" w:type="dxa"/>
            <w:vMerge w:val="continue"/>
            <w:tcBorders>
              <w:top w:val="nil"/>
            </w:tcBorders>
          </w:tcPr>
          <w:p>
            <w:pPr>
              <w:rPr>
                <w:color w:val="auto"/>
                <w:sz w:val="2"/>
                <w:szCs w:val="2"/>
                <w:highlight w:val="none"/>
              </w:rPr>
            </w:pPr>
          </w:p>
        </w:tc>
        <w:tc>
          <w:tcPr>
            <w:tcW w:w="1219" w:type="dxa"/>
            <w:tcBorders>
              <w:top w:val="nil"/>
              <w:bottom w:val="nil"/>
            </w:tcBorders>
          </w:tcPr>
          <w:p>
            <w:pPr>
              <w:pStyle w:val="12"/>
              <w:rPr>
                <w:rFonts w:ascii="Times New Roman"/>
                <w:color w:val="auto"/>
                <w:sz w:val="20"/>
                <w:highlight w:val="none"/>
              </w:rPr>
            </w:pPr>
          </w:p>
        </w:tc>
        <w:tc>
          <w:tcPr>
            <w:tcW w:w="1230" w:type="dxa"/>
            <w:tcBorders>
              <w:top w:val="nil"/>
              <w:bottom w:val="nil"/>
            </w:tcBorders>
          </w:tcPr>
          <w:p>
            <w:pPr>
              <w:pStyle w:val="12"/>
              <w:spacing w:before="64"/>
              <w:ind w:left="106"/>
              <w:rPr>
                <w:b/>
                <w:color w:val="auto"/>
                <w:sz w:val="21"/>
                <w:highlight w:val="none"/>
              </w:rPr>
            </w:pPr>
            <w:r>
              <w:rPr>
                <w:b/>
                <w:color w:val="auto"/>
                <w:sz w:val="21"/>
                <w:highlight w:val="none"/>
              </w:rPr>
              <w:t>（</w:t>
            </w:r>
            <w:r>
              <w:rPr>
                <w:b/>
                <w:color w:val="auto"/>
                <w:spacing w:val="-89"/>
                <w:sz w:val="21"/>
                <w:highlight w:val="none"/>
              </w:rPr>
              <w:t xml:space="preserve"> </w:t>
            </w:r>
            <w:r>
              <w:rPr>
                <w:b/>
                <w:color w:val="auto"/>
                <w:sz w:val="21"/>
                <w:highlight w:val="none"/>
              </w:rPr>
              <w:t>9</w:t>
            </w:r>
            <w:r>
              <w:rPr>
                <w:b/>
                <w:color w:val="auto"/>
                <w:spacing w:val="-87"/>
                <w:sz w:val="21"/>
                <w:highlight w:val="none"/>
              </w:rPr>
              <w:t xml:space="preserve"> </w:t>
            </w:r>
            <w:r>
              <w:rPr>
                <w:b/>
                <w:color w:val="auto"/>
                <w:sz w:val="21"/>
                <w:highlight w:val="none"/>
              </w:rPr>
              <w:t>）</w:t>
            </w:r>
            <w:r>
              <w:rPr>
                <w:b/>
                <w:color w:val="auto"/>
                <w:spacing w:val="-24"/>
                <w:sz w:val="21"/>
                <w:highlight w:val="none"/>
              </w:rPr>
              <w:t xml:space="preserve"> 之一</w:t>
            </w:r>
          </w:p>
        </w:tc>
        <w:tc>
          <w:tcPr>
            <w:tcW w:w="82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8" w:type="dxa"/>
            <w:tcBorders>
              <w:top w:val="nil"/>
              <w:bottom w:val="nil"/>
            </w:tcBorders>
          </w:tcPr>
          <w:p>
            <w:pPr>
              <w:pStyle w:val="12"/>
              <w:spacing w:before="64"/>
              <w:ind w:right="261"/>
              <w:jc w:val="right"/>
              <w:rPr>
                <w:b/>
                <w:color w:val="auto"/>
                <w:sz w:val="21"/>
                <w:highlight w:val="none"/>
              </w:rPr>
            </w:pPr>
            <w:r>
              <w:rPr>
                <w:b/>
                <w:color w:val="auto"/>
                <w:w w:val="98"/>
                <w:sz w:val="21"/>
                <w:highlight w:val="none"/>
              </w:rPr>
              <w:t>2</w:t>
            </w:r>
          </w:p>
        </w:tc>
        <w:tc>
          <w:tcPr>
            <w:tcW w:w="5580" w:type="dxa"/>
            <w:vMerge w:val="continue"/>
            <w:tcBorders>
              <w:top w:val="nil"/>
            </w:tcBorders>
          </w:tcPr>
          <w:p>
            <w:pPr>
              <w:rPr>
                <w:color w:val="auto"/>
                <w:sz w:val="2"/>
                <w:szCs w:val="2"/>
                <w:highlight w:val="none"/>
              </w:rPr>
            </w:pPr>
          </w:p>
        </w:tc>
        <w:tc>
          <w:tcPr>
            <w:tcW w:w="1219" w:type="dxa"/>
            <w:tcBorders>
              <w:top w:val="nil"/>
              <w:bottom w:val="nil"/>
            </w:tcBorders>
          </w:tcPr>
          <w:p>
            <w:pPr>
              <w:pStyle w:val="12"/>
              <w:spacing w:before="64"/>
              <w:ind w:left="187"/>
              <w:rPr>
                <w:color w:val="auto"/>
                <w:sz w:val="21"/>
                <w:highlight w:val="none"/>
              </w:rPr>
            </w:pPr>
            <w:r>
              <w:rPr>
                <w:color w:val="auto"/>
                <w:sz w:val="21"/>
                <w:highlight w:val="none"/>
              </w:rPr>
              <w:t>5.1（3）</w:t>
            </w:r>
          </w:p>
        </w:tc>
        <w:tc>
          <w:tcPr>
            <w:tcW w:w="1230" w:type="dxa"/>
            <w:tcBorders>
              <w:top w:val="nil"/>
              <w:bottom w:val="nil"/>
            </w:tcBorders>
          </w:tcPr>
          <w:p>
            <w:pPr>
              <w:pStyle w:val="12"/>
              <w:spacing w:before="64"/>
              <w:ind w:left="106"/>
              <w:rPr>
                <w:b/>
                <w:color w:val="auto"/>
                <w:sz w:val="21"/>
                <w:highlight w:val="none"/>
              </w:rPr>
            </w:pPr>
            <w:r>
              <w:rPr>
                <w:b/>
                <w:color w:val="auto"/>
                <w:sz w:val="21"/>
                <w:highlight w:val="none"/>
              </w:rPr>
              <w:t>情形。自查</w:t>
            </w:r>
          </w:p>
        </w:tc>
        <w:tc>
          <w:tcPr>
            <w:tcW w:w="82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8" w:type="dxa"/>
            <w:tcBorders>
              <w:top w:val="nil"/>
              <w:bottom w:val="nil"/>
            </w:tcBorders>
          </w:tcPr>
          <w:p>
            <w:pPr>
              <w:pStyle w:val="12"/>
              <w:rPr>
                <w:rFonts w:ascii="Times New Roman"/>
                <w:color w:val="auto"/>
                <w:sz w:val="20"/>
                <w:highlight w:val="none"/>
              </w:rPr>
            </w:pPr>
          </w:p>
        </w:tc>
        <w:tc>
          <w:tcPr>
            <w:tcW w:w="5580" w:type="dxa"/>
            <w:vMerge w:val="continue"/>
            <w:tcBorders>
              <w:top w:val="nil"/>
            </w:tcBorders>
          </w:tcPr>
          <w:p>
            <w:pPr>
              <w:rPr>
                <w:color w:val="auto"/>
                <w:sz w:val="2"/>
                <w:szCs w:val="2"/>
                <w:highlight w:val="none"/>
              </w:rPr>
            </w:pPr>
          </w:p>
        </w:tc>
        <w:tc>
          <w:tcPr>
            <w:tcW w:w="1219" w:type="dxa"/>
            <w:tcBorders>
              <w:top w:val="nil"/>
              <w:bottom w:val="nil"/>
            </w:tcBorders>
          </w:tcPr>
          <w:p>
            <w:pPr>
              <w:pStyle w:val="12"/>
              <w:rPr>
                <w:rFonts w:ascii="Times New Roman"/>
                <w:color w:val="auto"/>
                <w:sz w:val="20"/>
                <w:highlight w:val="none"/>
              </w:rPr>
            </w:pPr>
          </w:p>
        </w:tc>
        <w:tc>
          <w:tcPr>
            <w:tcW w:w="1230" w:type="dxa"/>
            <w:tcBorders>
              <w:top w:val="nil"/>
              <w:bottom w:val="nil"/>
            </w:tcBorders>
          </w:tcPr>
          <w:p>
            <w:pPr>
              <w:pStyle w:val="12"/>
              <w:spacing w:before="64"/>
              <w:ind w:left="106"/>
              <w:rPr>
                <w:b/>
                <w:color w:val="auto"/>
                <w:sz w:val="21"/>
                <w:highlight w:val="none"/>
              </w:rPr>
            </w:pPr>
            <w:r>
              <w:rPr>
                <w:b/>
                <w:color w:val="auto"/>
                <w:spacing w:val="-22"/>
                <w:sz w:val="21"/>
                <w:highlight w:val="none"/>
              </w:rPr>
              <w:t>应 填 写 属</w:t>
            </w:r>
          </w:p>
        </w:tc>
        <w:tc>
          <w:tcPr>
            <w:tcW w:w="82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9" w:hRule="atLeast"/>
        </w:trPr>
        <w:tc>
          <w:tcPr>
            <w:tcW w:w="648" w:type="dxa"/>
            <w:tcBorders>
              <w:top w:val="nil"/>
            </w:tcBorders>
          </w:tcPr>
          <w:p>
            <w:pPr>
              <w:pStyle w:val="12"/>
              <w:rPr>
                <w:rFonts w:ascii="Times New Roman"/>
                <w:color w:val="auto"/>
                <w:sz w:val="20"/>
                <w:highlight w:val="none"/>
              </w:rPr>
            </w:pPr>
          </w:p>
        </w:tc>
        <w:tc>
          <w:tcPr>
            <w:tcW w:w="5580" w:type="dxa"/>
            <w:vMerge w:val="continue"/>
            <w:tcBorders>
              <w:top w:val="nil"/>
            </w:tcBorders>
          </w:tcPr>
          <w:p>
            <w:pPr>
              <w:rPr>
                <w:color w:val="auto"/>
                <w:sz w:val="2"/>
                <w:szCs w:val="2"/>
                <w:highlight w:val="none"/>
              </w:rPr>
            </w:pPr>
          </w:p>
        </w:tc>
        <w:tc>
          <w:tcPr>
            <w:tcW w:w="1219" w:type="dxa"/>
            <w:tcBorders>
              <w:top w:val="nil"/>
            </w:tcBorders>
          </w:tcPr>
          <w:p>
            <w:pPr>
              <w:pStyle w:val="12"/>
              <w:rPr>
                <w:rFonts w:ascii="Times New Roman"/>
                <w:color w:val="auto"/>
                <w:sz w:val="20"/>
                <w:highlight w:val="none"/>
              </w:rPr>
            </w:pPr>
          </w:p>
        </w:tc>
        <w:tc>
          <w:tcPr>
            <w:tcW w:w="1230" w:type="dxa"/>
            <w:tcBorders>
              <w:top w:val="nil"/>
            </w:tcBorders>
          </w:tcPr>
          <w:p>
            <w:pPr>
              <w:pStyle w:val="12"/>
              <w:spacing w:before="65"/>
              <w:ind w:left="106"/>
              <w:rPr>
                <w:b/>
                <w:color w:val="auto"/>
                <w:sz w:val="21"/>
                <w:highlight w:val="none"/>
              </w:rPr>
            </w:pPr>
            <w:r>
              <w:rPr>
                <w:b/>
                <w:color w:val="auto"/>
                <w:sz w:val="21"/>
                <w:highlight w:val="none"/>
              </w:rPr>
              <w:t>何种情形</w:t>
            </w:r>
          </w:p>
        </w:tc>
        <w:tc>
          <w:tcPr>
            <w:tcW w:w="829" w:type="dxa"/>
            <w:vMerge w:val="continue"/>
            <w:tcBorders>
              <w:top w:val="nil"/>
            </w:tcBorders>
          </w:tcPr>
          <w:p>
            <w:pPr>
              <w:rPr>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1" w:hRule="atLeast"/>
        </w:trPr>
        <w:tc>
          <w:tcPr>
            <w:tcW w:w="648" w:type="dxa"/>
          </w:tcPr>
          <w:p>
            <w:pPr>
              <w:pStyle w:val="12"/>
              <w:spacing w:before="6"/>
              <w:rPr>
                <w:rFonts w:ascii="黑体"/>
                <w:b/>
                <w:color w:val="auto"/>
                <w:sz w:val="25"/>
                <w:highlight w:val="none"/>
              </w:rPr>
            </w:pPr>
          </w:p>
          <w:p>
            <w:pPr>
              <w:pStyle w:val="12"/>
              <w:ind w:right="261"/>
              <w:jc w:val="right"/>
              <w:rPr>
                <w:b/>
                <w:color w:val="auto"/>
                <w:sz w:val="21"/>
                <w:highlight w:val="none"/>
              </w:rPr>
            </w:pPr>
            <w:r>
              <w:rPr>
                <w:b/>
                <w:color w:val="auto"/>
                <w:w w:val="98"/>
                <w:sz w:val="21"/>
                <w:highlight w:val="none"/>
              </w:rPr>
              <w:t>3</w:t>
            </w:r>
          </w:p>
        </w:tc>
        <w:tc>
          <w:tcPr>
            <w:tcW w:w="5580" w:type="dxa"/>
          </w:tcPr>
          <w:p>
            <w:pPr>
              <w:pStyle w:val="12"/>
              <w:spacing w:before="120" w:line="242" w:lineRule="auto"/>
              <w:ind w:left="108" w:right="97"/>
              <w:jc w:val="both"/>
              <w:rPr>
                <w:color w:val="auto"/>
                <w:sz w:val="21"/>
                <w:highlight w:val="none"/>
              </w:rPr>
            </w:pPr>
            <w:r>
              <w:rPr>
                <w:color w:val="auto"/>
                <w:spacing w:val="3"/>
                <w:w w:val="95"/>
                <w:sz w:val="21"/>
                <w:highlight w:val="none"/>
              </w:rPr>
              <w:t xml:space="preserve">投标项目总监是否同时在两个或者两个以上单位受聘或者 </w:t>
            </w:r>
            <w:r>
              <w:rPr>
                <w:color w:val="auto"/>
                <w:spacing w:val="-46"/>
                <w:w w:val="95"/>
                <w:sz w:val="21"/>
                <w:highlight w:val="none"/>
              </w:rPr>
              <w:t>执业</w:t>
            </w:r>
            <w:r>
              <w:rPr>
                <w:color w:val="auto"/>
                <w:w w:val="95"/>
                <w:sz w:val="21"/>
                <w:highlight w:val="none"/>
              </w:rPr>
              <w:t xml:space="preserve">（仅指总监不得同时是其他单位的公务员或者事业单位 </w:t>
            </w:r>
            <w:r>
              <w:rPr>
                <w:color w:val="auto"/>
                <w:sz w:val="21"/>
                <w:highlight w:val="none"/>
              </w:rPr>
              <w:t>在编人员，涉及到其他情形的，投标资格不受影响</w:t>
            </w:r>
            <w:r>
              <w:rPr>
                <w:color w:val="auto"/>
                <w:spacing w:val="-106"/>
                <w:sz w:val="21"/>
                <w:highlight w:val="none"/>
              </w:rPr>
              <w:t>）</w:t>
            </w:r>
            <w:r>
              <w:rPr>
                <w:color w:val="auto"/>
                <w:sz w:val="21"/>
                <w:highlight w:val="none"/>
              </w:rPr>
              <w:t>。</w:t>
            </w:r>
          </w:p>
        </w:tc>
        <w:tc>
          <w:tcPr>
            <w:tcW w:w="1219" w:type="dxa"/>
          </w:tcPr>
          <w:p>
            <w:pPr>
              <w:pStyle w:val="12"/>
              <w:spacing w:before="6"/>
              <w:rPr>
                <w:rFonts w:ascii="黑体"/>
                <w:b/>
                <w:color w:val="auto"/>
                <w:sz w:val="25"/>
                <w:highlight w:val="none"/>
              </w:rPr>
            </w:pPr>
          </w:p>
          <w:p>
            <w:pPr>
              <w:pStyle w:val="12"/>
              <w:ind w:left="432" w:right="422"/>
              <w:jc w:val="center"/>
              <w:rPr>
                <w:color w:val="auto"/>
                <w:sz w:val="21"/>
                <w:highlight w:val="none"/>
              </w:rPr>
            </w:pPr>
            <w:r>
              <w:rPr>
                <w:color w:val="auto"/>
                <w:sz w:val="21"/>
                <w:highlight w:val="none"/>
              </w:rPr>
              <w:t>5.2</w:t>
            </w:r>
          </w:p>
        </w:tc>
        <w:tc>
          <w:tcPr>
            <w:tcW w:w="1230" w:type="dxa"/>
          </w:tcPr>
          <w:p>
            <w:pPr>
              <w:pStyle w:val="12"/>
              <w:spacing w:before="6"/>
              <w:rPr>
                <w:rFonts w:ascii="黑体"/>
                <w:b/>
                <w:color w:val="auto"/>
                <w:sz w:val="25"/>
                <w:highlight w:val="none"/>
              </w:rPr>
            </w:pPr>
          </w:p>
          <w:p>
            <w:pPr>
              <w:pStyle w:val="12"/>
              <w:ind w:left="8"/>
              <w:jc w:val="center"/>
              <w:rPr>
                <w:color w:val="auto"/>
                <w:sz w:val="21"/>
                <w:highlight w:val="none"/>
              </w:rPr>
            </w:pPr>
            <w:r>
              <w:rPr>
                <w:color w:val="auto"/>
                <w:w w:val="99"/>
                <w:sz w:val="21"/>
                <w:highlight w:val="none"/>
              </w:rPr>
              <w:t>否</w:t>
            </w:r>
          </w:p>
        </w:tc>
        <w:tc>
          <w:tcPr>
            <w:tcW w:w="829"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648" w:type="dxa"/>
          </w:tcPr>
          <w:p>
            <w:pPr>
              <w:pStyle w:val="12"/>
              <w:spacing w:before="74"/>
              <w:ind w:right="261"/>
              <w:jc w:val="right"/>
              <w:rPr>
                <w:color w:val="auto"/>
                <w:sz w:val="21"/>
                <w:highlight w:val="none"/>
              </w:rPr>
            </w:pPr>
            <w:r>
              <w:rPr>
                <w:color w:val="auto"/>
                <w:w w:val="99"/>
                <w:sz w:val="21"/>
                <w:highlight w:val="none"/>
              </w:rPr>
              <w:t>4</w:t>
            </w:r>
          </w:p>
        </w:tc>
        <w:tc>
          <w:tcPr>
            <w:tcW w:w="5580" w:type="dxa"/>
          </w:tcPr>
          <w:p>
            <w:pPr>
              <w:pStyle w:val="12"/>
              <w:spacing w:before="74"/>
              <w:ind w:left="108"/>
              <w:rPr>
                <w:color w:val="auto"/>
                <w:sz w:val="21"/>
                <w:highlight w:val="none"/>
              </w:rPr>
            </w:pPr>
            <w:r>
              <w:rPr>
                <w:color w:val="auto"/>
                <w:sz w:val="21"/>
                <w:highlight w:val="none"/>
              </w:rPr>
              <w:t>投标项目总监是否被暂停或取消投标资格</w:t>
            </w:r>
          </w:p>
        </w:tc>
        <w:tc>
          <w:tcPr>
            <w:tcW w:w="1219" w:type="dxa"/>
          </w:tcPr>
          <w:p>
            <w:pPr>
              <w:pStyle w:val="12"/>
              <w:spacing w:before="74"/>
              <w:ind w:left="187"/>
              <w:rPr>
                <w:color w:val="auto"/>
                <w:sz w:val="21"/>
                <w:highlight w:val="none"/>
              </w:rPr>
            </w:pPr>
            <w:r>
              <w:rPr>
                <w:color w:val="auto"/>
                <w:sz w:val="21"/>
                <w:highlight w:val="none"/>
              </w:rPr>
              <w:t>5.3（8）</w:t>
            </w:r>
          </w:p>
        </w:tc>
        <w:tc>
          <w:tcPr>
            <w:tcW w:w="1230" w:type="dxa"/>
          </w:tcPr>
          <w:p>
            <w:pPr>
              <w:pStyle w:val="12"/>
              <w:spacing w:before="74"/>
              <w:ind w:left="8"/>
              <w:jc w:val="center"/>
              <w:rPr>
                <w:color w:val="auto"/>
                <w:sz w:val="21"/>
                <w:highlight w:val="none"/>
              </w:rPr>
            </w:pPr>
            <w:r>
              <w:rPr>
                <w:color w:val="auto"/>
                <w:w w:val="99"/>
                <w:sz w:val="21"/>
                <w:highlight w:val="none"/>
              </w:rPr>
              <w:t>否</w:t>
            </w:r>
          </w:p>
        </w:tc>
        <w:tc>
          <w:tcPr>
            <w:tcW w:w="829"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648" w:type="dxa"/>
          </w:tcPr>
          <w:p>
            <w:pPr>
              <w:pStyle w:val="12"/>
              <w:spacing w:before="5"/>
              <w:rPr>
                <w:rFonts w:ascii="黑体"/>
                <w:b/>
                <w:color w:val="auto"/>
                <w:sz w:val="18"/>
                <w:highlight w:val="none"/>
              </w:rPr>
            </w:pPr>
          </w:p>
          <w:p>
            <w:pPr>
              <w:pStyle w:val="12"/>
              <w:ind w:right="261"/>
              <w:jc w:val="right"/>
              <w:rPr>
                <w:color w:val="auto"/>
                <w:sz w:val="21"/>
                <w:highlight w:val="none"/>
              </w:rPr>
            </w:pPr>
            <w:r>
              <w:rPr>
                <w:color w:val="auto"/>
                <w:w w:val="99"/>
                <w:sz w:val="21"/>
                <w:highlight w:val="none"/>
              </w:rPr>
              <w:t>5</w:t>
            </w:r>
          </w:p>
        </w:tc>
        <w:tc>
          <w:tcPr>
            <w:tcW w:w="5580" w:type="dxa"/>
          </w:tcPr>
          <w:p>
            <w:pPr>
              <w:pStyle w:val="12"/>
              <w:spacing w:before="32" w:line="242" w:lineRule="auto"/>
              <w:ind w:left="108" w:right="97"/>
              <w:jc w:val="both"/>
              <w:rPr>
                <w:color w:val="auto"/>
                <w:sz w:val="21"/>
                <w:highlight w:val="none"/>
              </w:rPr>
            </w:pPr>
            <w:r>
              <w:rPr>
                <w:color w:val="auto"/>
                <w:spacing w:val="-6"/>
                <w:w w:val="95"/>
                <w:sz w:val="21"/>
                <w:highlight w:val="none"/>
              </w:rPr>
              <w:t>投标项目总监是否有行贿犯罪记录的</w:t>
            </w:r>
            <w:r>
              <w:rPr>
                <w:color w:val="auto"/>
                <w:w w:val="95"/>
                <w:sz w:val="21"/>
                <w:highlight w:val="none"/>
              </w:rPr>
              <w:t xml:space="preserve">（由投标文件提交截止 </w:t>
            </w:r>
            <w:r>
              <w:rPr>
                <w:color w:val="auto"/>
                <w:spacing w:val="-10"/>
                <w:sz w:val="21"/>
                <w:highlight w:val="none"/>
              </w:rPr>
              <w:t xml:space="preserve">之日上溯 </w:t>
            </w:r>
            <w:r>
              <w:rPr>
                <w:color w:val="auto"/>
                <w:sz w:val="21"/>
                <w:highlight w:val="none"/>
              </w:rPr>
              <w:t>3</w:t>
            </w:r>
            <w:r>
              <w:rPr>
                <w:color w:val="auto"/>
                <w:spacing w:val="-3"/>
                <w:sz w:val="21"/>
                <w:highlight w:val="none"/>
              </w:rPr>
              <w:t xml:space="preserve"> 年，行贿犯罪记录日期以法院判决生效日期为准）</w:t>
            </w:r>
          </w:p>
        </w:tc>
        <w:tc>
          <w:tcPr>
            <w:tcW w:w="1219" w:type="dxa"/>
          </w:tcPr>
          <w:p>
            <w:pPr>
              <w:pStyle w:val="12"/>
              <w:spacing w:before="5"/>
              <w:rPr>
                <w:rFonts w:ascii="黑体"/>
                <w:b/>
                <w:color w:val="auto"/>
                <w:sz w:val="18"/>
                <w:highlight w:val="none"/>
              </w:rPr>
            </w:pPr>
          </w:p>
          <w:p>
            <w:pPr>
              <w:pStyle w:val="12"/>
              <w:ind w:left="187"/>
              <w:rPr>
                <w:color w:val="auto"/>
                <w:sz w:val="21"/>
                <w:highlight w:val="none"/>
              </w:rPr>
            </w:pPr>
            <w:r>
              <w:rPr>
                <w:color w:val="auto"/>
                <w:sz w:val="21"/>
                <w:highlight w:val="none"/>
              </w:rPr>
              <w:t>5.3（9）</w:t>
            </w:r>
          </w:p>
        </w:tc>
        <w:tc>
          <w:tcPr>
            <w:tcW w:w="1230" w:type="dxa"/>
          </w:tcPr>
          <w:p>
            <w:pPr>
              <w:pStyle w:val="12"/>
              <w:spacing w:before="5"/>
              <w:rPr>
                <w:rFonts w:ascii="黑体"/>
                <w:b/>
                <w:color w:val="auto"/>
                <w:sz w:val="18"/>
                <w:highlight w:val="none"/>
              </w:rPr>
            </w:pPr>
          </w:p>
          <w:p>
            <w:pPr>
              <w:pStyle w:val="12"/>
              <w:ind w:left="8"/>
              <w:jc w:val="center"/>
              <w:rPr>
                <w:color w:val="auto"/>
                <w:sz w:val="21"/>
                <w:highlight w:val="none"/>
              </w:rPr>
            </w:pPr>
            <w:r>
              <w:rPr>
                <w:color w:val="auto"/>
                <w:w w:val="99"/>
                <w:sz w:val="21"/>
                <w:highlight w:val="none"/>
              </w:rPr>
              <w:t>否</w:t>
            </w:r>
          </w:p>
        </w:tc>
        <w:tc>
          <w:tcPr>
            <w:tcW w:w="829" w:type="dxa"/>
          </w:tcPr>
          <w:p>
            <w:pPr>
              <w:pStyle w:val="12"/>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648" w:type="dxa"/>
          </w:tcPr>
          <w:p>
            <w:pPr>
              <w:pStyle w:val="12"/>
              <w:spacing w:before="48"/>
              <w:ind w:right="261"/>
              <w:jc w:val="right"/>
              <w:rPr>
                <w:color w:val="auto"/>
                <w:sz w:val="21"/>
                <w:highlight w:val="none"/>
              </w:rPr>
            </w:pPr>
            <w:r>
              <w:rPr>
                <w:color w:val="auto"/>
                <w:w w:val="99"/>
                <w:sz w:val="21"/>
                <w:highlight w:val="none"/>
              </w:rPr>
              <w:t>6</w:t>
            </w:r>
          </w:p>
        </w:tc>
        <w:tc>
          <w:tcPr>
            <w:tcW w:w="5580" w:type="dxa"/>
          </w:tcPr>
          <w:p>
            <w:pPr>
              <w:pStyle w:val="12"/>
              <w:spacing w:before="115"/>
              <w:ind w:left="108"/>
              <w:rPr>
                <w:color w:val="auto"/>
                <w:sz w:val="21"/>
                <w:highlight w:val="none"/>
              </w:rPr>
            </w:pPr>
            <w:r>
              <w:rPr>
                <w:color w:val="auto"/>
                <w:sz w:val="21"/>
                <w:highlight w:val="none"/>
              </w:rPr>
              <w:t>投标项目总监证书上的企业名称是否与投标人不一致</w:t>
            </w:r>
          </w:p>
        </w:tc>
        <w:tc>
          <w:tcPr>
            <w:tcW w:w="1219" w:type="dxa"/>
          </w:tcPr>
          <w:p>
            <w:pPr>
              <w:pStyle w:val="12"/>
              <w:spacing w:before="48"/>
              <w:ind w:left="137"/>
              <w:rPr>
                <w:color w:val="auto"/>
                <w:sz w:val="21"/>
                <w:highlight w:val="none"/>
              </w:rPr>
            </w:pPr>
            <w:r>
              <w:rPr>
                <w:color w:val="auto"/>
                <w:sz w:val="21"/>
                <w:highlight w:val="none"/>
              </w:rPr>
              <w:t>5.3（10）</w:t>
            </w:r>
          </w:p>
        </w:tc>
        <w:tc>
          <w:tcPr>
            <w:tcW w:w="1230" w:type="dxa"/>
          </w:tcPr>
          <w:p>
            <w:pPr>
              <w:pStyle w:val="12"/>
              <w:spacing w:before="48"/>
              <w:ind w:left="8"/>
              <w:jc w:val="center"/>
              <w:rPr>
                <w:color w:val="auto"/>
                <w:sz w:val="21"/>
                <w:highlight w:val="none"/>
              </w:rPr>
            </w:pPr>
            <w:r>
              <w:rPr>
                <w:color w:val="auto"/>
                <w:w w:val="99"/>
                <w:sz w:val="21"/>
                <w:highlight w:val="none"/>
              </w:rPr>
              <w:t>否</w:t>
            </w:r>
          </w:p>
        </w:tc>
        <w:tc>
          <w:tcPr>
            <w:tcW w:w="829" w:type="dxa"/>
          </w:tcPr>
          <w:p>
            <w:pPr>
              <w:pStyle w:val="12"/>
              <w:rPr>
                <w:rFonts w:ascii="Times New Roman"/>
                <w:color w:val="auto"/>
                <w:sz w:val="20"/>
                <w:highlight w:val="none"/>
              </w:rPr>
            </w:pPr>
          </w:p>
        </w:tc>
      </w:tr>
    </w:tbl>
    <w:p>
      <w:pPr>
        <w:pStyle w:val="4"/>
        <w:spacing w:line="364" w:lineRule="auto"/>
        <w:ind w:left="328" w:right="581" w:firstLine="420"/>
        <w:rPr>
          <w:color w:val="auto"/>
          <w:highlight w:val="none"/>
        </w:rPr>
      </w:pPr>
      <w:r>
        <w:rPr>
          <w:color w:val="auto"/>
          <w:w w:val="95"/>
          <w:highlight w:val="none"/>
        </w:rPr>
        <w:t xml:space="preserve">我们郑重承诺：自查内容如有虚报瞒报，一经查实，愿意接受下列处罚：在评标过程中被查实的，   </w:t>
      </w:r>
      <w:r>
        <w:rPr>
          <w:color w:val="auto"/>
          <w:highlight w:val="none"/>
        </w:rPr>
        <w:t>愿意接受对公司和项目总监记不良行为记录一次；若是中标候选人被取消中标资格，愿意接受对公司和项目总监记黑名单一次。</w:t>
      </w:r>
    </w:p>
    <w:p>
      <w:pPr>
        <w:pStyle w:val="5"/>
        <w:rPr>
          <w:rFonts w:ascii="黑体"/>
          <w:b/>
          <w:color w:val="auto"/>
          <w:sz w:val="20"/>
          <w:highlight w:val="none"/>
        </w:rPr>
      </w:pPr>
    </w:p>
    <w:p>
      <w:pPr>
        <w:pStyle w:val="5"/>
        <w:spacing w:before="151"/>
        <w:ind w:left="743"/>
        <w:rPr>
          <w:color w:val="auto"/>
          <w:highlight w:val="none"/>
        </w:rPr>
      </w:pPr>
      <w:r>
        <w:rPr>
          <w:color w:val="auto"/>
          <w:spacing w:val="-1"/>
          <w:w w:val="99"/>
          <w:highlight w:val="none"/>
        </w:rPr>
        <w:t>法定代表人</w:t>
      </w:r>
      <w:r>
        <w:rPr>
          <w:color w:val="auto"/>
          <w:spacing w:val="2"/>
          <w:w w:val="99"/>
          <w:highlight w:val="none"/>
        </w:rPr>
        <w:t>（</w:t>
      </w:r>
      <w:r>
        <w:rPr>
          <w:color w:val="auto"/>
          <w:spacing w:val="-1"/>
          <w:w w:val="99"/>
          <w:highlight w:val="none"/>
        </w:rPr>
        <w:t>签字或盖章</w:t>
      </w:r>
      <w:r>
        <w:rPr>
          <w:color w:val="auto"/>
          <w:spacing w:val="-104"/>
          <w:w w:val="99"/>
          <w:highlight w:val="none"/>
        </w:rPr>
        <w:t>）</w:t>
      </w:r>
      <w:r>
        <w:rPr>
          <w:color w:val="auto"/>
          <w:w w:val="99"/>
          <w:highlight w:val="none"/>
        </w:rPr>
        <w:t>：</w:t>
      </w:r>
    </w:p>
    <w:p>
      <w:pPr>
        <w:pStyle w:val="5"/>
        <w:tabs>
          <w:tab w:val="left" w:pos="1163"/>
          <w:tab w:val="left" w:pos="1583"/>
          <w:tab w:val="left" w:pos="4628"/>
          <w:tab w:val="left" w:pos="5257"/>
          <w:tab w:val="left" w:pos="5888"/>
        </w:tabs>
        <w:spacing w:before="139"/>
        <w:ind w:left="743"/>
        <w:rPr>
          <w:color w:val="auto"/>
          <w:highlight w:val="none"/>
        </w:rPr>
      </w:pPr>
      <w:r>
        <w:rPr>
          <w:color w:val="auto"/>
          <w:w w:val="99"/>
          <w:highlight w:val="none"/>
        </w:rPr>
        <w:t>投</w:t>
      </w:r>
      <w:r>
        <w:rPr>
          <w:color w:val="auto"/>
          <w:highlight w:val="none"/>
        </w:rPr>
        <w:tab/>
      </w:r>
      <w:r>
        <w:rPr>
          <w:color w:val="auto"/>
          <w:w w:val="99"/>
          <w:highlight w:val="none"/>
        </w:rPr>
        <w:t>标</w:t>
      </w:r>
      <w:r>
        <w:rPr>
          <w:color w:val="auto"/>
          <w:highlight w:val="none"/>
        </w:rPr>
        <w:tab/>
      </w:r>
      <w:r>
        <w:rPr>
          <w:color w:val="auto"/>
          <w:spacing w:val="-1"/>
          <w:w w:val="99"/>
          <w:highlight w:val="none"/>
        </w:rPr>
        <w:t>人</w:t>
      </w:r>
      <w:r>
        <w:rPr>
          <w:color w:val="auto"/>
          <w:spacing w:val="2"/>
          <w:w w:val="99"/>
          <w:highlight w:val="none"/>
        </w:rPr>
        <w:t>（</w:t>
      </w:r>
      <w:r>
        <w:rPr>
          <w:color w:val="auto"/>
          <w:spacing w:val="-1"/>
          <w:w w:val="99"/>
          <w:highlight w:val="none"/>
        </w:rPr>
        <w:t>盖</w:t>
      </w:r>
      <w:r>
        <w:rPr>
          <w:color w:val="auto"/>
          <w:spacing w:val="2"/>
          <w:w w:val="99"/>
          <w:highlight w:val="none"/>
        </w:rPr>
        <w:t>章</w:t>
      </w:r>
      <w:r>
        <w:rPr>
          <w:color w:val="auto"/>
          <w:spacing w:val="-104"/>
          <w:w w:val="99"/>
          <w:highlight w:val="none"/>
        </w:rPr>
        <w:t>）</w:t>
      </w:r>
      <w:r>
        <w:rPr>
          <w:color w:val="auto"/>
          <w:w w:val="99"/>
          <w:highlight w:val="none"/>
        </w:rPr>
        <w:t>：</w:t>
      </w:r>
      <w:r>
        <w:rPr>
          <w:color w:val="auto"/>
          <w:highlight w:val="none"/>
        </w:rPr>
        <w:tab/>
      </w:r>
      <w:r>
        <w:rPr>
          <w:color w:val="auto"/>
          <w:w w:val="99"/>
          <w:highlight w:val="none"/>
        </w:rPr>
        <w:t>年</w:t>
      </w:r>
      <w:r>
        <w:rPr>
          <w:color w:val="auto"/>
          <w:highlight w:val="none"/>
        </w:rPr>
        <w:tab/>
      </w:r>
      <w:r>
        <w:rPr>
          <w:color w:val="auto"/>
          <w:w w:val="99"/>
          <w:highlight w:val="none"/>
        </w:rPr>
        <w:t>月</w:t>
      </w:r>
      <w:r>
        <w:rPr>
          <w:color w:val="auto"/>
          <w:highlight w:val="none"/>
        </w:rPr>
        <w:tab/>
      </w:r>
      <w:r>
        <w:rPr>
          <w:color w:val="auto"/>
          <w:w w:val="99"/>
          <w:highlight w:val="none"/>
        </w:rPr>
        <w:t>日</w:t>
      </w:r>
    </w:p>
    <w:p>
      <w:pPr>
        <w:spacing w:after="0"/>
        <w:rPr>
          <w:color w:val="auto"/>
          <w:highlight w:val="none"/>
        </w:rPr>
        <w:sectPr>
          <w:headerReference r:id="rId15" w:type="default"/>
          <w:footerReference r:id="rId16" w:type="default"/>
          <w:pgSz w:w="11910" w:h="16840"/>
          <w:pgMar w:top="1080" w:right="520" w:bottom="1180" w:left="920" w:header="887" w:footer="991" w:gutter="0"/>
        </w:sectPr>
      </w:pPr>
    </w:p>
    <w:p>
      <w:pPr>
        <w:pStyle w:val="5"/>
        <w:spacing w:before="8"/>
        <w:rPr>
          <w:color w:val="auto"/>
          <w:sz w:val="26"/>
          <w:highlight w:val="none"/>
        </w:rPr>
      </w:pPr>
    </w:p>
    <w:p>
      <w:pPr>
        <w:spacing w:after="0"/>
        <w:rPr>
          <w:color w:val="auto"/>
          <w:sz w:val="26"/>
          <w:highlight w:val="none"/>
        </w:rPr>
        <w:sectPr>
          <w:pgSz w:w="11910" w:h="16840"/>
          <w:pgMar w:top="1080" w:right="520" w:bottom="1180" w:left="920" w:header="887" w:footer="991" w:gutter="0"/>
        </w:sectPr>
      </w:pPr>
    </w:p>
    <w:p>
      <w:pPr>
        <w:spacing w:before="62"/>
        <w:ind w:left="328" w:right="0" w:firstLine="0"/>
        <w:jc w:val="left"/>
        <w:rPr>
          <w:color w:val="auto"/>
          <w:sz w:val="28"/>
          <w:highlight w:val="none"/>
        </w:rPr>
      </w:pPr>
      <w:bookmarkStart w:id="119" w:name="_bookmark15"/>
      <w:bookmarkEnd w:id="119"/>
      <w:bookmarkStart w:id="120" w:name="附件五："/>
      <w:bookmarkEnd w:id="120"/>
      <w:r>
        <w:rPr>
          <w:color w:val="auto"/>
          <w:sz w:val="28"/>
          <w:highlight w:val="none"/>
        </w:rPr>
        <w:t>附件五：</w:t>
      </w:r>
    </w:p>
    <w:p>
      <w:pPr>
        <w:pStyle w:val="5"/>
        <w:spacing w:before="7"/>
        <w:rPr>
          <w:color w:val="auto"/>
          <w:sz w:val="42"/>
          <w:highlight w:val="none"/>
        </w:rPr>
      </w:pPr>
      <w:r>
        <w:rPr>
          <w:color w:val="auto"/>
          <w:highlight w:val="none"/>
        </w:rPr>
        <w:br w:type="column"/>
      </w:r>
    </w:p>
    <w:p>
      <w:pPr>
        <w:spacing w:before="0"/>
        <w:ind w:left="328" w:right="0" w:firstLine="0"/>
        <w:jc w:val="left"/>
        <w:rPr>
          <w:rFonts w:hint="eastAsia" w:ascii="黑体" w:eastAsia="黑体"/>
          <w:color w:val="auto"/>
          <w:sz w:val="44"/>
          <w:highlight w:val="none"/>
        </w:rPr>
      </w:pPr>
      <w:r>
        <w:rPr>
          <w:rFonts w:hint="eastAsia" w:ascii="黑体" w:eastAsia="黑体"/>
          <w:color w:val="auto"/>
          <w:sz w:val="44"/>
          <w:highlight w:val="none"/>
        </w:rPr>
        <w:t>台州市建设工程诚信投标承诺书</w:t>
      </w:r>
    </w:p>
    <w:p>
      <w:pPr>
        <w:spacing w:after="0"/>
        <w:jc w:val="left"/>
        <w:rPr>
          <w:rFonts w:hint="eastAsia" w:ascii="黑体" w:eastAsia="黑体"/>
          <w:color w:val="auto"/>
          <w:sz w:val="44"/>
          <w:highlight w:val="none"/>
        </w:rPr>
        <w:sectPr>
          <w:type w:val="continuous"/>
          <w:pgSz w:w="11910" w:h="16840"/>
          <w:pgMar w:top="1080" w:right="520" w:bottom="1040" w:left="920" w:header="720" w:footer="720" w:gutter="0"/>
          <w:cols w:equalWidth="0" w:num="2">
            <w:col w:w="1489" w:space="107"/>
            <w:col w:w="8874"/>
          </w:cols>
        </w:sectPr>
      </w:pPr>
    </w:p>
    <w:p>
      <w:pPr>
        <w:pStyle w:val="5"/>
        <w:rPr>
          <w:rFonts w:ascii="黑体"/>
          <w:color w:val="auto"/>
          <w:sz w:val="20"/>
          <w:highlight w:val="none"/>
        </w:rPr>
      </w:pPr>
    </w:p>
    <w:p>
      <w:pPr>
        <w:pStyle w:val="5"/>
        <w:rPr>
          <w:rFonts w:ascii="黑体"/>
          <w:color w:val="auto"/>
          <w:sz w:val="20"/>
          <w:highlight w:val="none"/>
        </w:rPr>
      </w:pPr>
    </w:p>
    <w:p>
      <w:pPr>
        <w:spacing w:before="192"/>
        <w:ind w:left="808" w:right="0" w:firstLine="0"/>
        <w:jc w:val="left"/>
        <w:rPr>
          <w:color w:val="auto"/>
          <w:sz w:val="28"/>
          <w:highlight w:val="none"/>
        </w:rPr>
      </w:pPr>
      <w:r>
        <w:rPr>
          <w:color w:val="auto"/>
          <w:sz w:val="28"/>
          <w:highlight w:val="none"/>
        </w:rPr>
        <w:t>本人以企业法定代表人的身份郑重承诺：</w:t>
      </w:r>
    </w:p>
    <w:p>
      <w:pPr>
        <w:pStyle w:val="5"/>
        <w:spacing w:before="10"/>
        <w:rPr>
          <w:color w:val="auto"/>
          <w:sz w:val="28"/>
          <w:highlight w:val="none"/>
        </w:rPr>
      </w:pPr>
    </w:p>
    <w:p>
      <w:pPr>
        <w:spacing w:before="0" w:line="364" w:lineRule="auto"/>
        <w:ind w:left="328" w:right="781" w:firstLine="559"/>
        <w:jc w:val="left"/>
        <w:rPr>
          <w:color w:val="auto"/>
          <w:sz w:val="28"/>
          <w:highlight w:val="none"/>
        </w:rPr>
      </w:pPr>
      <w:bookmarkStart w:id="121" w:name="一、将遵循公开、公平、公正和诚实信用的原则参加玉环市滨港工业城二期海口南路西段工"/>
      <w:bookmarkEnd w:id="121"/>
      <w:r>
        <w:rPr>
          <w:color w:val="auto"/>
          <w:sz w:val="28"/>
          <w:highlight w:val="none"/>
        </w:rPr>
        <w:t>一、将遵循公开、公平、公正和诚实信用的原则参加</w:t>
      </w:r>
      <w:r>
        <w:rPr>
          <w:rFonts w:hint="eastAsia"/>
          <w:color w:val="auto"/>
          <w:sz w:val="28"/>
          <w:highlight w:val="none"/>
          <w:u w:val="single"/>
          <w:lang w:eastAsia="zh-CN"/>
        </w:rPr>
        <w:t>玉环市漩门三期围垦配套工程（监理）</w:t>
      </w:r>
      <w:r>
        <w:rPr>
          <w:color w:val="auto"/>
          <w:spacing w:val="-2"/>
          <w:w w:val="100"/>
          <w:sz w:val="28"/>
          <w:highlight w:val="none"/>
        </w:rPr>
        <w:t>的投标；</w:t>
      </w:r>
    </w:p>
    <w:p>
      <w:pPr>
        <w:spacing w:before="0" w:line="358" w:lineRule="exact"/>
        <w:ind w:left="808" w:right="0" w:firstLine="0"/>
        <w:jc w:val="left"/>
        <w:rPr>
          <w:color w:val="auto"/>
          <w:sz w:val="28"/>
          <w:highlight w:val="none"/>
        </w:rPr>
      </w:pPr>
      <w:r>
        <w:rPr>
          <w:color w:val="auto"/>
          <w:sz w:val="28"/>
          <w:highlight w:val="none"/>
        </w:rPr>
        <w:t>二、所提供的一切材料都是真实、有效、合法的；</w:t>
      </w:r>
    </w:p>
    <w:p>
      <w:pPr>
        <w:pStyle w:val="5"/>
        <w:spacing w:before="7"/>
        <w:rPr>
          <w:color w:val="auto"/>
          <w:sz w:val="28"/>
          <w:highlight w:val="none"/>
        </w:rPr>
      </w:pPr>
    </w:p>
    <w:p>
      <w:pPr>
        <w:spacing w:before="0" w:line="487" w:lineRule="auto"/>
        <w:ind w:left="328" w:right="695" w:firstLine="480"/>
        <w:jc w:val="left"/>
        <w:rPr>
          <w:color w:val="auto"/>
          <w:sz w:val="28"/>
          <w:highlight w:val="none"/>
        </w:rPr>
      </w:pPr>
      <w:r>
        <w:rPr>
          <w:color w:val="auto"/>
          <w:sz w:val="28"/>
          <w:highlight w:val="none"/>
        </w:rPr>
        <w:t>三、不与其他投标人相互串通投标报价，不排挤其他投标人的公平竞争， 不损害招标人或其他投标人的合法权益，不少报漏报不良行为记录情况；</w:t>
      </w:r>
    </w:p>
    <w:p>
      <w:pPr>
        <w:spacing w:before="0" w:line="484" w:lineRule="auto"/>
        <w:ind w:left="328" w:right="781" w:firstLine="480"/>
        <w:jc w:val="left"/>
        <w:rPr>
          <w:color w:val="auto"/>
          <w:sz w:val="28"/>
          <w:highlight w:val="none"/>
        </w:rPr>
      </w:pPr>
      <w:r>
        <w:rPr>
          <w:color w:val="auto"/>
          <w:spacing w:val="-10"/>
          <w:sz w:val="28"/>
          <w:highlight w:val="none"/>
        </w:rPr>
        <w:t>四、不与招标人或招标代理机构串通投标，损害国家利益、社会公共利益</w:t>
      </w:r>
      <w:r>
        <w:rPr>
          <w:color w:val="auto"/>
          <w:spacing w:val="-4"/>
          <w:sz w:val="28"/>
          <w:highlight w:val="none"/>
        </w:rPr>
        <w:t>或者他人的合法权益；</w:t>
      </w:r>
    </w:p>
    <w:p>
      <w:pPr>
        <w:spacing w:before="1"/>
        <w:ind w:left="808" w:right="0" w:firstLine="0"/>
        <w:jc w:val="left"/>
        <w:rPr>
          <w:color w:val="auto"/>
          <w:sz w:val="28"/>
          <w:highlight w:val="none"/>
        </w:rPr>
      </w:pPr>
      <w:r>
        <w:rPr>
          <w:color w:val="auto"/>
          <w:sz w:val="28"/>
          <w:highlight w:val="none"/>
        </w:rPr>
        <w:t>五、不向招标人或者评标小组成员行贿以牟取中标；</w:t>
      </w:r>
    </w:p>
    <w:p>
      <w:pPr>
        <w:pStyle w:val="5"/>
        <w:spacing w:before="9"/>
        <w:rPr>
          <w:color w:val="auto"/>
          <w:sz w:val="28"/>
          <w:highlight w:val="none"/>
        </w:rPr>
      </w:pPr>
    </w:p>
    <w:p>
      <w:pPr>
        <w:spacing w:before="1"/>
        <w:ind w:left="808" w:right="0" w:firstLine="0"/>
        <w:jc w:val="left"/>
        <w:rPr>
          <w:color w:val="auto"/>
          <w:sz w:val="28"/>
          <w:highlight w:val="none"/>
        </w:rPr>
      </w:pPr>
      <w:r>
        <w:rPr>
          <w:color w:val="auto"/>
          <w:sz w:val="28"/>
          <w:highlight w:val="none"/>
        </w:rPr>
        <w:t>六、不以他人名义投标或者以其他方式弄虚作假，骗取中标。</w:t>
      </w:r>
    </w:p>
    <w:p>
      <w:pPr>
        <w:pStyle w:val="5"/>
        <w:spacing w:before="7"/>
        <w:rPr>
          <w:color w:val="auto"/>
          <w:sz w:val="28"/>
          <w:highlight w:val="none"/>
        </w:rPr>
      </w:pPr>
    </w:p>
    <w:p>
      <w:pPr>
        <w:spacing w:before="0" w:line="487" w:lineRule="auto"/>
        <w:ind w:left="328" w:right="779" w:firstLine="480"/>
        <w:jc w:val="left"/>
        <w:rPr>
          <w:color w:val="auto"/>
          <w:sz w:val="28"/>
          <w:highlight w:val="none"/>
        </w:rPr>
      </w:pPr>
      <w:r>
        <w:rPr>
          <w:color w:val="auto"/>
          <w:spacing w:val="-22"/>
          <w:sz w:val="28"/>
          <w:highlight w:val="none"/>
        </w:rPr>
        <w:t>七、本公司的投标资格已按照《台州市建设工程投标人资格自查表》和《台</w:t>
      </w:r>
      <w:r>
        <w:rPr>
          <w:color w:val="auto"/>
          <w:spacing w:val="-6"/>
          <w:sz w:val="28"/>
          <w:highlight w:val="none"/>
        </w:rPr>
        <w:t>州市建设工程投标项目总监资格自查表》逐条自查，并如实填写。</w:t>
      </w:r>
    </w:p>
    <w:p>
      <w:pPr>
        <w:spacing w:before="0" w:line="487" w:lineRule="auto"/>
        <w:ind w:left="328" w:right="701" w:firstLine="480"/>
        <w:jc w:val="left"/>
        <w:rPr>
          <w:color w:val="auto"/>
          <w:sz w:val="28"/>
          <w:highlight w:val="none"/>
        </w:rPr>
      </w:pPr>
      <w:r>
        <w:rPr>
          <w:color w:val="auto"/>
          <w:sz w:val="28"/>
          <w:highlight w:val="none"/>
        </w:rPr>
        <w:t>本公司若有违反本承诺内容的行为，愿意承担法律责任。如已中标的，自动放弃中标资格；给招标人造成损失的，依法承担赔偿责任。</w:t>
      </w:r>
    </w:p>
    <w:p>
      <w:pPr>
        <w:tabs>
          <w:tab w:val="left" w:pos="1248"/>
          <w:tab w:val="left" w:pos="1809"/>
        </w:tabs>
        <w:spacing w:before="0" w:line="354" w:lineRule="exact"/>
        <w:ind w:left="689" w:right="0" w:firstLine="0"/>
        <w:jc w:val="center"/>
        <w:rPr>
          <w:color w:val="auto"/>
          <w:sz w:val="28"/>
          <w:highlight w:val="none"/>
        </w:rPr>
      </w:pPr>
      <w:r>
        <w:rPr>
          <w:color w:val="auto"/>
          <w:w w:val="100"/>
          <w:sz w:val="28"/>
          <w:highlight w:val="none"/>
        </w:rPr>
        <w:t>投</w:t>
      </w:r>
      <w:r>
        <w:rPr>
          <w:color w:val="auto"/>
          <w:sz w:val="28"/>
          <w:highlight w:val="none"/>
        </w:rPr>
        <w:tab/>
      </w:r>
      <w:r>
        <w:rPr>
          <w:color w:val="auto"/>
          <w:w w:val="100"/>
          <w:sz w:val="28"/>
          <w:highlight w:val="none"/>
        </w:rPr>
        <w:t>标</w:t>
      </w:r>
      <w:r>
        <w:rPr>
          <w:color w:val="auto"/>
          <w:sz w:val="28"/>
          <w:highlight w:val="none"/>
        </w:rPr>
        <w:tab/>
      </w:r>
      <w:r>
        <w:rPr>
          <w:color w:val="auto"/>
          <w:spacing w:val="-1"/>
          <w:w w:val="100"/>
          <w:sz w:val="28"/>
          <w:highlight w:val="none"/>
        </w:rPr>
        <w:t>人</w:t>
      </w:r>
      <w:r>
        <w:rPr>
          <w:color w:val="auto"/>
          <w:spacing w:val="-3"/>
          <w:w w:val="100"/>
          <w:sz w:val="28"/>
          <w:highlight w:val="none"/>
        </w:rPr>
        <w:t>（</w:t>
      </w:r>
      <w:r>
        <w:rPr>
          <w:color w:val="auto"/>
          <w:spacing w:val="-1"/>
          <w:w w:val="100"/>
          <w:sz w:val="28"/>
          <w:highlight w:val="none"/>
        </w:rPr>
        <w:t>盖</w:t>
      </w:r>
      <w:r>
        <w:rPr>
          <w:color w:val="auto"/>
          <w:spacing w:val="-3"/>
          <w:w w:val="100"/>
          <w:sz w:val="28"/>
          <w:highlight w:val="none"/>
        </w:rPr>
        <w:t>章</w:t>
      </w:r>
      <w:r>
        <w:rPr>
          <w:color w:val="auto"/>
          <w:spacing w:val="-140"/>
          <w:w w:val="100"/>
          <w:sz w:val="28"/>
          <w:highlight w:val="none"/>
        </w:rPr>
        <w:t>）</w:t>
      </w:r>
      <w:r>
        <w:rPr>
          <w:color w:val="auto"/>
          <w:w w:val="100"/>
          <w:sz w:val="28"/>
          <w:highlight w:val="none"/>
        </w:rPr>
        <w:t>：</w:t>
      </w:r>
    </w:p>
    <w:p>
      <w:pPr>
        <w:spacing w:before="184"/>
        <w:ind w:left="4247" w:right="0" w:firstLine="0"/>
        <w:jc w:val="left"/>
        <w:rPr>
          <w:color w:val="auto"/>
          <w:sz w:val="28"/>
          <w:highlight w:val="none"/>
        </w:rPr>
      </w:pPr>
      <w:r>
        <w:rPr>
          <w:color w:val="auto"/>
          <w:spacing w:val="-3"/>
          <w:w w:val="100"/>
          <w:sz w:val="28"/>
          <w:highlight w:val="none"/>
        </w:rPr>
        <w:t>法定代表人</w:t>
      </w:r>
      <w:r>
        <w:rPr>
          <w:color w:val="auto"/>
          <w:spacing w:val="-1"/>
          <w:w w:val="100"/>
          <w:sz w:val="28"/>
          <w:highlight w:val="none"/>
        </w:rPr>
        <w:t>（</w:t>
      </w:r>
      <w:r>
        <w:rPr>
          <w:color w:val="auto"/>
          <w:spacing w:val="-3"/>
          <w:w w:val="100"/>
          <w:sz w:val="28"/>
          <w:highlight w:val="none"/>
        </w:rPr>
        <w:t>签字或盖章</w:t>
      </w:r>
      <w:r>
        <w:rPr>
          <w:color w:val="auto"/>
          <w:spacing w:val="-140"/>
          <w:w w:val="100"/>
          <w:sz w:val="28"/>
          <w:highlight w:val="none"/>
        </w:rPr>
        <w:t>）</w:t>
      </w:r>
      <w:r>
        <w:rPr>
          <w:color w:val="auto"/>
          <w:w w:val="100"/>
          <w:sz w:val="28"/>
          <w:highlight w:val="none"/>
        </w:rPr>
        <w:t>：</w:t>
      </w:r>
    </w:p>
    <w:p>
      <w:pPr>
        <w:pStyle w:val="5"/>
        <w:rPr>
          <w:color w:val="auto"/>
          <w:sz w:val="33"/>
          <w:highlight w:val="none"/>
        </w:rPr>
      </w:pPr>
    </w:p>
    <w:p>
      <w:pPr>
        <w:tabs>
          <w:tab w:val="left" w:pos="7607"/>
          <w:tab w:val="left" w:pos="8447"/>
        </w:tabs>
        <w:spacing w:before="1"/>
        <w:ind w:left="6906" w:right="0" w:firstLine="0"/>
        <w:jc w:val="left"/>
        <w:rPr>
          <w:color w:val="auto"/>
          <w:sz w:val="28"/>
          <w:highlight w:val="none"/>
        </w:rPr>
      </w:pPr>
      <w:bookmarkStart w:id="122" w:name="年   月    日"/>
      <w:bookmarkEnd w:id="122"/>
      <w:r>
        <w:rPr>
          <w:color w:val="auto"/>
          <w:sz w:val="28"/>
          <w:highlight w:val="none"/>
        </w:rPr>
        <w:t>年</w:t>
      </w:r>
      <w:r>
        <w:rPr>
          <w:color w:val="auto"/>
          <w:sz w:val="28"/>
          <w:highlight w:val="none"/>
        </w:rPr>
        <w:tab/>
      </w:r>
      <w:r>
        <w:rPr>
          <w:color w:val="auto"/>
          <w:sz w:val="28"/>
          <w:highlight w:val="none"/>
        </w:rPr>
        <w:t>月</w:t>
      </w:r>
      <w:r>
        <w:rPr>
          <w:color w:val="auto"/>
          <w:sz w:val="28"/>
          <w:highlight w:val="none"/>
        </w:rPr>
        <w:tab/>
      </w:r>
      <w:r>
        <w:rPr>
          <w:color w:val="auto"/>
          <w:sz w:val="28"/>
          <w:highlight w:val="none"/>
        </w:rPr>
        <w:t>日</w:t>
      </w:r>
    </w:p>
    <w:p>
      <w:pPr>
        <w:spacing w:after="0"/>
        <w:jc w:val="left"/>
        <w:rPr>
          <w:color w:val="auto"/>
          <w:sz w:val="28"/>
          <w:highlight w:val="none"/>
        </w:rPr>
        <w:sectPr>
          <w:type w:val="continuous"/>
          <w:pgSz w:w="11910" w:h="16840"/>
          <w:pgMar w:top="1080" w:right="520" w:bottom="1040" w:left="920" w:header="720" w:footer="720" w:gutter="0"/>
        </w:sectPr>
      </w:pPr>
    </w:p>
    <w:p>
      <w:pPr>
        <w:pStyle w:val="5"/>
        <w:spacing w:before="1"/>
        <w:rPr>
          <w:color w:val="auto"/>
          <w:sz w:val="35"/>
          <w:highlight w:val="none"/>
        </w:rPr>
      </w:pPr>
    </w:p>
    <w:p>
      <w:pPr>
        <w:spacing w:before="0"/>
        <w:ind w:left="328" w:right="0" w:firstLine="0"/>
        <w:jc w:val="left"/>
        <w:rPr>
          <w:color w:val="auto"/>
          <w:sz w:val="28"/>
          <w:highlight w:val="none"/>
        </w:rPr>
      </w:pPr>
      <w:r>
        <w:rPr>
          <w:color w:val="auto"/>
          <w:highlight w:val="none"/>
        </w:rPr>
        <w:pict>
          <v:line id="_x0000_s1038" o:spid="_x0000_s1038" o:spt="20" style="position:absolute;left:0pt;margin-left:62.3pt;margin-top:-6.9pt;height:0pt;width:467.8pt;mso-position-horizontal-relative:page;z-index:2048;mso-width-relative:page;mso-height-relative:page;" stroked="t" coordsize="21600,21600">
            <v:path arrowok="t"/>
            <v:fill focussize="0,0"/>
            <v:stroke weight="0.72pt" color="#000000"/>
            <v:imagedata o:title=""/>
            <o:lock v:ext="edit"/>
          </v:line>
        </w:pict>
      </w:r>
      <w:bookmarkStart w:id="123" w:name="附件六："/>
      <w:bookmarkEnd w:id="123"/>
      <w:bookmarkStart w:id="124" w:name="_bookmark16"/>
      <w:bookmarkEnd w:id="124"/>
      <w:r>
        <w:rPr>
          <w:color w:val="auto"/>
          <w:sz w:val="28"/>
          <w:highlight w:val="none"/>
        </w:rPr>
        <w:t>附件六：</w:t>
      </w:r>
    </w:p>
    <w:p>
      <w:pPr>
        <w:pStyle w:val="5"/>
        <w:rPr>
          <w:color w:val="auto"/>
          <w:sz w:val="44"/>
          <w:highlight w:val="none"/>
        </w:rPr>
      </w:pPr>
      <w:r>
        <w:rPr>
          <w:color w:val="auto"/>
          <w:highlight w:val="none"/>
        </w:rPr>
        <w:br w:type="column"/>
      </w:r>
    </w:p>
    <w:p>
      <w:pPr>
        <w:spacing w:before="369"/>
        <w:ind w:left="307" w:right="19" w:firstLine="0"/>
        <w:jc w:val="center"/>
        <w:rPr>
          <w:rFonts w:hint="eastAsia" w:ascii="黑体" w:eastAsia="黑体"/>
          <w:color w:val="auto"/>
          <w:sz w:val="44"/>
          <w:highlight w:val="none"/>
        </w:rPr>
      </w:pPr>
      <w:r>
        <w:rPr>
          <w:rFonts w:hint="eastAsia" w:ascii="黑体" w:eastAsia="黑体"/>
          <w:color w:val="auto"/>
          <w:sz w:val="44"/>
          <w:highlight w:val="none"/>
        </w:rPr>
        <w:t>法定代表人授权委托书</w:t>
      </w:r>
    </w:p>
    <w:p>
      <w:pPr>
        <w:pStyle w:val="5"/>
        <w:spacing w:before="2"/>
        <w:rPr>
          <w:rFonts w:ascii="黑体"/>
          <w:color w:val="auto"/>
          <w:sz w:val="32"/>
          <w:highlight w:val="none"/>
        </w:rPr>
      </w:pPr>
    </w:p>
    <w:p>
      <w:pPr>
        <w:spacing w:before="0"/>
        <w:ind w:left="307" w:right="17" w:firstLine="0"/>
        <w:jc w:val="center"/>
        <w:rPr>
          <w:color w:val="auto"/>
          <w:sz w:val="28"/>
          <w:highlight w:val="none"/>
        </w:rPr>
      </w:pPr>
      <w:r>
        <w:rPr>
          <w:color w:val="auto"/>
          <w:sz w:val="28"/>
          <w:highlight w:val="none"/>
        </w:rPr>
        <w:t>（参考样张）</w:t>
      </w:r>
    </w:p>
    <w:p>
      <w:pPr>
        <w:spacing w:before="53"/>
        <w:ind w:left="327" w:right="0" w:firstLine="0"/>
        <w:jc w:val="left"/>
        <w:rPr>
          <w:color w:val="auto"/>
          <w:sz w:val="18"/>
          <w:highlight w:val="none"/>
        </w:rPr>
      </w:pPr>
      <w:r>
        <w:rPr>
          <w:color w:val="auto"/>
          <w:highlight w:val="none"/>
        </w:rPr>
        <w:br w:type="column"/>
      </w:r>
      <w:r>
        <w:rPr>
          <w:color w:val="auto"/>
          <w:sz w:val="18"/>
          <w:highlight w:val="none"/>
        </w:rPr>
        <w:t>监理招标文件</w:t>
      </w:r>
    </w:p>
    <w:p>
      <w:pPr>
        <w:spacing w:after="0"/>
        <w:jc w:val="left"/>
        <w:rPr>
          <w:color w:val="auto"/>
          <w:sz w:val="18"/>
          <w:highlight w:val="none"/>
        </w:rPr>
        <w:sectPr>
          <w:headerReference r:id="rId17" w:type="default"/>
          <w:footerReference r:id="rId18" w:type="default"/>
          <w:pgSz w:w="11910" w:h="16840"/>
          <w:pgMar w:top="800" w:right="520" w:bottom="1180" w:left="920" w:header="0" w:footer="993" w:gutter="0"/>
          <w:cols w:equalWidth="0" w:num="3">
            <w:col w:w="1489" w:space="987"/>
            <w:col w:w="4767" w:space="1032"/>
            <w:col w:w="2195"/>
          </w:cols>
        </w:sect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rPr>
          <w:color w:val="auto"/>
          <w:sz w:val="20"/>
          <w:highlight w:val="none"/>
        </w:rPr>
      </w:pPr>
    </w:p>
    <w:p>
      <w:pPr>
        <w:pStyle w:val="5"/>
        <w:spacing w:before="2"/>
        <w:rPr>
          <w:color w:val="auto"/>
          <w:sz w:val="22"/>
          <w:highlight w:val="none"/>
        </w:rPr>
      </w:pPr>
    </w:p>
    <w:p>
      <w:pPr>
        <w:tabs>
          <w:tab w:val="left" w:pos="4986"/>
          <w:tab w:val="left" w:pos="9752"/>
        </w:tabs>
        <w:spacing w:before="71"/>
        <w:ind w:left="928" w:right="0" w:firstLine="0"/>
        <w:jc w:val="left"/>
        <w:rPr>
          <w:rFonts w:ascii="Times New Roman" w:eastAsia="Times New Roman"/>
          <w:color w:val="auto"/>
          <w:sz w:val="28"/>
          <w:highlight w:val="none"/>
        </w:rPr>
      </w:pPr>
      <w:r>
        <w:rPr>
          <w:color w:val="auto"/>
          <w:sz w:val="28"/>
          <w:highlight w:val="none"/>
        </w:rPr>
        <w:t>本</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书声</w:t>
      </w:r>
      <w:r>
        <w:rPr>
          <w:color w:val="auto"/>
          <w:spacing w:val="-3"/>
          <w:sz w:val="28"/>
          <w:highlight w:val="none"/>
        </w:rPr>
        <w:t>明</w:t>
      </w:r>
      <w:r>
        <w:rPr>
          <w:color w:val="auto"/>
          <w:sz w:val="28"/>
          <w:highlight w:val="none"/>
        </w:rPr>
        <w:t>：</w:t>
      </w:r>
      <w:r>
        <w:rPr>
          <w:color w:val="auto"/>
          <w:spacing w:val="-3"/>
          <w:sz w:val="28"/>
          <w:highlight w:val="none"/>
        </w:rPr>
        <w:t>我</w:t>
      </w:r>
      <w:r>
        <w:rPr>
          <w:color w:val="auto"/>
          <w:spacing w:val="-3"/>
          <w:sz w:val="28"/>
          <w:highlight w:val="none"/>
          <w:u w:val="single"/>
        </w:rPr>
        <w:t xml:space="preserve"> </w:t>
      </w:r>
      <w:r>
        <w:rPr>
          <w:color w:val="auto"/>
          <w:spacing w:val="-3"/>
          <w:sz w:val="28"/>
          <w:highlight w:val="none"/>
          <w:u w:val="single"/>
        </w:rPr>
        <w:tab/>
      </w:r>
      <w:r>
        <w:rPr>
          <w:color w:val="auto"/>
          <w:spacing w:val="-1"/>
          <w:sz w:val="28"/>
          <w:highlight w:val="none"/>
        </w:rPr>
        <w:t>（</w:t>
      </w:r>
      <w:r>
        <w:rPr>
          <w:color w:val="auto"/>
          <w:spacing w:val="-3"/>
          <w:sz w:val="28"/>
          <w:highlight w:val="none"/>
        </w:rPr>
        <w:t>姓</w:t>
      </w:r>
      <w:r>
        <w:rPr>
          <w:color w:val="auto"/>
          <w:spacing w:val="-1"/>
          <w:sz w:val="28"/>
          <w:highlight w:val="none"/>
        </w:rPr>
        <w:t>名）系</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5"/>
        <w:spacing w:before="3"/>
        <w:rPr>
          <w:rFonts w:ascii="Times New Roman"/>
          <w:color w:val="auto"/>
          <w:sz w:val="20"/>
          <w:highlight w:val="none"/>
        </w:rPr>
      </w:pPr>
    </w:p>
    <w:p>
      <w:pPr>
        <w:tabs>
          <w:tab w:val="left" w:pos="1446"/>
          <w:tab w:val="left" w:pos="8288"/>
        </w:tabs>
        <w:spacing w:before="70" w:line="364" w:lineRule="auto"/>
        <w:ind w:left="328" w:right="779" w:firstLine="0"/>
        <w:jc w:val="both"/>
        <w:rPr>
          <w:color w:val="auto"/>
          <w:sz w:val="28"/>
          <w:highlight w:val="none"/>
        </w:rPr>
      </w:pP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r>
        <w:rPr>
          <w:color w:val="auto"/>
          <w:sz w:val="28"/>
          <w:highlight w:val="none"/>
        </w:rPr>
        <w:t>（</w:t>
      </w:r>
      <w:r>
        <w:rPr>
          <w:color w:val="auto"/>
          <w:spacing w:val="-3"/>
          <w:sz w:val="28"/>
          <w:highlight w:val="none"/>
        </w:rPr>
        <w:t>投</w:t>
      </w:r>
      <w:r>
        <w:rPr>
          <w:color w:val="auto"/>
          <w:sz w:val="28"/>
          <w:highlight w:val="none"/>
        </w:rPr>
        <w:t>标人</w:t>
      </w:r>
      <w:r>
        <w:rPr>
          <w:color w:val="auto"/>
          <w:spacing w:val="-8"/>
          <w:sz w:val="28"/>
          <w:highlight w:val="none"/>
        </w:rPr>
        <w:t>）</w:t>
      </w:r>
      <w:r>
        <w:rPr>
          <w:color w:val="auto"/>
          <w:sz w:val="28"/>
          <w:highlight w:val="none"/>
        </w:rPr>
        <w:t>的</w:t>
      </w:r>
      <w:r>
        <w:rPr>
          <w:color w:val="auto"/>
          <w:spacing w:val="-3"/>
          <w:sz w:val="28"/>
          <w:highlight w:val="none"/>
        </w:rPr>
        <w:t>法</w:t>
      </w:r>
      <w:r>
        <w:rPr>
          <w:color w:val="auto"/>
          <w:sz w:val="28"/>
          <w:highlight w:val="none"/>
        </w:rPr>
        <w:t>定代</w:t>
      </w:r>
      <w:r>
        <w:rPr>
          <w:color w:val="auto"/>
          <w:spacing w:val="-3"/>
          <w:sz w:val="28"/>
          <w:highlight w:val="none"/>
        </w:rPr>
        <w:t>表</w:t>
      </w:r>
      <w:r>
        <w:rPr>
          <w:color w:val="auto"/>
          <w:sz w:val="28"/>
          <w:highlight w:val="none"/>
        </w:rPr>
        <w:t>人</w:t>
      </w:r>
      <w:r>
        <w:rPr>
          <w:color w:val="auto"/>
          <w:spacing w:val="-8"/>
          <w:sz w:val="28"/>
          <w:highlight w:val="none"/>
        </w:rPr>
        <w:t>，</w:t>
      </w:r>
      <w:r>
        <w:rPr>
          <w:color w:val="auto"/>
          <w:sz w:val="28"/>
          <w:highlight w:val="none"/>
        </w:rPr>
        <w:t>现</w:t>
      </w:r>
      <w:r>
        <w:rPr>
          <w:color w:val="auto"/>
          <w:spacing w:val="-3"/>
          <w:sz w:val="28"/>
          <w:highlight w:val="none"/>
        </w:rPr>
        <w:t>授</w:t>
      </w:r>
      <w:r>
        <w:rPr>
          <w:color w:val="auto"/>
          <w:sz w:val="28"/>
          <w:highlight w:val="none"/>
        </w:rPr>
        <w:t>权委</w:t>
      </w:r>
      <w:r>
        <w:rPr>
          <w:color w:val="auto"/>
          <w:spacing w:val="-3"/>
          <w:sz w:val="28"/>
          <w:highlight w:val="none"/>
        </w:rPr>
        <w:t>托</w:t>
      </w:r>
      <w:r>
        <w:rPr>
          <w:color w:val="auto"/>
          <w:sz w:val="28"/>
          <w:highlight w:val="none"/>
        </w:rPr>
        <w:t>我单位</w:t>
      </w:r>
      <w:r>
        <w:rPr>
          <w:color w:val="auto"/>
          <w:sz w:val="28"/>
          <w:highlight w:val="none"/>
          <w:u w:val="single"/>
        </w:rPr>
        <w:t xml:space="preserve"> </w:t>
      </w:r>
      <w:r>
        <w:rPr>
          <w:color w:val="auto"/>
          <w:sz w:val="28"/>
          <w:highlight w:val="none"/>
          <w:u w:val="single"/>
        </w:rPr>
        <w:tab/>
      </w:r>
      <w:r>
        <w:rPr>
          <w:color w:val="auto"/>
          <w:sz w:val="28"/>
          <w:highlight w:val="none"/>
        </w:rPr>
        <w:t>（姓</w:t>
      </w:r>
      <w:r>
        <w:rPr>
          <w:color w:val="auto"/>
          <w:spacing w:val="-3"/>
          <w:sz w:val="28"/>
          <w:highlight w:val="none"/>
        </w:rPr>
        <w:t>名</w:t>
      </w:r>
      <w:r>
        <w:rPr>
          <w:color w:val="auto"/>
          <w:spacing w:val="-8"/>
          <w:sz w:val="28"/>
          <w:highlight w:val="none"/>
        </w:rPr>
        <w:t>）</w:t>
      </w:r>
      <w:r>
        <w:rPr>
          <w:color w:val="auto"/>
          <w:spacing w:val="-12"/>
          <w:sz w:val="28"/>
          <w:highlight w:val="none"/>
        </w:rPr>
        <w:t>为</w:t>
      </w:r>
      <w:r>
        <w:rPr>
          <w:color w:val="auto"/>
          <w:sz w:val="28"/>
          <w:highlight w:val="none"/>
        </w:rPr>
        <w:t>我</w:t>
      </w:r>
      <w:r>
        <w:rPr>
          <w:color w:val="auto"/>
          <w:spacing w:val="-3"/>
          <w:sz w:val="28"/>
          <w:highlight w:val="none"/>
        </w:rPr>
        <w:t>的</w:t>
      </w:r>
      <w:r>
        <w:rPr>
          <w:color w:val="auto"/>
          <w:sz w:val="28"/>
          <w:highlight w:val="none"/>
        </w:rPr>
        <w:t>代理</w:t>
      </w:r>
      <w:r>
        <w:rPr>
          <w:color w:val="auto"/>
          <w:spacing w:val="-3"/>
          <w:sz w:val="28"/>
          <w:highlight w:val="none"/>
        </w:rPr>
        <w:t>人</w:t>
      </w:r>
      <w:r>
        <w:rPr>
          <w:color w:val="auto"/>
          <w:spacing w:val="-25"/>
          <w:sz w:val="28"/>
          <w:highlight w:val="none"/>
        </w:rPr>
        <w:t>，</w:t>
      </w:r>
      <w:r>
        <w:rPr>
          <w:color w:val="auto"/>
          <w:sz w:val="28"/>
          <w:highlight w:val="none"/>
        </w:rPr>
        <w:t>以</w:t>
      </w:r>
      <w:r>
        <w:rPr>
          <w:color w:val="auto"/>
          <w:spacing w:val="-3"/>
          <w:sz w:val="28"/>
          <w:highlight w:val="none"/>
        </w:rPr>
        <w:t>本</w:t>
      </w:r>
      <w:r>
        <w:rPr>
          <w:color w:val="auto"/>
          <w:sz w:val="28"/>
          <w:highlight w:val="none"/>
        </w:rPr>
        <w:t>单位</w:t>
      </w:r>
      <w:r>
        <w:rPr>
          <w:color w:val="auto"/>
          <w:spacing w:val="-3"/>
          <w:sz w:val="28"/>
          <w:highlight w:val="none"/>
        </w:rPr>
        <w:t>的</w:t>
      </w:r>
      <w:r>
        <w:rPr>
          <w:color w:val="auto"/>
          <w:sz w:val="28"/>
          <w:highlight w:val="none"/>
        </w:rPr>
        <w:t>名义</w:t>
      </w:r>
      <w:r>
        <w:rPr>
          <w:color w:val="auto"/>
          <w:spacing w:val="-3"/>
          <w:sz w:val="28"/>
          <w:highlight w:val="none"/>
        </w:rPr>
        <w:t>参</w:t>
      </w:r>
      <w:r>
        <w:rPr>
          <w:color w:val="auto"/>
          <w:sz w:val="28"/>
          <w:highlight w:val="none"/>
        </w:rPr>
        <w:t>加</w:t>
      </w:r>
      <w:r>
        <w:rPr>
          <w:color w:val="auto"/>
          <w:spacing w:val="2"/>
          <w:sz w:val="28"/>
          <w:highlight w:val="none"/>
          <w:u w:val="single"/>
        </w:rPr>
        <w:t xml:space="preserve"> </w:t>
      </w:r>
      <w:r>
        <w:rPr>
          <w:rFonts w:hint="eastAsia"/>
          <w:color w:val="auto"/>
          <w:sz w:val="28"/>
          <w:highlight w:val="none"/>
          <w:u w:val="single"/>
          <w:lang w:eastAsia="zh-CN"/>
        </w:rPr>
        <w:t>玉环市漩门三期开发有限公司</w:t>
      </w:r>
      <w:r>
        <w:rPr>
          <w:color w:val="auto"/>
          <w:spacing w:val="3"/>
          <w:sz w:val="28"/>
          <w:highlight w:val="none"/>
          <w:u w:val="single"/>
        </w:rPr>
        <w:t xml:space="preserve"> </w:t>
      </w:r>
      <w:r>
        <w:rPr>
          <w:color w:val="auto"/>
          <w:spacing w:val="-3"/>
          <w:sz w:val="28"/>
          <w:highlight w:val="none"/>
        </w:rPr>
        <w:t>的</w:t>
      </w:r>
      <w:r>
        <w:rPr>
          <w:color w:val="auto"/>
          <w:spacing w:val="5"/>
          <w:sz w:val="28"/>
          <w:highlight w:val="none"/>
          <w:u w:val="single"/>
        </w:rPr>
        <w:t xml:space="preserve"> </w:t>
      </w:r>
      <w:r>
        <w:rPr>
          <w:rFonts w:hint="eastAsia"/>
          <w:color w:val="auto"/>
          <w:sz w:val="28"/>
          <w:highlight w:val="none"/>
          <w:u w:val="single"/>
          <w:lang w:eastAsia="zh-CN"/>
        </w:rPr>
        <w:t>玉环市漩门三期围垦配套工程（监理）</w:t>
      </w:r>
      <w:r>
        <w:rPr>
          <w:color w:val="auto"/>
          <w:spacing w:val="-1"/>
          <w:w w:val="100"/>
          <w:sz w:val="28"/>
          <w:highlight w:val="none"/>
        </w:rPr>
        <w:t>的</w:t>
      </w:r>
      <w:r>
        <w:rPr>
          <w:color w:val="auto"/>
          <w:spacing w:val="-3"/>
          <w:w w:val="100"/>
          <w:sz w:val="28"/>
          <w:highlight w:val="none"/>
        </w:rPr>
        <w:t>投</w:t>
      </w:r>
      <w:r>
        <w:rPr>
          <w:color w:val="auto"/>
          <w:spacing w:val="-1"/>
          <w:w w:val="100"/>
          <w:sz w:val="28"/>
          <w:highlight w:val="none"/>
        </w:rPr>
        <w:t>标</w:t>
      </w:r>
      <w:r>
        <w:rPr>
          <w:color w:val="auto"/>
          <w:spacing w:val="-8"/>
          <w:w w:val="100"/>
          <w:sz w:val="28"/>
          <w:highlight w:val="none"/>
        </w:rPr>
        <w:t>。</w:t>
      </w:r>
      <w:r>
        <w:rPr>
          <w:color w:val="auto"/>
          <w:w w:val="100"/>
          <w:sz w:val="28"/>
          <w:highlight w:val="none"/>
        </w:rPr>
        <w:t>代</w:t>
      </w:r>
      <w:r>
        <w:rPr>
          <w:color w:val="auto"/>
          <w:sz w:val="28"/>
          <w:highlight w:val="none"/>
        </w:rPr>
        <w:t>理</w:t>
      </w:r>
      <w:r>
        <w:rPr>
          <w:color w:val="auto"/>
          <w:spacing w:val="-3"/>
          <w:sz w:val="28"/>
          <w:highlight w:val="none"/>
        </w:rPr>
        <w:t>人</w:t>
      </w:r>
      <w:r>
        <w:rPr>
          <w:color w:val="auto"/>
          <w:sz w:val="28"/>
          <w:highlight w:val="none"/>
        </w:rPr>
        <w:t>在该</w:t>
      </w:r>
      <w:r>
        <w:rPr>
          <w:color w:val="auto"/>
          <w:spacing w:val="-3"/>
          <w:sz w:val="28"/>
          <w:highlight w:val="none"/>
        </w:rPr>
        <w:t>工</w:t>
      </w:r>
      <w:r>
        <w:rPr>
          <w:color w:val="auto"/>
          <w:sz w:val="28"/>
          <w:highlight w:val="none"/>
        </w:rPr>
        <w:t>程招</w:t>
      </w:r>
      <w:r>
        <w:rPr>
          <w:color w:val="auto"/>
          <w:spacing w:val="-3"/>
          <w:sz w:val="28"/>
          <w:highlight w:val="none"/>
        </w:rPr>
        <w:t>投</w:t>
      </w:r>
      <w:r>
        <w:rPr>
          <w:color w:val="auto"/>
          <w:sz w:val="28"/>
          <w:highlight w:val="none"/>
        </w:rPr>
        <w:t>标活</w:t>
      </w:r>
      <w:r>
        <w:rPr>
          <w:color w:val="auto"/>
          <w:spacing w:val="-3"/>
          <w:sz w:val="28"/>
          <w:highlight w:val="none"/>
        </w:rPr>
        <w:t>动</w:t>
      </w:r>
      <w:r>
        <w:rPr>
          <w:color w:val="auto"/>
          <w:sz w:val="28"/>
          <w:highlight w:val="none"/>
        </w:rPr>
        <w:t>中的</w:t>
      </w:r>
      <w:r>
        <w:rPr>
          <w:color w:val="auto"/>
          <w:spacing w:val="-3"/>
          <w:sz w:val="28"/>
          <w:highlight w:val="none"/>
        </w:rPr>
        <w:t>一</w:t>
      </w:r>
      <w:r>
        <w:rPr>
          <w:color w:val="auto"/>
          <w:sz w:val="28"/>
          <w:highlight w:val="none"/>
        </w:rPr>
        <w:t>切事</w:t>
      </w:r>
      <w:r>
        <w:rPr>
          <w:color w:val="auto"/>
          <w:spacing w:val="-3"/>
          <w:sz w:val="28"/>
          <w:highlight w:val="none"/>
        </w:rPr>
        <w:t>务</w:t>
      </w:r>
      <w:r>
        <w:rPr>
          <w:color w:val="auto"/>
          <w:sz w:val="28"/>
          <w:highlight w:val="none"/>
        </w:rPr>
        <w:t>，我</w:t>
      </w:r>
      <w:r>
        <w:rPr>
          <w:color w:val="auto"/>
          <w:spacing w:val="-3"/>
          <w:sz w:val="28"/>
          <w:highlight w:val="none"/>
        </w:rPr>
        <w:t>均</w:t>
      </w:r>
      <w:r>
        <w:rPr>
          <w:color w:val="auto"/>
          <w:sz w:val="28"/>
          <w:highlight w:val="none"/>
        </w:rPr>
        <w:t>予以</w:t>
      </w:r>
      <w:r>
        <w:rPr>
          <w:color w:val="auto"/>
          <w:spacing w:val="-3"/>
          <w:sz w:val="28"/>
          <w:highlight w:val="none"/>
        </w:rPr>
        <w:t>承</w:t>
      </w:r>
      <w:r>
        <w:rPr>
          <w:color w:val="auto"/>
          <w:sz w:val="28"/>
          <w:highlight w:val="none"/>
        </w:rPr>
        <w:t>认。</w:t>
      </w:r>
    </w:p>
    <w:p>
      <w:pPr>
        <w:spacing w:before="118"/>
        <w:ind w:left="887" w:right="0" w:firstLine="0"/>
        <w:jc w:val="left"/>
        <w:rPr>
          <w:color w:val="auto"/>
          <w:sz w:val="28"/>
          <w:highlight w:val="none"/>
        </w:rPr>
      </w:pPr>
      <w:r>
        <w:rPr>
          <w:color w:val="auto"/>
          <w:sz w:val="28"/>
          <w:highlight w:val="none"/>
        </w:rPr>
        <w:t>代理人无转委权，特此委托。</w:t>
      </w: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rPr>
          <w:color w:val="auto"/>
          <w:sz w:val="28"/>
          <w:highlight w:val="none"/>
        </w:rPr>
      </w:pPr>
    </w:p>
    <w:p>
      <w:pPr>
        <w:pStyle w:val="5"/>
        <w:spacing w:before="7"/>
        <w:rPr>
          <w:color w:val="auto"/>
          <w:sz w:val="39"/>
          <w:highlight w:val="none"/>
        </w:rPr>
      </w:pPr>
    </w:p>
    <w:p>
      <w:pPr>
        <w:tabs>
          <w:tab w:val="left" w:pos="8235"/>
        </w:tabs>
        <w:spacing w:before="0"/>
        <w:ind w:left="328" w:right="0" w:firstLine="0"/>
        <w:jc w:val="both"/>
        <w:rPr>
          <w:rFonts w:ascii="Times New Roman" w:eastAsia="Times New Roman"/>
          <w:color w:val="auto"/>
          <w:sz w:val="28"/>
          <w:highlight w:val="none"/>
        </w:rPr>
      </w:pPr>
      <w:r>
        <w:rPr>
          <w:color w:val="auto"/>
          <w:spacing w:val="-1"/>
          <w:w w:val="100"/>
          <w:sz w:val="28"/>
          <w:highlight w:val="none"/>
        </w:rPr>
        <w:t>投</w:t>
      </w:r>
      <w:r>
        <w:rPr>
          <w:color w:val="auto"/>
          <w:spacing w:val="-3"/>
          <w:w w:val="100"/>
          <w:sz w:val="28"/>
          <w:highlight w:val="none"/>
        </w:rPr>
        <w:t>标</w:t>
      </w:r>
      <w:r>
        <w:rPr>
          <w:color w:val="auto"/>
          <w:spacing w:val="-1"/>
          <w:w w:val="100"/>
          <w:sz w:val="28"/>
          <w:highlight w:val="none"/>
        </w:rPr>
        <w:t>人（</w:t>
      </w:r>
      <w:r>
        <w:rPr>
          <w:color w:val="auto"/>
          <w:spacing w:val="-3"/>
          <w:w w:val="100"/>
          <w:sz w:val="28"/>
          <w:highlight w:val="none"/>
        </w:rPr>
        <w:t>盖</w:t>
      </w:r>
      <w:r>
        <w:rPr>
          <w:color w:val="auto"/>
          <w:spacing w:val="-1"/>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5"/>
        <w:spacing w:before="6"/>
        <w:rPr>
          <w:rFonts w:ascii="Times New Roman"/>
          <w:color w:val="auto"/>
          <w:sz w:val="20"/>
          <w:highlight w:val="none"/>
        </w:rPr>
      </w:pPr>
    </w:p>
    <w:p>
      <w:pPr>
        <w:tabs>
          <w:tab w:val="left" w:pos="8235"/>
        </w:tabs>
        <w:spacing w:before="70"/>
        <w:ind w:left="328" w:right="0" w:firstLine="0"/>
        <w:jc w:val="left"/>
        <w:rPr>
          <w:rFonts w:ascii="Times New Roman" w:eastAsia="Times New Roman"/>
          <w:color w:val="auto"/>
          <w:sz w:val="28"/>
          <w:highlight w:val="none"/>
        </w:rPr>
      </w:pPr>
      <w:r>
        <w:rPr>
          <w:color w:val="auto"/>
          <w:spacing w:val="-1"/>
          <w:w w:val="100"/>
          <w:sz w:val="28"/>
          <w:highlight w:val="none"/>
        </w:rPr>
        <w:t>法</w:t>
      </w:r>
      <w:r>
        <w:rPr>
          <w:color w:val="auto"/>
          <w:spacing w:val="-3"/>
          <w:w w:val="100"/>
          <w:sz w:val="28"/>
          <w:highlight w:val="none"/>
        </w:rPr>
        <w:t>定</w:t>
      </w:r>
      <w:r>
        <w:rPr>
          <w:color w:val="auto"/>
          <w:spacing w:val="-1"/>
          <w:w w:val="100"/>
          <w:sz w:val="28"/>
          <w:highlight w:val="none"/>
        </w:rPr>
        <w:t>代表</w:t>
      </w:r>
      <w:r>
        <w:rPr>
          <w:color w:val="auto"/>
          <w:spacing w:val="-3"/>
          <w:w w:val="100"/>
          <w:sz w:val="28"/>
          <w:highlight w:val="none"/>
        </w:rPr>
        <w:t>人</w:t>
      </w:r>
      <w:r>
        <w:rPr>
          <w:color w:val="auto"/>
          <w:spacing w:val="-1"/>
          <w:w w:val="100"/>
          <w:sz w:val="28"/>
          <w:highlight w:val="none"/>
        </w:rPr>
        <w:t>（盖</w:t>
      </w:r>
      <w:r>
        <w:rPr>
          <w:color w:val="auto"/>
          <w:spacing w:val="-3"/>
          <w:w w:val="100"/>
          <w:sz w:val="28"/>
          <w:highlight w:val="none"/>
        </w:rPr>
        <w:t>章</w:t>
      </w:r>
      <w:r>
        <w:rPr>
          <w:color w:val="auto"/>
          <w:spacing w:val="-142"/>
          <w:w w:val="100"/>
          <w:sz w:val="28"/>
          <w:highlight w:val="none"/>
        </w:rPr>
        <w:t>）</w:t>
      </w:r>
      <w:r>
        <w:rPr>
          <w:color w:val="auto"/>
          <w:spacing w:val="-1"/>
          <w:w w:val="100"/>
          <w:sz w:val="28"/>
          <w:highlight w:val="none"/>
        </w:rPr>
        <w:t>：</w:t>
      </w:r>
      <w:r>
        <w:rPr>
          <w:rFonts w:ascii="Times New Roman" w:eastAsia="Times New Roman"/>
          <w:color w:val="auto"/>
          <w:w w:val="100"/>
          <w:sz w:val="28"/>
          <w:highlight w:val="none"/>
          <w:u w:val="single"/>
        </w:rPr>
        <w:t xml:space="preserve"> </w:t>
      </w:r>
      <w:r>
        <w:rPr>
          <w:rFonts w:ascii="Times New Roman" w:eastAsia="Times New Roman"/>
          <w:color w:val="auto"/>
          <w:sz w:val="28"/>
          <w:highlight w:val="none"/>
          <w:u w:val="single"/>
        </w:rPr>
        <w:tab/>
      </w:r>
    </w:p>
    <w:p>
      <w:pPr>
        <w:pStyle w:val="5"/>
        <w:spacing w:before="6"/>
        <w:rPr>
          <w:rFonts w:ascii="Times New Roman"/>
          <w:color w:val="auto"/>
          <w:sz w:val="20"/>
          <w:highlight w:val="none"/>
        </w:rPr>
      </w:pPr>
    </w:p>
    <w:p>
      <w:pPr>
        <w:tabs>
          <w:tab w:val="left" w:pos="3407"/>
          <w:tab w:val="left" w:pos="6207"/>
          <w:tab w:val="left" w:pos="8235"/>
        </w:tabs>
        <w:spacing w:before="71"/>
        <w:ind w:left="328" w:right="0" w:firstLine="0"/>
        <w:jc w:val="left"/>
        <w:rPr>
          <w:rFonts w:ascii="Times New Roman" w:eastAsia="Times New Roman"/>
          <w:color w:val="auto"/>
          <w:sz w:val="28"/>
          <w:highlight w:val="none"/>
        </w:rPr>
      </w:pPr>
      <w:r>
        <w:rPr>
          <w:color w:val="auto"/>
          <w:sz w:val="28"/>
          <w:highlight w:val="none"/>
        </w:rPr>
        <w:t>代</w:t>
      </w:r>
      <w:r>
        <w:rPr>
          <w:color w:val="auto"/>
          <w:spacing w:val="-3"/>
          <w:sz w:val="28"/>
          <w:highlight w:val="none"/>
        </w:rPr>
        <w:t>理</w:t>
      </w:r>
      <w:r>
        <w:rPr>
          <w:color w:val="auto"/>
          <w:sz w:val="28"/>
          <w:highlight w:val="none"/>
        </w:rPr>
        <w:t>人</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性</w:t>
      </w:r>
      <w:r>
        <w:rPr>
          <w:color w:val="auto"/>
          <w:spacing w:val="-3"/>
          <w:sz w:val="28"/>
          <w:highlight w:val="none"/>
        </w:rPr>
        <w:t>别</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pacing w:val="-1"/>
          <w:sz w:val="28"/>
          <w:highlight w:val="none"/>
        </w:rPr>
        <w:t>年</w:t>
      </w:r>
      <w:r>
        <w:rPr>
          <w:color w:val="auto"/>
          <w:spacing w:val="-3"/>
          <w:sz w:val="28"/>
          <w:highlight w:val="none"/>
        </w:rPr>
        <w:t>龄</w:t>
      </w:r>
      <w:r>
        <w:rPr>
          <w:rFonts w:ascii="Times New Roman" w:eastAsia="Times New Roman"/>
          <w:color w:val="auto"/>
          <w:sz w:val="28"/>
          <w:highlight w:val="none"/>
          <w:u w:val="single"/>
        </w:rPr>
        <w:t xml:space="preserve"> </w:t>
      </w:r>
      <w:r>
        <w:rPr>
          <w:rFonts w:ascii="Times New Roman" w:eastAsia="Times New Roman"/>
          <w:color w:val="auto"/>
          <w:sz w:val="28"/>
          <w:highlight w:val="none"/>
          <w:u w:val="single"/>
        </w:rPr>
        <w:tab/>
      </w:r>
    </w:p>
    <w:p>
      <w:pPr>
        <w:pStyle w:val="5"/>
        <w:spacing w:before="2"/>
        <w:rPr>
          <w:rFonts w:ascii="Times New Roman"/>
          <w:color w:val="auto"/>
          <w:highlight w:val="none"/>
        </w:rPr>
      </w:pPr>
    </w:p>
    <w:p>
      <w:pPr>
        <w:tabs>
          <w:tab w:val="left" w:pos="3966"/>
          <w:tab w:val="left" w:pos="4527"/>
          <w:tab w:val="left" w:pos="5927"/>
          <w:tab w:val="left" w:pos="8027"/>
          <w:tab w:val="left" w:pos="8235"/>
        </w:tabs>
        <w:spacing w:before="62" w:line="364" w:lineRule="auto"/>
        <w:ind w:left="328" w:right="2156" w:firstLine="0"/>
        <w:jc w:val="left"/>
        <w:rPr>
          <w:color w:val="auto"/>
          <w:sz w:val="28"/>
          <w:highlight w:val="none"/>
        </w:rPr>
      </w:pPr>
      <w:r>
        <w:rPr>
          <w:color w:val="auto"/>
          <w:sz w:val="28"/>
          <w:highlight w:val="none"/>
        </w:rPr>
        <w:t>身</w:t>
      </w:r>
      <w:r>
        <w:rPr>
          <w:color w:val="auto"/>
          <w:spacing w:val="-3"/>
          <w:sz w:val="28"/>
          <w:highlight w:val="none"/>
        </w:rPr>
        <w:t>份</w:t>
      </w:r>
      <w:r>
        <w:rPr>
          <w:color w:val="auto"/>
          <w:sz w:val="28"/>
          <w:highlight w:val="none"/>
        </w:rPr>
        <w:t>证号</w:t>
      </w:r>
      <w:r>
        <w:rPr>
          <w:color w:val="auto"/>
          <w:spacing w:val="-3"/>
          <w:sz w:val="28"/>
          <w:highlight w:val="none"/>
        </w:rPr>
        <w:t>码</w:t>
      </w:r>
      <w:r>
        <w:rPr>
          <w:color w:val="auto"/>
          <w:sz w:val="28"/>
          <w:highlight w:val="none"/>
        </w:rPr>
        <w:t>：</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pacing w:val="-1"/>
          <w:sz w:val="28"/>
          <w:highlight w:val="none"/>
        </w:rPr>
        <w:t>职</w:t>
      </w:r>
      <w:r>
        <w:rPr>
          <w:color w:val="auto"/>
          <w:spacing w:val="-3"/>
          <w:sz w:val="28"/>
          <w:highlight w:val="none"/>
        </w:rPr>
        <w:t>务</w:t>
      </w:r>
      <w:r>
        <w:rPr>
          <w:color w:val="auto"/>
          <w:spacing w:val="-1"/>
          <w:sz w:val="28"/>
          <w:highlight w:val="none"/>
        </w:rPr>
        <w:t>：</w:t>
      </w:r>
      <w:r>
        <w:rPr>
          <w:color w:val="auto"/>
          <w:spacing w:val="-1"/>
          <w:sz w:val="28"/>
          <w:highlight w:val="none"/>
          <w:u w:val="single"/>
        </w:rPr>
        <w:tab/>
      </w:r>
      <w:r>
        <w:rPr>
          <w:color w:val="auto"/>
          <w:spacing w:val="-1"/>
          <w:sz w:val="28"/>
          <w:highlight w:val="none"/>
          <w:u w:val="single"/>
        </w:rPr>
        <w:tab/>
      </w:r>
      <w:r>
        <w:rPr>
          <w:color w:val="auto"/>
          <w:spacing w:val="-1"/>
          <w:sz w:val="28"/>
          <w:highlight w:val="none"/>
          <w:u w:val="single"/>
        </w:rPr>
        <w:tab/>
      </w:r>
      <w:r>
        <w:rPr>
          <w:color w:val="auto"/>
          <w:sz w:val="28"/>
          <w:highlight w:val="none"/>
          <w:u w:val="single"/>
        </w:rPr>
        <w:t xml:space="preserve"> </w:t>
      </w:r>
      <w:r>
        <w:rPr>
          <w:color w:val="auto"/>
          <w:sz w:val="28"/>
          <w:highlight w:val="none"/>
        </w:rPr>
        <w:t>授</w:t>
      </w:r>
      <w:r>
        <w:rPr>
          <w:color w:val="auto"/>
          <w:spacing w:val="-3"/>
          <w:sz w:val="28"/>
          <w:highlight w:val="none"/>
        </w:rPr>
        <w:t>权</w:t>
      </w:r>
      <w:r>
        <w:rPr>
          <w:color w:val="auto"/>
          <w:sz w:val="28"/>
          <w:highlight w:val="none"/>
        </w:rPr>
        <w:t>委托</w:t>
      </w:r>
      <w:r>
        <w:rPr>
          <w:color w:val="auto"/>
          <w:spacing w:val="-3"/>
          <w:sz w:val="28"/>
          <w:highlight w:val="none"/>
        </w:rPr>
        <w:t>日</w:t>
      </w:r>
      <w:r>
        <w:rPr>
          <w:color w:val="auto"/>
          <w:sz w:val="28"/>
          <w:highlight w:val="none"/>
        </w:rPr>
        <w:t>期</w:t>
      </w:r>
      <w:r>
        <w:rPr>
          <w:color w:val="auto"/>
          <w:spacing w:val="-3"/>
          <w:sz w:val="28"/>
          <w:highlight w:val="none"/>
        </w:rPr>
        <w:t>：</w:t>
      </w:r>
      <w:r>
        <w:rPr>
          <w:color w:val="auto"/>
          <w:spacing w:val="-3"/>
          <w:sz w:val="28"/>
          <w:highlight w:val="none"/>
          <w:u w:val="single"/>
        </w:rPr>
        <w:t xml:space="preserve"> </w:t>
      </w:r>
      <w:r>
        <w:rPr>
          <w:color w:val="auto"/>
          <w:spacing w:val="-3"/>
          <w:sz w:val="28"/>
          <w:highlight w:val="none"/>
          <w:u w:val="single"/>
        </w:rPr>
        <w:tab/>
      </w:r>
      <w:r>
        <w:rPr>
          <w:color w:val="auto"/>
          <w:sz w:val="28"/>
          <w:highlight w:val="none"/>
        </w:rPr>
        <w:t>年</w:t>
      </w:r>
      <w:r>
        <w:rPr>
          <w:color w:val="auto"/>
          <w:sz w:val="28"/>
          <w:highlight w:val="none"/>
          <w:u w:val="single"/>
        </w:rPr>
        <w:t xml:space="preserve"> </w:t>
      </w:r>
      <w:r>
        <w:rPr>
          <w:color w:val="auto"/>
          <w:sz w:val="28"/>
          <w:highlight w:val="none"/>
          <w:u w:val="single"/>
        </w:rPr>
        <w:tab/>
      </w:r>
      <w:r>
        <w:rPr>
          <w:color w:val="auto"/>
          <w:sz w:val="28"/>
          <w:highlight w:val="none"/>
          <w:u w:val="single"/>
        </w:rPr>
        <w:tab/>
      </w:r>
      <w:r>
        <w:rPr>
          <w:color w:val="auto"/>
          <w:sz w:val="28"/>
          <w:highlight w:val="none"/>
        </w:rPr>
        <w:t>月</w:t>
      </w:r>
      <w:r>
        <w:rPr>
          <w:color w:val="auto"/>
          <w:sz w:val="28"/>
          <w:highlight w:val="none"/>
          <w:u w:val="single"/>
        </w:rPr>
        <w:t xml:space="preserve"> </w:t>
      </w:r>
      <w:r>
        <w:rPr>
          <w:color w:val="auto"/>
          <w:sz w:val="28"/>
          <w:highlight w:val="none"/>
          <w:u w:val="single"/>
        </w:rPr>
        <w:tab/>
      </w:r>
      <w:r>
        <w:rPr>
          <w:color w:val="auto"/>
          <w:spacing w:val="-17"/>
          <w:sz w:val="28"/>
          <w:highlight w:val="none"/>
        </w:rPr>
        <w:t>日</w:t>
      </w:r>
    </w:p>
    <w:sectPr>
      <w:type w:val="continuous"/>
      <w:pgSz w:w="11910" w:h="16840"/>
      <w:pgMar w:top="1080" w:right="520" w:bottom="1040" w:left="9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305.2pt;margin-top:788.15pt;height:12pt;width:6.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0</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60" o:spid="_x0000_s2060" o:spt="202" type="#_x0000_t202" style="position:absolute;left:0pt;margin-left:290.7pt;margin-top:781.3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38</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w:pict>
        <v:shape id="_x0000_s2051" o:spid="_x0000_s2051" o:spt="202" type="#_x0000_t202" style="position:absolute;left:0pt;margin-left:304.2pt;margin-top:788.15pt;height:12pt;width:8.5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301.95pt;margin-top:788.15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4" o:spid="_x0000_s2054"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6" o:spid="_x0000_s2056" o:spt="202" type="#_x0000_t202" style="position:absolute;left:0pt;margin-left:294.85pt;margin-top:781.3pt;height:12pt;width:13.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7" o:spid="_x0000_s2057"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9" o:spid="_x0000_s2059" o:spt="202" type="#_x0000_t202" style="position:absolute;left:0pt;margin-left:295.35pt;margin-top:781.45pt;height:12pt;width:11.1pt;mso-position-horizontal-relative:page;mso-position-vertical-relative:page;z-index:-573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40</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49" o:spid="_x0000_s2049" o:spt="20" style="position:absolute;left:0pt;margin-left:71.75pt;margin-top:54.2pt;height:0pt;width:473.4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53" o:spid="_x0000_s2053" o:spt="20" style="position:absolute;left:0pt;margin-left:86.15pt;margin-top:54.2pt;height:0pt;width:430.35pt;mso-position-horizontal-relative:page;mso-position-vertical-relative:page;z-index:-57344;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line id="_x0000_s2058" o:spid="_x0000_s2058" o:spt="20" style="position:absolute;left:0pt;margin-left:62.3pt;margin-top:54.05pt;height:0pt;width:449.8pt;mso-position-horizontal-relative:page;mso-position-vertical-relative:page;z-index:-57344;mso-width-relative:page;mso-height-relative:page;" stroked="t" coordsize="21600,21600">
          <v:path arrowok="t"/>
          <v:fill focussize="0,0"/>
          <v:stroke weight="0.48pt" color="#000000"/>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1">
    <w:nsid w:val="8461FADE"/>
    <w:multiLevelType w:val="multilevel"/>
    <w:tmpl w:val="8461FADE"/>
    <w:lvl w:ilvl="0" w:tentative="0">
      <w:start w:val="3"/>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43"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93" w:hanging="525"/>
      </w:pPr>
      <w:rPr>
        <w:rFonts w:hint="default"/>
        <w:lang w:val="zh-CN" w:eastAsia="zh-CN" w:bidi="zh-CN"/>
      </w:rPr>
    </w:lvl>
    <w:lvl w:ilvl="2" w:tentative="0">
      <w:start w:val="0"/>
      <w:numFmt w:val="bullet"/>
      <w:lvlText w:val="•"/>
      <w:lvlJc w:val="left"/>
      <w:pPr>
        <w:ind w:left="1946" w:hanging="525"/>
      </w:pPr>
      <w:rPr>
        <w:rFonts w:hint="default"/>
        <w:lang w:val="zh-CN" w:eastAsia="zh-CN" w:bidi="zh-CN"/>
      </w:rPr>
    </w:lvl>
    <w:lvl w:ilvl="3" w:tentative="0">
      <w:start w:val="0"/>
      <w:numFmt w:val="bullet"/>
      <w:lvlText w:val="•"/>
      <w:lvlJc w:val="left"/>
      <w:pPr>
        <w:ind w:left="2399" w:hanging="525"/>
      </w:pPr>
      <w:rPr>
        <w:rFonts w:hint="default"/>
        <w:lang w:val="zh-CN" w:eastAsia="zh-CN" w:bidi="zh-CN"/>
      </w:rPr>
    </w:lvl>
    <w:lvl w:ilvl="4" w:tentative="0">
      <w:start w:val="0"/>
      <w:numFmt w:val="bullet"/>
      <w:lvlText w:val="•"/>
      <w:lvlJc w:val="left"/>
      <w:pPr>
        <w:ind w:left="2852" w:hanging="525"/>
      </w:pPr>
      <w:rPr>
        <w:rFonts w:hint="default"/>
        <w:lang w:val="zh-CN" w:eastAsia="zh-CN" w:bidi="zh-CN"/>
      </w:rPr>
    </w:lvl>
    <w:lvl w:ilvl="5" w:tentative="0">
      <w:start w:val="0"/>
      <w:numFmt w:val="bullet"/>
      <w:lvlText w:val="•"/>
      <w:lvlJc w:val="left"/>
      <w:pPr>
        <w:ind w:left="3305" w:hanging="525"/>
      </w:pPr>
      <w:rPr>
        <w:rFonts w:hint="default"/>
        <w:lang w:val="zh-CN" w:eastAsia="zh-CN" w:bidi="zh-CN"/>
      </w:rPr>
    </w:lvl>
    <w:lvl w:ilvl="6" w:tentative="0">
      <w:start w:val="0"/>
      <w:numFmt w:val="bullet"/>
      <w:lvlText w:val="•"/>
      <w:lvlJc w:val="left"/>
      <w:pPr>
        <w:ind w:left="3758" w:hanging="525"/>
      </w:pPr>
      <w:rPr>
        <w:rFonts w:hint="default"/>
        <w:lang w:val="zh-CN" w:eastAsia="zh-CN" w:bidi="zh-CN"/>
      </w:rPr>
    </w:lvl>
    <w:lvl w:ilvl="7" w:tentative="0">
      <w:start w:val="0"/>
      <w:numFmt w:val="bullet"/>
      <w:lvlText w:val="•"/>
      <w:lvlJc w:val="left"/>
      <w:pPr>
        <w:ind w:left="4211" w:hanging="525"/>
      </w:pPr>
      <w:rPr>
        <w:rFonts w:hint="default"/>
        <w:lang w:val="zh-CN" w:eastAsia="zh-CN" w:bidi="zh-CN"/>
      </w:rPr>
    </w:lvl>
    <w:lvl w:ilvl="8" w:tentative="0">
      <w:start w:val="0"/>
      <w:numFmt w:val="bullet"/>
      <w:lvlText w:val="•"/>
      <w:lvlJc w:val="left"/>
      <w:pPr>
        <w:ind w:left="4664" w:hanging="525"/>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454"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7"/>
      </w:pPr>
      <w:rPr>
        <w:rFonts w:hint="default"/>
        <w:lang w:val="zh-CN" w:eastAsia="zh-CN" w:bidi="zh-CN"/>
      </w:rPr>
    </w:lvl>
    <w:lvl w:ilvl="2" w:tentative="0">
      <w:start w:val="0"/>
      <w:numFmt w:val="bullet"/>
      <w:lvlText w:val="•"/>
      <w:lvlJc w:val="left"/>
      <w:pPr>
        <w:ind w:left="3261" w:hanging="527"/>
      </w:pPr>
      <w:rPr>
        <w:rFonts w:hint="default"/>
        <w:lang w:val="zh-CN" w:eastAsia="zh-CN" w:bidi="zh-CN"/>
      </w:rPr>
    </w:lvl>
    <w:lvl w:ilvl="3" w:tentative="0">
      <w:start w:val="0"/>
      <w:numFmt w:val="bullet"/>
      <w:lvlText w:val="•"/>
      <w:lvlJc w:val="left"/>
      <w:pPr>
        <w:ind w:left="4162" w:hanging="527"/>
      </w:pPr>
      <w:rPr>
        <w:rFonts w:hint="default"/>
        <w:lang w:val="zh-CN" w:eastAsia="zh-CN" w:bidi="zh-CN"/>
      </w:rPr>
    </w:lvl>
    <w:lvl w:ilvl="4" w:tentative="0">
      <w:start w:val="0"/>
      <w:numFmt w:val="bullet"/>
      <w:lvlText w:val="•"/>
      <w:lvlJc w:val="left"/>
      <w:pPr>
        <w:ind w:left="5062" w:hanging="527"/>
      </w:pPr>
      <w:rPr>
        <w:rFonts w:hint="default"/>
        <w:lang w:val="zh-CN" w:eastAsia="zh-CN" w:bidi="zh-CN"/>
      </w:rPr>
    </w:lvl>
    <w:lvl w:ilvl="5" w:tentative="0">
      <w:start w:val="0"/>
      <w:numFmt w:val="bullet"/>
      <w:lvlText w:val="•"/>
      <w:lvlJc w:val="left"/>
      <w:pPr>
        <w:ind w:left="5963" w:hanging="527"/>
      </w:pPr>
      <w:rPr>
        <w:rFonts w:hint="default"/>
        <w:lang w:val="zh-CN" w:eastAsia="zh-CN" w:bidi="zh-CN"/>
      </w:rPr>
    </w:lvl>
    <w:lvl w:ilvl="6" w:tentative="0">
      <w:start w:val="0"/>
      <w:numFmt w:val="bullet"/>
      <w:lvlText w:val="•"/>
      <w:lvlJc w:val="left"/>
      <w:pPr>
        <w:ind w:left="6864" w:hanging="527"/>
      </w:pPr>
      <w:rPr>
        <w:rFonts w:hint="default"/>
        <w:lang w:val="zh-CN" w:eastAsia="zh-CN" w:bidi="zh-CN"/>
      </w:rPr>
    </w:lvl>
    <w:lvl w:ilvl="7" w:tentative="0">
      <w:start w:val="0"/>
      <w:numFmt w:val="bullet"/>
      <w:lvlText w:val="•"/>
      <w:lvlJc w:val="left"/>
      <w:pPr>
        <w:ind w:left="7764" w:hanging="527"/>
      </w:pPr>
      <w:rPr>
        <w:rFonts w:hint="default"/>
        <w:lang w:val="zh-CN" w:eastAsia="zh-CN" w:bidi="zh-CN"/>
      </w:rPr>
    </w:lvl>
    <w:lvl w:ilvl="8" w:tentative="0">
      <w:start w:val="0"/>
      <w:numFmt w:val="bullet"/>
      <w:lvlText w:val="•"/>
      <w:lvlJc w:val="left"/>
      <w:pPr>
        <w:ind w:left="8665" w:hanging="527"/>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5">
    <w:nsid w:val="9C8AC8EF"/>
    <w:multiLevelType w:val="multilevel"/>
    <w:tmpl w:val="9C8AC8EF"/>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1"/>
      <w:numFmt w:val="decimal"/>
      <w:lvlText w:val="%2."/>
      <w:lvlJc w:val="left"/>
      <w:pPr>
        <w:ind w:left="1643" w:hanging="315"/>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2170" w:hanging="527"/>
        <w:jc w:val="left"/>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3215" w:hanging="527"/>
      </w:pPr>
      <w:rPr>
        <w:rFonts w:hint="default"/>
        <w:lang w:val="zh-CN" w:eastAsia="zh-CN" w:bidi="zh-CN"/>
      </w:rPr>
    </w:lvl>
    <w:lvl w:ilvl="4" w:tentative="0">
      <w:start w:val="0"/>
      <w:numFmt w:val="bullet"/>
      <w:lvlText w:val="•"/>
      <w:lvlJc w:val="left"/>
      <w:pPr>
        <w:ind w:left="4251" w:hanging="527"/>
      </w:pPr>
      <w:rPr>
        <w:rFonts w:hint="default"/>
        <w:lang w:val="zh-CN" w:eastAsia="zh-CN" w:bidi="zh-CN"/>
      </w:rPr>
    </w:lvl>
    <w:lvl w:ilvl="5" w:tentative="0">
      <w:start w:val="0"/>
      <w:numFmt w:val="bullet"/>
      <w:lvlText w:val="•"/>
      <w:lvlJc w:val="left"/>
      <w:pPr>
        <w:ind w:left="5287" w:hanging="527"/>
      </w:pPr>
      <w:rPr>
        <w:rFonts w:hint="default"/>
        <w:lang w:val="zh-CN" w:eastAsia="zh-CN" w:bidi="zh-CN"/>
      </w:rPr>
    </w:lvl>
    <w:lvl w:ilvl="6" w:tentative="0">
      <w:start w:val="0"/>
      <w:numFmt w:val="bullet"/>
      <w:lvlText w:val="•"/>
      <w:lvlJc w:val="left"/>
      <w:pPr>
        <w:ind w:left="6323" w:hanging="527"/>
      </w:pPr>
      <w:rPr>
        <w:rFonts w:hint="default"/>
        <w:lang w:val="zh-CN" w:eastAsia="zh-CN" w:bidi="zh-CN"/>
      </w:rPr>
    </w:lvl>
    <w:lvl w:ilvl="7" w:tentative="0">
      <w:start w:val="0"/>
      <w:numFmt w:val="bullet"/>
      <w:lvlText w:val="•"/>
      <w:lvlJc w:val="left"/>
      <w:pPr>
        <w:ind w:left="7359" w:hanging="527"/>
      </w:pPr>
      <w:rPr>
        <w:rFonts w:hint="default"/>
        <w:lang w:val="zh-CN" w:eastAsia="zh-CN" w:bidi="zh-CN"/>
      </w:rPr>
    </w:lvl>
    <w:lvl w:ilvl="8" w:tentative="0">
      <w:start w:val="0"/>
      <w:numFmt w:val="bullet"/>
      <w:lvlText w:val="•"/>
      <w:lvlJc w:val="left"/>
      <w:pPr>
        <w:ind w:left="8395" w:hanging="527"/>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579"/>
      </w:pPr>
      <w:rPr>
        <w:rFonts w:hint="default"/>
        <w:lang w:val="zh-CN" w:eastAsia="zh-CN" w:bidi="zh-CN"/>
      </w:rPr>
    </w:lvl>
    <w:lvl w:ilvl="4" w:tentative="0">
      <w:start w:val="0"/>
      <w:numFmt w:val="bullet"/>
      <w:lvlText w:val="•"/>
      <w:lvlJc w:val="left"/>
      <w:pPr>
        <w:ind w:left="4582" w:hanging="579"/>
      </w:pPr>
      <w:rPr>
        <w:rFonts w:hint="default"/>
        <w:lang w:val="zh-CN" w:eastAsia="zh-CN" w:bidi="zh-CN"/>
      </w:rPr>
    </w:lvl>
    <w:lvl w:ilvl="5" w:tentative="0">
      <w:start w:val="0"/>
      <w:numFmt w:val="bullet"/>
      <w:lvlText w:val="•"/>
      <w:lvlJc w:val="left"/>
      <w:pPr>
        <w:ind w:left="5563" w:hanging="579"/>
      </w:pPr>
      <w:rPr>
        <w:rFonts w:hint="default"/>
        <w:lang w:val="zh-CN" w:eastAsia="zh-CN" w:bidi="zh-CN"/>
      </w:rPr>
    </w:lvl>
    <w:lvl w:ilvl="6" w:tentative="0">
      <w:start w:val="0"/>
      <w:numFmt w:val="bullet"/>
      <w:lvlText w:val="•"/>
      <w:lvlJc w:val="left"/>
      <w:pPr>
        <w:ind w:left="6543" w:hanging="579"/>
      </w:pPr>
      <w:rPr>
        <w:rFonts w:hint="default"/>
        <w:lang w:val="zh-CN" w:eastAsia="zh-CN" w:bidi="zh-CN"/>
      </w:rPr>
    </w:lvl>
    <w:lvl w:ilvl="7" w:tentative="0">
      <w:start w:val="0"/>
      <w:numFmt w:val="bullet"/>
      <w:lvlText w:val="•"/>
      <w:lvlJc w:val="left"/>
      <w:pPr>
        <w:ind w:left="7524" w:hanging="579"/>
      </w:pPr>
      <w:rPr>
        <w:rFonts w:hint="default"/>
        <w:lang w:val="zh-CN" w:eastAsia="zh-CN" w:bidi="zh-CN"/>
      </w:rPr>
    </w:lvl>
    <w:lvl w:ilvl="8" w:tentative="0">
      <w:start w:val="0"/>
      <w:numFmt w:val="bullet"/>
      <w:lvlText w:val="•"/>
      <w:lvlJc w:val="left"/>
      <w:pPr>
        <w:ind w:left="8505" w:hanging="579"/>
      </w:pPr>
      <w:rPr>
        <w:rFonts w:hint="default"/>
        <w:lang w:val="zh-CN" w:eastAsia="zh-CN" w:bidi="zh-CN"/>
      </w:rPr>
    </w:lvl>
  </w:abstractNum>
  <w:abstractNum w:abstractNumId="7">
    <w:nsid w:val="BB64CFA9"/>
    <w:multiLevelType w:val="multilevel"/>
    <w:tmpl w:val="BB64CFA9"/>
    <w:lvl w:ilvl="0" w:tentative="0">
      <w:start w:val="8"/>
      <w:numFmt w:val="decimal"/>
      <w:lvlText w:val="%1"/>
      <w:lvlJc w:val="left"/>
      <w:pPr>
        <w:ind w:left="1638" w:hanging="420"/>
        <w:jc w:val="left"/>
      </w:pPr>
      <w:rPr>
        <w:rFonts w:hint="default"/>
        <w:lang w:val="zh-CN" w:eastAsia="zh-CN" w:bidi="zh-CN"/>
      </w:rPr>
    </w:lvl>
    <w:lvl w:ilvl="1" w:tentative="0">
      <w:start w:val="2"/>
      <w:numFmt w:val="decimal"/>
      <w:lvlText w:val="%1.%2"/>
      <w:lvlJc w:val="left"/>
      <w:pPr>
        <w:ind w:left="1638"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8">
    <w:nsid w:val="BE923771"/>
    <w:multiLevelType w:val="multilevel"/>
    <w:tmpl w:val="BE923771"/>
    <w:lvl w:ilvl="0" w:tentative="0">
      <w:start w:val="2"/>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935" w:hanging="632"/>
      </w:pPr>
      <w:rPr>
        <w:rFonts w:hint="default"/>
        <w:lang w:val="zh-CN" w:eastAsia="zh-CN" w:bidi="zh-CN"/>
      </w:rPr>
    </w:lvl>
    <w:lvl w:ilvl="4" w:tentative="0">
      <w:start w:val="0"/>
      <w:numFmt w:val="bullet"/>
      <w:lvlText w:val="•"/>
      <w:lvlJc w:val="left"/>
      <w:pPr>
        <w:ind w:left="4011" w:hanging="632"/>
      </w:pPr>
      <w:rPr>
        <w:rFonts w:hint="default"/>
        <w:lang w:val="zh-CN" w:eastAsia="zh-CN" w:bidi="zh-CN"/>
      </w:rPr>
    </w:lvl>
    <w:lvl w:ilvl="5" w:tentative="0">
      <w:start w:val="0"/>
      <w:numFmt w:val="bullet"/>
      <w:lvlText w:val="•"/>
      <w:lvlJc w:val="left"/>
      <w:pPr>
        <w:ind w:left="5087" w:hanging="632"/>
      </w:pPr>
      <w:rPr>
        <w:rFonts w:hint="default"/>
        <w:lang w:val="zh-CN" w:eastAsia="zh-CN" w:bidi="zh-CN"/>
      </w:rPr>
    </w:lvl>
    <w:lvl w:ilvl="6" w:tentative="0">
      <w:start w:val="0"/>
      <w:numFmt w:val="bullet"/>
      <w:lvlText w:val="•"/>
      <w:lvlJc w:val="left"/>
      <w:pPr>
        <w:ind w:left="6163" w:hanging="632"/>
      </w:pPr>
      <w:rPr>
        <w:rFonts w:hint="default"/>
        <w:lang w:val="zh-CN" w:eastAsia="zh-CN" w:bidi="zh-CN"/>
      </w:rPr>
    </w:lvl>
    <w:lvl w:ilvl="7" w:tentative="0">
      <w:start w:val="0"/>
      <w:numFmt w:val="bullet"/>
      <w:lvlText w:val="•"/>
      <w:lvlJc w:val="left"/>
      <w:pPr>
        <w:ind w:left="7239" w:hanging="632"/>
      </w:pPr>
      <w:rPr>
        <w:rFonts w:hint="default"/>
        <w:lang w:val="zh-CN" w:eastAsia="zh-CN" w:bidi="zh-CN"/>
      </w:rPr>
    </w:lvl>
    <w:lvl w:ilvl="8" w:tentative="0">
      <w:start w:val="0"/>
      <w:numFmt w:val="bullet"/>
      <w:lvlText w:val="•"/>
      <w:lvlJc w:val="left"/>
      <w:pPr>
        <w:ind w:left="8315" w:hanging="632"/>
      </w:pPr>
      <w:rPr>
        <w:rFonts w:hint="default"/>
        <w:lang w:val="zh-CN" w:eastAsia="zh-CN" w:bidi="zh-CN"/>
      </w:rPr>
    </w:lvl>
  </w:abstractNum>
  <w:abstractNum w:abstractNumId="9">
    <w:nsid w:val="BF205925"/>
    <w:multiLevelType w:val="multilevel"/>
    <w:tmpl w:val="BF205925"/>
    <w:lvl w:ilvl="0" w:tentative="0">
      <w:start w:val="5"/>
      <w:numFmt w:val="decimal"/>
      <w:lvlText w:val="%1"/>
      <w:lvlJc w:val="left"/>
      <w:pPr>
        <w:ind w:left="1312" w:hanging="420"/>
        <w:jc w:val="left"/>
      </w:pPr>
      <w:rPr>
        <w:rFonts w:hint="default"/>
        <w:lang w:val="zh-CN" w:eastAsia="zh-CN" w:bidi="zh-CN"/>
      </w:rPr>
    </w:lvl>
    <w:lvl w:ilvl="1" w:tentative="0">
      <w:start w:val="1"/>
      <w:numFmt w:val="decimal"/>
      <w:lvlText w:val="%1.%2"/>
      <w:lvlJc w:val="left"/>
      <w:pPr>
        <w:ind w:left="1312"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468" w:hanging="576"/>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61" w:hanging="576"/>
      </w:pPr>
      <w:rPr>
        <w:rFonts w:hint="default"/>
        <w:lang w:val="zh-CN" w:eastAsia="zh-CN" w:bidi="zh-CN"/>
      </w:rPr>
    </w:lvl>
    <w:lvl w:ilvl="4" w:tentative="0">
      <w:start w:val="0"/>
      <w:numFmt w:val="bullet"/>
      <w:lvlText w:val="•"/>
      <w:lvlJc w:val="left"/>
      <w:pPr>
        <w:ind w:left="4462" w:hanging="576"/>
      </w:pPr>
      <w:rPr>
        <w:rFonts w:hint="default"/>
        <w:lang w:val="zh-CN" w:eastAsia="zh-CN" w:bidi="zh-CN"/>
      </w:rPr>
    </w:lvl>
    <w:lvl w:ilvl="5" w:tentative="0">
      <w:start w:val="0"/>
      <w:numFmt w:val="bullet"/>
      <w:lvlText w:val="•"/>
      <w:lvlJc w:val="left"/>
      <w:pPr>
        <w:ind w:left="5463" w:hanging="576"/>
      </w:pPr>
      <w:rPr>
        <w:rFonts w:hint="default"/>
        <w:lang w:val="zh-CN" w:eastAsia="zh-CN" w:bidi="zh-CN"/>
      </w:rPr>
    </w:lvl>
    <w:lvl w:ilvl="6" w:tentative="0">
      <w:start w:val="0"/>
      <w:numFmt w:val="bullet"/>
      <w:lvlText w:val="•"/>
      <w:lvlJc w:val="left"/>
      <w:pPr>
        <w:ind w:left="6463" w:hanging="576"/>
      </w:pPr>
      <w:rPr>
        <w:rFonts w:hint="default"/>
        <w:lang w:val="zh-CN" w:eastAsia="zh-CN" w:bidi="zh-CN"/>
      </w:rPr>
    </w:lvl>
    <w:lvl w:ilvl="7" w:tentative="0">
      <w:start w:val="0"/>
      <w:numFmt w:val="bullet"/>
      <w:lvlText w:val="•"/>
      <w:lvlJc w:val="left"/>
      <w:pPr>
        <w:ind w:left="7464" w:hanging="576"/>
      </w:pPr>
      <w:rPr>
        <w:rFonts w:hint="default"/>
        <w:lang w:val="zh-CN" w:eastAsia="zh-CN" w:bidi="zh-CN"/>
      </w:rPr>
    </w:lvl>
    <w:lvl w:ilvl="8" w:tentative="0">
      <w:start w:val="0"/>
      <w:numFmt w:val="bullet"/>
      <w:lvlText w:val="•"/>
      <w:lvlJc w:val="left"/>
      <w:pPr>
        <w:ind w:left="8465" w:hanging="576"/>
      </w:pPr>
      <w:rPr>
        <w:rFonts w:hint="default"/>
        <w:lang w:val="zh-CN" w:eastAsia="zh-CN" w:bidi="zh-CN"/>
      </w:rPr>
    </w:lvl>
  </w:abstractNum>
  <w:abstractNum w:abstractNumId="10">
    <w:nsid w:val="C8879AEF"/>
    <w:multiLevelType w:val="multilevel"/>
    <w:tmpl w:val="C8879AEF"/>
    <w:lvl w:ilvl="0" w:tentative="0">
      <w:start w:val="1"/>
      <w:numFmt w:val="decimal"/>
      <w:lvlText w:val="（%1）"/>
      <w:lvlJc w:val="left"/>
      <w:pPr>
        <w:ind w:left="1667" w:hanging="740"/>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2540" w:hanging="740"/>
      </w:pPr>
      <w:rPr>
        <w:rFonts w:hint="default"/>
        <w:lang w:val="zh-CN" w:eastAsia="zh-CN" w:bidi="zh-CN"/>
      </w:rPr>
    </w:lvl>
    <w:lvl w:ilvl="2" w:tentative="0">
      <w:start w:val="0"/>
      <w:numFmt w:val="bullet"/>
      <w:lvlText w:val="•"/>
      <w:lvlJc w:val="left"/>
      <w:pPr>
        <w:ind w:left="3421" w:hanging="740"/>
      </w:pPr>
      <w:rPr>
        <w:rFonts w:hint="default"/>
        <w:lang w:val="zh-CN" w:eastAsia="zh-CN" w:bidi="zh-CN"/>
      </w:rPr>
    </w:lvl>
    <w:lvl w:ilvl="3" w:tentative="0">
      <w:start w:val="0"/>
      <w:numFmt w:val="bullet"/>
      <w:lvlText w:val="•"/>
      <w:lvlJc w:val="left"/>
      <w:pPr>
        <w:ind w:left="4302" w:hanging="740"/>
      </w:pPr>
      <w:rPr>
        <w:rFonts w:hint="default"/>
        <w:lang w:val="zh-CN" w:eastAsia="zh-CN" w:bidi="zh-CN"/>
      </w:rPr>
    </w:lvl>
    <w:lvl w:ilvl="4" w:tentative="0">
      <w:start w:val="0"/>
      <w:numFmt w:val="bullet"/>
      <w:lvlText w:val="•"/>
      <w:lvlJc w:val="left"/>
      <w:pPr>
        <w:ind w:left="5182" w:hanging="740"/>
      </w:pPr>
      <w:rPr>
        <w:rFonts w:hint="default"/>
        <w:lang w:val="zh-CN" w:eastAsia="zh-CN" w:bidi="zh-CN"/>
      </w:rPr>
    </w:lvl>
    <w:lvl w:ilvl="5" w:tentative="0">
      <w:start w:val="0"/>
      <w:numFmt w:val="bullet"/>
      <w:lvlText w:val="•"/>
      <w:lvlJc w:val="left"/>
      <w:pPr>
        <w:ind w:left="6063" w:hanging="740"/>
      </w:pPr>
      <w:rPr>
        <w:rFonts w:hint="default"/>
        <w:lang w:val="zh-CN" w:eastAsia="zh-CN" w:bidi="zh-CN"/>
      </w:rPr>
    </w:lvl>
    <w:lvl w:ilvl="6" w:tentative="0">
      <w:start w:val="0"/>
      <w:numFmt w:val="bullet"/>
      <w:lvlText w:val="•"/>
      <w:lvlJc w:val="left"/>
      <w:pPr>
        <w:ind w:left="6944" w:hanging="740"/>
      </w:pPr>
      <w:rPr>
        <w:rFonts w:hint="default"/>
        <w:lang w:val="zh-CN" w:eastAsia="zh-CN" w:bidi="zh-CN"/>
      </w:rPr>
    </w:lvl>
    <w:lvl w:ilvl="7" w:tentative="0">
      <w:start w:val="0"/>
      <w:numFmt w:val="bullet"/>
      <w:lvlText w:val="•"/>
      <w:lvlJc w:val="left"/>
      <w:pPr>
        <w:ind w:left="7824" w:hanging="740"/>
      </w:pPr>
      <w:rPr>
        <w:rFonts w:hint="default"/>
        <w:lang w:val="zh-CN" w:eastAsia="zh-CN" w:bidi="zh-CN"/>
      </w:rPr>
    </w:lvl>
    <w:lvl w:ilvl="8" w:tentative="0">
      <w:start w:val="0"/>
      <w:numFmt w:val="bullet"/>
      <w:lvlText w:val="•"/>
      <w:lvlJc w:val="left"/>
      <w:pPr>
        <w:ind w:left="8705" w:hanging="740"/>
      </w:pPr>
      <w:rPr>
        <w:rFonts w:hint="default"/>
        <w:lang w:val="zh-CN" w:eastAsia="zh-CN" w:bidi="zh-CN"/>
      </w:rPr>
    </w:lvl>
  </w:abstractNum>
  <w:abstractNum w:abstractNumId="11">
    <w:nsid w:val="CF092B84"/>
    <w:multiLevelType w:val="multilevel"/>
    <w:tmpl w:val="CF092B84"/>
    <w:lvl w:ilvl="0" w:tentative="0">
      <w:start w:val="8"/>
      <w:numFmt w:val="decimal"/>
      <w:lvlText w:val="%1."/>
      <w:lvlJc w:val="left"/>
      <w:pPr>
        <w:ind w:left="696" w:hanging="181"/>
        <w:jc w:val="left"/>
      </w:pPr>
      <w:rPr>
        <w:rFonts w:hint="default" w:ascii="Times New Roman" w:hAnsi="Times New Roman" w:eastAsia="Times New Roman" w:cs="Times New Roman"/>
        <w:b/>
        <w:bCs/>
        <w:w w:val="100"/>
        <w:sz w:val="22"/>
        <w:szCs w:val="22"/>
        <w:lang w:val="zh-CN" w:eastAsia="zh-CN" w:bidi="zh-CN"/>
      </w:rPr>
    </w:lvl>
    <w:lvl w:ilvl="1" w:tentative="0">
      <w:start w:val="1"/>
      <w:numFmt w:val="decimal"/>
      <w:lvlText w:val="%2."/>
      <w:lvlJc w:val="left"/>
      <w:pPr>
        <w:ind w:left="1302" w:hanging="214"/>
        <w:jc w:val="right"/>
      </w:pPr>
      <w:rPr>
        <w:rFonts w:hint="default" w:ascii="黑体" w:hAnsi="黑体" w:eastAsia="黑体" w:cs="黑体"/>
        <w:b/>
        <w:bCs/>
        <w:spacing w:val="-2"/>
        <w:w w:val="98"/>
        <w:sz w:val="19"/>
        <w:szCs w:val="19"/>
        <w:lang w:val="zh-CN" w:eastAsia="zh-CN" w:bidi="zh-CN"/>
      </w:rPr>
    </w:lvl>
    <w:lvl w:ilvl="2" w:tentative="0">
      <w:start w:val="1"/>
      <w:numFmt w:val="decimal"/>
      <w:lvlText w:val="%2.%3"/>
      <w:lvlJc w:val="left"/>
      <w:pPr>
        <w:ind w:left="656" w:hanging="526"/>
        <w:jc w:val="left"/>
      </w:pPr>
      <w:rPr>
        <w:rFonts w:hint="default"/>
        <w:spacing w:val="0"/>
        <w:w w:val="99"/>
        <w:lang w:val="zh-CN" w:eastAsia="zh-CN" w:bidi="zh-CN"/>
      </w:rPr>
    </w:lvl>
    <w:lvl w:ilvl="3" w:tentative="0">
      <w:start w:val="0"/>
      <w:numFmt w:val="bullet"/>
      <w:lvlText w:val="•"/>
      <w:lvlJc w:val="left"/>
      <w:pPr>
        <w:ind w:left="1400" w:hanging="526"/>
      </w:pPr>
      <w:rPr>
        <w:rFonts w:hint="default"/>
        <w:lang w:val="zh-CN" w:eastAsia="zh-CN" w:bidi="zh-CN"/>
      </w:rPr>
    </w:lvl>
    <w:lvl w:ilvl="4" w:tentative="0">
      <w:start w:val="0"/>
      <w:numFmt w:val="bullet"/>
      <w:lvlText w:val="•"/>
      <w:lvlJc w:val="left"/>
      <w:pPr>
        <w:ind w:left="1500" w:hanging="526"/>
      </w:pPr>
      <w:rPr>
        <w:rFonts w:hint="default"/>
        <w:lang w:val="zh-CN" w:eastAsia="zh-CN" w:bidi="zh-CN"/>
      </w:rPr>
    </w:lvl>
    <w:lvl w:ilvl="5" w:tentative="0">
      <w:start w:val="0"/>
      <w:numFmt w:val="bullet"/>
      <w:lvlText w:val="•"/>
      <w:lvlJc w:val="left"/>
      <w:pPr>
        <w:ind w:left="1600" w:hanging="526"/>
      </w:pPr>
      <w:rPr>
        <w:rFonts w:hint="default"/>
        <w:lang w:val="zh-CN" w:eastAsia="zh-CN" w:bidi="zh-CN"/>
      </w:rPr>
    </w:lvl>
    <w:lvl w:ilvl="6" w:tentative="0">
      <w:start w:val="0"/>
      <w:numFmt w:val="bullet"/>
      <w:lvlText w:val="•"/>
      <w:lvlJc w:val="left"/>
      <w:pPr>
        <w:ind w:left="1720" w:hanging="526"/>
      </w:pPr>
      <w:rPr>
        <w:rFonts w:hint="default"/>
        <w:lang w:val="zh-CN" w:eastAsia="zh-CN" w:bidi="zh-CN"/>
      </w:rPr>
    </w:lvl>
    <w:lvl w:ilvl="7" w:tentative="0">
      <w:start w:val="0"/>
      <w:numFmt w:val="bullet"/>
      <w:lvlText w:val="•"/>
      <w:lvlJc w:val="left"/>
      <w:pPr>
        <w:ind w:left="3906" w:hanging="526"/>
      </w:pPr>
      <w:rPr>
        <w:rFonts w:hint="default"/>
        <w:lang w:val="zh-CN" w:eastAsia="zh-CN" w:bidi="zh-CN"/>
      </w:rPr>
    </w:lvl>
    <w:lvl w:ilvl="8" w:tentative="0">
      <w:start w:val="0"/>
      <w:numFmt w:val="bullet"/>
      <w:lvlText w:val="•"/>
      <w:lvlJc w:val="left"/>
      <w:pPr>
        <w:ind w:left="6093" w:hanging="526"/>
      </w:pPr>
      <w:rPr>
        <w:rFonts w:hint="default"/>
        <w:lang w:val="zh-CN" w:eastAsia="zh-CN" w:bidi="zh-CN"/>
      </w:rPr>
    </w:lvl>
  </w:abstractNum>
  <w:abstractNum w:abstractNumId="12">
    <w:nsid w:val="D7F9FE59"/>
    <w:multiLevelType w:val="multilevel"/>
    <w:tmpl w:val="D7F9FE59"/>
    <w:lvl w:ilvl="0" w:tentative="0">
      <w:start w:val="1"/>
      <w:numFmt w:val="decimal"/>
      <w:lvlText w:val="（%1）"/>
      <w:lvlJc w:val="left"/>
      <w:pPr>
        <w:ind w:left="515" w:hanging="608"/>
        <w:jc w:val="left"/>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535" w:hanging="315"/>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531" w:hanging="315"/>
      </w:pPr>
      <w:rPr>
        <w:rFonts w:hint="default"/>
        <w:lang w:val="zh-CN" w:eastAsia="zh-CN" w:bidi="zh-CN"/>
      </w:rPr>
    </w:lvl>
    <w:lvl w:ilvl="3" w:tentative="0">
      <w:start w:val="0"/>
      <w:numFmt w:val="bullet"/>
      <w:lvlText w:val="•"/>
      <w:lvlJc w:val="left"/>
      <w:pPr>
        <w:ind w:left="3523" w:hanging="315"/>
      </w:pPr>
      <w:rPr>
        <w:rFonts w:hint="default"/>
        <w:lang w:val="zh-CN" w:eastAsia="zh-CN" w:bidi="zh-CN"/>
      </w:rPr>
    </w:lvl>
    <w:lvl w:ilvl="4" w:tentative="0">
      <w:start w:val="0"/>
      <w:numFmt w:val="bullet"/>
      <w:lvlText w:val="•"/>
      <w:lvlJc w:val="left"/>
      <w:pPr>
        <w:ind w:left="4515" w:hanging="315"/>
      </w:pPr>
      <w:rPr>
        <w:rFonts w:hint="default"/>
        <w:lang w:val="zh-CN" w:eastAsia="zh-CN" w:bidi="zh-CN"/>
      </w:rPr>
    </w:lvl>
    <w:lvl w:ilvl="5" w:tentative="0">
      <w:start w:val="0"/>
      <w:numFmt w:val="bullet"/>
      <w:lvlText w:val="•"/>
      <w:lvlJc w:val="left"/>
      <w:pPr>
        <w:ind w:left="5507" w:hanging="315"/>
      </w:pPr>
      <w:rPr>
        <w:rFonts w:hint="default"/>
        <w:lang w:val="zh-CN" w:eastAsia="zh-CN" w:bidi="zh-CN"/>
      </w:rPr>
    </w:lvl>
    <w:lvl w:ilvl="6" w:tentative="0">
      <w:start w:val="0"/>
      <w:numFmt w:val="bullet"/>
      <w:lvlText w:val="•"/>
      <w:lvlJc w:val="left"/>
      <w:pPr>
        <w:ind w:left="6499" w:hanging="315"/>
      </w:pPr>
      <w:rPr>
        <w:rFonts w:hint="default"/>
        <w:lang w:val="zh-CN" w:eastAsia="zh-CN" w:bidi="zh-CN"/>
      </w:rPr>
    </w:lvl>
    <w:lvl w:ilvl="7" w:tentative="0">
      <w:start w:val="0"/>
      <w:numFmt w:val="bullet"/>
      <w:lvlText w:val="•"/>
      <w:lvlJc w:val="left"/>
      <w:pPr>
        <w:ind w:left="7491" w:hanging="315"/>
      </w:pPr>
      <w:rPr>
        <w:rFonts w:hint="default"/>
        <w:lang w:val="zh-CN" w:eastAsia="zh-CN" w:bidi="zh-CN"/>
      </w:rPr>
    </w:lvl>
    <w:lvl w:ilvl="8" w:tentative="0">
      <w:start w:val="0"/>
      <w:numFmt w:val="bullet"/>
      <w:lvlText w:val="•"/>
      <w:lvlJc w:val="left"/>
      <w:pPr>
        <w:ind w:left="8483" w:hanging="315"/>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4">
    <w:nsid w:val="E093A4B0"/>
    <w:multiLevelType w:val="multilevel"/>
    <w:tmpl w:val="E093A4B0"/>
    <w:lvl w:ilvl="0" w:tentative="0">
      <w:start w:val="6"/>
      <w:numFmt w:val="decimal"/>
      <w:lvlText w:val="%1"/>
      <w:lvlJc w:val="left"/>
      <w:pPr>
        <w:ind w:left="1854" w:hanging="632"/>
        <w:jc w:val="left"/>
      </w:pPr>
      <w:rPr>
        <w:rFonts w:hint="default"/>
        <w:lang w:val="zh-CN" w:eastAsia="zh-CN" w:bidi="zh-CN"/>
      </w:rPr>
    </w:lvl>
    <w:lvl w:ilvl="1" w:tentative="0">
      <w:start w:val="2"/>
      <w:numFmt w:val="decimal"/>
      <w:lvlText w:val="%1.%2"/>
      <w:lvlJc w:val="left"/>
      <w:pPr>
        <w:ind w:left="1854" w:hanging="632"/>
        <w:jc w:val="left"/>
      </w:pPr>
      <w:rPr>
        <w:rFonts w:hint="default"/>
        <w:lang w:val="zh-CN" w:eastAsia="zh-CN" w:bidi="zh-CN"/>
      </w:rPr>
    </w:lvl>
    <w:lvl w:ilvl="2" w:tentative="0">
      <w:start w:val="5"/>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442" w:hanging="632"/>
      </w:pPr>
      <w:rPr>
        <w:rFonts w:hint="default"/>
        <w:lang w:val="zh-CN" w:eastAsia="zh-CN" w:bidi="zh-CN"/>
      </w:rPr>
    </w:lvl>
    <w:lvl w:ilvl="4" w:tentative="0">
      <w:start w:val="0"/>
      <w:numFmt w:val="bullet"/>
      <w:lvlText w:val="•"/>
      <w:lvlJc w:val="left"/>
      <w:pPr>
        <w:ind w:left="5302" w:hanging="632"/>
      </w:pPr>
      <w:rPr>
        <w:rFonts w:hint="default"/>
        <w:lang w:val="zh-CN" w:eastAsia="zh-CN" w:bidi="zh-CN"/>
      </w:rPr>
    </w:lvl>
    <w:lvl w:ilvl="5" w:tentative="0">
      <w:start w:val="0"/>
      <w:numFmt w:val="bullet"/>
      <w:lvlText w:val="•"/>
      <w:lvlJc w:val="left"/>
      <w:pPr>
        <w:ind w:left="6163" w:hanging="632"/>
      </w:pPr>
      <w:rPr>
        <w:rFonts w:hint="default"/>
        <w:lang w:val="zh-CN" w:eastAsia="zh-CN" w:bidi="zh-CN"/>
      </w:rPr>
    </w:lvl>
    <w:lvl w:ilvl="6" w:tentative="0">
      <w:start w:val="0"/>
      <w:numFmt w:val="bullet"/>
      <w:lvlText w:val="•"/>
      <w:lvlJc w:val="left"/>
      <w:pPr>
        <w:ind w:left="7024" w:hanging="632"/>
      </w:pPr>
      <w:rPr>
        <w:rFonts w:hint="default"/>
        <w:lang w:val="zh-CN" w:eastAsia="zh-CN" w:bidi="zh-CN"/>
      </w:rPr>
    </w:lvl>
    <w:lvl w:ilvl="7" w:tentative="0">
      <w:start w:val="0"/>
      <w:numFmt w:val="bullet"/>
      <w:lvlText w:val="•"/>
      <w:lvlJc w:val="left"/>
      <w:pPr>
        <w:ind w:left="7884" w:hanging="632"/>
      </w:pPr>
      <w:rPr>
        <w:rFonts w:hint="default"/>
        <w:lang w:val="zh-CN" w:eastAsia="zh-CN" w:bidi="zh-CN"/>
      </w:rPr>
    </w:lvl>
    <w:lvl w:ilvl="8" w:tentative="0">
      <w:start w:val="0"/>
      <w:numFmt w:val="bullet"/>
      <w:lvlText w:val="•"/>
      <w:lvlJc w:val="left"/>
      <w:pPr>
        <w:ind w:left="8745" w:hanging="632"/>
      </w:pPr>
      <w:rPr>
        <w:rFonts w:hint="default"/>
        <w:lang w:val="zh-CN" w:eastAsia="zh-CN" w:bidi="zh-CN"/>
      </w:rPr>
    </w:lvl>
  </w:abstractNum>
  <w:abstractNum w:abstractNumId="15">
    <w:nsid w:val="F4B5D9F5"/>
    <w:multiLevelType w:val="multilevel"/>
    <w:tmpl w:val="F4B5D9F5"/>
    <w:lvl w:ilvl="0" w:tentative="0">
      <w:start w:val="1"/>
      <w:numFmt w:val="decimal"/>
      <w:lvlText w:val="（%1）"/>
      <w:lvlJc w:val="left"/>
      <w:pPr>
        <w:ind w:left="515" w:hanging="742"/>
        <w:jc w:val="left"/>
      </w:pPr>
      <w:rPr>
        <w:rFonts w:hint="default" w:ascii="黑体" w:hAnsi="黑体" w:eastAsia="黑体" w:cs="黑体"/>
        <w:b/>
        <w:bCs/>
        <w:spacing w:val="0"/>
        <w:w w:val="98"/>
        <w:sz w:val="21"/>
        <w:szCs w:val="21"/>
        <w:lang w:val="zh-CN" w:eastAsia="zh-CN" w:bidi="zh-CN"/>
      </w:rPr>
    </w:lvl>
    <w:lvl w:ilvl="1" w:tentative="0">
      <w:start w:val="0"/>
      <w:numFmt w:val="bullet"/>
      <w:lvlText w:val="•"/>
      <w:lvlJc w:val="left"/>
      <w:pPr>
        <w:ind w:left="1514" w:hanging="742"/>
      </w:pPr>
      <w:rPr>
        <w:rFonts w:hint="default"/>
        <w:lang w:val="zh-CN" w:eastAsia="zh-CN" w:bidi="zh-CN"/>
      </w:rPr>
    </w:lvl>
    <w:lvl w:ilvl="2" w:tentative="0">
      <w:start w:val="0"/>
      <w:numFmt w:val="bullet"/>
      <w:lvlText w:val="•"/>
      <w:lvlJc w:val="left"/>
      <w:pPr>
        <w:ind w:left="2509" w:hanging="742"/>
      </w:pPr>
      <w:rPr>
        <w:rFonts w:hint="default"/>
        <w:lang w:val="zh-CN" w:eastAsia="zh-CN" w:bidi="zh-CN"/>
      </w:rPr>
    </w:lvl>
    <w:lvl w:ilvl="3" w:tentative="0">
      <w:start w:val="0"/>
      <w:numFmt w:val="bullet"/>
      <w:lvlText w:val="•"/>
      <w:lvlJc w:val="left"/>
      <w:pPr>
        <w:ind w:left="3504" w:hanging="742"/>
      </w:pPr>
      <w:rPr>
        <w:rFonts w:hint="default"/>
        <w:lang w:val="zh-CN" w:eastAsia="zh-CN" w:bidi="zh-CN"/>
      </w:rPr>
    </w:lvl>
    <w:lvl w:ilvl="4" w:tentative="0">
      <w:start w:val="0"/>
      <w:numFmt w:val="bullet"/>
      <w:lvlText w:val="•"/>
      <w:lvlJc w:val="left"/>
      <w:pPr>
        <w:ind w:left="4498" w:hanging="742"/>
      </w:pPr>
      <w:rPr>
        <w:rFonts w:hint="default"/>
        <w:lang w:val="zh-CN" w:eastAsia="zh-CN" w:bidi="zh-CN"/>
      </w:rPr>
    </w:lvl>
    <w:lvl w:ilvl="5" w:tentative="0">
      <w:start w:val="0"/>
      <w:numFmt w:val="bullet"/>
      <w:lvlText w:val="•"/>
      <w:lvlJc w:val="left"/>
      <w:pPr>
        <w:ind w:left="5493" w:hanging="742"/>
      </w:pPr>
      <w:rPr>
        <w:rFonts w:hint="default"/>
        <w:lang w:val="zh-CN" w:eastAsia="zh-CN" w:bidi="zh-CN"/>
      </w:rPr>
    </w:lvl>
    <w:lvl w:ilvl="6" w:tentative="0">
      <w:start w:val="0"/>
      <w:numFmt w:val="bullet"/>
      <w:lvlText w:val="•"/>
      <w:lvlJc w:val="left"/>
      <w:pPr>
        <w:ind w:left="6488" w:hanging="742"/>
      </w:pPr>
      <w:rPr>
        <w:rFonts w:hint="default"/>
        <w:lang w:val="zh-CN" w:eastAsia="zh-CN" w:bidi="zh-CN"/>
      </w:rPr>
    </w:lvl>
    <w:lvl w:ilvl="7" w:tentative="0">
      <w:start w:val="0"/>
      <w:numFmt w:val="bullet"/>
      <w:lvlText w:val="•"/>
      <w:lvlJc w:val="left"/>
      <w:pPr>
        <w:ind w:left="7482" w:hanging="742"/>
      </w:pPr>
      <w:rPr>
        <w:rFonts w:hint="default"/>
        <w:lang w:val="zh-CN" w:eastAsia="zh-CN" w:bidi="zh-CN"/>
      </w:rPr>
    </w:lvl>
    <w:lvl w:ilvl="8" w:tentative="0">
      <w:start w:val="0"/>
      <w:numFmt w:val="bullet"/>
      <w:lvlText w:val="•"/>
      <w:lvlJc w:val="left"/>
      <w:pPr>
        <w:ind w:left="8477" w:hanging="742"/>
      </w:pPr>
      <w:rPr>
        <w:rFonts w:hint="default"/>
        <w:lang w:val="zh-CN" w:eastAsia="zh-CN" w:bidi="zh-CN"/>
      </w:rPr>
    </w:lvl>
  </w:abstractNum>
  <w:abstractNum w:abstractNumId="16">
    <w:nsid w:val="F7735DC9"/>
    <w:multiLevelType w:val="multilevel"/>
    <w:tmpl w:val="F7735DC9"/>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3"/>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17">
    <w:nsid w:val="0053208E"/>
    <w:multiLevelType w:val="multilevel"/>
    <w:tmpl w:val="0053208E"/>
    <w:lvl w:ilvl="0" w:tentative="0">
      <w:start w:val="1"/>
      <w:numFmt w:val="decimal"/>
      <w:lvlText w:val="%1."/>
      <w:lvlJc w:val="left"/>
      <w:pPr>
        <w:ind w:left="696" w:hanging="181"/>
        <w:jc w:val="left"/>
      </w:pPr>
      <w:rPr>
        <w:rFonts w:hint="default"/>
        <w:b/>
        <w:bCs/>
        <w:w w:val="100"/>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1240" w:hanging="473"/>
      </w:pPr>
      <w:rPr>
        <w:rFonts w:hint="default"/>
        <w:lang w:val="zh-CN" w:eastAsia="zh-CN" w:bidi="zh-CN"/>
      </w:rPr>
    </w:lvl>
    <w:lvl w:ilvl="3" w:tentative="0">
      <w:start w:val="0"/>
      <w:numFmt w:val="bullet"/>
      <w:lvlText w:val="•"/>
      <w:lvlJc w:val="left"/>
      <w:pPr>
        <w:ind w:left="1300" w:hanging="473"/>
      </w:pPr>
      <w:rPr>
        <w:rFonts w:hint="default"/>
        <w:lang w:val="zh-CN" w:eastAsia="zh-CN" w:bidi="zh-CN"/>
      </w:rPr>
    </w:lvl>
    <w:lvl w:ilvl="4" w:tentative="0">
      <w:start w:val="0"/>
      <w:numFmt w:val="bullet"/>
      <w:lvlText w:val="•"/>
      <w:lvlJc w:val="left"/>
      <w:pPr>
        <w:ind w:left="1356" w:hanging="473"/>
      </w:pPr>
      <w:rPr>
        <w:rFonts w:hint="default"/>
        <w:lang w:val="zh-CN" w:eastAsia="zh-CN" w:bidi="zh-CN"/>
      </w:rPr>
    </w:lvl>
    <w:lvl w:ilvl="5" w:tentative="0">
      <w:start w:val="0"/>
      <w:numFmt w:val="bullet"/>
      <w:lvlText w:val="•"/>
      <w:lvlJc w:val="left"/>
      <w:pPr>
        <w:ind w:left="1413" w:hanging="473"/>
      </w:pPr>
      <w:rPr>
        <w:rFonts w:hint="default"/>
        <w:lang w:val="zh-CN" w:eastAsia="zh-CN" w:bidi="zh-CN"/>
      </w:rPr>
    </w:lvl>
    <w:lvl w:ilvl="6" w:tentative="0">
      <w:start w:val="0"/>
      <w:numFmt w:val="bullet"/>
      <w:lvlText w:val="•"/>
      <w:lvlJc w:val="left"/>
      <w:pPr>
        <w:ind w:left="1470" w:hanging="473"/>
      </w:pPr>
      <w:rPr>
        <w:rFonts w:hint="default"/>
        <w:lang w:val="zh-CN" w:eastAsia="zh-CN" w:bidi="zh-CN"/>
      </w:rPr>
    </w:lvl>
    <w:lvl w:ilvl="7" w:tentative="0">
      <w:start w:val="0"/>
      <w:numFmt w:val="bullet"/>
      <w:lvlText w:val="•"/>
      <w:lvlJc w:val="left"/>
      <w:pPr>
        <w:ind w:left="1527" w:hanging="473"/>
      </w:pPr>
      <w:rPr>
        <w:rFonts w:hint="default"/>
        <w:lang w:val="zh-CN" w:eastAsia="zh-CN" w:bidi="zh-CN"/>
      </w:rPr>
    </w:lvl>
    <w:lvl w:ilvl="8" w:tentative="0">
      <w:start w:val="0"/>
      <w:numFmt w:val="bullet"/>
      <w:lvlText w:val="•"/>
      <w:lvlJc w:val="left"/>
      <w:pPr>
        <w:ind w:left="1583" w:hanging="473"/>
      </w:pPr>
      <w:rPr>
        <w:rFonts w:hint="default"/>
        <w:lang w:val="zh-CN" w:eastAsia="zh-CN" w:bidi="zh-CN"/>
      </w:rPr>
    </w:lvl>
  </w:abstractNum>
  <w:abstractNum w:abstractNumId="18">
    <w:nsid w:val="0248C179"/>
    <w:multiLevelType w:val="multilevel"/>
    <w:tmpl w:val="0248C17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19">
    <w:nsid w:val="03D62ECE"/>
    <w:multiLevelType w:val="multilevel"/>
    <w:tmpl w:val="03D62ECE"/>
    <w:lvl w:ilvl="0" w:tentative="0">
      <w:start w:val="5"/>
      <w:numFmt w:val="decimal"/>
      <w:lvlText w:val="%1"/>
      <w:lvlJc w:val="left"/>
      <w:pPr>
        <w:ind w:left="515" w:hanging="370"/>
        <w:jc w:val="left"/>
      </w:pPr>
      <w:rPr>
        <w:rFonts w:hint="default"/>
        <w:lang w:val="zh-CN" w:eastAsia="zh-CN" w:bidi="zh-CN"/>
      </w:rPr>
    </w:lvl>
    <w:lvl w:ilvl="1" w:tentative="0">
      <w:start w:val="2"/>
      <w:numFmt w:val="decimal"/>
      <w:lvlText w:val="%1.%2"/>
      <w:lvlJc w:val="left"/>
      <w:pPr>
        <w:ind w:left="515" w:hanging="370"/>
        <w:jc w:val="right"/>
      </w:pPr>
      <w:rPr>
        <w:rFonts w:hint="default"/>
        <w:b/>
        <w:bCs/>
        <w:spacing w:val="0"/>
        <w:w w:val="98"/>
        <w:lang w:val="zh-CN" w:eastAsia="zh-CN" w:bidi="zh-CN"/>
      </w:rPr>
    </w:lvl>
    <w:lvl w:ilvl="2" w:tentative="0">
      <w:start w:val="0"/>
      <w:numFmt w:val="bullet"/>
      <w:lvlText w:val="•"/>
      <w:lvlJc w:val="left"/>
      <w:pPr>
        <w:ind w:left="2509" w:hanging="370"/>
      </w:pPr>
      <w:rPr>
        <w:rFonts w:hint="default"/>
        <w:lang w:val="zh-CN" w:eastAsia="zh-CN" w:bidi="zh-CN"/>
      </w:rPr>
    </w:lvl>
    <w:lvl w:ilvl="3" w:tentative="0">
      <w:start w:val="0"/>
      <w:numFmt w:val="bullet"/>
      <w:lvlText w:val="•"/>
      <w:lvlJc w:val="left"/>
      <w:pPr>
        <w:ind w:left="3504" w:hanging="370"/>
      </w:pPr>
      <w:rPr>
        <w:rFonts w:hint="default"/>
        <w:lang w:val="zh-CN" w:eastAsia="zh-CN" w:bidi="zh-CN"/>
      </w:rPr>
    </w:lvl>
    <w:lvl w:ilvl="4" w:tentative="0">
      <w:start w:val="0"/>
      <w:numFmt w:val="bullet"/>
      <w:lvlText w:val="•"/>
      <w:lvlJc w:val="left"/>
      <w:pPr>
        <w:ind w:left="4498" w:hanging="370"/>
      </w:pPr>
      <w:rPr>
        <w:rFonts w:hint="default"/>
        <w:lang w:val="zh-CN" w:eastAsia="zh-CN" w:bidi="zh-CN"/>
      </w:rPr>
    </w:lvl>
    <w:lvl w:ilvl="5" w:tentative="0">
      <w:start w:val="0"/>
      <w:numFmt w:val="bullet"/>
      <w:lvlText w:val="•"/>
      <w:lvlJc w:val="left"/>
      <w:pPr>
        <w:ind w:left="5493" w:hanging="370"/>
      </w:pPr>
      <w:rPr>
        <w:rFonts w:hint="default"/>
        <w:lang w:val="zh-CN" w:eastAsia="zh-CN" w:bidi="zh-CN"/>
      </w:rPr>
    </w:lvl>
    <w:lvl w:ilvl="6" w:tentative="0">
      <w:start w:val="0"/>
      <w:numFmt w:val="bullet"/>
      <w:lvlText w:val="•"/>
      <w:lvlJc w:val="left"/>
      <w:pPr>
        <w:ind w:left="6488" w:hanging="370"/>
      </w:pPr>
      <w:rPr>
        <w:rFonts w:hint="default"/>
        <w:lang w:val="zh-CN" w:eastAsia="zh-CN" w:bidi="zh-CN"/>
      </w:rPr>
    </w:lvl>
    <w:lvl w:ilvl="7" w:tentative="0">
      <w:start w:val="0"/>
      <w:numFmt w:val="bullet"/>
      <w:lvlText w:val="•"/>
      <w:lvlJc w:val="left"/>
      <w:pPr>
        <w:ind w:left="7482" w:hanging="370"/>
      </w:pPr>
      <w:rPr>
        <w:rFonts w:hint="default"/>
        <w:lang w:val="zh-CN" w:eastAsia="zh-CN" w:bidi="zh-CN"/>
      </w:rPr>
    </w:lvl>
    <w:lvl w:ilvl="8" w:tentative="0">
      <w:start w:val="0"/>
      <w:numFmt w:val="bullet"/>
      <w:lvlText w:val="•"/>
      <w:lvlJc w:val="left"/>
      <w:pPr>
        <w:ind w:left="8477" w:hanging="370"/>
      </w:pPr>
      <w:rPr>
        <w:rFonts w:hint="default"/>
        <w:lang w:val="zh-CN" w:eastAsia="zh-CN" w:bidi="zh-CN"/>
      </w:rPr>
    </w:lvl>
  </w:abstractNum>
  <w:abstractNum w:abstractNumId="20">
    <w:nsid w:val="0E640482"/>
    <w:multiLevelType w:val="multilevel"/>
    <w:tmpl w:val="0E640482"/>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21">
    <w:nsid w:val="243FCF68"/>
    <w:multiLevelType w:val="multilevel"/>
    <w:tmpl w:val="243FCF68"/>
    <w:lvl w:ilvl="0" w:tentative="0">
      <w:start w:val="1"/>
      <w:numFmt w:val="decimal"/>
      <w:lvlText w:val="%1."/>
      <w:lvlJc w:val="left"/>
      <w:pPr>
        <w:ind w:left="1540" w:hanging="317"/>
        <w:jc w:val="left"/>
      </w:pPr>
      <w:rPr>
        <w:rFonts w:hint="default"/>
        <w:b/>
        <w:bCs/>
        <w:spacing w:val="0"/>
        <w:w w:val="98"/>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860" w:hanging="632"/>
      </w:pPr>
      <w:rPr>
        <w:rFonts w:hint="default"/>
        <w:lang w:val="zh-CN" w:eastAsia="zh-CN" w:bidi="zh-CN"/>
      </w:rPr>
    </w:lvl>
    <w:lvl w:ilvl="4" w:tentative="0">
      <w:start w:val="0"/>
      <w:numFmt w:val="bullet"/>
      <w:lvlText w:val="•"/>
      <w:lvlJc w:val="left"/>
      <w:pPr>
        <w:ind w:left="3089" w:hanging="632"/>
      </w:pPr>
      <w:rPr>
        <w:rFonts w:hint="default"/>
        <w:lang w:val="zh-CN" w:eastAsia="zh-CN" w:bidi="zh-CN"/>
      </w:rPr>
    </w:lvl>
    <w:lvl w:ilvl="5" w:tentative="0">
      <w:start w:val="0"/>
      <w:numFmt w:val="bullet"/>
      <w:lvlText w:val="•"/>
      <w:lvlJc w:val="left"/>
      <w:pPr>
        <w:ind w:left="4319" w:hanging="632"/>
      </w:pPr>
      <w:rPr>
        <w:rFonts w:hint="default"/>
        <w:lang w:val="zh-CN" w:eastAsia="zh-CN" w:bidi="zh-CN"/>
      </w:rPr>
    </w:lvl>
    <w:lvl w:ilvl="6" w:tentative="0">
      <w:start w:val="0"/>
      <w:numFmt w:val="bullet"/>
      <w:lvlText w:val="•"/>
      <w:lvlJc w:val="left"/>
      <w:pPr>
        <w:ind w:left="5548" w:hanging="632"/>
      </w:pPr>
      <w:rPr>
        <w:rFonts w:hint="default"/>
        <w:lang w:val="zh-CN" w:eastAsia="zh-CN" w:bidi="zh-CN"/>
      </w:rPr>
    </w:lvl>
    <w:lvl w:ilvl="7" w:tentative="0">
      <w:start w:val="0"/>
      <w:numFmt w:val="bullet"/>
      <w:lvlText w:val="•"/>
      <w:lvlJc w:val="left"/>
      <w:pPr>
        <w:ind w:left="6778" w:hanging="632"/>
      </w:pPr>
      <w:rPr>
        <w:rFonts w:hint="default"/>
        <w:lang w:val="zh-CN" w:eastAsia="zh-CN" w:bidi="zh-CN"/>
      </w:rPr>
    </w:lvl>
    <w:lvl w:ilvl="8" w:tentative="0">
      <w:start w:val="0"/>
      <w:numFmt w:val="bullet"/>
      <w:lvlText w:val="•"/>
      <w:lvlJc w:val="left"/>
      <w:pPr>
        <w:ind w:left="8007" w:hanging="632"/>
      </w:pPr>
      <w:rPr>
        <w:rFonts w:hint="default"/>
        <w:lang w:val="zh-CN" w:eastAsia="zh-CN" w:bidi="zh-CN"/>
      </w:rPr>
    </w:lvl>
  </w:abstractNum>
  <w:abstractNum w:abstractNumId="22">
    <w:nsid w:val="2470EC97"/>
    <w:multiLevelType w:val="multilevel"/>
    <w:tmpl w:val="2470EC97"/>
    <w:lvl w:ilvl="0" w:tentative="0">
      <w:start w:val="32"/>
      <w:numFmt w:val="decimal"/>
      <w:lvlText w:val="%1"/>
      <w:lvlJc w:val="left"/>
      <w:pPr>
        <w:ind w:left="515" w:hanging="473"/>
        <w:jc w:val="left"/>
      </w:pPr>
      <w:rPr>
        <w:rFonts w:hint="default"/>
        <w:lang w:val="zh-CN" w:eastAsia="zh-CN" w:bidi="zh-CN"/>
      </w:rPr>
    </w:lvl>
    <w:lvl w:ilvl="1" w:tentative="0">
      <w:start w:val="1"/>
      <w:numFmt w:val="decimal"/>
      <w:lvlText w:val="%1.%2"/>
      <w:lvlJc w:val="left"/>
      <w:pPr>
        <w:ind w:left="515" w:hanging="473"/>
        <w:jc w:val="left"/>
      </w:pPr>
      <w:rPr>
        <w:rFonts w:hint="default"/>
        <w:spacing w:val="0"/>
        <w:w w:val="99"/>
        <w:lang w:val="zh-CN" w:eastAsia="zh-CN" w:bidi="zh-CN"/>
      </w:rPr>
    </w:lvl>
    <w:lvl w:ilvl="2" w:tentative="0">
      <w:start w:val="0"/>
      <w:numFmt w:val="bullet"/>
      <w:lvlText w:val="•"/>
      <w:lvlJc w:val="left"/>
      <w:pPr>
        <w:ind w:left="2509" w:hanging="473"/>
      </w:pPr>
      <w:rPr>
        <w:rFonts w:hint="default"/>
        <w:lang w:val="zh-CN" w:eastAsia="zh-CN" w:bidi="zh-CN"/>
      </w:rPr>
    </w:lvl>
    <w:lvl w:ilvl="3" w:tentative="0">
      <w:start w:val="0"/>
      <w:numFmt w:val="bullet"/>
      <w:lvlText w:val="•"/>
      <w:lvlJc w:val="left"/>
      <w:pPr>
        <w:ind w:left="3504" w:hanging="473"/>
      </w:pPr>
      <w:rPr>
        <w:rFonts w:hint="default"/>
        <w:lang w:val="zh-CN" w:eastAsia="zh-CN" w:bidi="zh-CN"/>
      </w:rPr>
    </w:lvl>
    <w:lvl w:ilvl="4" w:tentative="0">
      <w:start w:val="0"/>
      <w:numFmt w:val="bullet"/>
      <w:lvlText w:val="•"/>
      <w:lvlJc w:val="left"/>
      <w:pPr>
        <w:ind w:left="4498" w:hanging="473"/>
      </w:pPr>
      <w:rPr>
        <w:rFonts w:hint="default"/>
        <w:lang w:val="zh-CN" w:eastAsia="zh-CN" w:bidi="zh-CN"/>
      </w:rPr>
    </w:lvl>
    <w:lvl w:ilvl="5" w:tentative="0">
      <w:start w:val="0"/>
      <w:numFmt w:val="bullet"/>
      <w:lvlText w:val="•"/>
      <w:lvlJc w:val="left"/>
      <w:pPr>
        <w:ind w:left="5493" w:hanging="473"/>
      </w:pPr>
      <w:rPr>
        <w:rFonts w:hint="default"/>
        <w:lang w:val="zh-CN" w:eastAsia="zh-CN" w:bidi="zh-CN"/>
      </w:rPr>
    </w:lvl>
    <w:lvl w:ilvl="6" w:tentative="0">
      <w:start w:val="0"/>
      <w:numFmt w:val="bullet"/>
      <w:lvlText w:val="•"/>
      <w:lvlJc w:val="left"/>
      <w:pPr>
        <w:ind w:left="6488" w:hanging="473"/>
      </w:pPr>
      <w:rPr>
        <w:rFonts w:hint="default"/>
        <w:lang w:val="zh-CN" w:eastAsia="zh-CN" w:bidi="zh-CN"/>
      </w:rPr>
    </w:lvl>
    <w:lvl w:ilvl="7" w:tentative="0">
      <w:start w:val="0"/>
      <w:numFmt w:val="bullet"/>
      <w:lvlText w:val="•"/>
      <w:lvlJc w:val="left"/>
      <w:pPr>
        <w:ind w:left="7482" w:hanging="473"/>
      </w:pPr>
      <w:rPr>
        <w:rFonts w:hint="default"/>
        <w:lang w:val="zh-CN" w:eastAsia="zh-CN" w:bidi="zh-CN"/>
      </w:rPr>
    </w:lvl>
    <w:lvl w:ilvl="8" w:tentative="0">
      <w:start w:val="0"/>
      <w:numFmt w:val="bullet"/>
      <w:lvlText w:val="•"/>
      <w:lvlJc w:val="left"/>
      <w:pPr>
        <w:ind w:left="8477" w:hanging="473"/>
      </w:pPr>
      <w:rPr>
        <w:rFonts w:hint="default"/>
        <w:lang w:val="zh-CN" w:eastAsia="zh-CN" w:bidi="zh-CN"/>
      </w:rPr>
    </w:lvl>
  </w:abstractNum>
  <w:abstractNum w:abstractNumId="23">
    <w:nsid w:val="25B654F3"/>
    <w:multiLevelType w:val="multilevel"/>
    <w:tmpl w:val="25B654F3"/>
    <w:lvl w:ilvl="0" w:tentative="0">
      <w:start w:val="1"/>
      <w:numFmt w:val="decimal"/>
      <w:lvlText w:val="（%1）"/>
      <w:lvlJc w:val="left"/>
      <w:pPr>
        <w:ind w:left="1354"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270" w:hanging="525"/>
      </w:pPr>
      <w:rPr>
        <w:rFonts w:hint="default"/>
        <w:lang w:val="zh-CN" w:eastAsia="zh-CN" w:bidi="zh-CN"/>
      </w:rPr>
    </w:lvl>
    <w:lvl w:ilvl="2" w:tentative="0">
      <w:start w:val="0"/>
      <w:numFmt w:val="bullet"/>
      <w:lvlText w:val="•"/>
      <w:lvlJc w:val="left"/>
      <w:pPr>
        <w:ind w:left="3181" w:hanging="525"/>
      </w:pPr>
      <w:rPr>
        <w:rFonts w:hint="default"/>
        <w:lang w:val="zh-CN" w:eastAsia="zh-CN" w:bidi="zh-CN"/>
      </w:rPr>
    </w:lvl>
    <w:lvl w:ilvl="3" w:tentative="0">
      <w:start w:val="0"/>
      <w:numFmt w:val="bullet"/>
      <w:lvlText w:val="•"/>
      <w:lvlJc w:val="left"/>
      <w:pPr>
        <w:ind w:left="4092" w:hanging="525"/>
      </w:pPr>
      <w:rPr>
        <w:rFonts w:hint="default"/>
        <w:lang w:val="zh-CN" w:eastAsia="zh-CN" w:bidi="zh-CN"/>
      </w:rPr>
    </w:lvl>
    <w:lvl w:ilvl="4" w:tentative="0">
      <w:start w:val="0"/>
      <w:numFmt w:val="bullet"/>
      <w:lvlText w:val="•"/>
      <w:lvlJc w:val="left"/>
      <w:pPr>
        <w:ind w:left="5002" w:hanging="525"/>
      </w:pPr>
      <w:rPr>
        <w:rFonts w:hint="default"/>
        <w:lang w:val="zh-CN" w:eastAsia="zh-CN" w:bidi="zh-CN"/>
      </w:rPr>
    </w:lvl>
    <w:lvl w:ilvl="5" w:tentative="0">
      <w:start w:val="0"/>
      <w:numFmt w:val="bullet"/>
      <w:lvlText w:val="•"/>
      <w:lvlJc w:val="left"/>
      <w:pPr>
        <w:ind w:left="5913" w:hanging="525"/>
      </w:pPr>
      <w:rPr>
        <w:rFonts w:hint="default"/>
        <w:lang w:val="zh-CN" w:eastAsia="zh-CN" w:bidi="zh-CN"/>
      </w:rPr>
    </w:lvl>
    <w:lvl w:ilvl="6" w:tentative="0">
      <w:start w:val="0"/>
      <w:numFmt w:val="bullet"/>
      <w:lvlText w:val="•"/>
      <w:lvlJc w:val="left"/>
      <w:pPr>
        <w:ind w:left="6824" w:hanging="525"/>
      </w:pPr>
      <w:rPr>
        <w:rFonts w:hint="default"/>
        <w:lang w:val="zh-CN" w:eastAsia="zh-CN" w:bidi="zh-CN"/>
      </w:rPr>
    </w:lvl>
    <w:lvl w:ilvl="7" w:tentative="0">
      <w:start w:val="0"/>
      <w:numFmt w:val="bullet"/>
      <w:lvlText w:val="•"/>
      <w:lvlJc w:val="left"/>
      <w:pPr>
        <w:ind w:left="7734" w:hanging="525"/>
      </w:pPr>
      <w:rPr>
        <w:rFonts w:hint="default"/>
        <w:lang w:val="zh-CN" w:eastAsia="zh-CN" w:bidi="zh-CN"/>
      </w:rPr>
    </w:lvl>
    <w:lvl w:ilvl="8" w:tentative="0">
      <w:start w:val="0"/>
      <w:numFmt w:val="bullet"/>
      <w:lvlText w:val="•"/>
      <w:lvlJc w:val="left"/>
      <w:pPr>
        <w:ind w:left="8645" w:hanging="525"/>
      </w:pPr>
      <w:rPr>
        <w:rFonts w:hint="default"/>
        <w:lang w:val="zh-CN" w:eastAsia="zh-CN" w:bidi="zh-CN"/>
      </w:rPr>
    </w:lvl>
  </w:abstractNum>
  <w:abstractNum w:abstractNumId="24">
    <w:nsid w:val="2A8F537B"/>
    <w:multiLevelType w:val="multilevel"/>
    <w:tmpl w:val="2A8F537B"/>
    <w:lvl w:ilvl="0" w:tentative="0">
      <w:start w:val="1"/>
      <w:numFmt w:val="decimal"/>
      <w:lvlText w:val="（%1）"/>
      <w:lvlJc w:val="left"/>
      <w:pPr>
        <w:ind w:left="712" w:hanging="525"/>
        <w:jc w:val="left"/>
      </w:pPr>
      <w:rPr>
        <w:rFonts w:hint="default" w:ascii="宋体" w:hAnsi="宋体" w:eastAsia="宋体" w:cs="宋体"/>
        <w:color w:val="0000FF"/>
        <w:spacing w:val="-17"/>
        <w:w w:val="99"/>
        <w:sz w:val="19"/>
        <w:szCs w:val="19"/>
        <w:lang w:val="zh-CN" w:eastAsia="zh-CN" w:bidi="zh-CN"/>
      </w:rPr>
    </w:lvl>
    <w:lvl w:ilvl="1" w:tentative="0">
      <w:start w:val="0"/>
      <w:numFmt w:val="bullet"/>
      <w:lvlText w:val="•"/>
      <w:lvlJc w:val="left"/>
      <w:pPr>
        <w:ind w:left="1694" w:hanging="525"/>
      </w:pPr>
      <w:rPr>
        <w:rFonts w:hint="default"/>
        <w:lang w:val="zh-CN" w:eastAsia="zh-CN" w:bidi="zh-CN"/>
      </w:rPr>
    </w:lvl>
    <w:lvl w:ilvl="2" w:tentative="0">
      <w:start w:val="0"/>
      <w:numFmt w:val="bullet"/>
      <w:lvlText w:val="•"/>
      <w:lvlJc w:val="left"/>
      <w:pPr>
        <w:ind w:left="2669" w:hanging="525"/>
      </w:pPr>
      <w:rPr>
        <w:rFonts w:hint="default"/>
        <w:lang w:val="zh-CN" w:eastAsia="zh-CN" w:bidi="zh-CN"/>
      </w:rPr>
    </w:lvl>
    <w:lvl w:ilvl="3" w:tentative="0">
      <w:start w:val="0"/>
      <w:numFmt w:val="bullet"/>
      <w:lvlText w:val="•"/>
      <w:lvlJc w:val="left"/>
      <w:pPr>
        <w:ind w:left="36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593" w:hanging="525"/>
      </w:pPr>
      <w:rPr>
        <w:rFonts w:hint="default"/>
        <w:lang w:val="zh-CN" w:eastAsia="zh-CN" w:bidi="zh-CN"/>
      </w:rPr>
    </w:lvl>
    <w:lvl w:ilvl="6" w:tentative="0">
      <w:start w:val="0"/>
      <w:numFmt w:val="bullet"/>
      <w:lvlText w:val="•"/>
      <w:lvlJc w:val="left"/>
      <w:pPr>
        <w:ind w:left="6568" w:hanging="525"/>
      </w:pPr>
      <w:rPr>
        <w:rFonts w:hint="default"/>
        <w:lang w:val="zh-CN" w:eastAsia="zh-CN" w:bidi="zh-CN"/>
      </w:rPr>
    </w:lvl>
    <w:lvl w:ilvl="7" w:tentative="0">
      <w:start w:val="0"/>
      <w:numFmt w:val="bullet"/>
      <w:lvlText w:val="•"/>
      <w:lvlJc w:val="left"/>
      <w:pPr>
        <w:ind w:left="7542" w:hanging="525"/>
      </w:pPr>
      <w:rPr>
        <w:rFonts w:hint="default"/>
        <w:lang w:val="zh-CN" w:eastAsia="zh-CN" w:bidi="zh-CN"/>
      </w:rPr>
    </w:lvl>
    <w:lvl w:ilvl="8" w:tentative="0">
      <w:start w:val="0"/>
      <w:numFmt w:val="bullet"/>
      <w:lvlText w:val="•"/>
      <w:lvlJc w:val="left"/>
      <w:pPr>
        <w:ind w:left="8517" w:hanging="525"/>
      </w:pPr>
      <w:rPr>
        <w:rFonts w:hint="default"/>
        <w:lang w:val="zh-CN" w:eastAsia="zh-CN" w:bidi="zh-CN"/>
      </w:rPr>
    </w:lvl>
  </w:abstractNum>
  <w:abstractNum w:abstractNumId="25">
    <w:nsid w:val="30FC5B15"/>
    <w:multiLevelType w:val="multilevel"/>
    <w:tmpl w:val="30FC5B15"/>
    <w:lvl w:ilvl="0" w:tentative="0">
      <w:start w:val="7"/>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405" w:hanging="420"/>
      </w:pPr>
      <w:rPr>
        <w:rFonts w:hint="default"/>
        <w:lang w:val="zh-CN" w:eastAsia="zh-CN" w:bidi="zh-CN"/>
      </w:rPr>
    </w:lvl>
    <w:lvl w:ilvl="3" w:tentative="0">
      <w:start w:val="0"/>
      <w:numFmt w:val="bullet"/>
      <w:lvlText w:val="•"/>
      <w:lvlJc w:val="left"/>
      <w:pPr>
        <w:ind w:left="4288" w:hanging="420"/>
      </w:pPr>
      <w:rPr>
        <w:rFonts w:hint="default"/>
        <w:lang w:val="zh-CN" w:eastAsia="zh-CN" w:bidi="zh-CN"/>
      </w:rPr>
    </w:lvl>
    <w:lvl w:ilvl="4" w:tentative="0">
      <w:start w:val="0"/>
      <w:numFmt w:val="bullet"/>
      <w:lvlText w:val="•"/>
      <w:lvlJc w:val="left"/>
      <w:pPr>
        <w:ind w:left="5170" w:hanging="420"/>
      </w:pPr>
      <w:rPr>
        <w:rFonts w:hint="default"/>
        <w:lang w:val="zh-CN" w:eastAsia="zh-CN" w:bidi="zh-CN"/>
      </w:rPr>
    </w:lvl>
    <w:lvl w:ilvl="5" w:tentative="0">
      <w:start w:val="0"/>
      <w:numFmt w:val="bullet"/>
      <w:lvlText w:val="•"/>
      <w:lvlJc w:val="left"/>
      <w:pPr>
        <w:ind w:left="6053" w:hanging="420"/>
      </w:pPr>
      <w:rPr>
        <w:rFonts w:hint="default"/>
        <w:lang w:val="zh-CN" w:eastAsia="zh-CN" w:bidi="zh-CN"/>
      </w:rPr>
    </w:lvl>
    <w:lvl w:ilvl="6" w:tentative="0">
      <w:start w:val="0"/>
      <w:numFmt w:val="bullet"/>
      <w:lvlText w:val="•"/>
      <w:lvlJc w:val="left"/>
      <w:pPr>
        <w:ind w:left="6936" w:hanging="420"/>
      </w:pPr>
      <w:rPr>
        <w:rFonts w:hint="default"/>
        <w:lang w:val="zh-CN" w:eastAsia="zh-CN" w:bidi="zh-CN"/>
      </w:rPr>
    </w:lvl>
    <w:lvl w:ilvl="7" w:tentative="0">
      <w:start w:val="0"/>
      <w:numFmt w:val="bullet"/>
      <w:lvlText w:val="•"/>
      <w:lvlJc w:val="left"/>
      <w:pPr>
        <w:ind w:left="7818" w:hanging="420"/>
      </w:pPr>
      <w:rPr>
        <w:rFonts w:hint="default"/>
        <w:lang w:val="zh-CN" w:eastAsia="zh-CN" w:bidi="zh-CN"/>
      </w:rPr>
    </w:lvl>
    <w:lvl w:ilvl="8" w:tentative="0">
      <w:start w:val="0"/>
      <w:numFmt w:val="bullet"/>
      <w:lvlText w:val="•"/>
      <w:lvlJc w:val="left"/>
      <w:pPr>
        <w:ind w:left="8701" w:hanging="420"/>
      </w:pPr>
      <w:rPr>
        <w:rFonts w:hint="default"/>
        <w:lang w:val="zh-CN" w:eastAsia="zh-CN" w:bidi="zh-CN"/>
      </w:rPr>
    </w:lvl>
  </w:abstractNum>
  <w:abstractNum w:abstractNumId="26">
    <w:nsid w:val="39A0D9AC"/>
    <w:multiLevelType w:val="multilevel"/>
    <w:tmpl w:val="39A0D9AC"/>
    <w:lvl w:ilvl="0" w:tentative="0">
      <w:start w:val="2"/>
      <w:numFmt w:val="decimal"/>
      <w:lvlText w:val="%1"/>
      <w:lvlJc w:val="left"/>
      <w:pPr>
        <w:ind w:left="1643" w:hanging="420"/>
        <w:jc w:val="left"/>
      </w:pPr>
      <w:rPr>
        <w:rFonts w:hint="default"/>
        <w:lang w:val="zh-CN" w:eastAsia="zh-CN" w:bidi="zh-CN"/>
      </w:rPr>
    </w:lvl>
    <w:lvl w:ilvl="1" w:tentative="0">
      <w:start w:val="4"/>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601"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63" w:hanging="632"/>
      </w:pPr>
      <w:rPr>
        <w:rFonts w:hint="default"/>
        <w:lang w:val="zh-CN" w:eastAsia="zh-CN" w:bidi="zh-CN"/>
      </w:rPr>
    </w:lvl>
    <w:lvl w:ilvl="6" w:tentative="0">
      <w:start w:val="0"/>
      <w:numFmt w:val="bullet"/>
      <w:lvlText w:val="•"/>
      <w:lvlJc w:val="left"/>
      <w:pPr>
        <w:ind w:left="6543" w:hanging="632"/>
      </w:pPr>
      <w:rPr>
        <w:rFonts w:hint="default"/>
        <w:lang w:val="zh-CN" w:eastAsia="zh-CN" w:bidi="zh-CN"/>
      </w:rPr>
    </w:lvl>
    <w:lvl w:ilvl="7" w:tentative="0">
      <w:start w:val="0"/>
      <w:numFmt w:val="bullet"/>
      <w:lvlText w:val="•"/>
      <w:lvlJc w:val="left"/>
      <w:pPr>
        <w:ind w:left="7524" w:hanging="632"/>
      </w:pPr>
      <w:rPr>
        <w:rFonts w:hint="default"/>
        <w:lang w:val="zh-CN" w:eastAsia="zh-CN" w:bidi="zh-CN"/>
      </w:rPr>
    </w:lvl>
    <w:lvl w:ilvl="8" w:tentative="0">
      <w:start w:val="0"/>
      <w:numFmt w:val="bullet"/>
      <w:lvlText w:val="•"/>
      <w:lvlJc w:val="left"/>
      <w:pPr>
        <w:ind w:left="8505" w:hanging="632"/>
      </w:pPr>
      <w:rPr>
        <w:rFonts w:hint="default"/>
        <w:lang w:val="zh-CN" w:eastAsia="zh-CN" w:bidi="zh-CN"/>
      </w:rPr>
    </w:lvl>
  </w:abstractNum>
  <w:abstractNum w:abstractNumId="27">
    <w:nsid w:val="46A08BB8"/>
    <w:multiLevelType w:val="multilevel"/>
    <w:tmpl w:val="46A08BB8"/>
    <w:lvl w:ilvl="0" w:tentative="0">
      <w:start w:val="1"/>
      <w:numFmt w:val="decimal"/>
      <w:lvlText w:val="%1."/>
      <w:lvlJc w:val="left"/>
      <w:pPr>
        <w:ind w:left="1540" w:hanging="317"/>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40" w:hanging="632"/>
      </w:pPr>
      <w:rPr>
        <w:rFonts w:hint="default"/>
        <w:lang w:val="zh-CN" w:eastAsia="zh-CN" w:bidi="zh-CN"/>
      </w:rPr>
    </w:lvl>
    <w:lvl w:ilvl="4" w:tentative="0">
      <w:start w:val="0"/>
      <w:numFmt w:val="bullet"/>
      <w:lvlText w:val="•"/>
      <w:lvlJc w:val="left"/>
      <w:pPr>
        <w:ind w:left="1860" w:hanging="632"/>
      </w:pPr>
      <w:rPr>
        <w:rFonts w:hint="default"/>
        <w:lang w:val="zh-CN" w:eastAsia="zh-CN" w:bidi="zh-CN"/>
      </w:rPr>
    </w:lvl>
    <w:lvl w:ilvl="5" w:tentative="0">
      <w:start w:val="0"/>
      <w:numFmt w:val="bullet"/>
      <w:lvlText w:val="•"/>
      <w:lvlJc w:val="left"/>
      <w:pPr>
        <w:ind w:left="3294" w:hanging="632"/>
      </w:pPr>
      <w:rPr>
        <w:rFonts w:hint="default"/>
        <w:lang w:val="zh-CN" w:eastAsia="zh-CN" w:bidi="zh-CN"/>
      </w:rPr>
    </w:lvl>
    <w:lvl w:ilvl="6" w:tentative="0">
      <w:start w:val="0"/>
      <w:numFmt w:val="bullet"/>
      <w:lvlText w:val="•"/>
      <w:lvlJc w:val="left"/>
      <w:pPr>
        <w:ind w:left="4729" w:hanging="632"/>
      </w:pPr>
      <w:rPr>
        <w:rFonts w:hint="default"/>
        <w:lang w:val="zh-CN" w:eastAsia="zh-CN" w:bidi="zh-CN"/>
      </w:rPr>
    </w:lvl>
    <w:lvl w:ilvl="7" w:tentative="0">
      <w:start w:val="0"/>
      <w:numFmt w:val="bullet"/>
      <w:lvlText w:val="•"/>
      <w:lvlJc w:val="left"/>
      <w:pPr>
        <w:ind w:left="6163" w:hanging="632"/>
      </w:pPr>
      <w:rPr>
        <w:rFonts w:hint="default"/>
        <w:lang w:val="zh-CN" w:eastAsia="zh-CN" w:bidi="zh-CN"/>
      </w:rPr>
    </w:lvl>
    <w:lvl w:ilvl="8" w:tentative="0">
      <w:start w:val="0"/>
      <w:numFmt w:val="bullet"/>
      <w:lvlText w:val="•"/>
      <w:lvlJc w:val="left"/>
      <w:pPr>
        <w:ind w:left="7598" w:hanging="632"/>
      </w:pPr>
      <w:rPr>
        <w:rFonts w:hint="default"/>
        <w:lang w:val="zh-CN" w:eastAsia="zh-CN" w:bidi="zh-CN"/>
      </w:rPr>
    </w:lvl>
  </w:abstractNum>
  <w:abstractNum w:abstractNumId="28">
    <w:nsid w:val="4C1BAE26"/>
    <w:multiLevelType w:val="multilevel"/>
    <w:tmpl w:val="4C1BAE26"/>
    <w:lvl w:ilvl="0" w:tentative="0">
      <w:start w:val="1"/>
      <w:numFmt w:val="decimal"/>
      <w:lvlText w:val="%1."/>
      <w:lvlJc w:val="left"/>
      <w:pPr>
        <w:ind w:left="803"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766" w:hanging="315"/>
      </w:pPr>
      <w:rPr>
        <w:rFonts w:hint="default"/>
        <w:lang w:val="zh-CN" w:eastAsia="zh-CN" w:bidi="zh-CN"/>
      </w:rPr>
    </w:lvl>
    <w:lvl w:ilvl="2" w:tentative="0">
      <w:start w:val="0"/>
      <w:numFmt w:val="bullet"/>
      <w:lvlText w:val="•"/>
      <w:lvlJc w:val="left"/>
      <w:pPr>
        <w:ind w:left="2733" w:hanging="315"/>
      </w:pPr>
      <w:rPr>
        <w:rFonts w:hint="default"/>
        <w:lang w:val="zh-CN" w:eastAsia="zh-CN" w:bidi="zh-CN"/>
      </w:rPr>
    </w:lvl>
    <w:lvl w:ilvl="3" w:tentative="0">
      <w:start w:val="0"/>
      <w:numFmt w:val="bullet"/>
      <w:lvlText w:val="•"/>
      <w:lvlJc w:val="left"/>
      <w:pPr>
        <w:ind w:left="3700" w:hanging="315"/>
      </w:pPr>
      <w:rPr>
        <w:rFonts w:hint="default"/>
        <w:lang w:val="zh-CN" w:eastAsia="zh-CN" w:bidi="zh-CN"/>
      </w:rPr>
    </w:lvl>
    <w:lvl w:ilvl="4" w:tentative="0">
      <w:start w:val="0"/>
      <w:numFmt w:val="bullet"/>
      <w:lvlText w:val="•"/>
      <w:lvlJc w:val="left"/>
      <w:pPr>
        <w:ind w:left="4666" w:hanging="315"/>
      </w:pPr>
      <w:rPr>
        <w:rFonts w:hint="default"/>
        <w:lang w:val="zh-CN" w:eastAsia="zh-CN" w:bidi="zh-CN"/>
      </w:rPr>
    </w:lvl>
    <w:lvl w:ilvl="5" w:tentative="0">
      <w:start w:val="0"/>
      <w:numFmt w:val="bullet"/>
      <w:lvlText w:val="•"/>
      <w:lvlJc w:val="left"/>
      <w:pPr>
        <w:ind w:left="5633" w:hanging="315"/>
      </w:pPr>
      <w:rPr>
        <w:rFonts w:hint="default"/>
        <w:lang w:val="zh-CN" w:eastAsia="zh-CN" w:bidi="zh-CN"/>
      </w:rPr>
    </w:lvl>
    <w:lvl w:ilvl="6" w:tentative="0">
      <w:start w:val="0"/>
      <w:numFmt w:val="bullet"/>
      <w:lvlText w:val="•"/>
      <w:lvlJc w:val="left"/>
      <w:pPr>
        <w:ind w:left="6600" w:hanging="315"/>
      </w:pPr>
      <w:rPr>
        <w:rFonts w:hint="default"/>
        <w:lang w:val="zh-CN" w:eastAsia="zh-CN" w:bidi="zh-CN"/>
      </w:rPr>
    </w:lvl>
    <w:lvl w:ilvl="7" w:tentative="0">
      <w:start w:val="0"/>
      <w:numFmt w:val="bullet"/>
      <w:lvlText w:val="•"/>
      <w:lvlJc w:val="left"/>
      <w:pPr>
        <w:ind w:left="7566" w:hanging="315"/>
      </w:pPr>
      <w:rPr>
        <w:rFonts w:hint="default"/>
        <w:lang w:val="zh-CN" w:eastAsia="zh-CN" w:bidi="zh-CN"/>
      </w:rPr>
    </w:lvl>
    <w:lvl w:ilvl="8" w:tentative="0">
      <w:start w:val="0"/>
      <w:numFmt w:val="bullet"/>
      <w:lvlText w:val="•"/>
      <w:lvlJc w:val="left"/>
      <w:pPr>
        <w:ind w:left="8533" w:hanging="315"/>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1672" w:hanging="737"/>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2558" w:hanging="737"/>
      </w:pPr>
      <w:rPr>
        <w:rFonts w:hint="default"/>
        <w:lang w:val="zh-CN" w:eastAsia="zh-CN" w:bidi="zh-CN"/>
      </w:rPr>
    </w:lvl>
    <w:lvl w:ilvl="2" w:tentative="0">
      <w:start w:val="0"/>
      <w:numFmt w:val="bullet"/>
      <w:lvlText w:val="•"/>
      <w:lvlJc w:val="left"/>
      <w:pPr>
        <w:ind w:left="3437" w:hanging="737"/>
      </w:pPr>
      <w:rPr>
        <w:rFonts w:hint="default"/>
        <w:lang w:val="zh-CN" w:eastAsia="zh-CN" w:bidi="zh-CN"/>
      </w:rPr>
    </w:lvl>
    <w:lvl w:ilvl="3" w:tentative="0">
      <w:start w:val="0"/>
      <w:numFmt w:val="bullet"/>
      <w:lvlText w:val="•"/>
      <w:lvlJc w:val="left"/>
      <w:pPr>
        <w:ind w:left="4316" w:hanging="737"/>
      </w:pPr>
      <w:rPr>
        <w:rFonts w:hint="default"/>
        <w:lang w:val="zh-CN" w:eastAsia="zh-CN" w:bidi="zh-CN"/>
      </w:rPr>
    </w:lvl>
    <w:lvl w:ilvl="4" w:tentative="0">
      <w:start w:val="0"/>
      <w:numFmt w:val="bullet"/>
      <w:lvlText w:val="•"/>
      <w:lvlJc w:val="left"/>
      <w:pPr>
        <w:ind w:left="5194" w:hanging="737"/>
      </w:pPr>
      <w:rPr>
        <w:rFonts w:hint="default"/>
        <w:lang w:val="zh-CN" w:eastAsia="zh-CN" w:bidi="zh-CN"/>
      </w:rPr>
    </w:lvl>
    <w:lvl w:ilvl="5" w:tentative="0">
      <w:start w:val="0"/>
      <w:numFmt w:val="bullet"/>
      <w:lvlText w:val="•"/>
      <w:lvlJc w:val="left"/>
      <w:pPr>
        <w:ind w:left="6073" w:hanging="737"/>
      </w:pPr>
      <w:rPr>
        <w:rFonts w:hint="default"/>
        <w:lang w:val="zh-CN" w:eastAsia="zh-CN" w:bidi="zh-CN"/>
      </w:rPr>
    </w:lvl>
    <w:lvl w:ilvl="6" w:tentative="0">
      <w:start w:val="0"/>
      <w:numFmt w:val="bullet"/>
      <w:lvlText w:val="•"/>
      <w:lvlJc w:val="left"/>
      <w:pPr>
        <w:ind w:left="6952" w:hanging="737"/>
      </w:pPr>
      <w:rPr>
        <w:rFonts w:hint="default"/>
        <w:lang w:val="zh-CN" w:eastAsia="zh-CN" w:bidi="zh-CN"/>
      </w:rPr>
    </w:lvl>
    <w:lvl w:ilvl="7" w:tentative="0">
      <w:start w:val="0"/>
      <w:numFmt w:val="bullet"/>
      <w:lvlText w:val="•"/>
      <w:lvlJc w:val="left"/>
      <w:pPr>
        <w:ind w:left="7830" w:hanging="737"/>
      </w:pPr>
      <w:rPr>
        <w:rFonts w:hint="default"/>
        <w:lang w:val="zh-CN" w:eastAsia="zh-CN" w:bidi="zh-CN"/>
      </w:rPr>
    </w:lvl>
    <w:lvl w:ilvl="8" w:tentative="0">
      <w:start w:val="0"/>
      <w:numFmt w:val="bullet"/>
      <w:lvlText w:val="•"/>
      <w:lvlJc w:val="left"/>
      <w:pPr>
        <w:ind w:left="8709" w:hanging="737"/>
      </w:pPr>
      <w:rPr>
        <w:rFonts w:hint="default"/>
        <w:lang w:val="zh-CN" w:eastAsia="zh-CN" w:bidi="zh-CN"/>
      </w:rPr>
    </w:lvl>
  </w:abstractNum>
  <w:abstractNum w:abstractNumId="30">
    <w:nsid w:val="4D94DA66"/>
    <w:multiLevelType w:val="multilevel"/>
    <w:tmpl w:val="4D94DA66"/>
    <w:lvl w:ilvl="0" w:tentative="0">
      <w:start w:val="1"/>
      <w:numFmt w:val="decimal"/>
      <w:lvlText w:val="%1"/>
      <w:lvlJc w:val="left"/>
      <w:pPr>
        <w:ind w:left="1748" w:hanging="526"/>
        <w:jc w:val="left"/>
      </w:pPr>
      <w:rPr>
        <w:rFonts w:hint="default"/>
        <w:lang w:val="zh-CN" w:eastAsia="zh-CN" w:bidi="zh-CN"/>
      </w:rPr>
    </w:lvl>
    <w:lvl w:ilvl="1" w:tentative="0">
      <w:start w:val="2"/>
      <w:numFmt w:val="decimal"/>
      <w:lvlText w:val="%1.%2"/>
      <w:lvlJc w:val="left"/>
      <w:pPr>
        <w:ind w:left="1748" w:hanging="526"/>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1">
    <w:nsid w:val="58765686"/>
    <w:multiLevelType w:val="multilevel"/>
    <w:tmpl w:val="58765686"/>
    <w:lvl w:ilvl="0" w:tentative="0">
      <w:start w:val="4"/>
      <w:numFmt w:val="decimal"/>
      <w:lvlText w:val="%1"/>
      <w:lvlJc w:val="left"/>
      <w:pPr>
        <w:ind w:left="1643" w:hanging="420"/>
        <w:jc w:val="left"/>
      </w:pPr>
      <w:rPr>
        <w:rFonts w:hint="default"/>
        <w:lang w:val="zh-CN" w:eastAsia="zh-CN" w:bidi="zh-CN"/>
      </w:rPr>
    </w:lvl>
    <w:lvl w:ilvl="1" w:tentative="0">
      <w:start w:val="2"/>
      <w:numFmt w:val="decimal"/>
      <w:lvlText w:val="%1.%2"/>
      <w:lvlJc w:val="left"/>
      <w:pPr>
        <w:ind w:left="1643" w:hanging="420"/>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854"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72" w:hanging="632"/>
      </w:pPr>
      <w:rPr>
        <w:rFonts w:hint="default"/>
        <w:lang w:val="zh-CN" w:eastAsia="zh-CN" w:bidi="zh-CN"/>
      </w:rPr>
    </w:lvl>
    <w:lvl w:ilvl="4" w:tentative="0">
      <w:start w:val="0"/>
      <w:numFmt w:val="bullet"/>
      <w:lvlText w:val="•"/>
      <w:lvlJc w:val="left"/>
      <w:pPr>
        <w:ind w:left="4729" w:hanging="632"/>
      </w:pPr>
      <w:rPr>
        <w:rFonts w:hint="default"/>
        <w:lang w:val="zh-CN" w:eastAsia="zh-CN" w:bidi="zh-CN"/>
      </w:rPr>
    </w:lvl>
    <w:lvl w:ilvl="5" w:tentative="0">
      <w:start w:val="0"/>
      <w:numFmt w:val="bullet"/>
      <w:lvlText w:val="•"/>
      <w:lvlJc w:val="left"/>
      <w:pPr>
        <w:ind w:left="5685" w:hanging="632"/>
      </w:pPr>
      <w:rPr>
        <w:rFonts w:hint="default"/>
        <w:lang w:val="zh-CN" w:eastAsia="zh-CN" w:bidi="zh-CN"/>
      </w:rPr>
    </w:lvl>
    <w:lvl w:ilvl="6" w:tentative="0">
      <w:start w:val="0"/>
      <w:numFmt w:val="bullet"/>
      <w:lvlText w:val="•"/>
      <w:lvlJc w:val="left"/>
      <w:pPr>
        <w:ind w:left="664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54" w:hanging="632"/>
      </w:pPr>
      <w:rPr>
        <w:rFonts w:hint="default"/>
        <w:lang w:val="zh-CN" w:eastAsia="zh-CN" w:bidi="zh-CN"/>
      </w:rPr>
    </w:lvl>
  </w:abstractNum>
  <w:abstractNum w:abstractNumId="32">
    <w:nsid w:val="59ADCABA"/>
    <w:multiLevelType w:val="multilevel"/>
    <w:tmpl w:val="59ADCABA"/>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64" w:hanging="525"/>
      </w:pPr>
      <w:rPr>
        <w:rFonts w:hint="default"/>
        <w:lang w:val="zh-CN" w:eastAsia="zh-CN" w:bidi="zh-CN"/>
      </w:rPr>
    </w:lvl>
    <w:lvl w:ilvl="2" w:tentative="0">
      <w:start w:val="0"/>
      <w:numFmt w:val="bullet"/>
      <w:lvlText w:val="•"/>
      <w:lvlJc w:val="left"/>
      <w:pPr>
        <w:ind w:left="1889" w:hanging="525"/>
      </w:pPr>
      <w:rPr>
        <w:rFonts w:hint="default"/>
        <w:lang w:val="zh-CN" w:eastAsia="zh-CN" w:bidi="zh-CN"/>
      </w:rPr>
    </w:lvl>
    <w:lvl w:ilvl="3" w:tentative="0">
      <w:start w:val="0"/>
      <w:numFmt w:val="bullet"/>
      <w:lvlText w:val="•"/>
      <w:lvlJc w:val="left"/>
      <w:pPr>
        <w:ind w:left="2514" w:hanging="525"/>
      </w:pPr>
      <w:rPr>
        <w:rFonts w:hint="default"/>
        <w:lang w:val="zh-CN" w:eastAsia="zh-CN" w:bidi="zh-CN"/>
      </w:rPr>
    </w:lvl>
    <w:lvl w:ilvl="4" w:tentative="0">
      <w:start w:val="0"/>
      <w:numFmt w:val="bullet"/>
      <w:lvlText w:val="•"/>
      <w:lvlJc w:val="left"/>
      <w:pPr>
        <w:ind w:left="3138" w:hanging="525"/>
      </w:pPr>
      <w:rPr>
        <w:rFonts w:hint="default"/>
        <w:lang w:val="zh-CN" w:eastAsia="zh-CN" w:bidi="zh-CN"/>
      </w:rPr>
    </w:lvl>
    <w:lvl w:ilvl="5" w:tentative="0">
      <w:start w:val="0"/>
      <w:numFmt w:val="bullet"/>
      <w:lvlText w:val="•"/>
      <w:lvlJc w:val="left"/>
      <w:pPr>
        <w:ind w:left="3763" w:hanging="525"/>
      </w:pPr>
      <w:rPr>
        <w:rFonts w:hint="default"/>
        <w:lang w:val="zh-CN" w:eastAsia="zh-CN" w:bidi="zh-CN"/>
      </w:rPr>
    </w:lvl>
    <w:lvl w:ilvl="6" w:tentative="0">
      <w:start w:val="0"/>
      <w:numFmt w:val="bullet"/>
      <w:lvlText w:val="•"/>
      <w:lvlJc w:val="left"/>
      <w:pPr>
        <w:ind w:left="4388" w:hanging="525"/>
      </w:pPr>
      <w:rPr>
        <w:rFonts w:hint="default"/>
        <w:lang w:val="zh-CN" w:eastAsia="zh-CN" w:bidi="zh-CN"/>
      </w:rPr>
    </w:lvl>
    <w:lvl w:ilvl="7" w:tentative="0">
      <w:start w:val="0"/>
      <w:numFmt w:val="bullet"/>
      <w:lvlText w:val="•"/>
      <w:lvlJc w:val="left"/>
      <w:pPr>
        <w:ind w:left="5012" w:hanging="525"/>
      </w:pPr>
      <w:rPr>
        <w:rFonts w:hint="default"/>
        <w:lang w:val="zh-CN" w:eastAsia="zh-CN" w:bidi="zh-CN"/>
      </w:rPr>
    </w:lvl>
    <w:lvl w:ilvl="8" w:tentative="0">
      <w:start w:val="0"/>
      <w:numFmt w:val="bullet"/>
      <w:lvlText w:val="•"/>
      <w:lvlJc w:val="left"/>
      <w:pPr>
        <w:ind w:left="5637" w:hanging="525"/>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510" w:hanging="720"/>
        <w:jc w:val="left"/>
      </w:pPr>
      <w:rPr>
        <w:rFonts w:hint="default" w:ascii="黑体" w:hAnsi="黑体" w:eastAsia="黑体" w:cs="黑体"/>
        <w:b/>
        <w:bCs/>
        <w:spacing w:val="-1"/>
        <w:w w:val="98"/>
        <w:sz w:val="21"/>
        <w:szCs w:val="21"/>
        <w:lang w:val="zh-CN" w:eastAsia="zh-CN" w:bidi="zh-CN"/>
      </w:rPr>
    </w:lvl>
    <w:lvl w:ilvl="1" w:tentative="0">
      <w:start w:val="0"/>
      <w:numFmt w:val="bullet"/>
      <w:lvlText w:val="•"/>
      <w:lvlJc w:val="left"/>
      <w:pPr>
        <w:ind w:left="1514" w:hanging="720"/>
      </w:pPr>
      <w:rPr>
        <w:rFonts w:hint="default"/>
        <w:lang w:val="zh-CN" w:eastAsia="zh-CN" w:bidi="zh-CN"/>
      </w:rPr>
    </w:lvl>
    <w:lvl w:ilvl="2" w:tentative="0">
      <w:start w:val="0"/>
      <w:numFmt w:val="bullet"/>
      <w:lvlText w:val="•"/>
      <w:lvlJc w:val="left"/>
      <w:pPr>
        <w:ind w:left="2509" w:hanging="720"/>
      </w:pPr>
      <w:rPr>
        <w:rFonts w:hint="default"/>
        <w:lang w:val="zh-CN" w:eastAsia="zh-CN" w:bidi="zh-CN"/>
      </w:rPr>
    </w:lvl>
    <w:lvl w:ilvl="3" w:tentative="0">
      <w:start w:val="0"/>
      <w:numFmt w:val="bullet"/>
      <w:lvlText w:val="•"/>
      <w:lvlJc w:val="left"/>
      <w:pPr>
        <w:ind w:left="3504" w:hanging="720"/>
      </w:pPr>
      <w:rPr>
        <w:rFonts w:hint="default"/>
        <w:lang w:val="zh-CN" w:eastAsia="zh-CN" w:bidi="zh-CN"/>
      </w:rPr>
    </w:lvl>
    <w:lvl w:ilvl="4" w:tentative="0">
      <w:start w:val="0"/>
      <w:numFmt w:val="bullet"/>
      <w:lvlText w:val="•"/>
      <w:lvlJc w:val="left"/>
      <w:pPr>
        <w:ind w:left="4498" w:hanging="720"/>
      </w:pPr>
      <w:rPr>
        <w:rFonts w:hint="default"/>
        <w:lang w:val="zh-CN" w:eastAsia="zh-CN" w:bidi="zh-CN"/>
      </w:rPr>
    </w:lvl>
    <w:lvl w:ilvl="5" w:tentative="0">
      <w:start w:val="0"/>
      <w:numFmt w:val="bullet"/>
      <w:lvlText w:val="•"/>
      <w:lvlJc w:val="left"/>
      <w:pPr>
        <w:ind w:left="5493" w:hanging="720"/>
      </w:pPr>
      <w:rPr>
        <w:rFonts w:hint="default"/>
        <w:lang w:val="zh-CN" w:eastAsia="zh-CN" w:bidi="zh-CN"/>
      </w:rPr>
    </w:lvl>
    <w:lvl w:ilvl="6" w:tentative="0">
      <w:start w:val="0"/>
      <w:numFmt w:val="bullet"/>
      <w:lvlText w:val="•"/>
      <w:lvlJc w:val="left"/>
      <w:pPr>
        <w:ind w:left="6488" w:hanging="720"/>
      </w:pPr>
      <w:rPr>
        <w:rFonts w:hint="default"/>
        <w:lang w:val="zh-CN" w:eastAsia="zh-CN" w:bidi="zh-CN"/>
      </w:rPr>
    </w:lvl>
    <w:lvl w:ilvl="7" w:tentative="0">
      <w:start w:val="0"/>
      <w:numFmt w:val="bullet"/>
      <w:lvlText w:val="•"/>
      <w:lvlJc w:val="left"/>
      <w:pPr>
        <w:ind w:left="7482" w:hanging="720"/>
      </w:pPr>
      <w:rPr>
        <w:rFonts w:hint="default"/>
        <w:lang w:val="zh-CN" w:eastAsia="zh-CN" w:bidi="zh-CN"/>
      </w:rPr>
    </w:lvl>
    <w:lvl w:ilvl="8" w:tentative="0">
      <w:start w:val="0"/>
      <w:numFmt w:val="bullet"/>
      <w:lvlText w:val="•"/>
      <w:lvlJc w:val="left"/>
      <w:pPr>
        <w:ind w:left="8477" w:hanging="720"/>
      </w:pPr>
      <w:rPr>
        <w:rFonts w:hint="default"/>
        <w:lang w:val="zh-CN" w:eastAsia="zh-CN" w:bidi="zh-CN"/>
      </w:rPr>
    </w:lvl>
  </w:abstractNum>
  <w:abstractNum w:abstractNumId="34">
    <w:nsid w:val="60382F6E"/>
    <w:multiLevelType w:val="multilevel"/>
    <w:tmpl w:val="60382F6E"/>
    <w:lvl w:ilvl="0" w:tentative="0">
      <w:start w:val="1"/>
      <w:numFmt w:val="decimal"/>
      <w:lvlText w:val="%1."/>
      <w:lvlJc w:val="left"/>
      <w:pPr>
        <w:ind w:left="1535"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432" w:hanging="315"/>
      </w:pPr>
      <w:rPr>
        <w:rFonts w:hint="default"/>
        <w:lang w:val="zh-CN" w:eastAsia="zh-CN" w:bidi="zh-CN"/>
      </w:rPr>
    </w:lvl>
    <w:lvl w:ilvl="2" w:tentative="0">
      <w:start w:val="0"/>
      <w:numFmt w:val="bullet"/>
      <w:lvlText w:val="•"/>
      <w:lvlJc w:val="left"/>
      <w:pPr>
        <w:ind w:left="3325" w:hanging="315"/>
      </w:pPr>
      <w:rPr>
        <w:rFonts w:hint="default"/>
        <w:lang w:val="zh-CN" w:eastAsia="zh-CN" w:bidi="zh-CN"/>
      </w:rPr>
    </w:lvl>
    <w:lvl w:ilvl="3" w:tentative="0">
      <w:start w:val="0"/>
      <w:numFmt w:val="bullet"/>
      <w:lvlText w:val="•"/>
      <w:lvlJc w:val="left"/>
      <w:pPr>
        <w:ind w:left="4218" w:hanging="315"/>
      </w:pPr>
      <w:rPr>
        <w:rFonts w:hint="default"/>
        <w:lang w:val="zh-CN" w:eastAsia="zh-CN" w:bidi="zh-CN"/>
      </w:rPr>
    </w:lvl>
    <w:lvl w:ilvl="4" w:tentative="0">
      <w:start w:val="0"/>
      <w:numFmt w:val="bullet"/>
      <w:lvlText w:val="•"/>
      <w:lvlJc w:val="left"/>
      <w:pPr>
        <w:ind w:left="5110" w:hanging="315"/>
      </w:pPr>
      <w:rPr>
        <w:rFonts w:hint="default"/>
        <w:lang w:val="zh-CN" w:eastAsia="zh-CN" w:bidi="zh-CN"/>
      </w:rPr>
    </w:lvl>
    <w:lvl w:ilvl="5" w:tentative="0">
      <w:start w:val="0"/>
      <w:numFmt w:val="bullet"/>
      <w:lvlText w:val="•"/>
      <w:lvlJc w:val="left"/>
      <w:pPr>
        <w:ind w:left="6003" w:hanging="315"/>
      </w:pPr>
      <w:rPr>
        <w:rFonts w:hint="default"/>
        <w:lang w:val="zh-CN" w:eastAsia="zh-CN" w:bidi="zh-CN"/>
      </w:rPr>
    </w:lvl>
    <w:lvl w:ilvl="6" w:tentative="0">
      <w:start w:val="0"/>
      <w:numFmt w:val="bullet"/>
      <w:lvlText w:val="•"/>
      <w:lvlJc w:val="left"/>
      <w:pPr>
        <w:ind w:left="6896" w:hanging="315"/>
      </w:pPr>
      <w:rPr>
        <w:rFonts w:hint="default"/>
        <w:lang w:val="zh-CN" w:eastAsia="zh-CN" w:bidi="zh-CN"/>
      </w:rPr>
    </w:lvl>
    <w:lvl w:ilvl="7" w:tentative="0">
      <w:start w:val="0"/>
      <w:numFmt w:val="bullet"/>
      <w:lvlText w:val="•"/>
      <w:lvlJc w:val="left"/>
      <w:pPr>
        <w:ind w:left="7788" w:hanging="315"/>
      </w:pPr>
      <w:rPr>
        <w:rFonts w:hint="default"/>
        <w:lang w:val="zh-CN" w:eastAsia="zh-CN" w:bidi="zh-CN"/>
      </w:rPr>
    </w:lvl>
    <w:lvl w:ilvl="8" w:tentative="0">
      <w:start w:val="0"/>
      <w:numFmt w:val="bullet"/>
      <w:lvlText w:val="•"/>
      <w:lvlJc w:val="left"/>
      <w:pPr>
        <w:ind w:left="8681" w:hanging="315"/>
      </w:pPr>
      <w:rPr>
        <w:rFonts w:hint="default"/>
        <w:lang w:val="zh-CN" w:eastAsia="zh-CN" w:bidi="zh-CN"/>
      </w:rPr>
    </w:lvl>
  </w:abstractNum>
  <w:abstractNum w:abstractNumId="35">
    <w:nsid w:val="629F7852"/>
    <w:multiLevelType w:val="multilevel"/>
    <w:tmpl w:val="629F7852"/>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6">
    <w:nsid w:val="72183CF9"/>
    <w:multiLevelType w:val="multilevel"/>
    <w:tmpl w:val="72183CF9"/>
    <w:lvl w:ilvl="0" w:tentative="0">
      <w:start w:val="1"/>
      <w:numFmt w:val="decimal"/>
      <w:lvlText w:val="（%1）"/>
      <w:lvlJc w:val="left"/>
      <w:pPr>
        <w:ind w:left="145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60" w:hanging="525"/>
      </w:pPr>
      <w:rPr>
        <w:rFonts w:hint="default"/>
        <w:lang w:val="zh-CN" w:eastAsia="zh-CN" w:bidi="zh-CN"/>
      </w:rPr>
    </w:lvl>
    <w:lvl w:ilvl="2" w:tentative="0">
      <w:start w:val="0"/>
      <w:numFmt w:val="bullet"/>
      <w:lvlText w:val="•"/>
      <w:lvlJc w:val="left"/>
      <w:pPr>
        <w:ind w:left="3261" w:hanging="525"/>
      </w:pPr>
      <w:rPr>
        <w:rFonts w:hint="default"/>
        <w:lang w:val="zh-CN" w:eastAsia="zh-CN" w:bidi="zh-CN"/>
      </w:rPr>
    </w:lvl>
    <w:lvl w:ilvl="3" w:tentative="0">
      <w:start w:val="0"/>
      <w:numFmt w:val="bullet"/>
      <w:lvlText w:val="•"/>
      <w:lvlJc w:val="left"/>
      <w:pPr>
        <w:ind w:left="4162" w:hanging="525"/>
      </w:pPr>
      <w:rPr>
        <w:rFonts w:hint="default"/>
        <w:lang w:val="zh-CN" w:eastAsia="zh-CN" w:bidi="zh-CN"/>
      </w:rPr>
    </w:lvl>
    <w:lvl w:ilvl="4" w:tentative="0">
      <w:start w:val="0"/>
      <w:numFmt w:val="bullet"/>
      <w:lvlText w:val="•"/>
      <w:lvlJc w:val="left"/>
      <w:pPr>
        <w:ind w:left="5062" w:hanging="525"/>
      </w:pPr>
      <w:rPr>
        <w:rFonts w:hint="default"/>
        <w:lang w:val="zh-CN" w:eastAsia="zh-CN" w:bidi="zh-CN"/>
      </w:rPr>
    </w:lvl>
    <w:lvl w:ilvl="5" w:tentative="0">
      <w:start w:val="0"/>
      <w:numFmt w:val="bullet"/>
      <w:lvlText w:val="•"/>
      <w:lvlJc w:val="left"/>
      <w:pPr>
        <w:ind w:left="5963" w:hanging="525"/>
      </w:pPr>
      <w:rPr>
        <w:rFonts w:hint="default"/>
        <w:lang w:val="zh-CN" w:eastAsia="zh-CN" w:bidi="zh-CN"/>
      </w:rPr>
    </w:lvl>
    <w:lvl w:ilvl="6" w:tentative="0">
      <w:start w:val="0"/>
      <w:numFmt w:val="bullet"/>
      <w:lvlText w:val="•"/>
      <w:lvlJc w:val="left"/>
      <w:pPr>
        <w:ind w:left="6864" w:hanging="525"/>
      </w:pPr>
      <w:rPr>
        <w:rFonts w:hint="default"/>
        <w:lang w:val="zh-CN" w:eastAsia="zh-CN" w:bidi="zh-CN"/>
      </w:rPr>
    </w:lvl>
    <w:lvl w:ilvl="7" w:tentative="0">
      <w:start w:val="0"/>
      <w:numFmt w:val="bullet"/>
      <w:lvlText w:val="•"/>
      <w:lvlJc w:val="left"/>
      <w:pPr>
        <w:ind w:left="7764" w:hanging="525"/>
      </w:pPr>
      <w:rPr>
        <w:rFonts w:hint="default"/>
        <w:lang w:val="zh-CN" w:eastAsia="zh-CN" w:bidi="zh-CN"/>
      </w:rPr>
    </w:lvl>
    <w:lvl w:ilvl="8" w:tentative="0">
      <w:start w:val="0"/>
      <w:numFmt w:val="bullet"/>
      <w:lvlText w:val="•"/>
      <w:lvlJc w:val="left"/>
      <w:pPr>
        <w:ind w:left="8665" w:hanging="525"/>
      </w:pPr>
      <w:rPr>
        <w:rFonts w:hint="default"/>
        <w:lang w:val="zh-CN" w:eastAsia="zh-CN" w:bidi="zh-CN"/>
      </w:rPr>
    </w:lvl>
  </w:abstractNum>
  <w:abstractNum w:abstractNumId="37">
    <w:nsid w:val="77ECEA79"/>
    <w:multiLevelType w:val="multilevel"/>
    <w:tmpl w:val="77ECEA79"/>
    <w:lvl w:ilvl="0" w:tentative="0">
      <w:start w:val="1"/>
      <w:numFmt w:val="decimal"/>
      <w:lvlText w:val="（%1）"/>
      <w:lvlJc w:val="left"/>
      <w:pPr>
        <w:ind w:left="803"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66" w:hanging="527"/>
      </w:pPr>
      <w:rPr>
        <w:rFonts w:hint="default"/>
        <w:lang w:val="zh-CN" w:eastAsia="zh-CN" w:bidi="zh-CN"/>
      </w:rPr>
    </w:lvl>
    <w:lvl w:ilvl="2" w:tentative="0">
      <w:start w:val="0"/>
      <w:numFmt w:val="bullet"/>
      <w:lvlText w:val="•"/>
      <w:lvlJc w:val="left"/>
      <w:pPr>
        <w:ind w:left="2733" w:hanging="527"/>
      </w:pPr>
      <w:rPr>
        <w:rFonts w:hint="default"/>
        <w:lang w:val="zh-CN" w:eastAsia="zh-CN" w:bidi="zh-CN"/>
      </w:rPr>
    </w:lvl>
    <w:lvl w:ilvl="3" w:tentative="0">
      <w:start w:val="0"/>
      <w:numFmt w:val="bullet"/>
      <w:lvlText w:val="•"/>
      <w:lvlJc w:val="left"/>
      <w:pPr>
        <w:ind w:left="3700" w:hanging="527"/>
      </w:pPr>
      <w:rPr>
        <w:rFonts w:hint="default"/>
        <w:lang w:val="zh-CN" w:eastAsia="zh-CN" w:bidi="zh-CN"/>
      </w:rPr>
    </w:lvl>
    <w:lvl w:ilvl="4" w:tentative="0">
      <w:start w:val="0"/>
      <w:numFmt w:val="bullet"/>
      <w:lvlText w:val="•"/>
      <w:lvlJc w:val="left"/>
      <w:pPr>
        <w:ind w:left="4666" w:hanging="527"/>
      </w:pPr>
      <w:rPr>
        <w:rFonts w:hint="default"/>
        <w:lang w:val="zh-CN" w:eastAsia="zh-CN" w:bidi="zh-CN"/>
      </w:rPr>
    </w:lvl>
    <w:lvl w:ilvl="5" w:tentative="0">
      <w:start w:val="0"/>
      <w:numFmt w:val="bullet"/>
      <w:lvlText w:val="•"/>
      <w:lvlJc w:val="left"/>
      <w:pPr>
        <w:ind w:left="5633" w:hanging="527"/>
      </w:pPr>
      <w:rPr>
        <w:rFonts w:hint="default"/>
        <w:lang w:val="zh-CN" w:eastAsia="zh-CN" w:bidi="zh-CN"/>
      </w:rPr>
    </w:lvl>
    <w:lvl w:ilvl="6" w:tentative="0">
      <w:start w:val="0"/>
      <w:numFmt w:val="bullet"/>
      <w:lvlText w:val="•"/>
      <w:lvlJc w:val="left"/>
      <w:pPr>
        <w:ind w:left="6600" w:hanging="527"/>
      </w:pPr>
      <w:rPr>
        <w:rFonts w:hint="default"/>
        <w:lang w:val="zh-CN" w:eastAsia="zh-CN" w:bidi="zh-CN"/>
      </w:rPr>
    </w:lvl>
    <w:lvl w:ilvl="7" w:tentative="0">
      <w:start w:val="0"/>
      <w:numFmt w:val="bullet"/>
      <w:lvlText w:val="•"/>
      <w:lvlJc w:val="left"/>
      <w:pPr>
        <w:ind w:left="7566" w:hanging="527"/>
      </w:pPr>
      <w:rPr>
        <w:rFonts w:hint="default"/>
        <w:lang w:val="zh-CN" w:eastAsia="zh-CN" w:bidi="zh-CN"/>
      </w:rPr>
    </w:lvl>
    <w:lvl w:ilvl="8" w:tentative="0">
      <w:start w:val="0"/>
      <w:numFmt w:val="bullet"/>
      <w:lvlText w:val="•"/>
      <w:lvlJc w:val="left"/>
      <w:pPr>
        <w:ind w:left="8533" w:hanging="527"/>
      </w:pPr>
      <w:rPr>
        <w:rFonts w:hint="default"/>
        <w:lang w:val="zh-CN" w:eastAsia="zh-CN" w:bidi="zh-CN"/>
      </w:rPr>
    </w:lvl>
  </w:abstractNum>
  <w:abstractNum w:abstractNumId="38">
    <w:nsid w:val="79AA4FA4"/>
    <w:multiLevelType w:val="multilevel"/>
    <w:tmpl w:val="79AA4FA4"/>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39">
    <w:nsid w:val="7C246926"/>
    <w:multiLevelType w:val="multilevel"/>
    <w:tmpl w:val="7C246926"/>
    <w:lvl w:ilvl="0" w:tentative="0">
      <w:start w:val="1"/>
      <w:numFmt w:val="decimal"/>
      <w:lvlText w:val="（%1）"/>
      <w:lvlJc w:val="left"/>
      <w:pPr>
        <w:ind w:left="175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30" w:hanging="527"/>
      </w:pPr>
      <w:rPr>
        <w:rFonts w:hint="default"/>
        <w:lang w:val="zh-CN" w:eastAsia="zh-CN" w:bidi="zh-CN"/>
      </w:rPr>
    </w:lvl>
    <w:lvl w:ilvl="2" w:tentative="0">
      <w:start w:val="0"/>
      <w:numFmt w:val="bullet"/>
      <w:lvlText w:val="•"/>
      <w:lvlJc w:val="left"/>
      <w:pPr>
        <w:ind w:left="3501" w:hanging="527"/>
      </w:pPr>
      <w:rPr>
        <w:rFonts w:hint="default"/>
        <w:lang w:val="zh-CN" w:eastAsia="zh-CN" w:bidi="zh-CN"/>
      </w:rPr>
    </w:lvl>
    <w:lvl w:ilvl="3" w:tentative="0">
      <w:start w:val="0"/>
      <w:numFmt w:val="bullet"/>
      <w:lvlText w:val="•"/>
      <w:lvlJc w:val="left"/>
      <w:pPr>
        <w:ind w:left="4372" w:hanging="527"/>
      </w:pPr>
      <w:rPr>
        <w:rFonts w:hint="default"/>
        <w:lang w:val="zh-CN" w:eastAsia="zh-CN" w:bidi="zh-CN"/>
      </w:rPr>
    </w:lvl>
    <w:lvl w:ilvl="4" w:tentative="0">
      <w:start w:val="0"/>
      <w:numFmt w:val="bullet"/>
      <w:lvlText w:val="•"/>
      <w:lvlJc w:val="left"/>
      <w:pPr>
        <w:ind w:left="5242" w:hanging="527"/>
      </w:pPr>
      <w:rPr>
        <w:rFonts w:hint="default"/>
        <w:lang w:val="zh-CN" w:eastAsia="zh-CN" w:bidi="zh-CN"/>
      </w:rPr>
    </w:lvl>
    <w:lvl w:ilvl="5" w:tentative="0">
      <w:start w:val="0"/>
      <w:numFmt w:val="bullet"/>
      <w:lvlText w:val="•"/>
      <w:lvlJc w:val="left"/>
      <w:pPr>
        <w:ind w:left="6113" w:hanging="527"/>
      </w:pPr>
      <w:rPr>
        <w:rFonts w:hint="default"/>
        <w:lang w:val="zh-CN" w:eastAsia="zh-CN" w:bidi="zh-CN"/>
      </w:rPr>
    </w:lvl>
    <w:lvl w:ilvl="6" w:tentative="0">
      <w:start w:val="0"/>
      <w:numFmt w:val="bullet"/>
      <w:lvlText w:val="•"/>
      <w:lvlJc w:val="left"/>
      <w:pPr>
        <w:ind w:left="6984" w:hanging="527"/>
      </w:pPr>
      <w:rPr>
        <w:rFonts w:hint="default"/>
        <w:lang w:val="zh-CN" w:eastAsia="zh-CN" w:bidi="zh-CN"/>
      </w:rPr>
    </w:lvl>
    <w:lvl w:ilvl="7" w:tentative="0">
      <w:start w:val="0"/>
      <w:numFmt w:val="bullet"/>
      <w:lvlText w:val="•"/>
      <w:lvlJc w:val="left"/>
      <w:pPr>
        <w:ind w:left="7854" w:hanging="527"/>
      </w:pPr>
      <w:rPr>
        <w:rFonts w:hint="default"/>
        <w:lang w:val="zh-CN" w:eastAsia="zh-CN" w:bidi="zh-CN"/>
      </w:rPr>
    </w:lvl>
    <w:lvl w:ilvl="8" w:tentative="0">
      <w:start w:val="0"/>
      <w:numFmt w:val="bullet"/>
      <w:lvlText w:val="•"/>
      <w:lvlJc w:val="left"/>
      <w:pPr>
        <w:ind w:left="8725" w:hanging="527"/>
      </w:pPr>
      <w:rPr>
        <w:rFonts w:hint="default"/>
        <w:lang w:val="zh-CN" w:eastAsia="zh-CN" w:bidi="zh-CN"/>
      </w:rPr>
    </w:lvl>
  </w:abstractNum>
  <w:abstractNum w:abstractNumId="40">
    <w:nsid w:val="7DEC2089"/>
    <w:multiLevelType w:val="multilevel"/>
    <w:tmpl w:val="7DEC2089"/>
    <w:lvl w:ilvl="0" w:tentative="0">
      <w:start w:val="6"/>
      <w:numFmt w:val="decimal"/>
      <w:lvlText w:val="%1"/>
      <w:lvlJc w:val="left"/>
      <w:pPr>
        <w:ind w:left="803" w:hanging="632"/>
        <w:jc w:val="left"/>
      </w:pPr>
      <w:rPr>
        <w:rFonts w:hint="default"/>
        <w:lang w:val="zh-CN" w:eastAsia="zh-CN" w:bidi="zh-CN"/>
      </w:rPr>
    </w:lvl>
    <w:lvl w:ilvl="1" w:tentative="0">
      <w:start w:val="3"/>
      <w:numFmt w:val="decimal"/>
      <w:lvlText w:val="%1.%2"/>
      <w:lvlJc w:val="left"/>
      <w:pPr>
        <w:ind w:left="803" w:hanging="632"/>
        <w:jc w:val="left"/>
      </w:pPr>
      <w:rPr>
        <w:rFonts w:hint="default"/>
        <w:lang w:val="zh-CN" w:eastAsia="zh-CN" w:bidi="zh-CN"/>
      </w:rPr>
    </w:lvl>
    <w:lvl w:ilvl="2" w:tentative="0">
      <w:start w:val="1"/>
      <w:numFmt w:val="decimal"/>
      <w:lvlText w:val="%1.%2.%3"/>
      <w:lvlJc w:val="left"/>
      <w:pPr>
        <w:ind w:left="803"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700" w:hanging="632"/>
      </w:pPr>
      <w:rPr>
        <w:rFonts w:hint="default"/>
        <w:lang w:val="zh-CN" w:eastAsia="zh-CN" w:bidi="zh-CN"/>
      </w:rPr>
    </w:lvl>
    <w:lvl w:ilvl="4" w:tentative="0">
      <w:start w:val="0"/>
      <w:numFmt w:val="bullet"/>
      <w:lvlText w:val="•"/>
      <w:lvlJc w:val="left"/>
      <w:pPr>
        <w:ind w:left="4666" w:hanging="632"/>
      </w:pPr>
      <w:rPr>
        <w:rFonts w:hint="default"/>
        <w:lang w:val="zh-CN" w:eastAsia="zh-CN" w:bidi="zh-CN"/>
      </w:rPr>
    </w:lvl>
    <w:lvl w:ilvl="5" w:tentative="0">
      <w:start w:val="0"/>
      <w:numFmt w:val="bullet"/>
      <w:lvlText w:val="•"/>
      <w:lvlJc w:val="left"/>
      <w:pPr>
        <w:ind w:left="5633" w:hanging="632"/>
      </w:pPr>
      <w:rPr>
        <w:rFonts w:hint="default"/>
        <w:lang w:val="zh-CN" w:eastAsia="zh-CN" w:bidi="zh-CN"/>
      </w:rPr>
    </w:lvl>
    <w:lvl w:ilvl="6" w:tentative="0">
      <w:start w:val="0"/>
      <w:numFmt w:val="bullet"/>
      <w:lvlText w:val="•"/>
      <w:lvlJc w:val="left"/>
      <w:pPr>
        <w:ind w:left="6600" w:hanging="632"/>
      </w:pPr>
      <w:rPr>
        <w:rFonts w:hint="default"/>
        <w:lang w:val="zh-CN" w:eastAsia="zh-CN" w:bidi="zh-CN"/>
      </w:rPr>
    </w:lvl>
    <w:lvl w:ilvl="7" w:tentative="0">
      <w:start w:val="0"/>
      <w:numFmt w:val="bullet"/>
      <w:lvlText w:val="•"/>
      <w:lvlJc w:val="left"/>
      <w:pPr>
        <w:ind w:left="7566" w:hanging="632"/>
      </w:pPr>
      <w:rPr>
        <w:rFonts w:hint="default"/>
        <w:lang w:val="zh-CN" w:eastAsia="zh-CN" w:bidi="zh-CN"/>
      </w:rPr>
    </w:lvl>
    <w:lvl w:ilvl="8" w:tentative="0">
      <w:start w:val="0"/>
      <w:numFmt w:val="bullet"/>
      <w:lvlText w:val="•"/>
      <w:lvlJc w:val="left"/>
      <w:pPr>
        <w:ind w:left="8533" w:hanging="632"/>
      </w:pPr>
      <w:rPr>
        <w:rFonts w:hint="default"/>
        <w:lang w:val="zh-CN" w:eastAsia="zh-CN" w:bidi="zh-CN"/>
      </w:rPr>
    </w:lvl>
  </w:abstractNum>
  <w:num w:numId="1">
    <w:abstractNumId w:val="17"/>
  </w:num>
  <w:num w:numId="2">
    <w:abstractNumId w:val="11"/>
  </w:num>
  <w:num w:numId="3">
    <w:abstractNumId w:val="32"/>
  </w:num>
  <w:num w:numId="4">
    <w:abstractNumId w:val="9"/>
  </w:num>
  <w:num w:numId="5">
    <w:abstractNumId w:val="19"/>
  </w:num>
  <w:num w:numId="6">
    <w:abstractNumId w:val="23"/>
  </w:num>
  <w:num w:numId="7">
    <w:abstractNumId w:val="36"/>
  </w:num>
  <w:num w:numId="8">
    <w:abstractNumId w:val="18"/>
  </w:num>
  <w:num w:numId="9">
    <w:abstractNumId w:val="3"/>
  </w:num>
  <w:num w:numId="10">
    <w:abstractNumId w:val="24"/>
  </w:num>
  <w:num w:numId="11">
    <w:abstractNumId w:val="33"/>
  </w:num>
  <w:num w:numId="12">
    <w:abstractNumId w:val="10"/>
  </w:num>
  <w:num w:numId="13">
    <w:abstractNumId w:val="29"/>
  </w:num>
  <w:num w:numId="14">
    <w:abstractNumId w:val="15"/>
  </w:num>
  <w:num w:numId="15">
    <w:abstractNumId w:val="22"/>
  </w:num>
  <w:num w:numId="16">
    <w:abstractNumId w:val="13"/>
  </w:num>
  <w:num w:numId="17">
    <w:abstractNumId w:val="12"/>
  </w:num>
  <w:num w:numId="18">
    <w:abstractNumId w:val="5"/>
  </w:num>
  <w:num w:numId="19">
    <w:abstractNumId w:val="28"/>
  </w:num>
  <w:num w:numId="20">
    <w:abstractNumId w:val="34"/>
  </w:num>
  <w:num w:numId="21">
    <w:abstractNumId w:val="20"/>
  </w:num>
  <w:num w:numId="22">
    <w:abstractNumId w:val="27"/>
  </w:num>
  <w:num w:numId="23">
    <w:abstractNumId w:val="6"/>
  </w:num>
  <w:num w:numId="24">
    <w:abstractNumId w:val="39"/>
  </w:num>
  <w:num w:numId="25">
    <w:abstractNumId w:val="37"/>
  </w:num>
  <w:num w:numId="26">
    <w:abstractNumId w:val="8"/>
  </w:num>
  <w:num w:numId="27">
    <w:abstractNumId w:val="35"/>
  </w:num>
  <w:num w:numId="28">
    <w:abstractNumId w:val="4"/>
  </w:num>
  <w:num w:numId="29">
    <w:abstractNumId w:val="26"/>
  </w:num>
  <w:num w:numId="30">
    <w:abstractNumId w:val="1"/>
  </w:num>
  <w:num w:numId="31">
    <w:abstractNumId w:val="31"/>
  </w:num>
  <w:num w:numId="32">
    <w:abstractNumId w:val="40"/>
  </w:num>
  <w:num w:numId="33">
    <w:abstractNumId w:val="0"/>
  </w:num>
  <w:num w:numId="34">
    <w:abstractNumId w:val="21"/>
  </w:num>
  <w:num w:numId="35">
    <w:abstractNumId w:val="30"/>
  </w:num>
  <w:num w:numId="36">
    <w:abstractNumId w:val="16"/>
  </w:num>
  <w:num w:numId="37">
    <w:abstractNumId w:val="14"/>
  </w:num>
  <w:num w:numId="38">
    <w:abstractNumId w:val="25"/>
  </w:num>
  <w:num w:numId="39">
    <w:abstractNumId w:val="38"/>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991647B"/>
    <w:rsid w:val="09DE3DC7"/>
    <w:rsid w:val="10E5551B"/>
    <w:rsid w:val="13292128"/>
    <w:rsid w:val="17775ADC"/>
    <w:rsid w:val="21BD467C"/>
    <w:rsid w:val="279400D7"/>
    <w:rsid w:val="2C5A7698"/>
    <w:rsid w:val="2EF211D2"/>
    <w:rsid w:val="33503E8B"/>
    <w:rsid w:val="3B2E2B75"/>
    <w:rsid w:val="498B11B5"/>
    <w:rsid w:val="4A0305DA"/>
    <w:rsid w:val="5EC832FA"/>
    <w:rsid w:val="632F2B54"/>
    <w:rsid w:val="65EE4415"/>
    <w:rsid w:val="693C6CEA"/>
    <w:rsid w:val="695175D2"/>
    <w:rsid w:val="6F80544C"/>
    <w:rsid w:val="76DA354B"/>
    <w:rsid w:val="773F0E71"/>
    <w:rsid w:val="778645F2"/>
    <w:rsid w:val="7A1C7594"/>
    <w:rsid w:val="7AEE74D7"/>
    <w:rsid w:val="7F414C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68"/>
      <w:jc w:val="center"/>
      <w:outlineLvl w:val="1"/>
    </w:pPr>
    <w:rPr>
      <w:rFonts w:ascii="黑体" w:hAnsi="黑体" w:eastAsia="黑体" w:cs="黑体"/>
      <w:b/>
      <w:bCs/>
      <w:sz w:val="32"/>
      <w:szCs w:val="32"/>
      <w:lang w:val="zh-CN" w:eastAsia="zh-CN" w:bidi="zh-CN"/>
    </w:rPr>
  </w:style>
  <w:style w:type="paragraph" w:styleId="3">
    <w:name w:val="heading 2"/>
    <w:basedOn w:val="1"/>
    <w:next w:val="1"/>
    <w:qFormat/>
    <w:uiPriority w:val="1"/>
    <w:pPr>
      <w:spacing w:before="58"/>
      <w:outlineLvl w:val="2"/>
    </w:pPr>
    <w:rPr>
      <w:rFonts w:ascii="黑体" w:hAnsi="黑体" w:eastAsia="黑体" w:cs="黑体"/>
      <w:b/>
      <w:bCs/>
      <w:sz w:val="30"/>
      <w:szCs w:val="30"/>
      <w:lang w:val="zh-CN" w:eastAsia="zh-CN" w:bidi="zh-CN"/>
    </w:rPr>
  </w:style>
  <w:style w:type="paragraph" w:styleId="4">
    <w:name w:val="heading 3"/>
    <w:basedOn w:val="1"/>
    <w:next w:val="1"/>
    <w:qFormat/>
    <w:uiPriority w:val="1"/>
    <w:pPr>
      <w:ind w:left="1407" w:hanging="319"/>
      <w:outlineLvl w:val="3"/>
    </w:pPr>
    <w:rPr>
      <w:rFonts w:ascii="黑体" w:hAnsi="黑体" w:eastAsia="黑体" w:cs="黑体"/>
      <w:b/>
      <w:bCs/>
      <w:sz w:val="21"/>
      <w:szCs w:val="21"/>
      <w:lang w:val="zh-CN" w:eastAsia="zh-CN" w:bidi="zh-CN"/>
    </w:rPr>
  </w:style>
  <w:style w:type="character" w:default="1" w:styleId="8">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toc 1"/>
    <w:basedOn w:val="1"/>
    <w:next w:val="1"/>
    <w:qFormat/>
    <w:uiPriority w:val="1"/>
    <w:pPr>
      <w:spacing w:before="125"/>
      <w:ind w:left="515"/>
    </w:pPr>
    <w:rPr>
      <w:rFonts w:ascii="宋体" w:hAnsi="宋体" w:eastAsia="宋体" w:cs="宋体"/>
      <w:sz w:val="24"/>
      <w:szCs w:val="24"/>
      <w:lang w:val="zh-CN" w:eastAsia="zh-CN" w:bidi="zh-CN"/>
    </w:rPr>
  </w:style>
  <w:style w:type="paragraph" w:styleId="7">
    <w:name w:val="toc 2"/>
    <w:basedOn w:val="1"/>
    <w:next w:val="1"/>
    <w:qFormat/>
    <w:uiPriority w:val="1"/>
    <w:pPr>
      <w:spacing w:line="268" w:lineRule="exact"/>
      <w:ind w:left="834"/>
    </w:pPr>
    <w:rPr>
      <w:rFonts w:ascii="宋体" w:hAnsi="宋体" w:eastAsia="宋体" w:cs="宋体"/>
      <w:sz w:val="21"/>
      <w:szCs w:val="21"/>
      <w:lang w:val="zh-CN" w:eastAsia="zh-CN" w:bidi="zh-CN"/>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1643" w:firstLine="42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026"/>
    <customShpInfo spid="_x0000_s1027"/>
    <customShpInfo spid="_x0000_s1028"/>
    <customShpInfo spid="_x0000_s1030"/>
    <customShpInfo spid="_x0000_s1029"/>
    <customShpInfo spid="_x0000_s1032"/>
    <customShpInfo spid="_x0000_s1033"/>
    <customShpInfo spid="_x0000_s1034"/>
    <customShpInfo spid="_x0000_s1035"/>
    <customShpInfo spid="_x0000_s1031"/>
    <customShpInfo spid="_x0000_s1037"/>
    <customShpInfo spid="_x0000_s1036"/>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2018-10-10T01:35:00Z</dcterms:created>
  <dc:creator>*</dc:creator>
  <cp:lastModifiedBy>tiantan</cp:lastModifiedBy>
  <cp:lastPrinted>2018-10-15T05:59:00Z</cp:lastPrinted>
  <dcterms:modified xsi:type="dcterms:W3CDTF">2018-10-15T07:19:04Z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Creator">
    <vt:lpwstr>WPS Office</vt:lpwstr>
  </property>
  <property fmtid="{D5CDD505-2E9C-101B-9397-08002B2CF9AE}" pid="4" name="LastSaved">
    <vt:filetime>2018-10-10T00:00:00Z</vt:filetime>
  </property>
  <property fmtid="{D5CDD505-2E9C-101B-9397-08002B2CF9AE}" pid="5" name="KSOProductBuildVer">
    <vt:lpwstr>2052-10.1.0.7469</vt:lpwstr>
  </property>
</Properties>
</file>