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bookmarkStart w:id="5" w:name="_GoBack"/>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宋体"/>
          <w:b/>
          <w:bCs/>
          <w:color w:val="000000" w:themeColor="text1"/>
          <w:kern w:val="0"/>
          <w:sz w:val="32"/>
          <w:szCs w:val="32"/>
          <w:highlight w:val="none"/>
          <w:lang w:eastAsia="zh-CN"/>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themeColor="text1"/>
          <w:kern w:val="0"/>
          <w:sz w:val="32"/>
          <w:highlight w:val="none"/>
          <w:lang w:eastAsia="zh-CN"/>
          <w14:textFill>
            <w14:solidFill>
              <w14:schemeClr w14:val="tx1"/>
            </w14:solidFill>
          </w14:textFill>
        </w:rPr>
      </w:pPr>
      <w:r>
        <w:rPr>
          <w:rFonts w:hint="eastAsia" w:ascii="宋体" w:hAnsi="宋体" w:cs="宋体"/>
          <w:b/>
          <w:bCs/>
          <w:color w:val="000000" w:themeColor="text1"/>
          <w:kern w:val="0"/>
          <w:sz w:val="32"/>
          <w:szCs w:val="32"/>
          <w:highlight w:val="none"/>
          <w:lang w:eastAsia="zh-CN"/>
          <w14:textFill>
            <w14:solidFill>
              <w14:schemeClr w14:val="tx1"/>
            </w14:solidFill>
          </w14:textFill>
        </w:rPr>
        <w:t>HQ-YHZFCG-2019-40</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highlight w:val="none"/>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highlight w:val="none"/>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14:textFill>
            <w14:solidFill>
              <w14:schemeClr w14:val="tx1"/>
            </w14:solidFill>
          </w14:textFill>
        </w:rPr>
      </w:pPr>
    </w:p>
    <w:p>
      <w:pPr>
        <w:autoSpaceDE w:val="0"/>
        <w:autoSpaceDN w:val="0"/>
        <w:adjustRightInd w:val="0"/>
        <w:spacing w:line="360" w:lineRule="auto"/>
        <w:ind w:firstLine="1797" w:firstLineChars="642"/>
        <w:jc w:val="left"/>
        <w:rPr>
          <w:rFonts w:hint="eastAsia" w:ascii="宋体" w:eastAsia="宋体"/>
          <w:color w:val="000000" w:themeColor="text1"/>
          <w:kern w:val="0"/>
          <w:sz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lang w:eastAsia="zh-CN"/>
          <w14:textFill>
            <w14:solidFill>
              <w14:schemeClr w14:val="tx1"/>
            </w14:solidFill>
          </w14:textFill>
        </w:rPr>
        <w:t>不见面开标大厅硬件采购</w:t>
      </w:r>
    </w:p>
    <w:p>
      <w:pPr>
        <w:autoSpaceDE w:val="0"/>
        <w:autoSpaceDN w:val="0"/>
        <w:adjustRightInd w:val="0"/>
        <w:spacing w:line="360" w:lineRule="auto"/>
        <w:ind w:left="1441" w:firstLine="280"/>
        <w:rPr>
          <w:rFonts w:hint="eastAsia" w:ascii="宋体" w:eastAsia="宋体"/>
          <w:color w:val="000000" w:themeColor="text1"/>
          <w:kern w:val="0"/>
          <w:sz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 xml:space="preserve"> 采购人：</w:t>
      </w:r>
      <w:r>
        <w:rPr>
          <w:rFonts w:hint="eastAsia" w:ascii="宋体" w:hAnsi="宋体" w:cs="宋体"/>
          <w:color w:val="000000" w:themeColor="text1"/>
          <w:kern w:val="0"/>
          <w:sz w:val="28"/>
          <w:szCs w:val="28"/>
          <w:highlight w:val="none"/>
          <w:lang w:eastAsia="zh-CN"/>
          <w14:textFill>
            <w14:solidFill>
              <w14:schemeClr w14:val="tx1"/>
            </w14:solidFill>
          </w14:textFill>
        </w:rPr>
        <w:t>玉环市公共资源交易中心</w:t>
      </w:r>
    </w:p>
    <w:p>
      <w:pPr>
        <w:autoSpaceDE w:val="0"/>
        <w:autoSpaceDN w:val="0"/>
        <w:adjustRightInd w:val="0"/>
        <w:spacing w:line="360" w:lineRule="auto"/>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960" w:firstLineChars="7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2019年</w:t>
      </w:r>
      <w:r>
        <w:rPr>
          <w:rFonts w:hint="eastAsia" w:ascii="宋体" w:hAnsi="宋体" w:cs="宋体"/>
          <w:color w:val="000000" w:themeColor="text1"/>
          <w:kern w:val="0"/>
          <w:sz w:val="28"/>
          <w:szCs w:val="28"/>
          <w:highlight w:val="none"/>
          <w:lang w:val="en-US" w:eastAsia="zh-CN"/>
          <w14:textFill>
            <w14:solidFill>
              <w14:schemeClr w14:val="tx1"/>
            </w14:solidFill>
          </w14:textFill>
        </w:rPr>
        <w:t>6</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27</w:t>
      </w:r>
      <w:r>
        <w:rPr>
          <w:rFonts w:hint="eastAsia" w:ascii="宋体" w:hAnsi="宋体" w:cs="宋体"/>
          <w:color w:val="000000" w:themeColor="text1"/>
          <w:kern w:val="0"/>
          <w:sz w:val="28"/>
          <w:szCs w:val="28"/>
          <w:highlight w:val="none"/>
          <w14:textFill>
            <w14:solidFill>
              <w14:schemeClr w14:val="tx1"/>
            </w14:solidFill>
          </w14:textFill>
        </w:rPr>
        <w:t>日</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themeColor="text1"/>
          <w:sz w:val="36"/>
          <w:highlight w:val="none"/>
          <w14:textFill>
            <w14:solidFill>
              <w14:schemeClr w14:val="tx1"/>
            </w14:solidFill>
          </w14:textFill>
        </w:rPr>
      </w:pPr>
    </w:p>
    <w:p>
      <w:pPr>
        <w:spacing w:line="360" w:lineRule="auto"/>
        <w:rPr>
          <w:rFonts w:ascii="新宋体" w:hAnsi="新宋体" w:eastAsia="新宋体"/>
          <w:color w:val="000000" w:themeColor="text1"/>
          <w:sz w:val="28"/>
          <w:szCs w:val="28"/>
          <w:highlight w:val="none"/>
          <w14:textFill>
            <w14:solidFill>
              <w14:schemeClr w14:val="tx1"/>
            </w14:solidFill>
          </w14:textFill>
        </w:rPr>
      </w:pP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公开招标采购公告</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投标人须知</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评标办法及评分标准</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公开招标需求</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政府采购合同主要条款指引</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投标文件格式附件</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t>第一章  公开</w:t>
      </w:r>
      <w:r>
        <w:rPr>
          <w:rFonts w:hint="eastAsia" w:asciiTheme="majorEastAsia" w:hAnsiTheme="majorEastAsia" w:eastAsiaTheme="majorEastAsia"/>
          <w:b/>
          <w:color w:val="000000" w:themeColor="text1"/>
          <w:sz w:val="36"/>
          <w:szCs w:val="36"/>
          <w:highlight w:val="none"/>
          <w14:textFill>
            <w14:solidFill>
              <w14:schemeClr w14:val="tx1"/>
            </w14:solidFill>
          </w14:textFill>
        </w:rPr>
        <w:t>招标采购公告</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312" w:beforeLines="100" w:line="400" w:lineRule="exact"/>
        <w:ind w:right="23" w:firstLine="539"/>
        <w:jc w:val="left"/>
        <w:textAlignment w:val="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kern w:val="0"/>
          <w:sz w:val="24"/>
          <w:highlight w:val="none"/>
          <w14:textFill>
            <w14:solidFill>
              <w14:schemeClr w14:val="tx1"/>
            </w14:solidFill>
          </w14:textFill>
        </w:rPr>
        <w:t>受采购人委托，现就</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玉环市公共资源交易中心</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不见面开标大厅硬件采购</w:t>
      </w:r>
      <w:r>
        <w:rPr>
          <w:rFonts w:hint="eastAsia" w:asciiTheme="minorEastAsia" w:hAnsiTheme="minorEastAsia" w:eastAsiaTheme="minorEastAsia"/>
          <w:color w:val="000000" w:themeColor="text1"/>
          <w:kern w:val="0"/>
          <w:sz w:val="24"/>
          <w:highlight w:val="none"/>
          <w14:textFill>
            <w14:solidFill>
              <w14:schemeClr w14:val="tx1"/>
            </w14:solidFill>
          </w14:textFill>
        </w:rPr>
        <w:t>项目进行公开招标采购，欢迎合格供应商前来投标。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left="539" w:right="23"/>
        <w:jc w:val="left"/>
        <w:textAlignment w:val="auto"/>
        <w:rPr>
          <w:rFonts w:hint="eastAsia" w:asciiTheme="minorEastAsia" w:hAnsiTheme="minorEastAsia" w:eastAsiaTheme="minorEastAsia"/>
          <w:b/>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一、项目编号：</w:t>
      </w:r>
      <w:r>
        <w:rPr>
          <w:rFonts w:hint="eastAsia" w:asciiTheme="minorEastAsia" w:hAnsiTheme="minorEastAsia" w:eastAsiaTheme="minorEastAsia"/>
          <w:b/>
          <w:color w:val="000000" w:themeColor="text1"/>
          <w:kern w:val="0"/>
          <w:sz w:val="24"/>
          <w:highlight w:val="none"/>
          <w:lang w:eastAsia="zh-CN"/>
          <w14:textFill>
            <w14:solidFill>
              <w14:schemeClr w14:val="tx1"/>
            </w14:solidFill>
          </w14:textFill>
        </w:rPr>
        <w:t>HQ-YHZFCG-2019-40</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left="539" w:right="23"/>
        <w:jc w:val="left"/>
        <w:textAlignment w:val="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二、招标项目概况：</w:t>
      </w:r>
    </w:p>
    <w:tbl>
      <w:tblPr>
        <w:tblStyle w:val="17"/>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17"/>
        <w:gridCol w:w="1763"/>
        <w:gridCol w:w="909"/>
        <w:gridCol w:w="871"/>
        <w:gridCol w:w="1358"/>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149"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highlight w:val="none"/>
                <w14:textFill>
                  <w14:solidFill>
                    <w14:schemeClr w14:val="tx1"/>
                  </w14:solidFill>
                </w14:textFill>
              </w:rPr>
            </w:pPr>
            <w:bookmarkStart w:id="0" w:name="EBc3c9f0bc06b6413d849824fe98ba274c"/>
            <w:r>
              <w:rPr>
                <w:rFonts w:hint="eastAsia" w:ascii="宋体" w:hAnsi="宋体"/>
                <w:b/>
                <w:color w:val="000000" w:themeColor="text1"/>
                <w:sz w:val="24"/>
                <w:highlight w:val="none"/>
                <w14:textFill>
                  <w14:solidFill>
                    <w14:schemeClr w14:val="tx1"/>
                  </w14:solidFill>
                </w14:textFill>
              </w:rPr>
              <w:t>序号</w:t>
            </w:r>
          </w:p>
        </w:tc>
        <w:tc>
          <w:tcPr>
            <w:tcW w:w="1717"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1763"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textAlignment w:val="auto"/>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简要技术要求</w:t>
            </w:r>
          </w:p>
        </w:tc>
        <w:tc>
          <w:tcPr>
            <w:tcW w:w="909"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871"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w:t>
            </w:r>
          </w:p>
        </w:tc>
        <w:tc>
          <w:tcPr>
            <w:tcW w:w="1358"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预算</w:t>
            </w:r>
          </w:p>
        </w:tc>
        <w:tc>
          <w:tcPr>
            <w:tcW w:w="1713"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firstLine="240"/>
              <w:jc w:val="center"/>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完工期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1149"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1717"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textAlignment w:val="auto"/>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不见面开标大厅硬件采购</w:t>
            </w:r>
          </w:p>
        </w:tc>
        <w:tc>
          <w:tcPr>
            <w:tcW w:w="1763"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具体要求见</w:t>
            </w:r>
            <w:r>
              <w:rPr>
                <w:rFonts w:hint="eastAsia" w:ascii="宋体" w:hAnsi="宋体"/>
                <w:color w:val="000000" w:themeColor="text1"/>
                <w:sz w:val="24"/>
                <w:highlight w:val="none"/>
                <w:lang w:val="en-US" w:eastAsia="zh-CN"/>
                <w14:textFill>
                  <w14:solidFill>
                    <w14:schemeClr w14:val="tx1"/>
                  </w14:solidFill>
                </w14:textFill>
              </w:rPr>
              <w:t>公开招标</w:t>
            </w:r>
            <w:r>
              <w:rPr>
                <w:rFonts w:hint="eastAsia" w:ascii="宋体" w:hAnsi="宋体"/>
                <w:color w:val="000000" w:themeColor="text1"/>
                <w:sz w:val="24"/>
                <w:highlight w:val="none"/>
                <w14:textFill>
                  <w14:solidFill>
                    <w14:schemeClr w14:val="tx1"/>
                  </w14:solidFill>
                </w14:textFill>
              </w:rPr>
              <w:t>采购文件。</w:t>
            </w:r>
          </w:p>
        </w:tc>
        <w:tc>
          <w:tcPr>
            <w:tcW w:w="909" w:type="dxa"/>
            <w:vAlign w:val="center"/>
          </w:tcPr>
          <w:p>
            <w:pPr>
              <w:keepNext w:val="0"/>
              <w:keepLines w:val="0"/>
              <w:pageBreakBefore w:val="0"/>
              <w:widowControl/>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871"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批</w:t>
            </w:r>
          </w:p>
        </w:tc>
        <w:tc>
          <w:tcPr>
            <w:tcW w:w="1358"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170</w:t>
            </w:r>
            <w:r>
              <w:rPr>
                <w:rFonts w:hint="eastAsia" w:ascii="宋体" w:hAnsi="宋体"/>
                <w:color w:val="000000" w:themeColor="text1"/>
                <w:sz w:val="24"/>
                <w:highlight w:val="none"/>
                <w14:textFill>
                  <w14:solidFill>
                    <w14:schemeClr w14:val="tx1"/>
                  </w14:solidFill>
                </w14:textFill>
              </w:rPr>
              <w:t>万元</w:t>
            </w:r>
          </w:p>
        </w:tc>
        <w:tc>
          <w:tcPr>
            <w:tcW w:w="1713" w:type="dxa"/>
            <w:vAlign w:val="center"/>
          </w:tcPr>
          <w:p>
            <w:pPr>
              <w:keepNext w:val="0"/>
              <w:keepLines w:val="0"/>
              <w:pageBreakBefore w:val="0"/>
              <w:widowControl/>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合同签订后30日内</w:t>
            </w:r>
          </w:p>
        </w:tc>
      </w:tr>
      <w:bookmarkEnd w:id="0"/>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left="539" w:right="23"/>
        <w:jc w:val="left"/>
        <w:textAlignment w:val="auto"/>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三、合格投标人的资格条件：</w:t>
      </w:r>
    </w:p>
    <w:p>
      <w:pPr>
        <w:pStyle w:val="21"/>
        <w:keepNext w:val="0"/>
        <w:keepLines w:val="0"/>
        <w:pageBreakBefore w:val="0"/>
        <w:kinsoku/>
        <w:wordWrap/>
        <w:overflowPunct/>
        <w:topLinePunct w:val="0"/>
        <w:bidi w:val="0"/>
        <w:adjustRightInd w:val="0"/>
        <w:snapToGrid w:val="0"/>
        <w:spacing w:before="0" w:line="400" w:lineRule="exact"/>
        <w:ind w:left="102" w:right="102" w:firstLine="480"/>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（一）符合《中华人民共和国政府采购法》第二十二条规定的投标人资格条件。</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right="23" w:firstLine="480" w:firstLineChars="200"/>
        <w:jc w:val="left"/>
        <w:textAlignment w:val="auto"/>
        <w:rPr>
          <w:rFonts w:ascii="宋体" w:hAnsi="宋体"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（二）本项目不接受联合体投标；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right="23" w:firstLine="482" w:firstLineChars="200"/>
        <w:jc w:val="left"/>
        <w:textAlignment w:val="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四、招标文件获取的方式、时间：</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1．获取方式：网上免费下载（不接受网上报名），下载地址为</w:t>
      </w:r>
      <w:r>
        <w:rPr>
          <w:rFonts w:ascii="宋体" w:hAnsi="宋体" w:cs="Arial"/>
          <w:color w:val="000000" w:themeColor="text1"/>
          <w:sz w:val="24"/>
          <w:highlight w:val="none"/>
          <w14:textFill>
            <w14:solidFill>
              <w14:schemeClr w14:val="tx1"/>
            </w14:solidFill>
          </w14:textFill>
        </w:rPr>
        <w:t>http://www.zjzfcg.gov.cn</w:t>
      </w:r>
      <w:r>
        <w:rPr>
          <w:rFonts w:hint="eastAsia" w:ascii="宋体" w:hAnsi="宋体" w:cs="Arial"/>
          <w:color w:val="000000" w:themeColor="text1"/>
          <w:sz w:val="24"/>
          <w:highlight w:val="none"/>
          <w14:textFill>
            <w14:solidFill>
              <w14:schemeClr w14:val="tx1"/>
            </w14:solidFill>
          </w14:textFill>
        </w:rPr>
        <w:t xml:space="preserve">或https://www.yhjyzx.com/home/index </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2．获取（公告）时间：2019年</w:t>
      </w:r>
      <w:r>
        <w:rPr>
          <w:rFonts w:hint="eastAsia" w:ascii="宋体" w:hAnsi="宋体" w:cs="Arial"/>
          <w:color w:val="000000" w:themeColor="text1"/>
          <w:sz w:val="24"/>
          <w:highlight w:val="none"/>
          <w:lang w:val="en-US" w:eastAsia="zh-CN"/>
          <w14:textFill>
            <w14:solidFill>
              <w14:schemeClr w14:val="tx1"/>
            </w14:solidFill>
          </w14:textFill>
        </w:rPr>
        <w:t>6</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27</w:t>
      </w:r>
      <w:r>
        <w:rPr>
          <w:rFonts w:hint="eastAsia" w:ascii="宋体" w:hAnsi="宋体" w:cs="Arial"/>
          <w:color w:val="000000" w:themeColor="text1"/>
          <w:sz w:val="24"/>
          <w:highlight w:val="none"/>
          <w14:textFill>
            <w14:solidFill>
              <w14:schemeClr w14:val="tx1"/>
            </w14:solidFill>
          </w14:textFill>
        </w:rPr>
        <w:t>日至2019年</w:t>
      </w:r>
      <w:r>
        <w:rPr>
          <w:rFonts w:hint="eastAsia" w:ascii="宋体" w:hAnsi="宋体" w:cs="Arial"/>
          <w:color w:val="000000" w:themeColor="text1"/>
          <w:sz w:val="24"/>
          <w:highlight w:val="none"/>
          <w:lang w:val="en-US" w:eastAsia="zh-CN"/>
          <w14:textFill>
            <w14:solidFill>
              <w14:schemeClr w14:val="tx1"/>
            </w14:solidFill>
          </w14:textFill>
        </w:rPr>
        <w:t>7</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5</w:t>
      </w:r>
      <w:r>
        <w:rPr>
          <w:rFonts w:hint="eastAsia" w:ascii="宋体" w:hAnsi="宋体" w:cs="Arial"/>
          <w:color w:val="000000" w:themeColor="text1"/>
          <w:sz w:val="24"/>
          <w:highlight w:val="none"/>
          <w14:textFill>
            <w14:solidFill>
              <w14:schemeClr w14:val="tx1"/>
            </w14:solidFill>
          </w14:textFill>
        </w:rPr>
        <w:t>日</w:t>
      </w:r>
    </w:p>
    <w:p>
      <w:pPr>
        <w:keepNext w:val="0"/>
        <w:keepLines w:val="0"/>
        <w:pageBreakBefore w:val="0"/>
        <w:kinsoku/>
        <w:wordWrap/>
        <w:overflowPunct/>
        <w:topLinePunct w:val="0"/>
        <w:bidi w:val="0"/>
        <w:spacing w:line="400" w:lineRule="exact"/>
        <w:ind w:firstLine="1800" w:firstLineChars="75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上午：8:30-12:00      下午：13：30-16:30</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4.报名地点：玉环市李家小区二期3号楼1502室；</w:t>
      </w:r>
    </w:p>
    <w:p>
      <w:pPr>
        <w:keepNext w:val="0"/>
        <w:keepLines w:val="0"/>
        <w:pageBreakBefore w:val="0"/>
        <w:kinsoku/>
        <w:wordWrap/>
        <w:overflowPunct/>
        <w:topLinePunct w:val="0"/>
        <w:bidi w:val="0"/>
        <w:spacing w:line="400" w:lineRule="exact"/>
        <w:ind w:firstLine="960" w:firstLineChars="4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温州市鹿城区牛山北路13号牛山商务大厦9楼；</w:t>
      </w:r>
    </w:p>
    <w:p>
      <w:pPr>
        <w:keepNext w:val="0"/>
        <w:keepLines w:val="0"/>
        <w:pageBreakBefore w:val="0"/>
        <w:kinsoku/>
        <w:wordWrap/>
        <w:overflowPunct/>
        <w:topLinePunct w:val="0"/>
        <w:bidi w:val="0"/>
        <w:spacing w:line="400" w:lineRule="exact"/>
        <w:ind w:firstLine="960" w:firstLineChars="4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杭州市江干区凤起东路189号滨江新城时代广场3幢2206室；</w:t>
      </w:r>
    </w:p>
    <w:p>
      <w:pPr>
        <w:keepNext w:val="0"/>
        <w:keepLines w:val="0"/>
        <w:pageBreakBefore w:val="0"/>
        <w:kinsoku/>
        <w:wordWrap/>
        <w:overflowPunct/>
        <w:topLinePunct w:val="0"/>
        <w:bidi w:val="0"/>
        <w:spacing w:line="400" w:lineRule="exact"/>
        <w:ind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5、购买标书时应提交的资料：</w:t>
      </w:r>
    </w:p>
    <w:p>
      <w:pPr>
        <w:keepNext w:val="0"/>
        <w:keepLines w:val="0"/>
        <w:pageBreakBefore w:val="0"/>
        <w:kinsoku/>
        <w:wordWrap/>
        <w:overflowPunct/>
        <w:topLinePunct w:val="0"/>
        <w:bidi w:val="0"/>
        <w:spacing w:line="400" w:lineRule="exact"/>
        <w:ind w:firstLine="720" w:firstLineChars="3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（1）、有效的工商营业执照营业执照（副本）复印件。</w:t>
      </w:r>
    </w:p>
    <w:p>
      <w:pPr>
        <w:keepNext w:val="0"/>
        <w:keepLines w:val="0"/>
        <w:pageBreakBefore w:val="0"/>
        <w:kinsoku/>
        <w:wordWrap/>
        <w:overflowPunct/>
        <w:topLinePunct w:val="0"/>
        <w:bidi w:val="0"/>
        <w:spacing w:line="400" w:lineRule="exact"/>
        <w:ind w:firstLine="720" w:firstLineChars="3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r>
        <w:rPr>
          <w:rFonts w:ascii="宋体" w:hAnsi="宋体" w:cs="Arial"/>
          <w:color w:val="000000" w:themeColor="text1"/>
          <w:sz w:val="24"/>
          <w:highlight w:val="none"/>
          <w14:textFill>
            <w14:solidFill>
              <w14:schemeClr w14:val="tx1"/>
            </w14:solidFill>
          </w14:textFill>
        </w:rPr>
        <w:t>政府采购报名申请表</w:t>
      </w:r>
      <w:r>
        <w:rPr>
          <w:rFonts w:hint="eastAsia" w:ascii="宋体" w:hAnsi="宋体" w:cs="Arial"/>
          <w:color w:val="000000" w:themeColor="text1"/>
          <w:sz w:val="24"/>
          <w:highlight w:val="none"/>
          <w14:textFill>
            <w14:solidFill>
              <w14:schemeClr w14:val="tx1"/>
            </w14:solidFill>
          </w14:textFill>
        </w:rPr>
        <w:t>（加盖公章）。</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400" w:lineRule="exact"/>
        <w:ind w:right="23" w:firstLine="539"/>
        <w:jc w:val="left"/>
        <w:textAlignment w:val="auto"/>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sz w:val="24"/>
          <w:highlight w:val="none"/>
          <w:lang w:val="en-US" w:eastAsia="zh-CN"/>
          <w14:textFill>
            <w14:solidFill>
              <w14:schemeClr w14:val="tx1"/>
            </w14:solidFill>
          </w14:textFill>
        </w:rPr>
        <w:t>五</w:t>
      </w:r>
      <w:r>
        <w:rPr>
          <w:rFonts w:hint="eastAsia" w:cs="Arial"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kern w:val="0"/>
          <w:sz w:val="24"/>
          <w:highlight w:val="none"/>
          <w14:textFill>
            <w14:solidFill>
              <w14:schemeClr w14:val="tx1"/>
            </w14:solidFill>
          </w14:textFill>
        </w:rPr>
        <w:t>投标截止及开标时间、地点：</w:t>
      </w:r>
    </w:p>
    <w:p>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仿宋_GB2312" w:eastAsia="仿宋_GB2312" w:cs="仿宋_GB2312"/>
          <w:bCs/>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本次招标将于</w:t>
      </w:r>
      <w:r>
        <w:rPr>
          <w:rFonts w:hint="eastAsia" w:cs="Arial" w:asciiTheme="minorEastAsia" w:hAnsiTheme="minorEastAsia" w:eastAsiaTheme="minorEastAsia"/>
          <w:color w:val="000000" w:themeColor="text1"/>
          <w:sz w:val="24"/>
          <w:highlight w:val="none"/>
          <w:lang w:eastAsia="zh-CN"/>
          <w14:textFill>
            <w14:solidFill>
              <w14:schemeClr w14:val="tx1"/>
            </w14:solidFill>
          </w14:textFill>
        </w:rPr>
        <w:t>2019年</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cs="Arial" w:asciiTheme="minorEastAsia" w:hAnsiTheme="minorEastAsia" w:eastAsiaTheme="minorEastAsia"/>
          <w:color w:val="000000" w:themeColor="text1"/>
          <w:sz w:val="24"/>
          <w:highlight w:val="none"/>
          <w:lang w:eastAsia="zh-CN"/>
          <w14:textFill>
            <w14:solidFill>
              <w14:schemeClr w14:val="tx1"/>
            </w14:solidFill>
          </w14:textFill>
        </w:rPr>
        <w:t>月</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18</w:t>
      </w:r>
      <w:r>
        <w:rPr>
          <w:rFonts w:hint="eastAsia" w:cs="Arial" w:asciiTheme="minorEastAsia" w:hAnsiTheme="minorEastAsia" w:eastAsiaTheme="minorEastAsia"/>
          <w:color w:val="000000" w:themeColor="text1"/>
          <w:sz w:val="24"/>
          <w:highlight w:val="none"/>
          <w:lang w:eastAsia="zh-CN"/>
          <w14:textFill>
            <w14:solidFill>
              <w14:schemeClr w14:val="tx1"/>
            </w14:solidFill>
          </w14:textFill>
        </w:rPr>
        <w:t>日</w:t>
      </w:r>
      <w:r>
        <w:rPr>
          <w:rFonts w:hint="eastAsia" w:cs="Arial" w:asciiTheme="minorEastAsia" w:hAnsiTheme="minorEastAsia" w:eastAsiaTheme="minorEastAsia"/>
          <w:color w:val="000000" w:themeColor="text1"/>
          <w:sz w:val="24"/>
          <w:highlight w:val="none"/>
          <w14:textFill>
            <w14:solidFill>
              <w14:schemeClr w14:val="tx1"/>
            </w14:solidFill>
          </w14:textFill>
        </w:rPr>
        <w:t>星期</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四</w:t>
      </w:r>
      <w:r>
        <w:rPr>
          <w:rFonts w:hint="eastAsia" w:cs="Arial" w:asciiTheme="minorEastAsia" w:hAnsiTheme="minorEastAsia" w:eastAsiaTheme="minorEastAsia"/>
          <w:color w:val="000000" w:themeColor="text1"/>
          <w:sz w:val="24"/>
          <w:highlight w:val="none"/>
          <w:lang w:eastAsia="zh-CN"/>
          <w14:textFill>
            <w14:solidFill>
              <w14:schemeClr w14:val="tx1"/>
            </w14:solidFill>
          </w14:textFill>
        </w:rPr>
        <w:t>上午09点</w:t>
      </w:r>
      <w:r>
        <w:rPr>
          <w:rFonts w:hint="eastAsia" w:cs="Arial" w:asciiTheme="minorEastAsia" w:hAnsiTheme="minorEastAsia" w:eastAsiaTheme="minorEastAsia"/>
          <w:color w:val="000000" w:themeColor="text1"/>
          <w:sz w:val="24"/>
          <w:highlight w:val="none"/>
          <w14:textFill>
            <w14:solidFill>
              <w14:schemeClr w14:val="tx1"/>
            </w14:solidFill>
          </w14:textFill>
        </w:rPr>
        <w:t>30整在玉环市公共资源交易中心二楼开标室（二）（玉环市新城中路与长治路（南一路）交叉路口）</w:t>
      </w:r>
      <w:r>
        <w:rPr>
          <w:rFonts w:hint="eastAsia" w:asciiTheme="minorEastAsia" w:hAnsiTheme="minorEastAsia" w:eastAsiaTheme="minorEastAsia"/>
          <w:color w:val="000000" w:themeColor="text1"/>
          <w:sz w:val="24"/>
          <w:highlight w:val="none"/>
          <w14:textFill>
            <w14:solidFill>
              <w14:schemeClr w14:val="tx1"/>
            </w14:solidFill>
          </w14:textFill>
        </w:rPr>
        <w:t>开</w:t>
      </w:r>
      <w:r>
        <w:rPr>
          <w:rFonts w:hint="eastAsia" w:cs="Arial" w:asciiTheme="minorEastAsia" w:hAnsiTheme="minorEastAsia" w:eastAsiaTheme="minorEastAsia"/>
          <w:color w:val="000000" w:themeColor="text1"/>
          <w:sz w:val="24"/>
          <w:highlight w:val="none"/>
          <w14:textFill>
            <w14:solidFill>
              <w14:schemeClr w14:val="tx1"/>
            </w14:solidFill>
          </w14:textFill>
        </w:rPr>
        <w:t>标，</w:t>
      </w:r>
      <w:r>
        <w:rPr>
          <w:rFonts w:hint="eastAsia" w:asciiTheme="minorEastAsia" w:hAnsiTheme="minorEastAsia" w:eastAsiaTheme="minorEastAsia"/>
          <w:color w:val="000000" w:themeColor="text1"/>
          <w:kern w:val="0"/>
          <w:sz w:val="24"/>
          <w:highlight w:val="none"/>
          <w14:textFill>
            <w14:solidFill>
              <w14:schemeClr w14:val="tx1"/>
            </w14:solidFill>
          </w14:textFill>
        </w:rPr>
        <w:t>请在开标当日</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09</w:t>
      </w:r>
      <w:r>
        <w:rPr>
          <w:rFonts w:hint="eastAsia" w:cs="Arial" w:asciiTheme="minorEastAsia" w:hAnsiTheme="minorEastAsia" w:eastAsiaTheme="minorEastAsia"/>
          <w:color w:val="000000" w:themeColor="text1"/>
          <w:sz w:val="24"/>
          <w:highlight w:val="none"/>
          <w14:textFill>
            <w14:solidFill>
              <w14:schemeClr w14:val="tx1"/>
            </w14:solidFill>
          </w14:textFill>
        </w:rPr>
        <w:t>:00</w:t>
      </w:r>
      <w:r>
        <w:rPr>
          <w:rFonts w:hint="eastAsia" w:asciiTheme="minorEastAsia" w:hAnsiTheme="minorEastAsia" w:eastAsiaTheme="minorEastAsia"/>
          <w:color w:val="000000" w:themeColor="text1"/>
          <w:kern w:val="0"/>
          <w:sz w:val="24"/>
          <w:highlight w:val="none"/>
          <w14:textFill>
            <w14:solidFill>
              <w14:schemeClr w14:val="tx1"/>
            </w14:solidFill>
          </w14:textFill>
        </w:rPr>
        <w:t>至</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09</w:t>
      </w:r>
      <w:r>
        <w:rPr>
          <w:rFonts w:hint="eastAsia" w:cs="Arial" w:asciiTheme="minorEastAsia" w:hAnsiTheme="minorEastAsia" w:eastAsiaTheme="minorEastAsia"/>
          <w:color w:val="000000" w:themeColor="text1"/>
          <w:sz w:val="24"/>
          <w:highlight w:val="none"/>
          <w14:textFill>
            <w14:solidFill>
              <w14:schemeClr w14:val="tx1"/>
            </w14:solidFill>
          </w14:textFill>
        </w:rPr>
        <w:t>:30</w:t>
      </w:r>
      <w:r>
        <w:rPr>
          <w:rFonts w:hint="eastAsia" w:asciiTheme="minorEastAsia" w:hAnsiTheme="minorEastAsia" w:eastAsiaTheme="minorEastAsia"/>
          <w:color w:val="000000" w:themeColor="text1"/>
          <w:kern w:val="0"/>
          <w:sz w:val="24"/>
          <w:highlight w:val="none"/>
          <w14:textFill>
            <w14:solidFill>
              <w14:schemeClr w14:val="tx1"/>
            </w14:solidFill>
          </w14:textFill>
        </w:rPr>
        <w:t>将投标文件送达开标地点，逾期或不符合规定的投标文件恕不接受。</w:t>
      </w:r>
    </w:p>
    <w:p>
      <w:pPr>
        <w:keepNext w:val="0"/>
        <w:keepLines w:val="0"/>
        <w:pageBreakBefore w:val="0"/>
        <w:kinsoku/>
        <w:wordWrap/>
        <w:overflowPunct/>
        <w:topLinePunct w:val="0"/>
        <w:bidi w:val="0"/>
        <w:snapToGrid w:val="0"/>
        <w:spacing w:line="400" w:lineRule="exact"/>
        <w:ind w:firstLine="482" w:firstLineChars="200"/>
        <w:textAlignment w:val="auto"/>
        <w:rPr>
          <w:rFonts w:cs="Arial" w:asciiTheme="minorEastAsia" w:hAnsiTheme="minorEastAsia" w:eastAsiaTheme="minorEastAsia"/>
          <w:b/>
          <w:color w:val="000000" w:themeColor="text1"/>
          <w:sz w:val="24"/>
          <w:highlight w:val="none"/>
          <w14:textFill>
            <w14:solidFill>
              <w14:schemeClr w14:val="tx1"/>
            </w14:solidFill>
          </w14:textFill>
        </w:rPr>
      </w:pPr>
      <w:r>
        <w:rPr>
          <w:rFonts w:hint="eastAsia" w:cs="Arial" w:asciiTheme="minorEastAsia" w:hAnsiTheme="minorEastAsia" w:eastAsiaTheme="minorEastAsia"/>
          <w:b/>
          <w:color w:val="000000" w:themeColor="text1"/>
          <w:sz w:val="24"/>
          <w:highlight w:val="none"/>
          <w14:textFill>
            <w14:solidFill>
              <w14:schemeClr w14:val="tx1"/>
            </w14:solidFill>
          </w14:textFill>
        </w:rPr>
        <w:t>七</w:t>
      </w:r>
      <w:r>
        <w:rPr>
          <w:rFonts w:cs="Arial" w:asciiTheme="minorEastAsia" w:hAnsiTheme="minorEastAsia" w:eastAsiaTheme="minorEastAsia"/>
          <w:b/>
          <w:color w:val="000000" w:themeColor="text1"/>
          <w:sz w:val="24"/>
          <w:highlight w:val="none"/>
          <w14:textFill>
            <w14:solidFill>
              <w14:schemeClr w14:val="tx1"/>
            </w14:solidFill>
          </w14:textFill>
        </w:rPr>
        <w:t>、投标人信用信息查询渠道及截止时点、信用信息查询记录和证据留存的具体方式、信用信息的使用规则</w:t>
      </w:r>
      <w:r>
        <w:rPr>
          <w:rFonts w:hint="eastAsia" w:cs="Arial" w:asciiTheme="minorEastAsia" w:hAnsiTheme="minorEastAsia" w:eastAsiaTheme="minorEastAsia"/>
          <w:b/>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pacing w:line="400" w:lineRule="exact"/>
        <w:ind w:firstLine="588" w:firstLineChars="245"/>
        <w:textAlignment w:val="auto"/>
        <w:rPr>
          <w:rFonts w:ascii="宋体" w:hAnsi="宋体" w:cs="Arial"/>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1、查询渠道：</w:t>
      </w:r>
      <w:r>
        <w:rPr>
          <w:rFonts w:hint="eastAsia" w:ascii="宋体" w:hAnsi="宋体" w:cs="Arial"/>
          <w:color w:val="000000" w:themeColor="text1"/>
          <w:sz w:val="24"/>
          <w:highlight w:val="none"/>
          <w:shd w:val="clear" w:color="auto" w:fill="auto"/>
          <w14:textFill>
            <w14:solidFill>
              <w14:schemeClr w14:val="tx1"/>
            </w14:solidFill>
          </w14:textFill>
        </w:rPr>
        <w:t>国家企业信用信息公示系统（http://www.gsxt.gov.cn/index.html）</w:t>
      </w:r>
      <w:r>
        <w:rPr>
          <w:rFonts w:hint="eastAsia" w:ascii="宋体" w:hAnsi="宋体" w:cs="Arial"/>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400" w:lineRule="exact"/>
        <w:ind w:firstLine="480" w:firstLineChars="200"/>
        <w:textAlignment w:val="auto"/>
        <w:rPr>
          <w:rFonts w:cs="Arial" w:asciiTheme="minorEastAsia" w:hAnsiTheme="minorEastAsia" w:eastAsiaTheme="minorEastAsia"/>
          <w:b/>
          <w:bCs/>
          <w:color w:val="000000" w:themeColor="text1"/>
          <w:sz w:val="24"/>
          <w:highlight w:val="none"/>
          <w:shd w:val="clear" w:color="FFFFFF" w:fill="D9D9D9"/>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2、截止时点：开标后评标前。</w:t>
      </w:r>
    </w:p>
    <w:p>
      <w:pPr>
        <w:keepNext w:val="0"/>
        <w:keepLines w:val="0"/>
        <w:pageBreakBefore w:val="0"/>
        <w:kinsoku/>
        <w:wordWrap/>
        <w:overflowPunct/>
        <w:topLinePunct w:val="0"/>
        <w:bidi w:val="0"/>
        <w:snapToGrid w:val="0"/>
        <w:spacing w:line="400" w:lineRule="exact"/>
        <w:ind w:firstLine="480" w:firstLineChars="200"/>
        <w:textAlignment w:val="auto"/>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3、</w:t>
      </w:r>
      <w:r>
        <w:rPr>
          <w:rFonts w:cs="Arial" w:asciiTheme="minorEastAsia" w:hAnsiTheme="minorEastAsia" w:eastAsiaTheme="minorEastAsia"/>
          <w:color w:val="000000" w:themeColor="text1"/>
          <w:sz w:val="24"/>
          <w:highlight w:val="none"/>
          <w14:textFill>
            <w14:solidFill>
              <w14:schemeClr w14:val="tx1"/>
            </w14:solidFill>
          </w14:textFill>
        </w:rPr>
        <w:t>信用信息查询记录和证据留存的具体方式</w:t>
      </w:r>
      <w:r>
        <w:rPr>
          <w:rFonts w:hint="eastAsia" w:cs="Arial" w:asciiTheme="minorEastAsia" w:hAnsiTheme="minorEastAsia" w:eastAsiaTheme="minorEastAsia"/>
          <w:color w:val="000000" w:themeColor="text1"/>
          <w:sz w:val="24"/>
          <w:highlight w:val="none"/>
          <w14:textFill>
            <w14:solidFill>
              <w14:schemeClr w14:val="tx1"/>
            </w14:solidFill>
          </w14:textFill>
        </w:rPr>
        <w:t>：由采购组织机构在规定查询时间内打印信用信息查询记录并归入项目档案。</w:t>
      </w:r>
    </w:p>
    <w:p>
      <w:pPr>
        <w:keepNext w:val="0"/>
        <w:keepLines w:val="0"/>
        <w:pageBreakBefore w:val="0"/>
        <w:kinsoku/>
        <w:wordWrap/>
        <w:overflowPunct/>
        <w:topLinePunct w:val="0"/>
        <w:bidi w:val="0"/>
        <w:snapToGrid w:val="0"/>
        <w:spacing w:line="400" w:lineRule="exact"/>
        <w:ind w:firstLine="480" w:firstLineChars="200"/>
        <w:textAlignment w:val="auto"/>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000000" w:themeColor="text1"/>
          <w:sz w:val="24"/>
          <w:highlight w:val="none"/>
          <w14:textFill>
            <w14:solidFill>
              <w14:schemeClr w14:val="tx1"/>
            </w14:solidFill>
          </w14:textFill>
        </w:rPr>
        <w:t>将被</w:t>
      </w:r>
      <w:r>
        <w:rPr>
          <w:rFonts w:hint="eastAsia" w:cs="Arial" w:asciiTheme="minorEastAsia" w:hAnsiTheme="minorEastAsia" w:eastAsiaTheme="minorEastAsia"/>
          <w:color w:val="000000" w:themeColor="text1"/>
          <w:sz w:val="24"/>
          <w:highlight w:val="none"/>
          <w14:textFill>
            <w14:solidFill>
              <w14:schemeClr w14:val="tx1"/>
            </w14:solidFill>
          </w14:textFill>
        </w:rPr>
        <w:t>拒绝其参与政府采购活动。</w:t>
      </w:r>
    </w:p>
    <w:p>
      <w:pPr>
        <w:keepNext w:val="0"/>
        <w:keepLines w:val="0"/>
        <w:pageBreakBefore w:val="0"/>
        <w:kinsoku/>
        <w:wordWrap/>
        <w:overflowPunct/>
        <w:topLinePunct w:val="0"/>
        <w:bidi w:val="0"/>
        <w:snapToGrid w:val="0"/>
        <w:spacing w:line="400" w:lineRule="exact"/>
        <w:ind w:firstLine="482" w:firstLineChars="200"/>
        <w:textAlignment w:val="auto"/>
        <w:rPr>
          <w:rFonts w:ascii="宋体" w:hAnsi="宋体" w:cs="Arial"/>
          <w:color w:val="000000" w:themeColor="text1"/>
          <w:sz w:val="24"/>
          <w:highlight w:val="none"/>
          <w14:textFill>
            <w14:solidFill>
              <w14:schemeClr w14:val="tx1"/>
            </w14:solidFill>
          </w14:textFill>
        </w:rPr>
      </w:pPr>
      <w:r>
        <w:rPr>
          <w:rFonts w:hint="eastAsia" w:cs="Arial" w:asciiTheme="minorEastAsia" w:hAnsiTheme="minorEastAsia" w:eastAsiaTheme="minorEastAsia"/>
          <w:b/>
          <w:bCs/>
          <w:color w:val="000000" w:themeColor="text1"/>
          <w:sz w:val="24"/>
          <w:highlight w:val="none"/>
          <w14:textFill>
            <w14:solidFill>
              <w14:schemeClr w14:val="tx1"/>
            </w14:solidFill>
          </w14:textFill>
        </w:rPr>
        <w:t>九</w:t>
      </w:r>
      <w:r>
        <w:rPr>
          <w:rFonts w:cs="Arial" w:asciiTheme="minorEastAsia" w:hAnsiTheme="minorEastAsia" w:eastAsiaTheme="minorEastAsia"/>
          <w:b/>
          <w:bCs/>
          <w:color w:val="000000" w:themeColor="text1"/>
          <w:sz w:val="24"/>
          <w:highlight w:val="none"/>
          <w14:textFill>
            <w14:solidFill>
              <w14:schemeClr w14:val="tx1"/>
            </w14:solidFill>
          </w14:textFill>
        </w:rPr>
        <w:t>、</w:t>
      </w:r>
      <w:r>
        <w:rPr>
          <w:rFonts w:hint="eastAsia" w:ascii="宋体" w:hAnsi="宋体" w:cs="Arial"/>
          <w:b/>
          <w:color w:val="000000" w:themeColor="text1"/>
          <w:sz w:val="24"/>
          <w:highlight w:val="none"/>
          <w14:textFill>
            <w14:solidFill>
              <w14:schemeClr w14:val="tx1"/>
            </w14:solidFill>
          </w14:textFill>
        </w:rPr>
        <w:t>相关注意事项</w:t>
      </w:r>
      <w:r>
        <w:rPr>
          <w:rFonts w:hint="eastAsia" w:ascii="宋体" w:hAnsi="宋体" w:cs="Arial"/>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400" w:lineRule="exact"/>
        <w:ind w:firstLine="480" w:firstLineChars="200"/>
        <w:textAlignment w:val="auto"/>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bidi w:val="0"/>
        <w:spacing w:line="400" w:lineRule="exact"/>
        <w:ind w:firstLine="588" w:firstLineChars="245"/>
        <w:textAlignment w:val="auto"/>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2．根据《浙江省政府采购供应商注册及诚信管理暂行办法》浙财采监【2009】28号文件，请各</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投标</w:t>
      </w:r>
      <w:r>
        <w:rPr>
          <w:rFonts w:hint="eastAsia" w:asciiTheme="minorEastAsia" w:hAnsiTheme="minorEastAsia" w:eastAsiaTheme="minorEastAsia"/>
          <w:bCs/>
          <w:color w:val="000000" w:themeColor="text1"/>
          <w:sz w:val="24"/>
          <w:highlight w:val="none"/>
          <w14:textFill>
            <w14:solidFill>
              <w14:schemeClr w14:val="tx1"/>
            </w14:solidFill>
          </w14:textFill>
        </w:rPr>
        <w:t>响应供应商及时办理浙江政府采购网“政府采购供应商注册”手续。</w:t>
      </w:r>
    </w:p>
    <w:p>
      <w:pPr>
        <w:keepNext w:val="0"/>
        <w:keepLines w:val="0"/>
        <w:pageBreakBefore w:val="0"/>
        <w:kinsoku/>
        <w:wordWrap/>
        <w:overflowPunct/>
        <w:topLinePunct w:val="0"/>
        <w:bidi w:val="0"/>
        <w:spacing w:line="400" w:lineRule="exact"/>
        <w:ind w:firstLine="588" w:firstLineChars="245"/>
        <w:textAlignment w:val="auto"/>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3．参与政府采购活动的供应商，应当先在浙江省政府采购网上申请注册，</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公开招标</w:t>
      </w:r>
      <w:r>
        <w:rPr>
          <w:rFonts w:hint="eastAsia" w:asciiTheme="minorEastAsia" w:hAnsiTheme="minorEastAsia" w:eastAsiaTheme="minorEastAsia"/>
          <w:bCs/>
          <w:color w:val="000000" w:themeColor="text1"/>
          <w:sz w:val="24"/>
          <w:highlight w:val="none"/>
          <w14:textFill>
            <w14:solidFill>
              <w14:schemeClr w14:val="tx1"/>
            </w14:solidFill>
          </w14:textFill>
        </w:rPr>
        <w:t>采购文件可从网上直接下载。</w:t>
      </w:r>
    </w:p>
    <w:p>
      <w:pPr>
        <w:keepNext w:val="0"/>
        <w:keepLines w:val="0"/>
        <w:pageBreakBefore w:val="0"/>
        <w:kinsoku/>
        <w:wordWrap/>
        <w:overflowPunct/>
        <w:topLinePunct w:val="0"/>
        <w:bidi w:val="0"/>
        <w:spacing w:line="400" w:lineRule="exact"/>
        <w:ind w:firstLine="588" w:firstLineChars="245"/>
        <w:textAlignment w:val="auto"/>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4．本项目所有公告发布网站：“浙江省政府采购网”（http:// www.zjzfcg.gov.cn）和“玉环市公共资源交易中心”（ https://www.yhjyzx.com/News/zcfg/zfcg）。</w:t>
      </w:r>
    </w:p>
    <w:p>
      <w:pPr>
        <w:keepNext w:val="0"/>
        <w:keepLines w:val="0"/>
        <w:pageBreakBefore w:val="0"/>
        <w:kinsoku/>
        <w:wordWrap/>
        <w:overflowPunct/>
        <w:topLinePunct w:val="0"/>
        <w:bidi w:val="0"/>
        <w:spacing w:line="400" w:lineRule="exact"/>
        <w:ind w:firstLine="590" w:firstLineChars="245"/>
        <w:textAlignment w:val="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十、联系方式：</w:t>
      </w:r>
    </w:p>
    <w:p>
      <w:pPr>
        <w:keepNext w:val="0"/>
        <w:keepLines w:val="0"/>
        <w:pageBreakBefore w:val="0"/>
        <w:kinsoku/>
        <w:wordWrap/>
        <w:overflowPunct/>
        <w:topLinePunct w:val="0"/>
        <w:bidi w:val="0"/>
        <w:spacing w:line="400" w:lineRule="exact"/>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（一）采购代理机构</w:t>
      </w:r>
    </w:p>
    <w:p>
      <w:pPr>
        <w:keepNext w:val="0"/>
        <w:keepLines w:val="0"/>
        <w:pageBreakBefore w:val="0"/>
        <w:kinsoku/>
        <w:wordWrap/>
        <w:overflowPunct/>
        <w:topLinePunct w:val="0"/>
        <w:bidi w:val="0"/>
        <w:snapToGrid w:val="0"/>
        <w:spacing w:line="400" w:lineRule="exact"/>
        <w:ind w:firstLine="600" w:firstLineChars="25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联系人：胡先生</w:t>
      </w:r>
    </w:p>
    <w:p>
      <w:pPr>
        <w:keepNext w:val="0"/>
        <w:keepLines w:val="0"/>
        <w:pageBreakBefore w:val="0"/>
        <w:kinsoku/>
        <w:wordWrap/>
        <w:overflowPunct/>
        <w:topLinePunct w:val="0"/>
        <w:bidi w:val="0"/>
        <w:snapToGrid w:val="0"/>
        <w:spacing w:line="400" w:lineRule="exact"/>
        <w:ind w:firstLine="600" w:firstLineChars="25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联系电话：15967041020     </w:t>
      </w:r>
    </w:p>
    <w:p>
      <w:pPr>
        <w:keepNext w:val="0"/>
        <w:keepLines w:val="0"/>
        <w:pageBreakBefore w:val="0"/>
        <w:kinsoku/>
        <w:wordWrap/>
        <w:overflowPunct/>
        <w:topLinePunct w:val="0"/>
        <w:bidi w:val="0"/>
        <w:spacing w:line="400" w:lineRule="exact"/>
        <w:ind w:firstLine="600" w:firstLineChars="25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w:t>
      </w:r>
      <w:r>
        <w:rPr>
          <w:rFonts w:hint="eastAsia" w:ascii="宋体" w:hAnsi="宋体"/>
          <w:color w:val="000000" w:themeColor="text1"/>
          <w:kern w:val="0"/>
          <w:sz w:val="24"/>
          <w:highlight w:val="none"/>
          <w14:textFill>
            <w14:solidFill>
              <w14:schemeClr w14:val="tx1"/>
            </w14:solidFill>
          </w14:textFill>
        </w:rPr>
        <w:t xml:space="preserve"> 玉环市李家小区二期3号楼1502室；</w:t>
      </w:r>
    </w:p>
    <w:p>
      <w:pPr>
        <w:keepNext w:val="0"/>
        <w:keepLines w:val="0"/>
        <w:pageBreakBefore w:val="0"/>
        <w:kinsoku/>
        <w:wordWrap/>
        <w:overflowPunct/>
        <w:topLinePunct w:val="0"/>
        <w:bidi w:val="0"/>
        <w:snapToGrid w:val="0"/>
        <w:spacing w:line="400" w:lineRule="exact"/>
        <w:ind w:firstLine="602" w:firstLineChars="250"/>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（二）采购人</w:t>
      </w:r>
      <w:r>
        <w:rPr>
          <w:rFonts w:hint="eastAsia" w:ascii="宋体" w:hAnsi="宋体" w:cs="Arial"/>
          <w:color w:val="000000" w:themeColor="text1"/>
          <w:sz w:val="24"/>
          <w:highlight w:val="none"/>
          <w14:textFill>
            <w14:solidFill>
              <w14:schemeClr w14:val="tx1"/>
            </w14:solidFill>
          </w14:textFill>
        </w:rPr>
        <w:t xml:space="preserve"> </w:t>
      </w:r>
    </w:p>
    <w:p>
      <w:pPr>
        <w:keepNext w:val="0"/>
        <w:keepLines w:val="0"/>
        <w:pageBreakBefore w:val="0"/>
        <w:kinsoku/>
        <w:wordWrap/>
        <w:overflowPunct/>
        <w:topLinePunct w:val="0"/>
        <w:bidi w:val="0"/>
        <w:snapToGrid w:val="0"/>
        <w:spacing w:line="400" w:lineRule="exact"/>
        <w:ind w:firstLine="600" w:firstLineChars="250"/>
        <w:textAlignment w:val="auto"/>
        <w:rPr>
          <w:rFonts w:hint="eastAsia" w:ascii="宋体" w:hAnsi="宋体" w:eastAsia="宋体" w:cs="Arial"/>
          <w:color w:val="000000" w:themeColor="text1"/>
          <w:sz w:val="24"/>
          <w:highlight w:val="none"/>
          <w:lang w:eastAsia="zh-CN"/>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采购</w:t>
      </w:r>
      <w:r>
        <w:rPr>
          <w:rFonts w:hint="eastAsia" w:ascii="宋体" w:hAnsi="宋体" w:cs="Arial"/>
          <w:color w:val="000000" w:themeColor="text1"/>
          <w:sz w:val="24"/>
          <w:highlight w:val="none"/>
          <w14:textFill>
            <w14:solidFill>
              <w14:schemeClr w14:val="tx1"/>
            </w14:solidFill>
          </w14:textFill>
        </w:rPr>
        <w:t>人</w:t>
      </w:r>
      <w:r>
        <w:rPr>
          <w:rFonts w:ascii="宋体" w:hAnsi="宋体" w:cs="Arial"/>
          <w:color w:val="000000" w:themeColor="text1"/>
          <w:sz w:val="24"/>
          <w:highlight w:val="none"/>
          <w14:textFill>
            <w14:solidFill>
              <w14:schemeClr w14:val="tx1"/>
            </w14:solidFill>
          </w14:textFill>
        </w:rPr>
        <w:t>名称：</w:t>
      </w:r>
      <w:r>
        <w:rPr>
          <w:rFonts w:hint="eastAsia" w:ascii="宋体" w:hAnsi="宋体" w:cs="Arial"/>
          <w:color w:val="000000" w:themeColor="text1"/>
          <w:sz w:val="24"/>
          <w:highlight w:val="none"/>
          <w:lang w:eastAsia="zh-CN"/>
          <w14:textFill>
            <w14:solidFill>
              <w14:schemeClr w14:val="tx1"/>
            </w14:solidFill>
          </w14:textFill>
        </w:rPr>
        <w:t>玉环市公共资源交易中心</w:t>
      </w:r>
    </w:p>
    <w:p>
      <w:pPr>
        <w:keepNext w:val="0"/>
        <w:keepLines w:val="0"/>
        <w:pageBreakBefore w:val="0"/>
        <w:kinsoku/>
        <w:wordWrap/>
        <w:overflowPunct/>
        <w:topLinePunct w:val="0"/>
        <w:bidi w:val="0"/>
        <w:snapToGrid w:val="0"/>
        <w:spacing w:line="400" w:lineRule="exact"/>
        <w:ind w:firstLine="600" w:firstLineChars="250"/>
        <w:textAlignment w:val="auto"/>
        <w:rPr>
          <w:rFonts w:hint="eastAsia" w:ascii="宋体" w:hAnsi="宋体" w:eastAsia="宋体" w:cs="Arial"/>
          <w:color w:val="000000" w:themeColor="text1"/>
          <w:sz w:val="24"/>
          <w:highlight w:val="none"/>
          <w:lang w:eastAsia="zh-CN"/>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联系人：</w:t>
      </w:r>
      <w:r>
        <w:rPr>
          <w:rFonts w:hint="eastAsia" w:ascii="宋体" w:hAnsi="宋体" w:cs="Arial"/>
          <w:color w:val="000000" w:themeColor="text1"/>
          <w:sz w:val="24"/>
          <w:highlight w:val="none"/>
          <w:lang w:eastAsia="zh-CN"/>
          <w14:textFill>
            <w14:solidFill>
              <w14:schemeClr w14:val="tx1"/>
            </w14:solidFill>
          </w14:textFill>
        </w:rPr>
        <w:t>吴先生</w:t>
      </w:r>
      <w:r>
        <w:rPr>
          <w:rFonts w:hint="eastAsia" w:ascii="宋体" w:hAnsi="宋体" w:cs="Arial"/>
          <w:color w:val="000000" w:themeColor="text1"/>
          <w:sz w:val="24"/>
          <w:highlight w:val="none"/>
          <w14:textFill>
            <w14:solidFill>
              <w14:schemeClr w14:val="tx1"/>
            </w14:solidFill>
          </w14:textFill>
        </w:rPr>
        <w:t xml:space="preserve">       联系电话：</w:t>
      </w:r>
      <w:r>
        <w:rPr>
          <w:rFonts w:hint="eastAsia" w:ascii="宋体" w:hAnsi="宋体" w:cs="Arial"/>
          <w:color w:val="000000" w:themeColor="text1"/>
          <w:sz w:val="24"/>
          <w:highlight w:val="none"/>
          <w:lang w:eastAsia="zh-CN"/>
          <w14:textFill>
            <w14:solidFill>
              <w14:schemeClr w14:val="tx1"/>
            </w14:solidFill>
          </w14:textFill>
        </w:rPr>
        <w:t>0576-87130771</w:t>
      </w:r>
    </w:p>
    <w:p>
      <w:pPr>
        <w:keepNext w:val="0"/>
        <w:keepLines w:val="0"/>
        <w:pageBreakBefore w:val="0"/>
        <w:kinsoku/>
        <w:wordWrap/>
        <w:overflowPunct/>
        <w:topLinePunct w:val="0"/>
        <w:bidi w:val="0"/>
        <w:spacing w:line="400" w:lineRule="exact"/>
        <w:ind w:firstLine="472" w:firstLineChars="196"/>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（三）同级政府采购监督管理部门</w:t>
      </w:r>
    </w:p>
    <w:p>
      <w:pPr>
        <w:keepNext w:val="0"/>
        <w:keepLines w:val="0"/>
        <w:pageBreakBefore w:val="0"/>
        <w:kinsoku/>
        <w:wordWrap/>
        <w:overflowPunct/>
        <w:topLinePunct w:val="0"/>
        <w:bidi w:val="0"/>
        <w:snapToGrid w:val="0"/>
        <w:spacing w:line="400" w:lineRule="exact"/>
        <w:ind w:left="525" w:leftChars="25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名称：玉环市财政局</w:t>
      </w:r>
    </w:p>
    <w:p>
      <w:pPr>
        <w:keepNext w:val="0"/>
        <w:keepLines w:val="0"/>
        <w:pageBreakBefore w:val="0"/>
        <w:kinsoku/>
        <w:wordWrap/>
        <w:overflowPunct/>
        <w:topLinePunct w:val="0"/>
        <w:bidi w:val="0"/>
        <w:snapToGrid w:val="0"/>
        <w:spacing w:line="400" w:lineRule="exact"/>
        <w:ind w:firstLine="600" w:firstLineChars="25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联系人：谢主任                   </w:t>
      </w:r>
    </w:p>
    <w:p>
      <w:pPr>
        <w:keepNext w:val="0"/>
        <w:keepLines w:val="0"/>
        <w:pageBreakBefore w:val="0"/>
        <w:kinsoku/>
        <w:wordWrap/>
        <w:overflowPunct/>
        <w:topLinePunct w:val="0"/>
        <w:bidi w:val="0"/>
        <w:snapToGrid w:val="0"/>
        <w:spacing w:line="400" w:lineRule="exact"/>
        <w:ind w:firstLine="600" w:firstLineChars="25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监督投诉电话：0576-87250185          传真：0576-87250185</w:t>
      </w:r>
    </w:p>
    <w:p>
      <w:pPr>
        <w:keepNext w:val="0"/>
        <w:keepLines w:val="0"/>
        <w:pageBreakBefore w:val="0"/>
        <w:kinsoku/>
        <w:wordWrap/>
        <w:overflowPunct/>
        <w:topLinePunct w:val="0"/>
        <w:bidi w:val="0"/>
        <w:snapToGrid w:val="0"/>
        <w:spacing w:line="400" w:lineRule="exact"/>
        <w:ind w:firstLine="600" w:firstLineChars="25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地址：玉环市广陵路130号；</w:t>
      </w:r>
    </w:p>
    <w:p>
      <w:pPr>
        <w:keepNext w:val="0"/>
        <w:keepLines w:val="0"/>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00" w:lineRule="exact"/>
        <w:ind w:right="1800"/>
        <w:jc w:val="center"/>
        <w:textAlignment w:val="auto"/>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 xml:space="preserve">                </w:t>
      </w:r>
    </w:p>
    <w:p>
      <w:pPr>
        <w:keepNext w:val="0"/>
        <w:keepLines w:val="0"/>
        <w:pageBreakBefore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pacing w:line="400" w:lineRule="exact"/>
        <w:ind w:left="1440" w:right="-94"/>
        <w:textAlignment w:val="auto"/>
        <w:rPr>
          <w:rFonts w:ascii="宋体"/>
          <w:color w:val="000000" w:themeColor="text1"/>
          <w:kern w:val="0"/>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 xml:space="preserve">    杭州华旗招标代理有限公司</w:t>
      </w:r>
      <w:r>
        <w:rPr>
          <w:rFonts w:ascii="宋体"/>
          <w:color w:val="000000" w:themeColor="text1"/>
          <w:kern w:val="0"/>
          <w:sz w:val="24"/>
          <w:highlight w:val="none"/>
          <w14:textFill>
            <w14:solidFill>
              <w14:schemeClr w14:val="tx1"/>
            </w14:solidFill>
          </w14:textFill>
        </w:rPr>
        <w:t xml:space="preserve">                                                                  </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400" w:lineRule="exact"/>
        <w:ind w:right="23" w:firstLine="539"/>
        <w:jc w:val="center"/>
        <w:textAlignment w:val="auto"/>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 xml:space="preserve">                           </w:t>
      </w:r>
      <w:r>
        <w:rPr>
          <w:rFonts w:asci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2019</w:t>
      </w:r>
      <w:r>
        <w:rPr>
          <w:rFonts w:hint="eastAsia" w:ascii="宋体"/>
          <w:color w:val="000000" w:themeColor="text1"/>
          <w:kern w:val="0"/>
          <w:sz w:val="24"/>
          <w:highlight w:val="none"/>
          <w14:textFill>
            <w14:solidFill>
              <w14:schemeClr w14:val="tx1"/>
            </w14:solidFill>
          </w14:textFill>
        </w:rPr>
        <w:t>年</w:t>
      </w:r>
      <w:r>
        <w:rPr>
          <w:rFonts w:hint="eastAsia" w:ascii="宋体"/>
          <w:color w:val="000000" w:themeColor="text1"/>
          <w:kern w:val="0"/>
          <w:sz w:val="24"/>
          <w:highlight w:val="none"/>
          <w:lang w:val="en-US" w:eastAsia="zh-CN"/>
          <w14:textFill>
            <w14:solidFill>
              <w14:schemeClr w14:val="tx1"/>
            </w14:solidFill>
          </w14:textFill>
        </w:rPr>
        <w:t>6</w:t>
      </w:r>
      <w:r>
        <w:rPr>
          <w:rFonts w:hint="eastAsia" w:ascii="宋体"/>
          <w:color w:val="000000" w:themeColor="text1"/>
          <w:kern w:val="0"/>
          <w:sz w:val="24"/>
          <w:highlight w:val="none"/>
          <w14:textFill>
            <w14:solidFill>
              <w14:schemeClr w14:val="tx1"/>
            </w14:solidFill>
          </w14:textFill>
        </w:rPr>
        <w:t>月</w:t>
      </w:r>
      <w:r>
        <w:rPr>
          <w:rFonts w:hint="eastAsia" w:ascii="宋体"/>
          <w:color w:val="000000" w:themeColor="text1"/>
          <w:kern w:val="0"/>
          <w:sz w:val="24"/>
          <w:highlight w:val="none"/>
          <w:lang w:val="en-US" w:eastAsia="zh-CN"/>
          <w14:textFill>
            <w14:solidFill>
              <w14:schemeClr w14:val="tx1"/>
            </w14:solidFill>
          </w14:textFill>
        </w:rPr>
        <w:t>27</w:t>
      </w:r>
      <w:r>
        <w:rPr>
          <w:rFonts w:hint="eastAsia" w:ascii="宋体"/>
          <w:color w:val="000000" w:themeColor="text1"/>
          <w:kern w:val="0"/>
          <w:sz w:val="24"/>
          <w:highlight w:val="none"/>
          <w14:textFill>
            <w14:solidFill>
              <w14:schemeClr w14:val="tx1"/>
            </w14:solidFill>
          </w14:textFill>
        </w:rPr>
        <w:t>日</w:t>
      </w:r>
    </w:p>
    <w:p>
      <w:pPr>
        <w:widowControl/>
        <w:jc w:val="center"/>
        <w:rPr>
          <w:b/>
          <w:bCs/>
          <w:color w:val="000000" w:themeColor="text1"/>
          <w:kern w:val="0"/>
          <w:sz w:val="44"/>
          <w:szCs w:val="44"/>
          <w:highlight w:val="none"/>
          <w14:textFill>
            <w14:solidFill>
              <w14:schemeClr w14:val="tx1"/>
            </w14:solidFill>
          </w14:textFill>
        </w:rPr>
      </w:pPr>
      <w:r>
        <w:rPr>
          <w:rFonts w:hint="eastAsia" w:ascii="方正魏碑简体" w:hAnsi="方正魏碑简体"/>
          <w:b/>
          <w:bCs/>
          <w:color w:val="000000" w:themeColor="text1"/>
          <w:kern w:val="0"/>
          <w:sz w:val="44"/>
          <w:szCs w:val="44"/>
          <w:highlight w:val="none"/>
          <w14:textFill>
            <w14:solidFill>
              <w14:schemeClr w14:val="tx1"/>
            </w14:solidFill>
          </w14:textFill>
        </w:rPr>
        <w:t>玉环市</w:t>
      </w:r>
      <w:r>
        <w:rPr>
          <w:rFonts w:ascii="方正魏碑简体" w:hAnsi="方正魏碑简体"/>
          <w:b/>
          <w:bCs/>
          <w:color w:val="000000" w:themeColor="text1"/>
          <w:kern w:val="0"/>
          <w:sz w:val="44"/>
          <w:szCs w:val="44"/>
          <w:highlight w:val="none"/>
          <w14:textFill>
            <w14:solidFill>
              <w14:schemeClr w14:val="tx1"/>
            </w14:solidFill>
          </w14:textFill>
        </w:rPr>
        <w:t>政府采购报名申请表</w:t>
      </w:r>
    </w:p>
    <w:tbl>
      <w:tblPr>
        <w:tblStyle w:val="17"/>
        <w:tblW w:w="9205" w:type="dxa"/>
        <w:tblInd w:w="-89"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招标编号</w:t>
            </w:r>
          </w:p>
        </w:tc>
        <w:tc>
          <w:tcPr>
            <w:tcW w:w="672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投标申请单位名称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 xml:space="preserve">                                     （盖章）</w:t>
            </w: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报名时间</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手    机</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传    真</w:t>
            </w:r>
          </w:p>
        </w:tc>
        <w:tc>
          <w:tcPr>
            <w:tcW w:w="2608"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邮政编码</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通信地址</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bCs/>
                <w:color w:val="000000" w:themeColor="text1"/>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以下内容增值税一般纳税人须填写齐全</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税号（纳税识别号）</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开票地址、电话</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开户银行、银行账号</w:t>
            </w:r>
          </w:p>
        </w:tc>
        <w:tc>
          <w:tcPr>
            <w:tcW w:w="6724"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000000" w:themeColor="text1"/>
                <w:kern w:val="0"/>
                <w:sz w:val="22"/>
                <w:szCs w:val="22"/>
                <w:highlight w:val="none"/>
                <w14:textFill>
                  <w14:solidFill>
                    <w14:schemeClr w14:val="tx1"/>
                  </w14:solidFill>
                </w14:textFill>
              </w:rPr>
            </w:pPr>
            <w:r>
              <w:rPr>
                <w:rFonts w:hint="eastAsia" w:ascii="宋体" w:hAnsi="宋体"/>
                <w:b/>
                <w:bCs/>
                <w:color w:val="000000" w:themeColor="text1"/>
                <w:kern w:val="0"/>
                <w:sz w:val="22"/>
                <w:szCs w:val="22"/>
                <w:highlight w:val="none"/>
                <w14:textFill>
                  <w14:solidFill>
                    <w14:schemeClr w14:val="tx1"/>
                  </w14:solidFill>
                </w14:textFill>
              </w:rPr>
              <w:t>提交的报名资料清单</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是否提交</w:t>
            </w: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备  注</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ind w:firstLine="1430"/>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rPr>
                <w:rFonts w:ascii="宋体" w:hAnsi="宋体"/>
                <w:color w:val="000000" w:themeColor="text1"/>
                <w:kern w:val="0"/>
                <w:sz w:val="22"/>
                <w:szCs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bl>
    <w:p>
      <w:pPr>
        <w:widowControl/>
        <w:snapToGrid w:val="0"/>
        <w:spacing w:before="60" w:after="60" w:line="340" w:lineRule="atLeast"/>
        <w:ind w:left="60" w:right="62" w:firstLine="374"/>
        <w:jc w:val="left"/>
        <w:rPr>
          <w:rFonts w:ascii="宋体" w:hAnsi="宋体"/>
          <w:color w:val="000000" w:themeColor="text1"/>
          <w:sz w:val="22"/>
          <w:highlight w:val="none"/>
          <w14:textFill>
            <w14:solidFill>
              <w14:schemeClr w14:val="tx1"/>
            </w14:solidFill>
          </w14:textFill>
        </w:rPr>
      </w:pPr>
      <w:r>
        <w:rPr>
          <w:rFonts w:hint="eastAsia" w:ascii="楷体_GB2312" w:eastAsia="楷体_GB2312"/>
          <w:b/>
          <w:bCs/>
          <w:color w:val="000000" w:themeColor="text1"/>
          <w:kern w:val="0"/>
          <w:sz w:val="24"/>
          <w:highlight w:val="none"/>
          <w14:textFill>
            <w14:solidFill>
              <w14:schemeClr w14:val="tx1"/>
            </w14:solidFill>
          </w14:textFill>
        </w:rPr>
        <w:t>以上报名资料请装订成册。</w:t>
      </w:r>
    </w:p>
    <w:p>
      <w:pPr>
        <w:pStyle w:val="3"/>
        <w:rPr>
          <w:rFonts w:ascii="宋体"/>
          <w:color w:val="000000" w:themeColor="text1"/>
          <w:kern w:val="0"/>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投标人须知</w:t>
      </w:r>
    </w:p>
    <w:p>
      <w:pPr>
        <w:spacing w:line="360" w:lineRule="auto"/>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前附表</w:t>
      </w:r>
    </w:p>
    <w:tbl>
      <w:tblPr>
        <w:tblStyle w:val="17"/>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016"/>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7"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    目</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供应商特定资格要求</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答疑会或</w:t>
            </w:r>
            <w:r>
              <w:rPr>
                <w:rFonts w:hint="eastAsia" w:ascii="宋体" w:hAnsi="宋体" w:eastAsia="宋体" w:cs="宋体"/>
                <w:color w:val="000000" w:themeColor="text1"/>
                <w:sz w:val="24"/>
                <w:szCs w:val="24"/>
                <w:highlight w:val="none"/>
                <w14:textFill>
                  <w14:solidFill>
                    <w14:schemeClr w14:val="tx1"/>
                  </w14:solidFill>
                </w14:textFill>
              </w:rPr>
              <w:t>现场踏勘</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领取</w:t>
            </w:r>
            <w:r>
              <w:rPr>
                <w:rFonts w:hint="eastAsia" w:ascii="宋体" w:hAnsi="宋体" w:eastAsia="宋体" w:cs="宋体"/>
                <w:color w:val="000000" w:themeColor="text1"/>
                <w:sz w:val="24"/>
                <w:szCs w:val="24"/>
                <w:highlight w:val="none"/>
                <w14:textFill>
                  <w14:solidFill>
                    <w14:schemeClr w14:val="tx1"/>
                  </w14:solidFill>
                </w14:textFill>
              </w:rPr>
              <w:t>采购文件</w:t>
            </w:r>
            <w:r>
              <w:rPr>
                <w:rFonts w:hint="eastAsia" w:ascii="宋体" w:hAnsi="宋体" w:eastAsia="宋体" w:cs="宋体"/>
                <w:color w:val="000000" w:themeColor="text1"/>
                <w:kern w:val="0"/>
                <w:sz w:val="24"/>
                <w:szCs w:val="24"/>
                <w:highlight w:val="none"/>
                <w14:textFill>
                  <w14:solidFill>
                    <w14:schemeClr w14:val="tx1"/>
                  </w14:solidFill>
                </w14:textFill>
              </w:rPr>
              <w:t>后，各供应商请自行踏勘。</w:t>
            </w: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吴先生</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0576-87130771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投标文件包装要求</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投标文件中的报价文件必须与其他文件分开各自密封包装。</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资格证明文件、商务与技术文件正本1份、副本4份，报价文件正本1份、副本4份。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投标有效期为开标后90天，</w:t>
            </w:r>
            <w:r>
              <w:rPr>
                <w:rFonts w:hint="eastAsia" w:ascii="宋体" w:hAnsi="宋体" w:eastAsia="宋体" w:cs="宋体"/>
                <w:color w:val="000000" w:themeColor="text1"/>
                <w:kern w:val="0"/>
                <w:sz w:val="24"/>
                <w:szCs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7"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投标文件递交</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截止时间：北京时间</w:t>
            </w:r>
            <w:r>
              <w:rPr>
                <w:rFonts w:hint="eastAsia" w:ascii="宋体" w:hAnsi="宋体" w:eastAsia="宋体" w:cs="宋体"/>
                <w:color w:val="000000" w:themeColor="text1"/>
                <w:sz w:val="24"/>
                <w:szCs w:val="24"/>
                <w:highlight w:val="none"/>
                <w:lang w:eastAsia="zh-CN"/>
                <w14:textFill>
                  <w14:solidFill>
                    <w14:schemeClr w14:val="tx1"/>
                  </w14:solidFill>
                </w14:textFill>
              </w:rPr>
              <w:t>2019年7月18日</w:t>
            </w:r>
            <w:r>
              <w:rPr>
                <w:rFonts w:hint="eastAsia" w:ascii="宋体" w:hAnsi="宋体" w:eastAsia="宋体"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14:textFill>
                  <w14:solidFill>
                    <w14:schemeClr w14:val="tx1"/>
                  </w14:solidFill>
                </w14:textFill>
              </w:rPr>
              <w:t>:30</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递交地点：玉环市公共资源交易中心二楼开标室（二）（玉环市新城中路与长治路（南一路）交叉路口）</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开标时间及地点</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时间：北京时间</w:t>
            </w:r>
            <w:r>
              <w:rPr>
                <w:rFonts w:hint="eastAsia" w:ascii="宋体" w:hAnsi="宋体" w:eastAsia="宋体" w:cs="宋体"/>
                <w:color w:val="000000" w:themeColor="text1"/>
                <w:sz w:val="24"/>
                <w:szCs w:val="24"/>
                <w:highlight w:val="none"/>
                <w:lang w:eastAsia="zh-CN"/>
                <w14:textFill>
                  <w14:solidFill>
                    <w14:schemeClr w14:val="tx1"/>
                  </w14:solidFill>
                </w14:textFill>
              </w:rPr>
              <w:t>2019年7月18日</w:t>
            </w:r>
            <w:r>
              <w:rPr>
                <w:rFonts w:hint="eastAsia" w:ascii="宋体" w:hAnsi="宋体" w:eastAsia="宋体"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14:textFill>
                  <w14:solidFill>
                    <w14:schemeClr w14:val="tx1"/>
                  </w14:solidFill>
                </w14:textFill>
              </w:rPr>
              <w:t>:30</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地点：玉环市公共资源交易中心二楼开标室（二）（玉环市新城中路与长治路（南一路）交叉路口）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p>
        </w:tc>
        <w:tc>
          <w:tcPr>
            <w:tcW w:w="6651"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供应商在签订合同前须交纳本项目履约保证金为合同金额的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10  </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实质性条款</w:t>
            </w:r>
          </w:p>
        </w:tc>
        <w:tc>
          <w:tcPr>
            <w:tcW w:w="66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leftChars="0" w:hanging="10" w:firstLineChars="0"/>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带“</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2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解释权</w:t>
            </w:r>
          </w:p>
        </w:tc>
        <w:tc>
          <w:tcPr>
            <w:tcW w:w="66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本招标文件解释权属于采购人和集中采构机构/采购代理机构</w:t>
            </w:r>
          </w:p>
        </w:tc>
      </w:tr>
    </w:tbl>
    <w:p>
      <w:pPr>
        <w:pStyle w:val="10"/>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p>
    <w:p>
      <w:pPr>
        <w:pStyle w:val="10"/>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p>
    <w:p>
      <w:pPr>
        <w:pStyle w:val="10"/>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p>
    <w:p>
      <w:pPr>
        <w:pStyle w:val="10"/>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 、总  则</w:t>
      </w:r>
    </w:p>
    <w:p>
      <w:pPr>
        <w:snapToGrid w:val="0"/>
        <w:spacing w:line="360" w:lineRule="auto"/>
        <w:ind w:firstLine="472" w:firstLineChars="19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w:t>
      </w:r>
      <w:r>
        <w:rPr>
          <w:rFonts w:asciiTheme="minorEastAsia" w:hAnsiTheme="minorEastAsia" w:eastAsiaTheme="minorEastAsia"/>
          <w:b/>
          <w:color w:val="000000" w:themeColor="text1"/>
          <w:sz w:val="24"/>
          <w:highlight w:val="none"/>
          <w14:textFill>
            <w14:solidFill>
              <w14:schemeClr w14:val="tx1"/>
            </w14:solidFill>
          </w14:textFill>
        </w:rPr>
        <w:t xml:space="preserve"> 适用范围</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本招标文件适用于</w:t>
      </w:r>
      <w:r>
        <w:rPr>
          <w:rFonts w:hint="eastAsia" w:asciiTheme="minorEastAsia" w:hAnsiTheme="minorEastAsia" w:eastAsia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olor w:val="000000" w:themeColor="text1"/>
          <w:sz w:val="24"/>
          <w:highlight w:val="none"/>
          <w14:textFill>
            <w14:solidFill>
              <w14:schemeClr w14:val="tx1"/>
            </w14:solidFill>
          </w14:textFill>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（二）定义</w:t>
      </w:r>
    </w:p>
    <w:p>
      <w:pPr>
        <w:pStyle w:val="5"/>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w:t>
      </w:r>
      <w:r>
        <w:rPr>
          <w:rFonts w:hint="eastAsia" w:ascii="宋体" w:hAnsi="宋体"/>
          <w:b w:val="0"/>
          <w:bCs w:val="0"/>
          <w:color w:val="000000" w:themeColor="text1"/>
          <w:sz w:val="24"/>
          <w:szCs w:val="24"/>
          <w:highlight w:val="none"/>
          <w:lang w:val="zh-CN"/>
          <w14:textFill>
            <w14:solidFill>
              <w14:schemeClr w14:val="tx1"/>
            </w14:solidFill>
          </w14:textFill>
        </w:rPr>
        <w:t>“采购组织机构”指采购人委托组织招标的集中采购机构</w:t>
      </w:r>
      <w:r>
        <w:rPr>
          <w:rFonts w:hint="eastAsia" w:ascii="宋体" w:hAnsi="宋体" w:cs="Arial"/>
          <w:b w:val="0"/>
          <w:bCs w:val="0"/>
          <w:color w:val="000000" w:themeColor="text1"/>
          <w:sz w:val="24"/>
          <w:szCs w:val="24"/>
          <w:highlight w:val="none"/>
          <w14:textFill>
            <w14:solidFill>
              <w14:schemeClr w14:val="tx1"/>
            </w14:solidFill>
          </w14:textFill>
        </w:rPr>
        <w:t>/</w:t>
      </w:r>
      <w:r>
        <w:rPr>
          <w:rFonts w:hint="eastAsia" w:ascii="宋体" w:hAnsi="宋体"/>
          <w:b w:val="0"/>
          <w:bCs w:val="0"/>
          <w:color w:val="000000" w:themeColor="text1"/>
          <w:sz w:val="24"/>
          <w:szCs w:val="24"/>
          <w:highlight w:val="none"/>
          <w:lang w:val="zh-CN"/>
          <w14:textFill>
            <w14:solidFill>
              <w14:schemeClr w14:val="tx1"/>
            </w14:solidFill>
          </w14:textFill>
        </w:rPr>
        <w:t>采购代理机构。</w:t>
      </w:r>
    </w:p>
    <w:p>
      <w:pPr>
        <w:snapToGrid w:val="0"/>
        <w:spacing w:line="360" w:lineRule="auto"/>
        <w:ind w:firstLine="566" w:firstLineChars="23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2、采购人：是指委托</w:t>
      </w:r>
      <w:r>
        <w:rPr>
          <w:rFonts w:hint="eastAsia" w:ascii="宋体" w:hAnsi="宋体"/>
          <w:color w:val="000000" w:themeColor="text1"/>
          <w:sz w:val="24"/>
          <w:highlight w:val="none"/>
          <w:lang w:val="zh-CN"/>
          <w14:textFill>
            <w14:solidFill>
              <w14:schemeClr w14:val="tx1"/>
            </w14:solidFill>
          </w14:textFill>
        </w:rPr>
        <w:t>集中采购机构</w:t>
      </w:r>
      <w:r>
        <w:rPr>
          <w:rFonts w:hint="eastAsia" w:ascii="宋体" w:hAnsi="宋体" w:cs="Arial"/>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eastAsiaTheme="minorEastAsia"/>
          <w:color w:val="000000" w:themeColor="text1"/>
          <w:sz w:val="24"/>
          <w:highlight w:val="none"/>
          <w14:textFill>
            <w14:solidFill>
              <w14:schemeClr w14:val="tx1"/>
            </w14:solidFill>
          </w14:textFill>
        </w:rPr>
        <w:t>：是</w:t>
      </w:r>
      <w:r>
        <w:rPr>
          <w:rFonts w:asciiTheme="minorEastAsia" w:hAnsiTheme="minorEastAsia" w:eastAsiaTheme="minorEastAsia"/>
          <w:color w:val="000000" w:themeColor="text1"/>
          <w:sz w:val="24"/>
          <w:highlight w:val="none"/>
          <w14:textFill>
            <w14:solidFill>
              <w14:schemeClr w14:val="tx1"/>
            </w14:solidFill>
          </w14:textFill>
        </w:rPr>
        <w:t>指向</w:t>
      </w:r>
      <w:r>
        <w:rPr>
          <w:rFonts w:hint="eastAsia" w:asciiTheme="minorEastAsia" w:hAnsiTheme="minorEastAsia" w:eastAsiaTheme="minorEastAsia"/>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lang w:val="zh-CN"/>
          <w14:textFill>
            <w14:solidFill>
              <w14:schemeClr w14:val="tx1"/>
            </w14:solidFill>
          </w14:textFill>
        </w:rPr>
        <w:t>组织</w:t>
      </w:r>
      <w:r>
        <w:rPr>
          <w:rFonts w:hint="eastAsia" w:asciiTheme="minorEastAsia" w:hAnsiTheme="minorEastAsia" w:eastAsiaTheme="minorEastAsia"/>
          <w:color w:val="000000" w:themeColor="text1"/>
          <w:sz w:val="24"/>
          <w:highlight w:val="none"/>
          <w14:textFill>
            <w14:solidFill>
              <w14:schemeClr w14:val="tx1"/>
            </w14:solidFill>
          </w14:textFill>
        </w:rPr>
        <w:t>机构</w:t>
      </w:r>
      <w:r>
        <w:rPr>
          <w:rFonts w:asciiTheme="minorEastAsia" w:hAnsiTheme="minorEastAsia" w:eastAsiaTheme="minorEastAsia"/>
          <w:color w:val="000000" w:themeColor="text1"/>
          <w:sz w:val="24"/>
          <w:highlight w:val="none"/>
          <w14:textFill>
            <w14:solidFill>
              <w14:schemeClr w14:val="tx1"/>
            </w14:solidFill>
          </w14:textFill>
        </w:rPr>
        <w:t>提交投标文件的单位或个人。</w:t>
      </w:r>
    </w:p>
    <w:p>
      <w:pPr>
        <w:snapToGrid w:val="0"/>
        <w:spacing w:line="360" w:lineRule="auto"/>
        <w:ind w:left="424" w:leftChars="202" w:firstLine="143"/>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货物</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“书面形式”包括信函、传真等。</w:t>
      </w:r>
    </w:p>
    <w:p>
      <w:pPr>
        <w:snapToGrid w:val="0"/>
        <w:spacing w:line="360" w:lineRule="auto"/>
        <w:ind w:firstLine="566" w:firstLineChars="236"/>
        <w:jc w:val="left"/>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（三）投标费用</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pPr>
        <w:pStyle w:val="10"/>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（四）特别说明</w:t>
      </w:r>
    </w:p>
    <w:p>
      <w:pPr>
        <w:pStyle w:val="10"/>
        <w:snapToGrid w:val="0"/>
        <w:spacing w:line="360" w:lineRule="auto"/>
        <w:ind w:left="2" w:leftChars="1"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highlight w:val="none"/>
          <w14:textFill>
            <w14:solidFill>
              <w14:schemeClr w14:val="tx1"/>
            </w14:solidFill>
          </w14:textFill>
        </w:rPr>
        <w:t>指</w:t>
      </w:r>
      <w:r>
        <w:rPr>
          <w:rFonts w:asciiTheme="minorEastAsia" w:hAnsiTheme="minorEastAsia" w:eastAsiaTheme="minorEastAsia"/>
          <w:color w:val="000000" w:themeColor="text1"/>
          <w:sz w:val="24"/>
          <w:highlight w:val="none"/>
          <w14:textFill>
            <w14:solidFill>
              <w14:schemeClr w14:val="tx1"/>
            </w14:solidFill>
          </w14:textFill>
        </w:rPr>
        <w:t>本法人或控股公司正式员工）。</w:t>
      </w:r>
    </w:p>
    <w:p>
      <w:pPr>
        <w:spacing w:line="360" w:lineRule="auto"/>
        <w:ind w:firstLine="480" w:firstLineChars="20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highlight w:val="none"/>
          <w14:textFill>
            <w14:solidFill>
              <w14:schemeClr w14:val="tx1"/>
            </w14:solidFill>
          </w14:textFill>
        </w:rPr>
        <w:tab/>
      </w:r>
    </w:p>
    <w:p>
      <w:pPr>
        <w:pStyle w:val="22"/>
        <w:snapToGrid w:val="0"/>
        <w:spacing w:line="360" w:lineRule="auto"/>
        <w:ind w:firstLineChars="0"/>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3、</w:t>
      </w:r>
      <w:r>
        <w:rPr>
          <w:rFonts w:asciiTheme="minorEastAsia" w:hAnsiTheme="minorEastAsia" w:eastAsiaTheme="minorEastAsia" w:cstheme="minorBidi"/>
          <w:color w:val="000000" w:themeColor="text1"/>
          <w:sz w:val="24"/>
          <w:szCs w:val="24"/>
          <w:highlight w:val="none"/>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r>
        <w:rPr>
          <w:rFonts w:asciiTheme="minorEastAsia" w:hAnsiTheme="minorEastAsia" w:eastAsiaTheme="minorEastAsia" w:cstheme="minorBidi"/>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6、投标文件格式中的表格式样可以根据项目差别做适当调整,但应当保持表格样式基本形态不变。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二、招标文件</w:t>
      </w:r>
    </w:p>
    <w:p>
      <w:pPr>
        <w:autoSpaceDE w:val="0"/>
        <w:autoSpaceDN w:val="0"/>
        <w:adjustRightInd w:val="0"/>
        <w:spacing w:line="360" w:lineRule="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w:t>
      </w:r>
      <w:r>
        <w:rPr>
          <w:rFonts w:asciiTheme="minorEastAsia" w:hAnsiTheme="minorEastAsia" w:eastAsiaTheme="minorEastAsia"/>
          <w:color w:val="000000" w:themeColor="text1"/>
          <w:kern w:val="0"/>
          <w:sz w:val="24"/>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highlight w:val="none"/>
          <w14:textFill>
            <w14:solidFill>
              <w14:schemeClr w14:val="tx1"/>
            </w14:solidFill>
          </w14:textFill>
        </w:rPr>
        <w:t>。</w:t>
      </w:r>
    </w:p>
    <w:p>
      <w:pPr>
        <w:tabs>
          <w:tab w:val="left" w:pos="1418"/>
        </w:tabs>
        <w:autoSpaceDE w:val="0"/>
        <w:autoSpaceDN w:val="0"/>
        <w:adjustRightInd w:val="0"/>
        <w:spacing w:line="360" w:lineRule="auto"/>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投标文件的组成</w:t>
      </w:r>
    </w:p>
    <w:p>
      <w:pPr>
        <w:snapToGrid w:val="0"/>
        <w:spacing w:line="360" w:lineRule="auto"/>
        <w:ind w:firstLine="480" w:firstLineChars="200"/>
        <w:rPr>
          <w:rFonts w:ascii="仿宋_GB2312" w:hAnsi="仿宋_GB2312" w:eastAsia="仿宋_GB2312" w:cs="仿宋_GB2312"/>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投标人接到招标文件后，按照采购组织机构的要求提供：资格证明文件、商务与技术文件和报价文件。</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82"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1、资格证明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（1）投标人情况介绍（人员与技术力量、企业规模、经营业绩等）。</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w:t>
      </w:r>
      <w:r>
        <w:rPr>
          <w:rFonts w:asciiTheme="minorEastAsia" w:hAnsiTheme="minorEastAsia" w:eastAsiaTheme="minorEastAsia"/>
          <w:color w:val="000000" w:themeColor="text1"/>
          <w:kern w:val="0"/>
          <w:sz w:val="24"/>
          <w:szCs w:val="24"/>
          <w:highlight w:val="none"/>
          <w14:textFill>
            <w14:solidFill>
              <w14:schemeClr w14:val="tx1"/>
            </w14:solidFill>
          </w14:textFill>
        </w:rPr>
        <w:t>安装、调试及验收方案</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highlight w:val="none"/>
          <w14:textFill>
            <w14:solidFill>
              <w14:schemeClr w14:val="tx1"/>
            </w14:solidFill>
          </w14:textFill>
        </w:rPr>
        <w:t>和措施；</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（3）投标产品描述及相关资料：</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w:t>
      </w:r>
      <w:r>
        <w:rPr>
          <w:rFonts w:asciiTheme="minorEastAsia" w:hAnsiTheme="minorEastAsia" w:eastAsiaTheme="minorEastAsia"/>
          <w:color w:val="000000" w:themeColor="text1"/>
          <w:sz w:val="24"/>
          <w:szCs w:val="24"/>
          <w:highlight w:val="none"/>
          <w14:textFill>
            <w14:solidFill>
              <w14:schemeClr w14:val="tx1"/>
            </w14:solidFill>
          </w14:textFill>
        </w:rPr>
        <w:t>设备配置清单（</w:t>
      </w:r>
      <w:r>
        <w:rPr>
          <w:rFonts w:hint="eastAsia" w:asciiTheme="minorEastAsia" w:hAnsiTheme="minorEastAsia" w:eastAsiaTheme="minorEastAsia"/>
          <w:color w:val="000000" w:themeColor="text1"/>
          <w:sz w:val="24"/>
          <w:szCs w:val="24"/>
          <w:highlight w:val="none"/>
          <w14:textFill>
            <w14:solidFill>
              <w14:schemeClr w14:val="tx1"/>
            </w14:solidFill>
          </w14:textFill>
        </w:rPr>
        <w:t>均</w:t>
      </w:r>
      <w:r>
        <w:rPr>
          <w:rFonts w:asciiTheme="minorEastAsia" w:hAnsiTheme="minorEastAsia" w:eastAsiaTheme="minorEastAsia"/>
          <w:color w:val="000000" w:themeColor="text1"/>
          <w:sz w:val="24"/>
          <w:szCs w:val="24"/>
          <w:highlight w:val="none"/>
          <w14:textFill>
            <w14:solidFill>
              <w14:schemeClr w14:val="tx1"/>
            </w14:solidFill>
          </w14:textFill>
        </w:rPr>
        <w:t>不含报价）</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C.商务及技术响应表。</w:t>
      </w:r>
    </w:p>
    <w:p>
      <w:pPr>
        <w:spacing w:line="360" w:lineRule="auto"/>
        <w:ind w:left="218" w:leftChars="104" w:firstLine="619" w:firstLineChars="25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left="218" w:leftChars="104" w:firstLine="619" w:firstLineChars="25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asciiTheme="minorEastAsia" w:hAnsiTheme="minorEastAsia" w:eastAsiaTheme="minorEastAsia"/>
          <w:color w:val="000000" w:themeColor="text1"/>
          <w:kern w:val="0"/>
          <w:sz w:val="24"/>
          <w:highlight w:val="none"/>
          <w14:textFill>
            <w14:solidFill>
              <w14:schemeClr w14:val="tx1"/>
            </w14:solidFill>
          </w14:textFill>
        </w:rPr>
        <w:t>投标人通过的</w:t>
      </w:r>
      <w:r>
        <w:rPr>
          <w:rFonts w:hint="eastAsia" w:asciiTheme="minorEastAsia" w:hAnsiTheme="minorEastAsia" w:eastAsiaTheme="minorEastAsia"/>
          <w:color w:val="000000" w:themeColor="text1"/>
          <w:kern w:val="0"/>
          <w:sz w:val="24"/>
          <w:highlight w:val="none"/>
          <w14:textFill>
            <w14:solidFill>
              <w14:schemeClr w14:val="tx1"/>
            </w14:solidFill>
          </w14:textFill>
        </w:rPr>
        <w:t>质量管理和</w:t>
      </w:r>
      <w:r>
        <w:rPr>
          <w:rFonts w:asciiTheme="minorEastAsia" w:hAnsiTheme="minorEastAsia" w:eastAsiaTheme="minorEastAsia"/>
          <w:color w:val="000000" w:themeColor="text1"/>
          <w:kern w:val="0"/>
          <w:sz w:val="24"/>
          <w:highlight w:val="none"/>
          <w14:textFill>
            <w14:solidFill>
              <w14:schemeClr w14:val="tx1"/>
            </w14:solidFill>
          </w14:textFill>
        </w:rPr>
        <w:t>质量</w:t>
      </w:r>
      <w:r>
        <w:rPr>
          <w:rFonts w:hint="eastAsia" w:asciiTheme="minorEastAsia" w:hAnsiTheme="minorEastAsia" w:eastAsiaTheme="minorEastAsia"/>
          <w:color w:val="000000" w:themeColor="text1"/>
          <w:kern w:val="0"/>
          <w:sz w:val="24"/>
          <w:highlight w:val="none"/>
          <w14:textFill>
            <w14:solidFill>
              <w14:schemeClr w14:val="tx1"/>
            </w14:solidFill>
          </w14:textFill>
        </w:rPr>
        <w:t>保证</w:t>
      </w:r>
      <w:r>
        <w:rPr>
          <w:rFonts w:asciiTheme="minorEastAsia" w:hAnsiTheme="minorEastAsia" w:eastAsiaTheme="minorEastAsia"/>
          <w:color w:val="000000" w:themeColor="text1"/>
          <w:kern w:val="0"/>
          <w:sz w:val="24"/>
          <w:highlight w:val="none"/>
          <w14:textFill>
            <w14:solidFill>
              <w14:schemeClr w14:val="tx1"/>
            </w14:solidFill>
          </w14:textFill>
        </w:rPr>
        <w:t>体系、环保体系、</w:t>
      </w:r>
      <w:r>
        <w:rPr>
          <w:rFonts w:hint="eastAsia" w:asciiTheme="minorEastAsia" w:hAnsiTheme="minorEastAsia" w:eastAsiaTheme="minorEastAsia"/>
          <w:color w:val="000000" w:themeColor="text1"/>
          <w:sz w:val="24"/>
          <w:highlight w:val="none"/>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highlight w:val="none"/>
          <w14:textFill>
            <w14:solidFill>
              <w14:schemeClr w14:val="tx1"/>
            </w14:solidFill>
          </w14:textFill>
        </w:rPr>
        <w:t>的认证证书</w:t>
      </w:r>
      <w:r>
        <w:rPr>
          <w:rFonts w:hint="eastAsia" w:asciiTheme="minorEastAsia" w:hAnsiTheme="minorEastAsia" w:eastAsiaTheme="minorEastAsia"/>
          <w:color w:val="000000" w:themeColor="text1"/>
          <w:kern w:val="0"/>
          <w:sz w:val="24"/>
          <w:highlight w:val="none"/>
          <w14:textFill>
            <w14:solidFill>
              <w14:schemeClr w14:val="tx1"/>
            </w14:solidFill>
          </w14:textFill>
        </w:rPr>
        <w:t>或文件；</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（5）近</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四</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年来类似项目的成功案例（投标人类似项目实施情况一览表、合同复印件及其相应的发票、用户验收报告等；</w:t>
      </w:r>
    </w:p>
    <w:p>
      <w:pPr>
        <w:snapToGri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（6）投标人认为需要提供的其他资料（包括可能影响投标人商务与技术文件评分的各类证明材料）。</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3、报价文件的组成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（2）此报价为投标人一次性报出唯一的最终价格，包含其它一切所要涉及到的费用，有选择的报价将被拒绝。</w:t>
      </w:r>
    </w:p>
    <w:p>
      <w:pPr>
        <w:snapToGri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napToGri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投标报价应按招标文件中相关附表格式填写。</w:t>
      </w:r>
    </w:p>
    <w:p>
      <w:pPr>
        <w:numPr>
          <w:ilvl w:val="0"/>
          <w:numId w:val="5"/>
        </w:numPr>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w:t>
      </w:r>
      <w:r>
        <w:rPr>
          <w:rFonts w:hint="eastAsia" w:asciiTheme="minorEastAsia" w:hAnsiTheme="minorEastAsia"/>
          <w:b/>
          <w:bCs/>
          <w:color w:val="000000" w:themeColor="text1"/>
          <w:kern w:val="0"/>
          <w:sz w:val="24"/>
          <w:highlight w:val="none"/>
          <w14:textFill>
            <w14:solidFill>
              <w14:schemeClr w14:val="tx1"/>
            </w14:solidFill>
          </w14:textFill>
        </w:rPr>
        <w:t>制作、封装及</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1、投标文件的制作要求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color w:val="000000" w:themeColor="text1"/>
          <w:sz w:val="24"/>
          <w:highlight w:val="none"/>
          <w14:textFill>
            <w14:solidFill>
              <w14:schemeClr w14:val="tx1"/>
            </w14:solidFill>
          </w14:textFill>
        </w:rPr>
        <w:t>应</w:t>
      </w:r>
      <w:r>
        <w:rPr>
          <w:rFonts w:hint="eastAsia" w:asciiTheme="minorEastAsia" w:hAnsiTheme="minorEastAsia" w:eastAsiaTheme="minorEastAsia"/>
          <w:color w:val="000000" w:themeColor="text1"/>
          <w:sz w:val="24"/>
          <w:highlight w:val="none"/>
          <w14:textFill>
            <w14:solidFill>
              <w14:schemeClr w14:val="tx1"/>
            </w14:solidFill>
          </w14:textFill>
        </w:rPr>
        <w:t>按照</w:t>
      </w:r>
      <w:r>
        <w:rPr>
          <w:rFonts w:hint="eastAsia" w:asciiTheme="minorEastAsia" w:hAnsiTheme="minorEastAsia"/>
          <w:color w:val="000000" w:themeColor="text1"/>
          <w:sz w:val="24"/>
          <w:highlight w:val="none"/>
          <w14:textFill>
            <w14:solidFill>
              <w14:schemeClr w14:val="tx1"/>
            </w14:solidFill>
          </w14:textFill>
        </w:rPr>
        <w:t>投标文件组成内容</w:t>
      </w:r>
      <w:r>
        <w:rPr>
          <w:rFonts w:hint="eastAsia" w:asciiTheme="minorEastAsia" w:hAnsiTheme="minorEastAsia" w:eastAsiaTheme="minorEastAsia"/>
          <w:color w:val="000000" w:themeColor="text1"/>
          <w:sz w:val="24"/>
          <w:highlight w:val="none"/>
          <w14:textFill>
            <w14:solidFill>
              <w14:schemeClr w14:val="tx1"/>
            </w14:solidFill>
          </w14:textFill>
        </w:rPr>
        <w:t>及项目招标需求制作投标文件，</w:t>
      </w:r>
      <w:r>
        <w:rPr>
          <w:rFonts w:hint="eastAsia" w:asciiTheme="minorEastAsia" w:hAnsiTheme="minorEastAsia" w:eastAsiaTheme="minorEastAsia"/>
          <w:color w:val="000000" w:themeColor="text1"/>
          <w:kern w:val="0"/>
          <w:sz w:val="24"/>
          <w:highlight w:val="none"/>
          <w14:textFill>
            <w14:solidFill>
              <w14:schemeClr w14:val="tx1"/>
            </w14:solidFill>
          </w14:textFill>
        </w:rPr>
        <w:t>不按招标文件要求制作投标文件的将视情</w:t>
      </w:r>
      <w:r>
        <w:rPr>
          <w:rFonts w:hint="eastAsia" w:asciiTheme="minorEastAsia" w:hAnsiTheme="minorEastAsia"/>
          <w:color w:val="000000" w:themeColor="text1"/>
          <w:kern w:val="0"/>
          <w:sz w:val="24"/>
          <w:highlight w:val="none"/>
          <w14:textFill>
            <w14:solidFill>
              <w14:schemeClr w14:val="tx1"/>
            </w14:solidFill>
          </w14:textFill>
        </w:rPr>
        <w:t>处理（拒收、扣分等），由此产生的责任由投标人自行承担。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（2）投标人应对所提供的全部资料的真实性承担法律责任，</w:t>
      </w:r>
      <w:r>
        <w:rPr>
          <w:rFonts w:hint="eastAsia" w:asciiTheme="minorEastAsia" w:hAnsiTheme="minorEastAsia"/>
          <w:color w:val="000000" w:themeColor="text1"/>
          <w:kern w:val="0"/>
          <w:sz w:val="24"/>
          <w:highlight w:val="none"/>
          <w:lang w:val="zh-CN"/>
          <w14:textFill>
            <w14:solidFill>
              <w14:schemeClr w14:val="tx1"/>
            </w14:solidFill>
          </w14:textFill>
        </w:rPr>
        <w:t>投标文件</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内</w:t>
      </w:r>
      <w:r>
        <w:rPr>
          <w:rFonts w:hint="eastAsia" w:asciiTheme="minorEastAsia" w:hAnsiTheme="minorEastAsia"/>
          <w:color w:val="000000" w:themeColor="text1"/>
          <w:kern w:val="0"/>
          <w:sz w:val="24"/>
          <w:highlight w:val="none"/>
          <w:lang w:val="zh-CN"/>
          <w14:textFill>
            <w14:solidFill>
              <w14:schemeClr w14:val="tx1"/>
            </w14:solidFill>
          </w14:textFill>
        </w:rPr>
        <w:t>容中</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有要求盖章或签字的地方，必须加盖投标人的公章以及法定代表人或全权代表盖章或签字。</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lang w:val="zh-CN"/>
          <w14:textFill>
            <w14:solidFill>
              <w14:schemeClr w14:val="tx1"/>
            </w14:solidFill>
          </w14:textFill>
        </w:rPr>
        <w:t>（</w:t>
      </w:r>
      <w:r>
        <w:rPr>
          <w:rFonts w:hint="eastAsia" w:asciiTheme="minorEastAsia" w:hAnsiTheme="minorEastAsia"/>
          <w:color w:val="000000" w:themeColor="text1"/>
          <w:kern w:val="0"/>
          <w:sz w:val="24"/>
          <w:highlight w:val="none"/>
          <w14:textFill>
            <w14:solidFill>
              <w14:schemeClr w14:val="tx1"/>
            </w14:solidFill>
          </w14:textFill>
        </w:rPr>
        <w:t>3</w:t>
      </w:r>
      <w:r>
        <w:rPr>
          <w:rFonts w:hint="eastAsia" w:asciiTheme="minorEastAsia" w:hAnsiTheme="minorEastAsia"/>
          <w:color w:val="000000" w:themeColor="text1"/>
          <w:kern w:val="0"/>
          <w:sz w:val="24"/>
          <w:highlight w:val="none"/>
          <w:lang w:val="zh-CN"/>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投标文件以及投标人与</w:t>
      </w:r>
      <w:r>
        <w:rPr>
          <w:rFonts w:hint="eastAsia" w:asciiTheme="minorEastAsia" w:hAnsiTheme="minorEastAsia" w:eastAsiaTheme="minorEastAsia"/>
          <w:color w:val="000000" w:themeColor="text1"/>
          <w:sz w:val="24"/>
          <w:highlight w:val="none"/>
          <w14:textFill>
            <w14:solidFill>
              <w14:schemeClr w14:val="tx1"/>
            </w14:solidFill>
          </w14:textFill>
        </w:rPr>
        <w:t>采购组织机构</w:t>
      </w:r>
      <w:r>
        <w:rPr>
          <w:rFonts w:asciiTheme="minorEastAsia" w:hAnsiTheme="minorEastAsia" w:eastAsiaTheme="minorEastAsia"/>
          <w:color w:val="000000" w:themeColor="text1"/>
          <w:sz w:val="24"/>
          <w:highlight w:val="none"/>
          <w14:textFill>
            <w14:solidFill>
              <w14:schemeClr w14:val="tx1"/>
            </w14:solidFill>
          </w14:textFill>
        </w:rPr>
        <w:t>就有关投标事宜的所有来往函电，均应以中文汉语书写。除</w:t>
      </w:r>
      <w:r>
        <w:rPr>
          <w:rFonts w:hint="eastAsia" w:asciiTheme="minorEastAsia" w:hAnsiTheme="minorEastAsia" w:eastAsiaTheme="minorEastAsia"/>
          <w:color w:val="000000" w:themeColor="text1"/>
          <w:sz w:val="24"/>
          <w:highlight w:val="none"/>
          <w14:textFill>
            <w14:solidFill>
              <w14:schemeClr w14:val="tx1"/>
            </w14:solidFill>
          </w14:textFill>
        </w:rPr>
        <w:t>签字</w:t>
      </w:r>
      <w:r>
        <w:rPr>
          <w:rFonts w:asciiTheme="minorEastAsia" w:hAnsiTheme="minorEastAsia" w:eastAsiaTheme="minorEastAsia"/>
          <w:color w:val="000000" w:themeColor="text1"/>
          <w:sz w:val="24"/>
          <w:highlight w:val="none"/>
          <w14:textFill>
            <w14:solidFill>
              <w14:schemeClr w14:val="tx1"/>
            </w14:solidFill>
          </w14:textFill>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2、投标文件的封装要求</w:t>
      </w:r>
    </w:p>
    <w:p>
      <w:pPr>
        <w:autoSpaceDE w:val="0"/>
        <w:autoSpaceDN w:val="0"/>
        <w:adjustRightInd w:val="0"/>
        <w:spacing w:line="360" w:lineRule="auto"/>
        <w:ind w:firstLine="475" w:firstLineChars="198"/>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（1）投标文件份数：</w:t>
      </w:r>
      <w:r>
        <w:rPr>
          <w:rFonts w:hint="eastAsia" w:ascii="宋体" w:hAnsi="宋体"/>
          <w:bCs/>
          <w:color w:val="000000" w:themeColor="text1"/>
          <w:sz w:val="24"/>
          <w:highlight w:val="none"/>
          <w:lang w:val="zh-CN"/>
          <w14:textFill>
            <w14:solidFill>
              <w14:schemeClr w14:val="tx1"/>
            </w14:solidFill>
          </w14:textFill>
        </w:rPr>
        <w:t>资格证明文件、商务与技术文件、报价文件必须分别编制并分开单独装订成册：</w:t>
      </w:r>
      <w:r>
        <w:rPr>
          <w:rFonts w:hint="eastAsia" w:ascii="宋体"/>
          <w:bCs/>
          <w:color w:val="000000" w:themeColor="text1"/>
          <w:sz w:val="24"/>
          <w:highlight w:val="none"/>
          <w:lang w:val="zh-CN"/>
          <w14:textFill>
            <w14:solidFill>
              <w14:schemeClr w14:val="tx1"/>
            </w14:solidFill>
          </w14:textFill>
        </w:rPr>
        <w:t>资格证明文件共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，商务与技术文件共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5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，报价文件共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。投标文件的正本封面必须注明“正本”字样，副本可以采用正本的复印件。</w:t>
      </w:r>
      <w:r>
        <w:rPr>
          <w:rFonts w:hint="eastAsia" w:asciiTheme="minorEastAsia" w:hAnsiTheme="minorEastAsia" w:eastAsiaTheme="minorEastAsia"/>
          <w:color w:val="000000" w:themeColor="text1"/>
          <w:sz w:val="24"/>
          <w:highlight w:val="none"/>
          <w14:textFill>
            <w14:solidFill>
              <w14:schemeClr w14:val="tx1"/>
            </w14:solidFill>
          </w14:textFill>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（2）所有投标资料按投标文件的组成所列内容及顺序装订成册，</w:t>
      </w:r>
      <w:r>
        <w:rPr>
          <w:rFonts w:hint="eastAsia" w:asciiTheme="minorEastAsia" w:hAnsiTheme="minorEastAsia" w:eastAsiaTheme="minorEastAsia"/>
          <w:color w:val="000000" w:themeColor="text1"/>
          <w:sz w:val="24"/>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（3）请在密封袋的封口处应有投标单位公章或投标全权代表签字。封皮上写明项目编号、标段、招标项目名称、投标人名称，并注明“投标文件名称（资格证明文件、</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Theme="minorEastAsia" w:hAnsiTheme="minorEastAsia" w:eastAsiaTheme="minorEastAsia"/>
          <w:color w:val="000000" w:themeColor="text1"/>
          <w:kern w:val="0"/>
          <w:sz w:val="24"/>
          <w:highlight w:val="none"/>
          <w14:textFill>
            <w14:solidFill>
              <w14:schemeClr w14:val="tx1"/>
            </w14:solidFill>
          </w14:textFill>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color w:val="000000" w:themeColor="text1"/>
          <w:sz w:val="24"/>
          <w:highlight w:val="none"/>
          <w14:textFill>
            <w14:solidFill>
              <w14:schemeClr w14:val="tx1"/>
            </w14:solidFill>
          </w14:textFill>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截止时间</w:t>
      </w:r>
      <w:r>
        <w:rPr>
          <w:rFonts w:hint="eastAsia" w:ascii="宋体"/>
          <w:color w:val="000000" w:themeColor="text1"/>
          <w:kern w:val="0"/>
          <w:sz w:val="24"/>
          <w:highlight w:val="none"/>
          <w14:textFill>
            <w14:solidFill>
              <w14:schemeClr w14:val="tx1"/>
            </w14:solidFill>
          </w14:textFill>
        </w:rPr>
        <w:t>以前将书面的修改文件或撤消通知送达采购组织机构。</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（三）投标文件的有效期</w:t>
      </w:r>
    </w:p>
    <w:p>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自投标截止日起90天投标文件应保持有效。有效期不足的投标文件将被拒绝。</w:t>
      </w:r>
    </w:p>
    <w:p>
      <w:pPr>
        <w:pStyle w:val="6"/>
        <w:tabs>
          <w:tab w:val="left" w:pos="454"/>
          <w:tab w:val="left" w:pos="720"/>
          <w:tab w:val="left" w:pos="1200"/>
        </w:tabs>
        <w:snapToGrid w:val="0"/>
        <w:spacing w:line="360" w:lineRule="auto"/>
        <w:ind w:left="0" w:firstLine="480" w:firstLineChars="200"/>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在特殊情况下，采购人可与投标人协商延长投标文件的有效期，这种要求和答复均以书面形式进行。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中标人的投标文件自开标之日起至合同履行完毕均应保持有效。</w:t>
      </w:r>
    </w:p>
    <w:p>
      <w:pPr>
        <w:snapToGrid w:val="0"/>
        <w:spacing w:line="360" w:lineRule="auto"/>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四、开标</w:t>
      </w:r>
    </w:p>
    <w:p>
      <w:pPr>
        <w:autoSpaceDE w:val="0"/>
        <w:autoSpaceDN w:val="0"/>
        <w:adjustRightInd w:val="0"/>
        <w:spacing w:line="360" w:lineRule="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（一）开标事项</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采购组织机构在“招标公告”规定的时间和地点公开开标，投标人的法定代表人或其授权代表应参加开标会并签到。</w:t>
      </w:r>
      <w:r>
        <w:rPr>
          <w:rFonts w:asciiTheme="minorEastAsia" w:hAnsiTheme="minorEastAsia" w:eastAsiaTheme="minorEastAsia"/>
          <w:bCs/>
          <w:color w:val="000000" w:themeColor="text1"/>
          <w:sz w:val="24"/>
          <w:highlight w:val="none"/>
          <w14:textFill>
            <w14:solidFill>
              <w14:schemeClr w14:val="tx1"/>
            </w14:solidFill>
          </w14:textFill>
        </w:rPr>
        <w:t>投标人的法定代表人或其授权代表未按时签到的，视同放弃开标监督权利、认可开标结果。</w:t>
      </w:r>
      <w:r>
        <w:rPr>
          <w:rFonts w:hint="eastAsia" w:asciiTheme="minorEastAsia" w:hAnsiTheme="minorEastAsia" w:eastAsiaTheme="minorEastAsia"/>
          <w:bCs/>
          <w:color w:val="000000" w:themeColor="text1"/>
          <w:sz w:val="24"/>
          <w:highlight w:val="none"/>
          <w14:textFill>
            <w14:solidFill>
              <w14:schemeClr w14:val="tx1"/>
            </w14:solidFill>
          </w14:textFill>
        </w:rPr>
        <w:t>采购组织机构</w:t>
      </w:r>
      <w:r>
        <w:rPr>
          <w:rFonts w:asciiTheme="minorEastAsia" w:hAnsiTheme="minorEastAsia" w:eastAsiaTheme="minorEastAsia"/>
          <w:bCs/>
          <w:color w:val="000000" w:themeColor="text1"/>
          <w:sz w:val="24"/>
          <w:highlight w:val="none"/>
          <w14:textFill>
            <w14:solidFill>
              <w14:schemeClr w14:val="tx1"/>
            </w14:solidFill>
          </w14:textFill>
        </w:rPr>
        <w:t>工作人员接收投标文件并登记，并由供应商代表对递交记录情况进行</w:t>
      </w:r>
      <w:r>
        <w:rPr>
          <w:rFonts w:hint="eastAsia" w:asciiTheme="minorEastAsia" w:hAnsiTheme="minorEastAsia" w:eastAsiaTheme="minorEastAsia"/>
          <w:bCs/>
          <w:color w:val="000000" w:themeColor="text1"/>
          <w:sz w:val="24"/>
          <w:highlight w:val="none"/>
          <w14:textFill>
            <w14:solidFill>
              <w14:schemeClr w14:val="tx1"/>
            </w14:solidFill>
          </w14:textFill>
        </w:rPr>
        <w:t>签字</w:t>
      </w:r>
      <w:r>
        <w:rPr>
          <w:rFonts w:asciiTheme="minorEastAsia" w:hAnsiTheme="minorEastAsia" w:eastAsiaTheme="minorEastAsia"/>
          <w:bCs/>
          <w:color w:val="000000" w:themeColor="text1"/>
          <w:sz w:val="24"/>
          <w:highlight w:val="none"/>
          <w14:textFill>
            <w14:solidFill>
              <w14:schemeClr w14:val="tx1"/>
            </w14:solidFill>
          </w14:textFill>
        </w:rPr>
        <w:t>确认。</w:t>
      </w:r>
      <w:r>
        <w:rPr>
          <w:rFonts w:hint="eastAsia" w:asciiTheme="minorEastAsia" w:hAnsiTheme="minorEastAsia" w:eastAsiaTheme="minorEastAsia"/>
          <w:bCs/>
          <w:color w:val="000000" w:themeColor="text1"/>
          <w:sz w:val="24"/>
          <w:highlight w:val="none"/>
          <w14:textFill>
            <w14:solidFill>
              <w14:schemeClr w14:val="tx1"/>
            </w14:solidFill>
          </w14:textFill>
        </w:rPr>
        <w:t>评标委员会成员不得参加开标活动。</w:t>
      </w:r>
      <w:r>
        <w:rPr>
          <w:rFonts w:hint="eastAsia" w:asciiTheme="minorEastAsia" w:hAnsiTheme="minorEastAsia" w:eastAsiaTheme="minorEastAsia"/>
          <w:color w:val="000000" w:themeColor="text1"/>
          <w:kern w:val="0"/>
          <w:sz w:val="24"/>
          <w:highlight w:val="none"/>
          <w14:textFill>
            <w14:solidFill>
              <w14:schemeClr w14:val="tx1"/>
            </w14:solidFill>
          </w14:textFill>
        </w:rPr>
        <w:t>（本次招标</w:t>
      </w:r>
      <w:r>
        <w:rPr>
          <w:rFonts w:cs="Arial" w:asciiTheme="minorEastAsia" w:hAnsiTheme="minorEastAsia" w:eastAsiaTheme="minorEastAsia"/>
          <w:color w:val="000000" w:themeColor="text1"/>
          <w:sz w:val="24"/>
          <w:highlight w:val="none"/>
          <w14:textFill>
            <w14:solidFill>
              <w14:schemeClr w14:val="tx1"/>
            </w14:solidFill>
          </w14:textFill>
        </w:rPr>
        <w:t>采用先评审商务资格</w:t>
      </w:r>
      <w:r>
        <w:rPr>
          <w:rFonts w:hint="eastAsia" w:cs="Arial" w:asciiTheme="minorEastAsia" w:hAnsiTheme="minorEastAsia" w:eastAsiaTheme="minorEastAsia"/>
          <w:color w:val="000000" w:themeColor="text1"/>
          <w:sz w:val="24"/>
          <w:highlight w:val="none"/>
          <w14:textFill>
            <w14:solidFill>
              <w14:schemeClr w14:val="tx1"/>
            </w14:solidFill>
          </w14:textFill>
        </w:rPr>
        <w:t>和</w:t>
      </w:r>
      <w:r>
        <w:rPr>
          <w:rFonts w:cs="Arial" w:asciiTheme="minorEastAsia" w:hAnsiTheme="minorEastAsia" w:eastAsiaTheme="minorEastAsia"/>
          <w:color w:val="000000" w:themeColor="text1"/>
          <w:sz w:val="24"/>
          <w:highlight w:val="none"/>
          <w14:textFill>
            <w14:solidFill>
              <w14:schemeClr w14:val="tx1"/>
            </w14:solidFill>
          </w14:textFill>
        </w:rPr>
        <w:t>技术服务方案</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cs="Arial" w:asciiTheme="minorEastAsia" w:hAnsiTheme="minorEastAsia" w:eastAsiaTheme="minorEastAsia"/>
          <w:color w:val="000000" w:themeColor="text1"/>
          <w:sz w:val="24"/>
          <w:highlight w:val="none"/>
          <w14:textFill>
            <w14:solidFill>
              <w14:schemeClr w14:val="tx1"/>
            </w14:solidFill>
          </w14:textFill>
        </w:rPr>
        <w:t>后公开并评审商务报价的办法</w:t>
      </w:r>
      <w:r>
        <w:rPr>
          <w:rFonts w:hint="eastAsia" w:asciiTheme="minorEastAsia" w:hAnsiTheme="minorEastAsia" w:eastAsiaTheme="minorEastAsia"/>
          <w:color w:val="000000" w:themeColor="text1"/>
          <w:kern w:val="0"/>
          <w:sz w:val="24"/>
          <w:highlight w:val="none"/>
          <w14:textFill>
            <w14:solidFill>
              <w14:schemeClr w14:val="tx1"/>
            </w14:solidFill>
          </w14:textFill>
        </w:rPr>
        <w:t>实施）。</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（二） 开</w:t>
      </w:r>
      <w:r>
        <w:rPr>
          <w:rFonts w:hint="eastAsia" w:asciiTheme="minorEastAsia" w:hAnsiTheme="minorEastAsia" w:eastAsiaTheme="minorEastAsia"/>
          <w:bCs/>
          <w:color w:val="000000" w:themeColor="text1"/>
          <w:sz w:val="24"/>
          <w:highlight w:val="none"/>
          <w14:textFill>
            <w14:solidFill>
              <w14:schemeClr w14:val="tx1"/>
            </w14:solidFill>
          </w14:textFill>
        </w:rPr>
        <w:t>标</w:t>
      </w:r>
      <w:r>
        <w:rPr>
          <w:rFonts w:asciiTheme="minorEastAsia" w:hAnsiTheme="minorEastAsia" w:eastAsiaTheme="minorEastAsia"/>
          <w:bCs/>
          <w:color w:val="000000" w:themeColor="text1"/>
          <w:sz w:val="24"/>
          <w:highlight w:val="none"/>
          <w14:textFill>
            <w14:solidFill>
              <w14:schemeClr w14:val="tx1"/>
            </w14:solidFill>
          </w14:textFill>
        </w:rPr>
        <w:t>程序：</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1、开标会由招标项目负责人主持，主持人宣布开标会议开始；</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2、主持人介绍参加开标会的人员名单； </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3、主持人宣布评标期间的有关事项，告知应当回避的情形,提请有关人员回避；</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4、投标人或其当场推荐的代表，检查投标文件密封的完整性；</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5、按投标文件递交的先后顺序当场拆封</w:t>
      </w:r>
      <w:r>
        <w:rPr>
          <w:rFonts w:hint="eastAsia" w:asciiTheme="minorEastAsia" w:hAnsiTheme="minorEastAsia" w:eastAsiaTheme="minorEastAsia"/>
          <w:color w:val="000000" w:themeColor="text1"/>
          <w:kern w:val="0"/>
          <w:sz w:val="24"/>
          <w:highlight w:val="none"/>
          <w14:textFill>
            <w14:solidFill>
              <w14:schemeClr w14:val="tx1"/>
            </w14:solidFill>
          </w14:textFill>
        </w:rPr>
        <w:t>资格证明文件、</w:t>
      </w:r>
      <w:r>
        <w:rPr>
          <w:rFonts w:hint="eastAsia" w:hAnsi="宋体"/>
          <w:bCs/>
          <w:color w:val="000000" w:themeColor="text1"/>
          <w:sz w:val="24"/>
          <w:highlight w:val="none"/>
          <w:lang w:val="zh-CN"/>
          <w14:textFill>
            <w14:solidFill>
              <w14:schemeClr w14:val="tx1"/>
            </w14:solidFill>
          </w14:textFill>
        </w:rPr>
        <w:t>商务与技术文件</w:t>
      </w:r>
      <w:r>
        <w:rPr>
          <w:rFonts w:hint="eastAsia" w:asciiTheme="minorEastAsia" w:hAnsiTheme="minorEastAsia" w:eastAsiaTheme="minorEastAsia"/>
          <w:color w:val="000000" w:themeColor="text1"/>
          <w:sz w:val="24"/>
          <w:highlight w:val="none"/>
          <w14:textFill>
            <w14:solidFill>
              <w14:schemeClr w14:val="tx1"/>
            </w14:solidFill>
          </w14:textFill>
        </w:rPr>
        <w:t>后，进入资格审查及符合性审查环节；</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6、完成</w:t>
      </w:r>
      <w:r>
        <w:rPr>
          <w:rFonts w:ascii="Arial" w:hAnsi="Arial" w:cs="Arial"/>
          <w:color w:val="000000" w:themeColor="text1"/>
          <w:sz w:val="24"/>
          <w:highlight w:val="none"/>
          <w14:textFill>
            <w14:solidFill>
              <w14:schemeClr w14:val="tx1"/>
            </w14:solidFill>
          </w14:textFill>
        </w:rPr>
        <w:t>综合比较与评价</w:t>
      </w:r>
      <w:r>
        <w:rPr>
          <w:rFonts w:hint="eastAsia" w:ascii="Arial" w:hAnsi="Arial" w:cs="Arial"/>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14:textFill>
            <w14:solidFill>
              <w14:schemeClr w14:val="tx1"/>
            </w14:solidFill>
          </w14:textFill>
        </w:rPr>
        <w:t>由主持人按投标文件的先后顺序当场拆封报价文件，并现场宣读《开标一览表》中的投标报价，以及采购组织机构认为有必要宣读的其他内容；</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8、在完成评标后，宣布评标结果，开标会议结束。</w:t>
      </w:r>
    </w:p>
    <w:p>
      <w:pPr>
        <w:pStyle w:val="10"/>
        <w:snapToGrid w:val="0"/>
        <w:spacing w:line="360" w:lineRule="auto"/>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五、评标</w:t>
      </w:r>
    </w:p>
    <w:p>
      <w:pPr>
        <w:pStyle w:val="10"/>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（一）组建评标委员会</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highlight w:val="none"/>
          <w14:textFill>
            <w14:solidFill>
              <w14:schemeClr w14:val="tx1"/>
            </w14:solidFill>
          </w14:textFill>
        </w:rPr>
        <w:t>和采购单位评审代表</w:t>
      </w:r>
      <w:r>
        <w:rPr>
          <w:rFonts w:asciiTheme="minorEastAsia" w:hAnsiTheme="minorEastAsia" w:eastAsiaTheme="minorEastAsia"/>
          <w:color w:val="000000" w:themeColor="text1"/>
          <w:sz w:val="24"/>
          <w:highlight w:val="none"/>
          <w14:textFill>
            <w14:solidFill>
              <w14:schemeClr w14:val="tx1"/>
            </w14:solidFill>
          </w14:textFill>
        </w:rPr>
        <w:t>组成。</w:t>
      </w:r>
    </w:p>
    <w:p>
      <w:pPr>
        <w:pStyle w:val="10"/>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二</w:t>
      </w:r>
      <w:r>
        <w:rPr>
          <w:rFonts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b/>
          <w:bCs/>
          <w:color w:val="000000" w:themeColor="text1"/>
          <w:sz w:val="24"/>
          <w:highlight w:val="none"/>
          <w14:textFill>
            <w14:solidFill>
              <w14:schemeClr w14:val="tx1"/>
            </w14:solidFill>
          </w14:textFill>
        </w:rPr>
        <w:t>评标程序</w:t>
      </w:r>
    </w:p>
    <w:p>
      <w:pPr>
        <w:snapToGrid w:val="0"/>
        <w:spacing w:line="360" w:lineRule="auto"/>
        <w:ind w:firstLine="472" w:firstLineChars="196"/>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1、资格</w:t>
      </w:r>
      <w:r>
        <w:rPr>
          <w:rFonts w:asciiTheme="minorEastAsia" w:hAnsiTheme="minorEastAsia" w:eastAsiaTheme="minorEastAsia"/>
          <w:b/>
          <w:bCs/>
          <w:color w:val="000000" w:themeColor="text1"/>
          <w:sz w:val="24"/>
          <w:highlight w:val="none"/>
          <w14:textFill>
            <w14:solidFill>
              <w14:schemeClr w14:val="tx1"/>
            </w14:solidFill>
          </w14:textFill>
        </w:rPr>
        <w:t>审查</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5"/>
        <w:spacing w:before="0" w:beforeAutospacing="0" w:after="0" w:afterAutospacing="0" w:line="360" w:lineRule="auto"/>
        <w:ind w:firstLine="472" w:firstLineChars="196"/>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2、符合性审查</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5"/>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3、</w:t>
      </w:r>
      <w:r>
        <w:rPr>
          <w:rFonts w:hint="default" w:ascii="Arial" w:hAnsi="Arial" w:cs="Arial"/>
          <w:b/>
          <w:bCs/>
          <w:color w:val="000000" w:themeColor="text1"/>
          <w:highlight w:val="none"/>
          <w14:textFill>
            <w14:solidFill>
              <w14:schemeClr w14:val="tx1"/>
            </w14:solidFill>
          </w14:textFill>
        </w:rPr>
        <w:t>综合比较与评价</w:t>
      </w:r>
    </w:p>
    <w:p>
      <w:pPr>
        <w:pStyle w:val="15"/>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15"/>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000000" w:themeColor="text1"/>
          <w:sz w:val="24"/>
          <w:highlight w:val="none"/>
          <w14:textFill>
            <w14:solidFill>
              <w14:schemeClr w14:val="tx1"/>
            </w14:solidFill>
          </w14:textFill>
        </w:rPr>
      </w:pPr>
      <w:r>
        <w:rPr>
          <w:rFonts w:hint="eastAsia" w:ascii="Arial" w:hAnsi="Arial" w:cs="Arial"/>
          <w:b/>
          <w:bCs/>
          <w:color w:val="000000" w:themeColor="text1"/>
          <w:sz w:val="24"/>
          <w:highlight w:val="none"/>
          <w14:textFill>
            <w14:solidFill>
              <w14:schemeClr w14:val="tx1"/>
            </w14:solidFill>
          </w14:textFill>
        </w:rPr>
        <w:t>4、得分确认及评审报告编写</w:t>
      </w:r>
    </w:p>
    <w:p>
      <w:pPr>
        <w:pStyle w:val="10"/>
        <w:snapToGrid w:val="0"/>
        <w:spacing w:line="360" w:lineRule="auto"/>
        <w:ind w:firstLine="420" w:firstLineChars="17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评标委员会对报价文件进行复核，对于系统计算出的价格分及总得分进行确认；</w:t>
      </w:r>
    </w:p>
    <w:p>
      <w:pPr>
        <w:pStyle w:val="15"/>
        <w:spacing w:before="0" w:beforeAutospacing="0" w:after="0" w:afterAutospacing="0" w:line="360" w:lineRule="auto"/>
        <w:ind w:firstLine="420" w:firstLineChars="175"/>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评标委员会</w:t>
      </w:r>
      <w:r>
        <w:rPr>
          <w:rFonts w:asciiTheme="minorEastAsia" w:hAnsiTheme="minorEastAsia" w:eastAsiaTheme="minorEastAsia"/>
          <w:color w:val="000000" w:themeColor="text1"/>
          <w:sz w:val="24"/>
          <w:highlight w:val="none"/>
          <w14:textFill>
            <w14:solidFill>
              <w14:schemeClr w14:val="tx1"/>
            </w14:solidFill>
          </w14:textFill>
        </w:rPr>
        <w:t>按评标原则</w:t>
      </w:r>
      <w:r>
        <w:rPr>
          <w:rFonts w:hint="eastAsia" w:asciiTheme="minorEastAsia" w:hAnsiTheme="minorEastAsia" w:eastAsiaTheme="minorEastAsia"/>
          <w:color w:val="000000" w:themeColor="text1"/>
          <w:sz w:val="24"/>
          <w:highlight w:val="none"/>
          <w14:textFill>
            <w14:solidFill>
              <w14:schemeClr w14:val="tx1"/>
            </w14:solidFill>
          </w14:textFill>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5、评价</w:t>
      </w:r>
    </w:p>
    <w:p>
      <w:pPr>
        <w:snapToGrid w:val="0"/>
        <w:spacing w:line="360" w:lineRule="auto"/>
        <w:ind w:firstLine="480"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采购组织机构对评标委员会评审专家进行评价。</w:t>
      </w:r>
    </w:p>
    <w:p>
      <w:pPr>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（三）澄清问题的形式</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0"/>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（四）错误修正</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投标文件报价出现前后不一致的，除招标文件另有规定外，按照下列规定修正：</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1、投标文件中开标一览表（报价表）内容与投标文件中相应内容不一致的，以开标一览表（报价表）为准；</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2、大写金额和小写金额不一致的，以大写金额为准；</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3、单价金额小数点或者百分比有明显错位的，以开标一览表的总价为准，并修改单价；</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4、总价金额与按单价汇总金额不一致的，以单价金额计算结果为准。</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5"/>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（五）</w:t>
      </w:r>
      <w:r>
        <w:rPr>
          <w:rFonts w:asciiTheme="minorEastAsia" w:hAnsiTheme="minorEastAsia" w:eastAsiaTheme="minorEastAsia"/>
          <w:b/>
          <w:color w:val="000000" w:themeColor="text1"/>
          <w:highlight w:val="none"/>
          <w14:textFill>
            <w14:solidFill>
              <w14:schemeClr w14:val="tx1"/>
            </w14:solidFill>
          </w14:textFill>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15"/>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2、不具备招标文件中规定的资格要求的。</w:t>
      </w:r>
      <w:r>
        <w:rPr>
          <w:rFonts w:hint="default" w:asciiTheme="minorEastAsia" w:hAnsiTheme="minorEastAsia" w:eastAsiaTheme="minorEastAsia"/>
          <w:color w:val="000000" w:themeColor="text1"/>
          <w:highlight w:val="none"/>
          <w14:textFill>
            <w14:solidFill>
              <w14:schemeClr w14:val="tx1"/>
            </w14:solidFill>
          </w14:textFill>
        </w:rPr>
        <w:tab/>
      </w:r>
    </w:p>
    <w:p>
      <w:pPr>
        <w:pStyle w:val="15"/>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、投标代表人未能出具身份证明或与法定代表人授权委托人身份不符的；</w:t>
      </w:r>
    </w:p>
    <w:p>
      <w:pPr>
        <w:pStyle w:val="1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6、报价超过招标文件中规定的预算金额/最高限价。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kern w:val="0"/>
          <w:sz w:val="24"/>
          <w:highlight w:val="none"/>
          <w14:textFill>
            <w14:solidFill>
              <w14:schemeClr w14:val="tx1"/>
            </w14:solidFill>
          </w14:textFill>
        </w:rPr>
        <w:t>、投标参数未如实填写，完全复制粘贴招标参数的。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9</w:t>
      </w:r>
      <w:r>
        <w:rPr>
          <w:rFonts w:asciiTheme="minorEastAsia" w:hAnsiTheme="minorEastAsia" w:eastAsiaTheme="minorEastAsia"/>
          <w:color w:val="000000" w:themeColor="text1"/>
          <w:kern w:val="0"/>
          <w:sz w:val="24"/>
          <w:highlight w:val="none"/>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highlight w:val="none"/>
          <w14:textFill>
            <w14:solidFill>
              <w14:schemeClr w14:val="tx1"/>
            </w14:solidFill>
          </w14:textFill>
        </w:rPr>
        <w:t>，并移送采购监管部门</w:t>
      </w:r>
      <w:r>
        <w:rPr>
          <w:rFonts w:asciiTheme="minorEastAsia" w:hAnsiTheme="minorEastAsia" w:eastAsiaTheme="minorEastAsia"/>
          <w:color w:val="000000" w:themeColor="text1"/>
          <w:kern w:val="0"/>
          <w:sz w:val="24"/>
          <w:highlight w:val="none"/>
          <w14:textFill>
            <w14:solidFill>
              <w14:schemeClr w14:val="tx1"/>
            </w14:solidFill>
          </w14:textFill>
        </w:rPr>
        <w:t>：</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（1）不同投标人的投标文件由同一单位或者个人编制；</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（2）不同投标人委托同一单位或者个人办理投标事宜；</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（3）不同投标人的投标文件载明的项目管理成员或者联系人员为同一人；</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（4）不同投标人的投标文件异常一致或者投标报价呈规律性差异；</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（5）不同投标人的投标文件相互混装；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kern w:val="0"/>
          <w:sz w:val="24"/>
          <w:highlight w:val="none"/>
          <w14:textFill>
            <w14:solidFill>
              <w14:schemeClr w14:val="tx1"/>
            </w14:solidFill>
          </w14:textFill>
        </w:rPr>
        <w:t>、不符合法律、法规和招标文件中规定的其他实质性要求的（招标文件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中打“</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”内容及被拒绝的条款）。</w:t>
      </w:r>
    </w:p>
    <w:p>
      <w:pPr>
        <w:autoSpaceDE w:val="0"/>
        <w:autoSpaceDN w:val="0"/>
        <w:adjustRightInd w:val="0"/>
        <w:spacing w:line="360" w:lineRule="auto"/>
        <w:ind w:left="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（六）有下列情况之一的，本次招标作为废标处理</w:t>
      </w:r>
    </w:p>
    <w:p>
      <w:pPr>
        <w:pStyle w:val="15"/>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1、出现影响采购公正的违法、违规行为的；</w:t>
      </w:r>
    </w:p>
    <w:p>
      <w:pPr>
        <w:pStyle w:val="15"/>
        <w:spacing w:before="0" w:beforeAutospacing="0" w:after="0" w:afterAutospacing="0" w:line="360" w:lineRule="auto"/>
        <w:ind w:firstLine="600" w:firstLineChars="250"/>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pStyle w:val="15"/>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3、因重大变故，采购任务取消的；</w:t>
      </w:r>
    </w:p>
    <w:p>
      <w:pPr>
        <w:pStyle w:val="15"/>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4、法律、法规和招标文件规定的其他导致评标结果无效的。</w:t>
      </w:r>
    </w:p>
    <w:p>
      <w:pPr>
        <w:pStyle w:val="10"/>
        <w:tabs>
          <w:tab w:val="left" w:pos="630"/>
        </w:tabs>
        <w:snapToGrid w:val="0"/>
        <w:spacing w:line="360" w:lineRule="auto"/>
        <w:ind w:firstLine="472" w:firstLineChars="19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）评标原则和评标办法</w:t>
      </w:r>
    </w:p>
    <w:p>
      <w:pPr>
        <w:pStyle w:val="10"/>
        <w:snapToGrid w:val="0"/>
        <w:spacing w:line="360" w:lineRule="auto"/>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line="360" w:lineRule="auto"/>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highlight w:val="none"/>
          <w14:textFill>
            <w14:solidFill>
              <w14:schemeClr w14:val="tx1"/>
            </w14:solidFill>
          </w14:textFill>
        </w:rPr>
        <w:t>三章</w:t>
      </w:r>
      <w:r>
        <w:rPr>
          <w:rFonts w:asciiTheme="minorEastAsia" w:hAnsiTheme="minorEastAsia" w:eastAsiaTheme="minorEastAsia"/>
          <w:color w:val="000000" w:themeColor="text1"/>
          <w:sz w:val="24"/>
          <w:highlight w:val="none"/>
          <w14:textFill>
            <w14:solidFill>
              <w14:schemeClr w14:val="tx1"/>
            </w14:solidFill>
          </w14:textFill>
        </w:rPr>
        <w:t>：评标</w:t>
      </w:r>
      <w:r>
        <w:rPr>
          <w:rFonts w:hint="eastAsia" w:asciiTheme="minorEastAsia" w:hAnsiTheme="minorEastAsia" w:eastAsiaTheme="minorEastAsia"/>
          <w:color w:val="000000" w:themeColor="text1"/>
          <w:sz w:val="24"/>
          <w:highlight w:val="none"/>
          <w14:textFill>
            <w14:solidFill>
              <w14:schemeClr w14:val="tx1"/>
            </w14:solidFill>
          </w14:textFill>
        </w:rPr>
        <w:t>方</w:t>
      </w:r>
      <w:r>
        <w:rPr>
          <w:rFonts w:asciiTheme="minorEastAsia" w:hAnsiTheme="minorEastAsia" w:eastAsiaTheme="minorEastAsia"/>
          <w:color w:val="000000" w:themeColor="text1"/>
          <w:sz w:val="24"/>
          <w:highlight w:val="none"/>
          <w14:textFill>
            <w14:solidFill>
              <w14:schemeClr w14:val="tx1"/>
            </w14:solidFill>
          </w14:textFill>
        </w:rPr>
        <w:t>法及评分标准》。</w:t>
      </w:r>
    </w:p>
    <w:p>
      <w:pPr>
        <w:pStyle w:val="10"/>
        <w:snapToGrid w:val="0"/>
        <w:spacing w:line="360" w:lineRule="auto"/>
        <w:ind w:firstLine="472" w:firstLineChars="19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八</w:t>
      </w:r>
      <w:r>
        <w:rPr>
          <w:rFonts w:asciiTheme="minorEastAsia" w:hAnsiTheme="minorEastAsia" w:eastAsiaTheme="minorEastAsia"/>
          <w:b/>
          <w:color w:val="000000" w:themeColor="text1"/>
          <w:sz w:val="24"/>
          <w:highlight w:val="none"/>
          <w14:textFill>
            <w14:solidFill>
              <w14:schemeClr w14:val="tx1"/>
            </w14:solidFill>
          </w14:textFill>
        </w:rPr>
        <w:t>）评标过程的监控</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5"/>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六、定标</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确定中标供应商。</w:t>
      </w:r>
      <w:r>
        <w:rPr>
          <w:rFonts w:asciiTheme="minorEastAsia" w:hAnsiTheme="minorEastAsia" w:eastAsiaTheme="minorEastAsia"/>
          <w:color w:val="000000" w:themeColor="text1"/>
          <w:highlight w:val="none"/>
          <w14:textFill>
            <w14:solidFill>
              <w14:schemeClr w14:val="tx1"/>
            </w14:solidFill>
          </w14:textFill>
        </w:rPr>
        <w:t>评标委员会根据采购单位的</w:t>
      </w:r>
      <w:r>
        <w:rPr>
          <w:color w:val="000000" w:themeColor="text1"/>
          <w:highlight w:val="none"/>
          <w14:textFill>
            <w14:solidFill>
              <w14:schemeClr w14:val="tx1"/>
            </w14:solidFill>
          </w14:textFill>
        </w:rPr>
        <w:t>《授权意见确认书》</w:t>
      </w:r>
      <w:r>
        <w:rPr>
          <w:rFonts w:asciiTheme="minorEastAsia" w:hAnsiTheme="minorEastAsia" w:eastAsiaTheme="minorEastAsia"/>
          <w:color w:val="000000" w:themeColor="text1"/>
          <w:highlight w:val="none"/>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发布</w:t>
      </w:r>
      <w:r>
        <w:rPr>
          <w:color w:val="000000" w:themeColor="text1"/>
          <w:sz w:val="24"/>
          <w:highlight w:val="none"/>
          <w14:textFill>
            <w14:solidFill>
              <w14:schemeClr w14:val="tx1"/>
            </w14:solidFill>
          </w14:textFill>
        </w:rPr>
        <w:t>中标</w:t>
      </w:r>
      <w:r>
        <w:rPr>
          <w:rFonts w:hint="eastAsia" w:ascii="宋体" w:hAnsi="宋体"/>
          <w:color w:val="000000" w:themeColor="text1"/>
          <w:kern w:val="0"/>
          <w:sz w:val="24"/>
          <w:highlight w:val="none"/>
          <w14:textFill>
            <w14:solidFill>
              <w14:schemeClr w14:val="tx1"/>
            </w14:solidFill>
          </w14:textFill>
        </w:rPr>
        <w:t>结果公告。采购组织机构应当自中标人</w:t>
      </w:r>
      <w:r>
        <w:rPr>
          <w:rFonts w:ascii="宋体" w:hAnsi="宋体"/>
          <w:color w:val="000000" w:themeColor="text1"/>
          <w:kern w:val="0"/>
          <w:sz w:val="24"/>
          <w:highlight w:val="none"/>
          <w14:textFill>
            <w14:solidFill>
              <w14:schemeClr w14:val="tx1"/>
            </w14:solidFill>
          </w14:textFill>
        </w:rPr>
        <w:t>确定</w:t>
      </w:r>
      <w:r>
        <w:rPr>
          <w:rFonts w:hint="eastAsia" w:ascii="宋体" w:hAnsi="宋体"/>
          <w:color w:val="000000" w:themeColor="text1"/>
          <w:kern w:val="0"/>
          <w:sz w:val="24"/>
          <w:highlight w:val="none"/>
          <w14:textFill>
            <w14:solidFill>
              <w14:schemeClr w14:val="tx1"/>
            </w14:solidFill>
          </w14:textFill>
        </w:rPr>
        <w:t>之日起</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在省级以上财政部门指定的媒体及相关网站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中标结果，招标文件应当随中标结果同时公告。</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合同签订及公告</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15"/>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5"/>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pPr>
        <w:pStyle w:val="15"/>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3、中标供应商无故拖延、拒签合同的,取消中标资格。</w:t>
      </w:r>
    </w:p>
    <w:p>
      <w:pPr>
        <w:pStyle w:val="15"/>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5"/>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5"/>
        <w:spacing w:line="360" w:lineRule="auto"/>
        <w:ind w:firstLine="424" w:firstLineChars="176"/>
        <w:rPr>
          <w:rFonts w:hint="default"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pPr>
        <w:pStyle w:val="9"/>
        <w:spacing w:line="360" w:lineRule="auto"/>
        <w:ind w:left="0" w:leftChars="0"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1、采购人应当自政府采购合同签订之日起2个工作日内，</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sz w:val="24"/>
          <w:highlight w:val="none"/>
          <w14:textFill>
            <w14:solidFill>
              <w14:schemeClr w14:val="tx1"/>
            </w14:solidFill>
          </w14:textFill>
        </w:rPr>
        <w:t>。</w:t>
      </w:r>
    </w:p>
    <w:p>
      <w:pPr>
        <w:pStyle w:val="9"/>
        <w:spacing w:line="360" w:lineRule="auto"/>
        <w:ind w:left="0" w:lef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4"/>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八、采购代理费</w:t>
      </w:r>
    </w:p>
    <w:p>
      <w:pPr>
        <w:autoSpaceDE w:val="0"/>
        <w:autoSpaceDN w:val="0"/>
        <w:adjustRightInd w:val="0"/>
        <w:spacing w:line="450" w:lineRule="atLeas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中标供应商在领取中标通知书前须支付</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s="Arial"/>
          <w:color w:val="000000" w:themeColor="text1"/>
          <w:sz w:val="24"/>
          <w:highlight w:val="none"/>
          <w:lang w:val="en-US" w:eastAsia="zh-CN"/>
          <w14:textFill>
            <w14:solidFill>
              <w14:schemeClr w14:val="tx1"/>
            </w14:solidFill>
          </w14:textFill>
        </w:rPr>
        <w:t>20</w:t>
      </w:r>
      <w:r>
        <w:rPr>
          <w:rFonts w:hint="eastAsia" w:ascii="宋体" w:hAnsi="宋体" w:cs="Arial"/>
          <w:color w:val="000000" w:themeColor="text1"/>
          <w:sz w:val="24"/>
          <w:highlight w:val="none"/>
          <w14:textFill>
            <w14:solidFill>
              <w14:schemeClr w14:val="tx1"/>
            </w14:solidFill>
          </w14:textFill>
        </w:rPr>
        <w:t>000元人民币</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olor w:val="000000" w:themeColor="text1"/>
          <w:sz w:val="24"/>
          <w:highlight w:val="none"/>
          <w14:textFill>
            <w14:solidFill>
              <w14:schemeClr w14:val="tx1"/>
            </w14:solidFill>
          </w14:textFill>
        </w:rPr>
        <w:t>包含在投标总价中。招标代理服务费汇入以下账户：</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开户银行：工行台州玉环玉城支行</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开户帐号：1207281909100001839</w:t>
      </w:r>
    </w:p>
    <w:p>
      <w:pPr>
        <w:pStyle w:val="9"/>
        <w:spacing w:line="360" w:lineRule="auto"/>
        <w:ind w:left="0" w:leftChars="0" w:firstLine="480" w:firstLineChars="200"/>
        <w:rPr>
          <w:rFonts w:ascii="宋体" w:hAnsi="宋体"/>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评标办法及评分标准</w:t>
      </w:r>
    </w:p>
    <w:p>
      <w:pPr>
        <w:autoSpaceDE w:val="0"/>
        <w:autoSpaceDN w:val="0"/>
        <w:spacing w:line="360" w:lineRule="auto"/>
        <w:ind w:firstLine="480" w:firstLineChars="200"/>
        <w:rPr>
          <w:rFonts w:asciiTheme="minorEastAsia" w:hAnsiTheme="minorEastAsia" w:eastAsiaTheme="minorEastAsia"/>
          <w:b/>
          <w:i/>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一、采购组织机构将组织评标委员会，对投标人提供的投标文件进行综合评审。</w:t>
      </w:r>
    </w:p>
    <w:p>
      <w:pPr>
        <w:autoSpaceDE w:val="0"/>
        <w:autoSpaceDN w:val="0"/>
        <w:adjustRightInd w:val="0"/>
        <w:spacing w:line="360" w:lineRule="auto"/>
        <w:ind w:left="19" w:leftChars="9" w:firstLine="458" w:firstLineChars="191"/>
        <w:jc w:val="left"/>
        <w:rPr>
          <w:rFonts w:ascii="宋体" w:hAnsi="宋体"/>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二、本次招标项目的评标方法为综合评分法，</w:t>
      </w:r>
      <w:r>
        <w:rPr>
          <w:rFonts w:hint="eastAsia" w:ascii="宋体" w:hAnsi="宋体"/>
          <w:color w:val="000000" w:themeColor="text1"/>
          <w:kern w:val="0"/>
          <w:sz w:val="24"/>
          <w:highlight w:val="none"/>
          <w14:textFill>
            <w14:solidFill>
              <w14:schemeClr w14:val="tx1"/>
            </w14:solidFill>
          </w14:textFill>
        </w:rPr>
        <w:t>总计100分。商务报价评分</w:t>
      </w:r>
      <w:r>
        <w:rPr>
          <w:rFonts w:hint="eastAsia" w:ascii="宋体" w:hAnsi="宋体"/>
          <w:color w:val="000000" w:themeColor="text1"/>
          <w:kern w:val="0"/>
          <w:sz w:val="24"/>
          <w:highlight w:val="none"/>
          <w:lang w:val="en-US" w:eastAsia="zh-CN"/>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 xml:space="preserve">0分，技术、服务、资信综合评分 </w:t>
      </w:r>
      <w:r>
        <w:rPr>
          <w:rFonts w:hint="eastAsia" w:ascii="宋体" w:hAnsi="宋体"/>
          <w:color w:val="000000" w:themeColor="text1"/>
          <w:kern w:val="0"/>
          <w:sz w:val="24"/>
          <w:highlight w:val="none"/>
          <w:lang w:val="en-US" w:eastAsia="zh-CN"/>
          <w14:textFill>
            <w14:solidFill>
              <w14:schemeClr w14:val="tx1"/>
            </w14:solidFill>
          </w14:textFill>
        </w:rPr>
        <w:t>7</w:t>
      </w:r>
      <w:r>
        <w:rPr>
          <w:rFonts w:hint="eastAsia" w:ascii="宋体" w:hAnsi="宋体"/>
          <w:color w:val="000000" w:themeColor="text1"/>
          <w:kern w:val="0"/>
          <w:sz w:val="24"/>
          <w:highlight w:val="none"/>
          <w14:textFill>
            <w14:solidFill>
              <w14:schemeClr w14:val="tx1"/>
            </w14:solidFill>
          </w14:textFill>
        </w:rPr>
        <w:t>0分。</w:t>
      </w:r>
    </w:p>
    <w:p>
      <w:pPr>
        <w:autoSpaceDE w:val="0"/>
        <w:autoSpaceDN w:val="0"/>
        <w:adjustRightInd w:val="0"/>
        <w:spacing w:line="360" w:lineRule="auto"/>
        <w:ind w:right="84" w:firstLine="472"/>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（二）各投标人商务与技术文件</w:t>
      </w:r>
      <w:r>
        <w:rPr>
          <w:rFonts w:hint="eastAsia" w:ascii="宋体"/>
          <w:color w:val="000000" w:themeColor="text1"/>
          <w:kern w:val="0"/>
          <w:sz w:val="24"/>
          <w:highlight w:val="none"/>
          <w:lang w:val="zh-CN"/>
          <w14:textFill>
            <w14:solidFill>
              <w14:schemeClr w14:val="tx1"/>
            </w14:solidFill>
          </w14:textFill>
        </w:rPr>
        <w:t>得分按照评标委员会成</w:t>
      </w:r>
      <w:r>
        <w:rPr>
          <w:rFonts w:hint="eastAsia" w:ascii="宋体"/>
          <w:bCs/>
          <w:color w:val="000000" w:themeColor="text1"/>
          <w:sz w:val="24"/>
          <w:highlight w:val="none"/>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商务与技术文件得分</w:t>
      </w:r>
      <w:r>
        <w:rPr>
          <w:rFonts w:hint="eastAsia" w:ascii="宋体"/>
          <w:bCs/>
          <w:color w:val="000000" w:themeColor="text1"/>
          <w:sz w:val="24"/>
          <w:highlight w:val="none"/>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（三）</w:t>
      </w:r>
      <w:r>
        <w:rPr>
          <w:rFonts w:hint="eastAsia" w:ascii="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投标报价得</w:t>
      </w:r>
      <w:r>
        <w:rPr>
          <w:color w:val="000000" w:themeColor="text1"/>
          <w:sz w:val="24"/>
          <w:highlight w:val="none"/>
          <w:u w:val="single"/>
          <w14:textFill>
            <w14:solidFill>
              <w14:schemeClr w14:val="tx1"/>
            </w14:solidFill>
          </w14:textFill>
        </w:rPr>
        <w:t>分=(评标基准价／投</w:t>
      </w:r>
      <w:r>
        <w:rPr>
          <w:rFonts w:ascii="宋体" w:hAnsi="宋体"/>
          <w:color w:val="000000" w:themeColor="text1"/>
          <w:sz w:val="24"/>
          <w:highlight w:val="none"/>
          <w:u w:val="single"/>
          <w14:textFill>
            <w14:solidFill>
              <w14:schemeClr w14:val="tx1"/>
            </w14:solidFill>
          </w14:textFill>
        </w:rPr>
        <w:t>标报价)×</w:t>
      </w:r>
      <w:r>
        <w:rPr>
          <w:rFonts w:hint="eastAsia" w:ascii="宋体" w:hAnsi="宋体"/>
          <w:color w:val="000000" w:themeColor="text1"/>
          <w:sz w:val="24"/>
          <w:highlight w:val="none"/>
          <w:u w:val="single"/>
          <w:lang w:val="en-US" w:eastAsia="zh-CN"/>
          <w14:textFill>
            <w14:solidFill>
              <w14:schemeClr w14:val="tx1"/>
            </w14:solidFill>
          </w14:textFill>
        </w:rPr>
        <w:t>30</w:t>
      </w:r>
      <w:r>
        <w:rPr>
          <w:rFonts w:hint="eastAsia"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×100</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具体优惠：对于小型微型企业产品的价格给予</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6</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注：得分以系统计算为准，保留2位小数。</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六、本次评分具体分值细化条款如下表：</w:t>
      </w:r>
    </w:p>
    <w:tbl>
      <w:tblPr>
        <w:tblStyle w:val="17"/>
        <w:tblW w:w="922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7"/>
        <w:gridCol w:w="6371"/>
        <w:gridCol w:w="8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0" w:hRule="atLeast"/>
          <w:jc w:val="center"/>
        </w:trPr>
        <w:tc>
          <w:tcPr>
            <w:tcW w:w="1957"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评标项</w:t>
            </w:r>
          </w:p>
        </w:tc>
        <w:tc>
          <w:tcPr>
            <w:tcW w:w="6371"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细则内容</w:t>
            </w:r>
          </w:p>
        </w:tc>
        <w:tc>
          <w:tcPr>
            <w:tcW w:w="892"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分值（分）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0" w:hRule="atLeast"/>
          <w:jc w:val="center"/>
        </w:trPr>
        <w:tc>
          <w:tcPr>
            <w:tcW w:w="1957"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标书质量</w:t>
            </w:r>
          </w:p>
        </w:tc>
        <w:tc>
          <w:tcPr>
            <w:tcW w:w="6371" w:type="dxa"/>
            <w:tcMar>
              <w:top w:w="28" w:type="dxa"/>
              <w:bottom w:w="2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根据投标文件的规范性和完整性及编制的质量进行评分</w:t>
            </w:r>
            <w:r>
              <w:rPr>
                <w:rFonts w:hint="eastAsia" w:ascii="宋体" w:hAnsi="宋体" w:eastAsia="宋体" w:cs="宋体"/>
                <w:kern w:val="0"/>
                <w:sz w:val="22"/>
                <w:szCs w:val="22"/>
                <w:highlight w:val="none"/>
                <w:lang w:eastAsia="zh-CN"/>
              </w:rPr>
              <w:t>。</w:t>
            </w:r>
          </w:p>
        </w:tc>
        <w:tc>
          <w:tcPr>
            <w:tcW w:w="892"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0" w:hRule="atLeast"/>
          <w:jc w:val="center"/>
        </w:trPr>
        <w:tc>
          <w:tcPr>
            <w:tcW w:w="1957"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en-GB"/>
              </w:rPr>
              <w:t>案例</w:t>
            </w:r>
            <w:r>
              <w:rPr>
                <w:rFonts w:hint="eastAsia" w:ascii="宋体" w:hAnsi="宋体" w:eastAsia="宋体" w:cs="宋体"/>
                <w:kern w:val="0"/>
                <w:sz w:val="22"/>
                <w:szCs w:val="22"/>
                <w:highlight w:val="none"/>
              </w:rPr>
              <w:t>业绩</w:t>
            </w:r>
          </w:p>
        </w:tc>
        <w:tc>
          <w:tcPr>
            <w:tcW w:w="6371" w:type="dxa"/>
            <w:tcMar>
              <w:top w:w="28" w:type="dxa"/>
              <w:bottom w:w="2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 xml:space="preserve">提供近四年来100万以上服务器、存储、安全产品政府合同案列，每一个得1分累计不超过3分，复印件盖公章，原件备查。 </w:t>
            </w:r>
          </w:p>
        </w:tc>
        <w:tc>
          <w:tcPr>
            <w:tcW w:w="892"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410" w:hRule="atLeast"/>
          <w:jc w:val="center"/>
        </w:trPr>
        <w:tc>
          <w:tcPr>
            <w:tcW w:w="1957"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投标人技术实力及服务</w:t>
            </w:r>
          </w:p>
        </w:tc>
        <w:tc>
          <w:tcPr>
            <w:tcW w:w="6371" w:type="dxa"/>
            <w:tcMar>
              <w:top w:w="28" w:type="dxa"/>
              <w:bottom w:w="2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投标人或本地签约服务商技术实力：CISP证书，HCSA证书得2分，重合同守信用企业连续三年以上得1分。复印件盖公章，原件备查</w:t>
            </w:r>
            <w:r>
              <w:rPr>
                <w:rFonts w:hint="eastAsia" w:ascii="宋体" w:hAnsi="宋体" w:eastAsia="宋体" w:cs="宋体"/>
                <w:kern w:val="0"/>
                <w:sz w:val="22"/>
                <w:szCs w:val="22"/>
                <w:highlight w:val="none"/>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lang w:val="en-US" w:eastAsia="zh-CN"/>
              </w:rPr>
            </w:pPr>
            <w:r>
              <w:rPr>
                <w:rFonts w:hint="eastAsia" w:ascii="宋体" w:hAnsi="宋体" w:eastAsia="宋体" w:cs="宋体"/>
                <w:kern w:val="0"/>
                <w:sz w:val="22"/>
                <w:szCs w:val="22"/>
                <w:highlight w:val="none"/>
                <w:lang w:eastAsia="zh-CN"/>
              </w:rPr>
              <w:t>总公司或分公司设立在玉环，本地化服务得</w:t>
            </w:r>
            <w:r>
              <w:rPr>
                <w:rFonts w:hint="eastAsia" w:ascii="宋体" w:hAnsi="宋体" w:eastAsia="宋体" w:cs="宋体"/>
                <w:kern w:val="0"/>
                <w:sz w:val="22"/>
                <w:szCs w:val="22"/>
                <w:highlight w:val="none"/>
                <w:lang w:val="en-US" w:eastAsia="zh-CN"/>
              </w:rPr>
              <w:t>3分</w:t>
            </w:r>
            <w:r>
              <w:rPr>
                <w:rFonts w:hint="eastAsia" w:ascii="宋体" w:hAnsi="宋体" w:cs="宋体"/>
                <w:kern w:val="0"/>
                <w:sz w:val="22"/>
                <w:szCs w:val="22"/>
                <w:highlight w:val="none"/>
                <w:lang w:val="en-US" w:eastAsia="zh-CN"/>
              </w:rPr>
              <w:t>；</w:t>
            </w:r>
            <w:r>
              <w:rPr>
                <w:rFonts w:hint="eastAsia" w:ascii="宋体" w:hAnsi="宋体" w:cs="宋体"/>
                <w:kern w:val="0"/>
                <w:sz w:val="22"/>
                <w:szCs w:val="22"/>
                <w:highlight w:val="none"/>
                <w:lang w:val="en-US" w:eastAsia="zh-CN"/>
              </w:rPr>
              <w:t>承诺</w:t>
            </w:r>
            <w:r>
              <w:rPr>
                <w:rFonts w:hint="eastAsia" w:ascii="宋体" w:hAnsi="宋体" w:eastAsia="宋体" w:cs="宋体"/>
                <w:kern w:val="0"/>
                <w:sz w:val="22"/>
                <w:szCs w:val="22"/>
                <w:highlight w:val="none"/>
                <w:lang w:val="en-US" w:eastAsia="zh-CN"/>
              </w:rPr>
              <w:t>中标后30日内在玉环本地维护点（需要办理营业执照及驻点人员证书验证，系统维护需持</w:t>
            </w:r>
            <w:r>
              <w:rPr>
                <w:rFonts w:hint="eastAsia" w:ascii="宋体" w:hAnsi="宋体" w:eastAsia="宋体" w:cs="宋体"/>
                <w:kern w:val="0"/>
                <w:sz w:val="22"/>
                <w:szCs w:val="22"/>
                <w:highlight w:val="none"/>
              </w:rPr>
              <w:t>CISP证书，HCSA证书</w:t>
            </w:r>
            <w:r>
              <w:rPr>
                <w:rFonts w:hint="eastAsia" w:ascii="宋体" w:hAnsi="宋体" w:eastAsia="宋体" w:cs="宋体"/>
                <w:kern w:val="0"/>
                <w:sz w:val="22"/>
                <w:szCs w:val="22"/>
                <w:highlight w:val="none"/>
                <w:lang w:val="en-US" w:eastAsia="zh-CN"/>
              </w:rPr>
              <w:t>证书人员）</w:t>
            </w:r>
            <w:r>
              <w:rPr>
                <w:rFonts w:hint="eastAsia" w:ascii="宋体" w:hAnsi="宋体" w:cs="宋体"/>
                <w:kern w:val="0"/>
                <w:sz w:val="22"/>
                <w:szCs w:val="22"/>
                <w:highlight w:val="none"/>
                <w:lang w:val="en-US" w:eastAsia="zh-CN"/>
              </w:rPr>
              <w:t>得</w:t>
            </w:r>
            <w:r>
              <w:rPr>
                <w:rFonts w:hint="eastAsia" w:ascii="宋体" w:hAnsi="宋体" w:eastAsia="宋体" w:cs="宋体"/>
                <w:kern w:val="0"/>
                <w:sz w:val="22"/>
                <w:szCs w:val="22"/>
                <w:highlight w:val="none"/>
                <w:lang w:val="en-US" w:eastAsia="zh-CN"/>
              </w:rPr>
              <w:t>2分</w:t>
            </w:r>
            <w:r>
              <w:rPr>
                <w:rFonts w:hint="eastAsia" w:ascii="宋体" w:hAnsi="宋体" w:cs="宋体"/>
                <w:kern w:val="0"/>
                <w:sz w:val="22"/>
                <w:szCs w:val="22"/>
                <w:highlight w:val="none"/>
                <w:lang w:val="en-US" w:eastAsia="zh-CN"/>
              </w:rPr>
              <w:t>；</w:t>
            </w:r>
            <w:r>
              <w:rPr>
                <w:rFonts w:hint="eastAsia" w:ascii="宋体" w:hAnsi="宋体" w:cs="宋体"/>
                <w:kern w:val="0"/>
                <w:sz w:val="22"/>
                <w:szCs w:val="22"/>
                <w:highlight w:val="none"/>
                <w:lang w:val="en-US" w:eastAsia="zh-CN"/>
              </w:rPr>
              <w:t>承诺</w:t>
            </w:r>
            <w:r>
              <w:rPr>
                <w:rFonts w:hint="eastAsia" w:ascii="宋体" w:hAnsi="宋体" w:eastAsia="宋体" w:cs="宋体"/>
                <w:kern w:val="0"/>
                <w:sz w:val="22"/>
                <w:szCs w:val="22"/>
                <w:highlight w:val="none"/>
                <w:lang w:val="en-US" w:eastAsia="zh-CN"/>
              </w:rPr>
              <w:t>中标后30日内与具备维护能力的玉环本地供应商签订合作协议，为采购单位提供运维服务得1分（签约本地供应商需</w:t>
            </w:r>
            <w:r>
              <w:rPr>
                <w:rFonts w:hint="eastAsia" w:ascii="宋体" w:hAnsi="宋体" w:eastAsia="宋体" w:cs="宋体"/>
                <w:kern w:val="0"/>
                <w:sz w:val="22"/>
                <w:szCs w:val="22"/>
                <w:highlight w:val="none"/>
              </w:rPr>
              <w:t>CISP证书，HCSA证书</w:t>
            </w:r>
            <w:r>
              <w:rPr>
                <w:rFonts w:hint="eastAsia" w:ascii="宋体" w:hAnsi="宋体" w:eastAsia="宋体" w:cs="宋体"/>
                <w:kern w:val="0"/>
                <w:sz w:val="22"/>
                <w:szCs w:val="22"/>
                <w:highlight w:val="none"/>
                <w:lang w:val="en-US" w:eastAsia="zh-CN"/>
              </w:rPr>
              <w:t>）。总分6分</w:t>
            </w:r>
          </w:p>
        </w:tc>
        <w:tc>
          <w:tcPr>
            <w:tcW w:w="892"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8" w:hRule="atLeast"/>
          <w:jc w:val="center"/>
        </w:trPr>
        <w:tc>
          <w:tcPr>
            <w:tcW w:w="1957"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服务器超融合</w:t>
            </w:r>
          </w:p>
        </w:tc>
        <w:tc>
          <w:tcPr>
            <w:tcW w:w="6371" w:type="dxa"/>
            <w:tcMar>
              <w:top w:w="28" w:type="dxa"/>
              <w:bottom w:w="2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lang w:eastAsia="zh-CN"/>
              </w:rPr>
            </w:pPr>
            <w:r>
              <w:rPr>
                <w:rFonts w:hint="eastAsia" w:ascii="宋体" w:hAnsi="宋体" w:eastAsia="宋体" w:cs="宋体"/>
                <w:kern w:val="0"/>
                <w:sz w:val="22"/>
                <w:szCs w:val="22"/>
                <w:highlight w:val="none"/>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号的技术以及参数指标要求在</w:t>
            </w:r>
            <w:r>
              <w:rPr>
                <w:rFonts w:hint="eastAsia" w:ascii="宋体" w:hAnsi="宋体" w:eastAsia="宋体" w:cs="宋体"/>
                <w:kern w:val="0"/>
                <w:sz w:val="22"/>
                <w:szCs w:val="22"/>
                <w:highlight w:val="none"/>
                <w:lang w:eastAsia="zh-CN"/>
              </w:rPr>
              <w:t>投标响应截图上</w:t>
            </w:r>
            <w:r>
              <w:rPr>
                <w:rFonts w:hint="eastAsia" w:ascii="宋体" w:hAnsi="宋体" w:eastAsia="宋体" w:cs="宋体"/>
                <w:kern w:val="0"/>
                <w:sz w:val="22"/>
                <w:szCs w:val="22"/>
                <w:highlight w:val="none"/>
              </w:rPr>
              <w:t>清晰描述</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rPr>
              <w:t>对性能指标及技术参数属负偏离或缺漏项的每项扣</w:t>
            </w:r>
            <w:r>
              <w:rPr>
                <w:rFonts w:hint="eastAsia" w:ascii="宋体" w:hAnsi="宋体" w:eastAsia="宋体" w:cs="宋体"/>
                <w:kern w:val="0"/>
                <w:sz w:val="22"/>
                <w:szCs w:val="22"/>
                <w:highlight w:val="none"/>
                <w:lang w:val="en-US" w:eastAsia="zh-CN"/>
              </w:rPr>
              <w:t>3</w:t>
            </w:r>
            <w:r>
              <w:rPr>
                <w:rFonts w:hint="eastAsia" w:ascii="宋体" w:hAnsi="宋体" w:eastAsia="宋体" w:cs="宋体"/>
                <w:kern w:val="0"/>
                <w:sz w:val="22"/>
                <w:szCs w:val="22"/>
                <w:highlight w:val="none"/>
              </w:rPr>
              <w:t>分，扣完为止，</w:t>
            </w:r>
            <w:r>
              <w:rPr>
                <w:rFonts w:hint="eastAsia" w:ascii="宋体" w:hAnsi="宋体" w:eastAsia="宋体" w:cs="宋体"/>
                <w:kern w:val="0"/>
                <w:sz w:val="22"/>
                <w:szCs w:val="22"/>
                <w:highlight w:val="none"/>
                <w:lang w:eastAsia="zh-CN"/>
              </w:rPr>
              <w:t>非标</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号</w:t>
            </w:r>
            <w:r>
              <w:rPr>
                <w:rFonts w:hint="eastAsia" w:ascii="宋体" w:hAnsi="宋体" w:eastAsia="宋体" w:cs="宋体"/>
                <w:kern w:val="0"/>
                <w:sz w:val="22"/>
                <w:szCs w:val="22"/>
                <w:highlight w:val="none"/>
                <w:lang w:eastAsia="zh-CN"/>
              </w:rPr>
              <w:t>每一项扣</w:t>
            </w:r>
            <w:r>
              <w:rPr>
                <w:rFonts w:hint="eastAsia" w:ascii="宋体" w:hAnsi="宋体" w:eastAsia="宋体" w:cs="宋体"/>
                <w:kern w:val="0"/>
                <w:sz w:val="22"/>
                <w:szCs w:val="22"/>
                <w:highlight w:val="none"/>
                <w:lang w:val="en-US" w:eastAsia="zh-CN"/>
              </w:rPr>
              <w:t>1分，标注</w:t>
            </w:r>
            <w:r>
              <w:rPr>
                <w:rFonts w:hint="eastAsia" w:ascii="宋体" w:hAnsi="宋体" w:eastAsia="宋体" w:cs="宋体"/>
                <w:b w:val="0"/>
                <w:color w:val="auto"/>
                <w:sz w:val="22"/>
                <w:szCs w:val="22"/>
                <w:highlight w:val="none"/>
              </w:rPr>
              <w:t>★</w:t>
            </w:r>
            <w:r>
              <w:rPr>
                <w:rFonts w:hint="eastAsia" w:ascii="宋体" w:hAnsi="宋体" w:eastAsia="宋体" w:cs="宋体"/>
                <w:color w:val="000000"/>
                <w:kern w:val="0"/>
                <w:sz w:val="22"/>
                <w:szCs w:val="22"/>
                <w:highlight w:val="none"/>
                <w:lang w:eastAsia="zh-CN"/>
              </w:rPr>
              <w:t>号是必须满足项，</w:t>
            </w:r>
            <w:r>
              <w:rPr>
                <w:rFonts w:hint="eastAsia" w:ascii="宋体" w:hAnsi="宋体" w:eastAsia="宋体" w:cs="宋体"/>
                <w:kern w:val="0"/>
                <w:sz w:val="22"/>
                <w:szCs w:val="22"/>
                <w:highlight w:val="none"/>
              </w:rPr>
              <w:t>满分10分</w:t>
            </w:r>
            <w:r>
              <w:rPr>
                <w:rFonts w:hint="eastAsia" w:ascii="宋体" w:hAnsi="宋体" w:eastAsia="宋体" w:cs="宋体"/>
                <w:kern w:val="0"/>
                <w:sz w:val="22"/>
                <w:szCs w:val="22"/>
                <w:highlight w:val="none"/>
                <w:lang w:eastAsia="zh-CN"/>
              </w:rPr>
              <w:t>。</w:t>
            </w:r>
          </w:p>
        </w:tc>
        <w:tc>
          <w:tcPr>
            <w:tcW w:w="892"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886" w:hRule="atLeast"/>
          <w:jc w:val="center"/>
        </w:trPr>
        <w:tc>
          <w:tcPr>
            <w:tcW w:w="1957"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防火墙</w:t>
            </w:r>
          </w:p>
        </w:tc>
        <w:tc>
          <w:tcPr>
            <w:tcW w:w="6371" w:type="dxa"/>
            <w:tcMar>
              <w:top w:w="28" w:type="dxa"/>
              <w:bottom w:w="2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kern w:val="0"/>
                <w:sz w:val="22"/>
                <w:szCs w:val="22"/>
                <w:highlight w:val="none"/>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号的技术以及参数指标要求在</w:t>
            </w:r>
            <w:r>
              <w:rPr>
                <w:rFonts w:hint="eastAsia" w:ascii="宋体" w:hAnsi="宋体" w:eastAsia="宋体" w:cs="宋体"/>
                <w:kern w:val="0"/>
                <w:sz w:val="22"/>
                <w:szCs w:val="22"/>
                <w:highlight w:val="none"/>
                <w:lang w:eastAsia="zh-CN"/>
              </w:rPr>
              <w:t>投标响应截图上</w:t>
            </w:r>
            <w:r>
              <w:rPr>
                <w:rFonts w:hint="eastAsia" w:ascii="宋体" w:hAnsi="宋体" w:eastAsia="宋体" w:cs="宋体"/>
                <w:kern w:val="0"/>
                <w:sz w:val="22"/>
                <w:szCs w:val="22"/>
                <w:highlight w:val="none"/>
              </w:rPr>
              <w:t>清晰描述</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rPr>
              <w:t>对性能指标及技术参数属负偏离或缺漏项的每项扣</w:t>
            </w:r>
            <w:r>
              <w:rPr>
                <w:rFonts w:hint="eastAsia" w:ascii="宋体" w:hAnsi="宋体" w:eastAsia="宋体" w:cs="宋体"/>
                <w:kern w:val="0"/>
                <w:sz w:val="22"/>
                <w:szCs w:val="22"/>
                <w:highlight w:val="none"/>
                <w:lang w:val="en-US" w:eastAsia="zh-CN"/>
              </w:rPr>
              <w:t>3</w:t>
            </w:r>
            <w:r>
              <w:rPr>
                <w:rFonts w:hint="eastAsia" w:ascii="宋体" w:hAnsi="宋体" w:eastAsia="宋体" w:cs="宋体"/>
                <w:kern w:val="0"/>
                <w:sz w:val="22"/>
                <w:szCs w:val="22"/>
                <w:highlight w:val="none"/>
              </w:rPr>
              <w:t>分，扣完为止，</w:t>
            </w:r>
            <w:r>
              <w:rPr>
                <w:rFonts w:hint="eastAsia" w:ascii="宋体" w:hAnsi="宋体" w:eastAsia="宋体" w:cs="宋体"/>
                <w:kern w:val="0"/>
                <w:sz w:val="22"/>
                <w:szCs w:val="22"/>
                <w:highlight w:val="none"/>
                <w:lang w:eastAsia="zh-CN"/>
              </w:rPr>
              <w:t>非标</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号</w:t>
            </w:r>
            <w:r>
              <w:rPr>
                <w:rFonts w:hint="eastAsia" w:ascii="宋体" w:hAnsi="宋体" w:eastAsia="宋体" w:cs="宋体"/>
                <w:kern w:val="0"/>
                <w:sz w:val="22"/>
                <w:szCs w:val="22"/>
                <w:highlight w:val="none"/>
                <w:lang w:eastAsia="zh-CN"/>
              </w:rPr>
              <w:t>每一项扣</w:t>
            </w:r>
            <w:r>
              <w:rPr>
                <w:rFonts w:hint="eastAsia" w:ascii="宋体" w:hAnsi="宋体" w:eastAsia="宋体" w:cs="宋体"/>
                <w:kern w:val="0"/>
                <w:sz w:val="22"/>
                <w:szCs w:val="22"/>
                <w:highlight w:val="none"/>
                <w:lang w:val="en-US" w:eastAsia="zh-CN"/>
              </w:rPr>
              <w:t>1分，标注</w:t>
            </w:r>
            <w:r>
              <w:rPr>
                <w:rFonts w:hint="eastAsia" w:ascii="宋体" w:hAnsi="宋体" w:eastAsia="宋体" w:cs="宋体"/>
                <w:b w:val="0"/>
                <w:color w:val="auto"/>
                <w:sz w:val="22"/>
                <w:szCs w:val="22"/>
                <w:highlight w:val="none"/>
              </w:rPr>
              <w:t>★</w:t>
            </w:r>
            <w:r>
              <w:rPr>
                <w:rFonts w:hint="eastAsia" w:ascii="宋体" w:hAnsi="宋体" w:eastAsia="宋体" w:cs="宋体"/>
                <w:color w:val="000000"/>
                <w:kern w:val="0"/>
                <w:sz w:val="22"/>
                <w:szCs w:val="22"/>
                <w:highlight w:val="none"/>
                <w:lang w:eastAsia="zh-CN"/>
              </w:rPr>
              <w:t>号是必须满足项，</w:t>
            </w:r>
            <w:r>
              <w:rPr>
                <w:rFonts w:hint="eastAsia" w:ascii="宋体" w:hAnsi="宋体" w:eastAsia="宋体" w:cs="宋体"/>
                <w:kern w:val="0"/>
                <w:sz w:val="22"/>
                <w:szCs w:val="22"/>
                <w:highlight w:val="none"/>
              </w:rPr>
              <w:t>满分</w:t>
            </w:r>
            <w:r>
              <w:rPr>
                <w:rFonts w:hint="eastAsia" w:ascii="宋体" w:hAnsi="宋体" w:eastAsia="宋体" w:cs="宋体"/>
                <w:kern w:val="0"/>
                <w:sz w:val="22"/>
                <w:szCs w:val="22"/>
                <w:highlight w:val="none"/>
                <w:lang w:val="en-US" w:eastAsia="zh-CN"/>
              </w:rPr>
              <w:t>5</w:t>
            </w:r>
            <w:r>
              <w:rPr>
                <w:rFonts w:hint="eastAsia" w:ascii="宋体" w:hAnsi="宋体" w:eastAsia="宋体" w:cs="宋体"/>
                <w:kern w:val="0"/>
                <w:sz w:val="22"/>
                <w:szCs w:val="22"/>
                <w:highlight w:val="none"/>
              </w:rPr>
              <w:t>分</w:t>
            </w:r>
            <w:r>
              <w:rPr>
                <w:rFonts w:hint="eastAsia" w:ascii="宋体" w:hAnsi="宋体" w:eastAsia="宋体" w:cs="宋体"/>
                <w:kern w:val="0"/>
                <w:sz w:val="22"/>
                <w:szCs w:val="22"/>
                <w:highlight w:val="none"/>
                <w:lang w:eastAsia="zh-CN"/>
              </w:rPr>
              <w:t>。</w:t>
            </w:r>
          </w:p>
        </w:tc>
        <w:tc>
          <w:tcPr>
            <w:tcW w:w="892"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12" w:hRule="atLeast"/>
          <w:jc w:val="center"/>
        </w:trPr>
        <w:tc>
          <w:tcPr>
            <w:tcW w:w="1957"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WAF防火墙</w:t>
            </w:r>
          </w:p>
        </w:tc>
        <w:tc>
          <w:tcPr>
            <w:tcW w:w="6371" w:type="dxa"/>
            <w:tcMar>
              <w:top w:w="28" w:type="dxa"/>
              <w:bottom w:w="2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lang w:eastAsia="zh-CN"/>
              </w:rPr>
            </w:pPr>
            <w:r>
              <w:rPr>
                <w:rFonts w:hint="eastAsia" w:ascii="宋体" w:hAnsi="宋体" w:eastAsia="宋体" w:cs="宋体"/>
                <w:kern w:val="0"/>
                <w:sz w:val="22"/>
                <w:szCs w:val="22"/>
                <w:highlight w:val="none"/>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号的技术以及参数指标要求在</w:t>
            </w:r>
            <w:r>
              <w:rPr>
                <w:rFonts w:hint="eastAsia" w:ascii="宋体" w:hAnsi="宋体" w:eastAsia="宋体" w:cs="宋体"/>
                <w:kern w:val="0"/>
                <w:sz w:val="22"/>
                <w:szCs w:val="22"/>
                <w:highlight w:val="none"/>
                <w:lang w:eastAsia="zh-CN"/>
              </w:rPr>
              <w:t>投标响应截图上</w:t>
            </w:r>
            <w:r>
              <w:rPr>
                <w:rFonts w:hint="eastAsia" w:ascii="宋体" w:hAnsi="宋体" w:eastAsia="宋体" w:cs="宋体"/>
                <w:kern w:val="0"/>
                <w:sz w:val="22"/>
                <w:szCs w:val="22"/>
                <w:highlight w:val="none"/>
              </w:rPr>
              <w:t>清晰描述</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rPr>
              <w:t>对性能指标及技术参数属负偏离或缺漏项的每项扣</w:t>
            </w:r>
            <w:r>
              <w:rPr>
                <w:rFonts w:hint="eastAsia" w:ascii="宋体" w:hAnsi="宋体" w:eastAsia="宋体" w:cs="宋体"/>
                <w:kern w:val="0"/>
                <w:sz w:val="22"/>
                <w:szCs w:val="22"/>
                <w:highlight w:val="none"/>
                <w:lang w:val="en-US" w:eastAsia="zh-CN"/>
              </w:rPr>
              <w:t>3</w:t>
            </w:r>
            <w:r>
              <w:rPr>
                <w:rFonts w:hint="eastAsia" w:ascii="宋体" w:hAnsi="宋体" w:eastAsia="宋体" w:cs="宋体"/>
                <w:kern w:val="0"/>
                <w:sz w:val="22"/>
                <w:szCs w:val="22"/>
                <w:highlight w:val="none"/>
              </w:rPr>
              <w:t>分，扣完为止，</w:t>
            </w:r>
            <w:r>
              <w:rPr>
                <w:rFonts w:hint="eastAsia" w:ascii="宋体" w:hAnsi="宋体" w:eastAsia="宋体" w:cs="宋体"/>
                <w:kern w:val="0"/>
                <w:sz w:val="22"/>
                <w:szCs w:val="22"/>
                <w:highlight w:val="none"/>
                <w:lang w:eastAsia="zh-CN"/>
              </w:rPr>
              <w:t>非标</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号</w:t>
            </w:r>
            <w:r>
              <w:rPr>
                <w:rFonts w:hint="eastAsia" w:ascii="宋体" w:hAnsi="宋体" w:eastAsia="宋体" w:cs="宋体"/>
                <w:kern w:val="0"/>
                <w:sz w:val="22"/>
                <w:szCs w:val="22"/>
                <w:highlight w:val="none"/>
                <w:lang w:eastAsia="zh-CN"/>
              </w:rPr>
              <w:t>每一项扣</w:t>
            </w:r>
            <w:r>
              <w:rPr>
                <w:rFonts w:hint="eastAsia" w:ascii="宋体" w:hAnsi="宋体" w:eastAsia="宋体" w:cs="宋体"/>
                <w:kern w:val="0"/>
                <w:sz w:val="22"/>
                <w:szCs w:val="22"/>
                <w:highlight w:val="none"/>
                <w:lang w:val="en-US" w:eastAsia="zh-CN"/>
              </w:rPr>
              <w:t>1分，标注</w:t>
            </w:r>
            <w:r>
              <w:rPr>
                <w:rFonts w:hint="eastAsia" w:ascii="宋体" w:hAnsi="宋体" w:eastAsia="宋体" w:cs="宋体"/>
                <w:b w:val="0"/>
                <w:color w:val="auto"/>
                <w:sz w:val="22"/>
                <w:szCs w:val="22"/>
                <w:highlight w:val="none"/>
              </w:rPr>
              <w:t>★</w:t>
            </w:r>
            <w:r>
              <w:rPr>
                <w:rFonts w:hint="eastAsia" w:ascii="宋体" w:hAnsi="宋体" w:eastAsia="宋体" w:cs="宋体"/>
                <w:color w:val="000000"/>
                <w:kern w:val="0"/>
                <w:sz w:val="22"/>
                <w:szCs w:val="22"/>
                <w:highlight w:val="none"/>
                <w:lang w:eastAsia="zh-CN"/>
              </w:rPr>
              <w:t>号是必须满足项，</w:t>
            </w:r>
            <w:r>
              <w:rPr>
                <w:rFonts w:hint="eastAsia" w:ascii="宋体" w:hAnsi="宋体" w:eastAsia="宋体" w:cs="宋体"/>
                <w:kern w:val="0"/>
                <w:sz w:val="22"/>
                <w:szCs w:val="22"/>
                <w:highlight w:val="none"/>
              </w:rPr>
              <w:t>满分</w:t>
            </w:r>
            <w:r>
              <w:rPr>
                <w:rFonts w:hint="eastAsia" w:ascii="宋体" w:hAnsi="宋体" w:eastAsia="宋体" w:cs="宋体"/>
                <w:kern w:val="0"/>
                <w:sz w:val="22"/>
                <w:szCs w:val="22"/>
                <w:highlight w:val="none"/>
                <w:lang w:val="en-US" w:eastAsia="zh-CN"/>
              </w:rPr>
              <w:t>5</w:t>
            </w:r>
            <w:r>
              <w:rPr>
                <w:rFonts w:hint="eastAsia" w:ascii="宋体" w:hAnsi="宋体" w:eastAsia="宋体" w:cs="宋体"/>
                <w:kern w:val="0"/>
                <w:sz w:val="22"/>
                <w:szCs w:val="22"/>
                <w:highlight w:val="none"/>
              </w:rPr>
              <w:t>分</w:t>
            </w:r>
            <w:r>
              <w:rPr>
                <w:rFonts w:hint="eastAsia" w:ascii="宋体" w:hAnsi="宋体" w:eastAsia="宋体" w:cs="宋体"/>
                <w:kern w:val="0"/>
                <w:sz w:val="22"/>
                <w:szCs w:val="22"/>
                <w:highlight w:val="none"/>
                <w:lang w:eastAsia="zh-CN"/>
              </w:rPr>
              <w:t>。</w:t>
            </w:r>
          </w:p>
        </w:tc>
        <w:tc>
          <w:tcPr>
            <w:tcW w:w="892"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12" w:hRule="atLeast"/>
          <w:jc w:val="center"/>
        </w:trPr>
        <w:tc>
          <w:tcPr>
            <w:tcW w:w="1957"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大容量存储</w:t>
            </w:r>
          </w:p>
        </w:tc>
        <w:tc>
          <w:tcPr>
            <w:tcW w:w="6371" w:type="dxa"/>
            <w:tcMar>
              <w:top w:w="28" w:type="dxa"/>
              <w:bottom w:w="2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号的技术以及参数指标要求在</w:t>
            </w:r>
            <w:r>
              <w:rPr>
                <w:rFonts w:hint="eastAsia" w:ascii="宋体" w:hAnsi="宋体" w:eastAsia="宋体" w:cs="宋体"/>
                <w:kern w:val="0"/>
                <w:sz w:val="22"/>
                <w:szCs w:val="22"/>
                <w:highlight w:val="none"/>
                <w:lang w:eastAsia="zh-CN"/>
              </w:rPr>
              <w:t>投标响应截图上</w:t>
            </w:r>
            <w:r>
              <w:rPr>
                <w:rFonts w:hint="eastAsia" w:ascii="宋体" w:hAnsi="宋体" w:eastAsia="宋体" w:cs="宋体"/>
                <w:kern w:val="0"/>
                <w:sz w:val="22"/>
                <w:szCs w:val="22"/>
                <w:highlight w:val="none"/>
              </w:rPr>
              <w:t>清晰描述</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rPr>
              <w:t>对性能指标及技术参数属负偏离或缺漏项的每项扣</w:t>
            </w:r>
            <w:r>
              <w:rPr>
                <w:rFonts w:hint="eastAsia" w:ascii="宋体" w:hAnsi="宋体" w:eastAsia="宋体" w:cs="宋体"/>
                <w:kern w:val="0"/>
                <w:sz w:val="22"/>
                <w:szCs w:val="22"/>
                <w:highlight w:val="none"/>
                <w:lang w:val="en-US" w:eastAsia="zh-CN"/>
              </w:rPr>
              <w:t>3</w:t>
            </w:r>
            <w:r>
              <w:rPr>
                <w:rFonts w:hint="eastAsia" w:ascii="宋体" w:hAnsi="宋体" w:eastAsia="宋体" w:cs="宋体"/>
                <w:kern w:val="0"/>
                <w:sz w:val="22"/>
                <w:szCs w:val="22"/>
                <w:highlight w:val="none"/>
              </w:rPr>
              <w:t>分，扣完为止，</w:t>
            </w:r>
            <w:r>
              <w:rPr>
                <w:rFonts w:hint="eastAsia" w:ascii="宋体" w:hAnsi="宋体" w:eastAsia="宋体" w:cs="宋体"/>
                <w:kern w:val="0"/>
                <w:sz w:val="22"/>
                <w:szCs w:val="22"/>
                <w:highlight w:val="none"/>
                <w:lang w:eastAsia="zh-CN"/>
              </w:rPr>
              <w:t>非标</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号</w:t>
            </w:r>
            <w:r>
              <w:rPr>
                <w:rFonts w:hint="eastAsia" w:ascii="宋体" w:hAnsi="宋体" w:eastAsia="宋体" w:cs="宋体"/>
                <w:kern w:val="0"/>
                <w:sz w:val="22"/>
                <w:szCs w:val="22"/>
                <w:highlight w:val="none"/>
                <w:lang w:eastAsia="zh-CN"/>
              </w:rPr>
              <w:t>每一项扣</w:t>
            </w:r>
            <w:r>
              <w:rPr>
                <w:rFonts w:hint="eastAsia" w:ascii="宋体" w:hAnsi="宋体" w:eastAsia="宋体" w:cs="宋体"/>
                <w:kern w:val="0"/>
                <w:sz w:val="22"/>
                <w:szCs w:val="22"/>
                <w:highlight w:val="none"/>
                <w:lang w:val="en-US" w:eastAsia="zh-CN"/>
              </w:rPr>
              <w:t>1分，标注</w:t>
            </w:r>
            <w:r>
              <w:rPr>
                <w:rFonts w:hint="eastAsia" w:ascii="宋体" w:hAnsi="宋体" w:eastAsia="宋体" w:cs="宋体"/>
                <w:b w:val="0"/>
                <w:color w:val="auto"/>
                <w:sz w:val="22"/>
                <w:szCs w:val="22"/>
                <w:highlight w:val="none"/>
              </w:rPr>
              <w:t>★</w:t>
            </w:r>
            <w:r>
              <w:rPr>
                <w:rFonts w:hint="eastAsia" w:ascii="宋体" w:hAnsi="宋体" w:eastAsia="宋体" w:cs="宋体"/>
                <w:color w:val="000000"/>
                <w:kern w:val="0"/>
                <w:sz w:val="22"/>
                <w:szCs w:val="22"/>
                <w:highlight w:val="none"/>
                <w:lang w:eastAsia="zh-CN"/>
              </w:rPr>
              <w:t>号是必须满足项，</w:t>
            </w:r>
            <w:r>
              <w:rPr>
                <w:rFonts w:hint="eastAsia" w:ascii="宋体" w:hAnsi="宋体" w:eastAsia="宋体" w:cs="宋体"/>
                <w:kern w:val="0"/>
                <w:sz w:val="22"/>
                <w:szCs w:val="22"/>
                <w:highlight w:val="none"/>
              </w:rPr>
              <w:t>满分</w:t>
            </w:r>
            <w:r>
              <w:rPr>
                <w:rFonts w:hint="eastAsia" w:ascii="宋体" w:hAnsi="宋体" w:cs="宋体"/>
                <w:kern w:val="0"/>
                <w:sz w:val="22"/>
                <w:szCs w:val="22"/>
                <w:highlight w:val="none"/>
                <w:lang w:val="en-US" w:eastAsia="zh-CN"/>
              </w:rPr>
              <w:t>5</w:t>
            </w:r>
            <w:r>
              <w:rPr>
                <w:rFonts w:hint="eastAsia" w:ascii="宋体" w:hAnsi="宋体" w:eastAsia="宋体" w:cs="宋体"/>
                <w:kern w:val="0"/>
                <w:sz w:val="22"/>
                <w:szCs w:val="22"/>
                <w:highlight w:val="none"/>
              </w:rPr>
              <w:t>分</w:t>
            </w:r>
            <w:r>
              <w:rPr>
                <w:rFonts w:hint="eastAsia" w:ascii="宋体" w:hAnsi="宋体" w:eastAsia="宋体" w:cs="宋体"/>
                <w:kern w:val="0"/>
                <w:sz w:val="22"/>
                <w:szCs w:val="22"/>
                <w:highlight w:val="none"/>
                <w:lang w:eastAsia="zh-CN"/>
              </w:rPr>
              <w:t>。</w:t>
            </w:r>
          </w:p>
        </w:tc>
        <w:tc>
          <w:tcPr>
            <w:tcW w:w="892"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12" w:hRule="atLeast"/>
          <w:jc w:val="center"/>
        </w:trPr>
        <w:tc>
          <w:tcPr>
            <w:tcW w:w="1957"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智能路由</w:t>
            </w:r>
          </w:p>
        </w:tc>
        <w:tc>
          <w:tcPr>
            <w:tcW w:w="6371" w:type="dxa"/>
            <w:tcMar>
              <w:top w:w="28" w:type="dxa"/>
              <w:bottom w:w="2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lang w:eastAsia="zh-CN"/>
              </w:rPr>
            </w:pPr>
            <w:r>
              <w:rPr>
                <w:rFonts w:hint="eastAsia" w:ascii="宋体" w:hAnsi="宋体" w:eastAsia="宋体" w:cs="宋体"/>
                <w:kern w:val="0"/>
                <w:sz w:val="22"/>
                <w:szCs w:val="22"/>
                <w:highlight w:val="none"/>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号的技术以及参数指标要求在</w:t>
            </w:r>
            <w:r>
              <w:rPr>
                <w:rFonts w:hint="eastAsia" w:ascii="宋体" w:hAnsi="宋体" w:eastAsia="宋体" w:cs="宋体"/>
                <w:kern w:val="0"/>
                <w:sz w:val="22"/>
                <w:szCs w:val="22"/>
                <w:highlight w:val="none"/>
                <w:lang w:eastAsia="zh-CN"/>
              </w:rPr>
              <w:t>投标响应截图上</w:t>
            </w:r>
            <w:r>
              <w:rPr>
                <w:rFonts w:hint="eastAsia" w:ascii="宋体" w:hAnsi="宋体" w:eastAsia="宋体" w:cs="宋体"/>
                <w:kern w:val="0"/>
                <w:sz w:val="22"/>
                <w:szCs w:val="22"/>
                <w:highlight w:val="none"/>
              </w:rPr>
              <w:t>清晰描述</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rPr>
              <w:t>对性能指标及技术参数属负偏离或缺漏项的每项扣</w:t>
            </w:r>
            <w:r>
              <w:rPr>
                <w:rFonts w:hint="eastAsia" w:ascii="宋体" w:hAnsi="宋体" w:eastAsia="宋体" w:cs="宋体"/>
                <w:kern w:val="0"/>
                <w:sz w:val="22"/>
                <w:szCs w:val="22"/>
                <w:highlight w:val="none"/>
                <w:lang w:val="en-US" w:eastAsia="zh-CN"/>
              </w:rPr>
              <w:t>3</w:t>
            </w:r>
            <w:r>
              <w:rPr>
                <w:rFonts w:hint="eastAsia" w:ascii="宋体" w:hAnsi="宋体" w:eastAsia="宋体" w:cs="宋体"/>
                <w:kern w:val="0"/>
                <w:sz w:val="22"/>
                <w:szCs w:val="22"/>
                <w:highlight w:val="none"/>
              </w:rPr>
              <w:t>分，扣完为止，</w:t>
            </w:r>
            <w:r>
              <w:rPr>
                <w:rFonts w:hint="eastAsia" w:ascii="宋体" w:hAnsi="宋体" w:eastAsia="宋体" w:cs="宋体"/>
                <w:kern w:val="0"/>
                <w:sz w:val="22"/>
                <w:szCs w:val="22"/>
                <w:highlight w:val="none"/>
                <w:lang w:eastAsia="zh-CN"/>
              </w:rPr>
              <w:t>非标</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号</w:t>
            </w:r>
            <w:r>
              <w:rPr>
                <w:rFonts w:hint="eastAsia" w:ascii="宋体" w:hAnsi="宋体" w:eastAsia="宋体" w:cs="宋体"/>
                <w:kern w:val="0"/>
                <w:sz w:val="22"/>
                <w:szCs w:val="22"/>
                <w:highlight w:val="none"/>
                <w:lang w:eastAsia="zh-CN"/>
              </w:rPr>
              <w:t>每一项扣</w:t>
            </w:r>
            <w:r>
              <w:rPr>
                <w:rFonts w:hint="eastAsia" w:ascii="宋体" w:hAnsi="宋体" w:eastAsia="宋体" w:cs="宋体"/>
                <w:kern w:val="0"/>
                <w:sz w:val="22"/>
                <w:szCs w:val="22"/>
                <w:highlight w:val="none"/>
                <w:lang w:val="en-US" w:eastAsia="zh-CN"/>
              </w:rPr>
              <w:t>1分，标注</w:t>
            </w:r>
            <w:r>
              <w:rPr>
                <w:rFonts w:hint="eastAsia" w:ascii="宋体" w:hAnsi="宋体" w:eastAsia="宋体" w:cs="宋体"/>
                <w:b w:val="0"/>
                <w:color w:val="auto"/>
                <w:sz w:val="22"/>
                <w:szCs w:val="22"/>
                <w:highlight w:val="none"/>
              </w:rPr>
              <w:t>★</w:t>
            </w:r>
            <w:r>
              <w:rPr>
                <w:rFonts w:hint="eastAsia" w:ascii="宋体" w:hAnsi="宋体" w:eastAsia="宋体" w:cs="宋体"/>
                <w:color w:val="000000"/>
                <w:kern w:val="0"/>
                <w:sz w:val="22"/>
                <w:szCs w:val="22"/>
                <w:highlight w:val="none"/>
                <w:lang w:eastAsia="zh-CN"/>
              </w:rPr>
              <w:t>号是必须满足项，</w:t>
            </w:r>
            <w:r>
              <w:rPr>
                <w:rFonts w:hint="eastAsia" w:ascii="宋体" w:hAnsi="宋体" w:eastAsia="宋体" w:cs="宋体"/>
                <w:kern w:val="0"/>
                <w:sz w:val="22"/>
                <w:szCs w:val="22"/>
                <w:highlight w:val="none"/>
              </w:rPr>
              <w:t>满分</w:t>
            </w:r>
            <w:r>
              <w:rPr>
                <w:rFonts w:hint="eastAsia" w:ascii="宋体" w:hAnsi="宋体" w:cs="宋体"/>
                <w:kern w:val="0"/>
                <w:sz w:val="22"/>
                <w:szCs w:val="22"/>
                <w:highlight w:val="none"/>
                <w:lang w:val="en-US" w:eastAsia="zh-CN"/>
              </w:rPr>
              <w:t>5</w:t>
            </w:r>
            <w:r>
              <w:rPr>
                <w:rFonts w:hint="eastAsia" w:ascii="宋体" w:hAnsi="宋体" w:eastAsia="宋体" w:cs="宋体"/>
                <w:kern w:val="0"/>
                <w:sz w:val="22"/>
                <w:szCs w:val="22"/>
                <w:highlight w:val="none"/>
              </w:rPr>
              <w:t>分</w:t>
            </w:r>
            <w:r>
              <w:rPr>
                <w:rFonts w:hint="eastAsia" w:ascii="宋体" w:hAnsi="宋体" w:eastAsia="宋体" w:cs="宋体"/>
                <w:kern w:val="0"/>
                <w:sz w:val="22"/>
                <w:szCs w:val="22"/>
                <w:highlight w:val="none"/>
                <w:lang w:eastAsia="zh-CN"/>
              </w:rPr>
              <w:t>。</w:t>
            </w:r>
          </w:p>
        </w:tc>
        <w:tc>
          <w:tcPr>
            <w:tcW w:w="892"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18" w:hRule="atLeast"/>
          <w:jc w:val="center"/>
        </w:trPr>
        <w:tc>
          <w:tcPr>
            <w:tcW w:w="1957"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一体化大屏</w:t>
            </w:r>
          </w:p>
        </w:tc>
        <w:tc>
          <w:tcPr>
            <w:tcW w:w="6371" w:type="dxa"/>
            <w:tcMar>
              <w:top w:w="28" w:type="dxa"/>
              <w:bottom w:w="2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lang w:eastAsia="zh-CN"/>
              </w:rPr>
            </w:pPr>
            <w:r>
              <w:rPr>
                <w:rFonts w:hint="eastAsia" w:ascii="宋体" w:hAnsi="宋体" w:eastAsia="宋体" w:cs="宋体"/>
                <w:kern w:val="0"/>
                <w:sz w:val="22"/>
                <w:szCs w:val="22"/>
                <w:highlight w:val="none"/>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号的技术以及参数指标要求在</w:t>
            </w:r>
            <w:r>
              <w:rPr>
                <w:rFonts w:hint="eastAsia" w:ascii="宋体" w:hAnsi="宋体" w:eastAsia="宋体" w:cs="宋体"/>
                <w:kern w:val="0"/>
                <w:sz w:val="22"/>
                <w:szCs w:val="22"/>
                <w:highlight w:val="none"/>
                <w:lang w:eastAsia="zh-CN"/>
              </w:rPr>
              <w:t>投标响应截图上</w:t>
            </w:r>
            <w:r>
              <w:rPr>
                <w:rFonts w:hint="eastAsia" w:ascii="宋体" w:hAnsi="宋体" w:eastAsia="宋体" w:cs="宋体"/>
                <w:kern w:val="0"/>
                <w:sz w:val="22"/>
                <w:szCs w:val="22"/>
                <w:highlight w:val="none"/>
              </w:rPr>
              <w:t>清晰描述</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rPr>
              <w:t>对性能指标及技术参数属负偏离或缺漏项的每项扣</w:t>
            </w:r>
            <w:r>
              <w:rPr>
                <w:rFonts w:hint="eastAsia" w:ascii="宋体" w:hAnsi="宋体" w:eastAsia="宋体" w:cs="宋体"/>
                <w:kern w:val="0"/>
                <w:sz w:val="22"/>
                <w:szCs w:val="22"/>
                <w:highlight w:val="none"/>
                <w:lang w:val="en-US" w:eastAsia="zh-CN"/>
              </w:rPr>
              <w:t>3</w:t>
            </w:r>
            <w:r>
              <w:rPr>
                <w:rFonts w:hint="eastAsia" w:ascii="宋体" w:hAnsi="宋体" w:eastAsia="宋体" w:cs="宋体"/>
                <w:kern w:val="0"/>
                <w:sz w:val="22"/>
                <w:szCs w:val="22"/>
                <w:highlight w:val="none"/>
              </w:rPr>
              <w:t>分，扣完为止，</w:t>
            </w:r>
            <w:r>
              <w:rPr>
                <w:rFonts w:hint="eastAsia" w:ascii="宋体" w:hAnsi="宋体" w:eastAsia="宋体" w:cs="宋体"/>
                <w:kern w:val="0"/>
                <w:sz w:val="22"/>
                <w:szCs w:val="22"/>
                <w:highlight w:val="none"/>
                <w:lang w:eastAsia="zh-CN"/>
              </w:rPr>
              <w:t>非标</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号</w:t>
            </w:r>
            <w:r>
              <w:rPr>
                <w:rFonts w:hint="eastAsia" w:ascii="宋体" w:hAnsi="宋体" w:eastAsia="宋体" w:cs="宋体"/>
                <w:kern w:val="0"/>
                <w:sz w:val="22"/>
                <w:szCs w:val="22"/>
                <w:highlight w:val="none"/>
                <w:lang w:eastAsia="zh-CN"/>
              </w:rPr>
              <w:t>每一项扣</w:t>
            </w:r>
            <w:r>
              <w:rPr>
                <w:rFonts w:hint="eastAsia" w:ascii="宋体" w:hAnsi="宋体" w:eastAsia="宋体" w:cs="宋体"/>
                <w:kern w:val="0"/>
                <w:sz w:val="22"/>
                <w:szCs w:val="22"/>
                <w:highlight w:val="none"/>
                <w:lang w:val="en-US" w:eastAsia="zh-CN"/>
              </w:rPr>
              <w:t>1分，标注</w:t>
            </w:r>
            <w:r>
              <w:rPr>
                <w:rFonts w:hint="eastAsia" w:ascii="宋体" w:hAnsi="宋体" w:eastAsia="宋体" w:cs="宋体"/>
                <w:b w:val="0"/>
                <w:color w:val="auto"/>
                <w:sz w:val="22"/>
                <w:szCs w:val="22"/>
                <w:highlight w:val="none"/>
              </w:rPr>
              <w:t>★</w:t>
            </w:r>
            <w:r>
              <w:rPr>
                <w:rFonts w:hint="eastAsia" w:ascii="宋体" w:hAnsi="宋体" w:eastAsia="宋体" w:cs="宋体"/>
                <w:color w:val="000000"/>
                <w:kern w:val="0"/>
                <w:sz w:val="22"/>
                <w:szCs w:val="22"/>
                <w:highlight w:val="none"/>
                <w:lang w:eastAsia="zh-CN"/>
              </w:rPr>
              <w:t>号是必须满足项，</w:t>
            </w:r>
            <w:r>
              <w:rPr>
                <w:rFonts w:hint="eastAsia" w:ascii="宋体" w:hAnsi="宋体" w:eastAsia="宋体" w:cs="宋体"/>
                <w:kern w:val="0"/>
                <w:sz w:val="22"/>
                <w:szCs w:val="22"/>
                <w:highlight w:val="none"/>
              </w:rPr>
              <w:t>满分</w:t>
            </w:r>
            <w:r>
              <w:rPr>
                <w:rFonts w:hint="eastAsia" w:ascii="宋体" w:hAnsi="宋体" w:cs="宋体"/>
                <w:kern w:val="0"/>
                <w:sz w:val="22"/>
                <w:szCs w:val="22"/>
                <w:highlight w:val="none"/>
                <w:lang w:val="en-US" w:eastAsia="zh-CN"/>
              </w:rPr>
              <w:t>10</w:t>
            </w:r>
            <w:r>
              <w:rPr>
                <w:rFonts w:hint="eastAsia" w:ascii="宋体" w:hAnsi="宋体" w:eastAsia="宋体" w:cs="宋体"/>
                <w:kern w:val="0"/>
                <w:sz w:val="22"/>
                <w:szCs w:val="22"/>
                <w:highlight w:val="none"/>
              </w:rPr>
              <w:t>分</w:t>
            </w:r>
            <w:r>
              <w:rPr>
                <w:rFonts w:hint="eastAsia" w:ascii="宋体" w:hAnsi="宋体" w:eastAsia="宋体" w:cs="宋体"/>
                <w:kern w:val="0"/>
                <w:sz w:val="22"/>
                <w:szCs w:val="22"/>
                <w:highlight w:val="none"/>
                <w:lang w:eastAsia="zh-CN"/>
              </w:rPr>
              <w:t>。</w:t>
            </w:r>
          </w:p>
        </w:tc>
        <w:tc>
          <w:tcPr>
            <w:tcW w:w="892"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12" w:hRule="atLeast"/>
          <w:jc w:val="center"/>
        </w:trPr>
        <w:tc>
          <w:tcPr>
            <w:tcW w:w="1957"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容灾系统</w:t>
            </w:r>
          </w:p>
        </w:tc>
        <w:tc>
          <w:tcPr>
            <w:tcW w:w="6371" w:type="dxa"/>
            <w:tcMar>
              <w:top w:w="28" w:type="dxa"/>
              <w:bottom w:w="2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lang w:eastAsia="zh-CN"/>
              </w:rPr>
            </w:pPr>
            <w:r>
              <w:rPr>
                <w:rFonts w:hint="eastAsia" w:ascii="宋体" w:hAnsi="宋体" w:eastAsia="宋体" w:cs="宋体"/>
                <w:kern w:val="0"/>
                <w:sz w:val="22"/>
                <w:szCs w:val="22"/>
                <w:highlight w:val="none"/>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号的技术以及参数指标要求在</w:t>
            </w:r>
            <w:r>
              <w:rPr>
                <w:rFonts w:hint="eastAsia" w:ascii="宋体" w:hAnsi="宋体" w:eastAsia="宋体" w:cs="宋体"/>
                <w:kern w:val="0"/>
                <w:sz w:val="22"/>
                <w:szCs w:val="22"/>
                <w:highlight w:val="none"/>
                <w:lang w:eastAsia="zh-CN"/>
              </w:rPr>
              <w:t>投标响应截图上</w:t>
            </w:r>
            <w:r>
              <w:rPr>
                <w:rFonts w:hint="eastAsia" w:ascii="宋体" w:hAnsi="宋体" w:eastAsia="宋体" w:cs="宋体"/>
                <w:kern w:val="0"/>
                <w:sz w:val="22"/>
                <w:szCs w:val="22"/>
                <w:highlight w:val="none"/>
              </w:rPr>
              <w:t>清晰描述</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rPr>
              <w:t>对性能指标及技术参数属负偏离或缺漏项的每项扣</w:t>
            </w:r>
            <w:r>
              <w:rPr>
                <w:rFonts w:hint="eastAsia" w:ascii="宋体" w:hAnsi="宋体" w:eastAsia="宋体" w:cs="宋体"/>
                <w:kern w:val="0"/>
                <w:sz w:val="22"/>
                <w:szCs w:val="22"/>
                <w:highlight w:val="none"/>
                <w:lang w:val="en-US" w:eastAsia="zh-CN"/>
              </w:rPr>
              <w:t>3</w:t>
            </w:r>
            <w:r>
              <w:rPr>
                <w:rFonts w:hint="eastAsia" w:ascii="宋体" w:hAnsi="宋体" w:eastAsia="宋体" w:cs="宋体"/>
                <w:kern w:val="0"/>
                <w:sz w:val="22"/>
                <w:szCs w:val="22"/>
                <w:highlight w:val="none"/>
              </w:rPr>
              <w:t>分，扣完为止，</w:t>
            </w:r>
            <w:r>
              <w:rPr>
                <w:rFonts w:hint="eastAsia" w:ascii="宋体" w:hAnsi="宋体" w:eastAsia="宋体" w:cs="宋体"/>
                <w:kern w:val="0"/>
                <w:sz w:val="22"/>
                <w:szCs w:val="22"/>
                <w:highlight w:val="none"/>
                <w:lang w:eastAsia="zh-CN"/>
              </w:rPr>
              <w:t>非标</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号</w:t>
            </w:r>
            <w:r>
              <w:rPr>
                <w:rFonts w:hint="eastAsia" w:ascii="宋体" w:hAnsi="宋体" w:eastAsia="宋体" w:cs="宋体"/>
                <w:kern w:val="0"/>
                <w:sz w:val="22"/>
                <w:szCs w:val="22"/>
                <w:highlight w:val="none"/>
                <w:lang w:eastAsia="zh-CN"/>
              </w:rPr>
              <w:t>每一项扣</w:t>
            </w:r>
            <w:r>
              <w:rPr>
                <w:rFonts w:hint="eastAsia" w:ascii="宋体" w:hAnsi="宋体" w:eastAsia="宋体" w:cs="宋体"/>
                <w:kern w:val="0"/>
                <w:sz w:val="22"/>
                <w:szCs w:val="22"/>
                <w:highlight w:val="none"/>
                <w:lang w:val="en-US" w:eastAsia="zh-CN"/>
              </w:rPr>
              <w:t>1分，标注</w:t>
            </w:r>
            <w:r>
              <w:rPr>
                <w:rFonts w:hint="eastAsia" w:ascii="宋体" w:hAnsi="宋体" w:eastAsia="宋体" w:cs="宋体"/>
                <w:b w:val="0"/>
                <w:color w:val="auto"/>
                <w:sz w:val="22"/>
                <w:szCs w:val="22"/>
                <w:highlight w:val="none"/>
              </w:rPr>
              <w:t>★</w:t>
            </w:r>
            <w:r>
              <w:rPr>
                <w:rFonts w:hint="eastAsia" w:ascii="宋体" w:hAnsi="宋体" w:eastAsia="宋体" w:cs="宋体"/>
                <w:color w:val="000000"/>
                <w:kern w:val="0"/>
                <w:sz w:val="22"/>
                <w:szCs w:val="22"/>
                <w:highlight w:val="none"/>
                <w:lang w:eastAsia="zh-CN"/>
              </w:rPr>
              <w:t>号是必须满足项，</w:t>
            </w:r>
            <w:r>
              <w:rPr>
                <w:rFonts w:hint="eastAsia" w:ascii="宋体" w:hAnsi="宋体" w:eastAsia="宋体" w:cs="宋体"/>
                <w:kern w:val="0"/>
                <w:sz w:val="22"/>
                <w:szCs w:val="22"/>
                <w:highlight w:val="none"/>
              </w:rPr>
              <w:t>满分</w:t>
            </w:r>
            <w:r>
              <w:rPr>
                <w:rFonts w:hint="eastAsia" w:ascii="宋体" w:hAnsi="宋体" w:eastAsia="宋体" w:cs="宋体"/>
                <w:kern w:val="0"/>
                <w:sz w:val="22"/>
                <w:szCs w:val="22"/>
                <w:highlight w:val="none"/>
                <w:lang w:val="en-US" w:eastAsia="zh-CN"/>
              </w:rPr>
              <w:t>5</w:t>
            </w:r>
            <w:r>
              <w:rPr>
                <w:rFonts w:hint="eastAsia" w:ascii="宋体" w:hAnsi="宋体" w:eastAsia="宋体" w:cs="宋体"/>
                <w:kern w:val="0"/>
                <w:sz w:val="22"/>
                <w:szCs w:val="22"/>
                <w:highlight w:val="none"/>
              </w:rPr>
              <w:t>分</w:t>
            </w:r>
            <w:r>
              <w:rPr>
                <w:rFonts w:hint="eastAsia" w:ascii="宋体" w:hAnsi="宋体" w:eastAsia="宋体" w:cs="宋体"/>
                <w:kern w:val="0"/>
                <w:sz w:val="22"/>
                <w:szCs w:val="22"/>
                <w:highlight w:val="none"/>
                <w:lang w:eastAsia="zh-CN"/>
              </w:rPr>
              <w:t>。</w:t>
            </w:r>
          </w:p>
        </w:tc>
        <w:tc>
          <w:tcPr>
            <w:tcW w:w="892" w:type="dxa"/>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12" w:hRule="atLeast"/>
          <w:jc w:val="center"/>
        </w:trPr>
        <w:tc>
          <w:tcPr>
            <w:tcW w:w="1957" w:type="dxa"/>
            <w:tcBorders>
              <w:top w:val="single" w:color="auto" w:sz="2" w:space="0"/>
              <w:left w:val="single" w:color="auto" w:sz="2" w:space="0"/>
              <w:bottom w:val="single" w:color="auto" w:sz="2" w:space="0"/>
              <w:right w:val="single" w:color="auto" w:sz="2" w:space="0"/>
            </w:tcBorders>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虚拟化防护</w:t>
            </w:r>
          </w:p>
        </w:tc>
        <w:tc>
          <w:tcPr>
            <w:tcW w:w="6371" w:type="dxa"/>
            <w:tcBorders>
              <w:top w:val="single" w:color="auto" w:sz="2" w:space="0"/>
              <w:left w:val="single" w:color="auto" w:sz="2" w:space="0"/>
              <w:bottom w:val="single" w:color="auto" w:sz="2" w:space="0"/>
              <w:right w:val="single" w:color="auto" w:sz="2" w:space="0"/>
            </w:tcBorders>
            <w:tcMar>
              <w:top w:w="28" w:type="dxa"/>
              <w:bottom w:w="2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号的技术以及参数指标要求在</w:t>
            </w:r>
            <w:r>
              <w:rPr>
                <w:rFonts w:hint="eastAsia" w:ascii="宋体" w:hAnsi="宋体" w:eastAsia="宋体" w:cs="宋体"/>
                <w:kern w:val="0"/>
                <w:sz w:val="22"/>
                <w:szCs w:val="22"/>
                <w:highlight w:val="none"/>
                <w:lang w:eastAsia="zh-CN"/>
              </w:rPr>
              <w:t>投标响应截图上</w:t>
            </w:r>
            <w:r>
              <w:rPr>
                <w:rFonts w:hint="eastAsia" w:ascii="宋体" w:hAnsi="宋体" w:eastAsia="宋体" w:cs="宋体"/>
                <w:kern w:val="0"/>
                <w:sz w:val="22"/>
                <w:szCs w:val="22"/>
                <w:highlight w:val="none"/>
              </w:rPr>
              <w:t>清晰描述</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rPr>
              <w:t>对性能指标及技术参数属负偏离或缺漏项的每项扣</w:t>
            </w:r>
            <w:r>
              <w:rPr>
                <w:rFonts w:hint="eastAsia" w:ascii="宋体" w:hAnsi="宋体" w:eastAsia="宋体" w:cs="宋体"/>
                <w:kern w:val="0"/>
                <w:sz w:val="22"/>
                <w:szCs w:val="22"/>
                <w:highlight w:val="none"/>
                <w:lang w:val="en-US" w:eastAsia="zh-CN"/>
              </w:rPr>
              <w:t>3</w:t>
            </w:r>
            <w:r>
              <w:rPr>
                <w:rFonts w:hint="eastAsia" w:ascii="宋体" w:hAnsi="宋体" w:eastAsia="宋体" w:cs="宋体"/>
                <w:kern w:val="0"/>
                <w:sz w:val="22"/>
                <w:szCs w:val="22"/>
                <w:highlight w:val="none"/>
              </w:rPr>
              <w:t>分，扣完为止，</w:t>
            </w:r>
            <w:r>
              <w:rPr>
                <w:rFonts w:hint="eastAsia" w:ascii="宋体" w:hAnsi="宋体" w:eastAsia="宋体" w:cs="宋体"/>
                <w:kern w:val="0"/>
                <w:sz w:val="22"/>
                <w:szCs w:val="22"/>
                <w:highlight w:val="none"/>
                <w:lang w:eastAsia="zh-CN"/>
              </w:rPr>
              <w:t>非标</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号</w:t>
            </w:r>
            <w:r>
              <w:rPr>
                <w:rFonts w:hint="eastAsia" w:ascii="宋体" w:hAnsi="宋体" w:eastAsia="宋体" w:cs="宋体"/>
                <w:kern w:val="0"/>
                <w:sz w:val="22"/>
                <w:szCs w:val="22"/>
                <w:highlight w:val="none"/>
                <w:lang w:eastAsia="zh-CN"/>
              </w:rPr>
              <w:t>每一项扣</w:t>
            </w:r>
            <w:r>
              <w:rPr>
                <w:rFonts w:hint="eastAsia" w:ascii="宋体" w:hAnsi="宋体" w:eastAsia="宋体" w:cs="宋体"/>
                <w:kern w:val="0"/>
                <w:sz w:val="22"/>
                <w:szCs w:val="22"/>
                <w:highlight w:val="none"/>
                <w:lang w:val="en-US" w:eastAsia="zh-CN"/>
              </w:rPr>
              <w:t>1分，标注</w:t>
            </w:r>
            <w:r>
              <w:rPr>
                <w:rFonts w:hint="eastAsia" w:ascii="宋体" w:hAnsi="宋体" w:eastAsia="宋体" w:cs="宋体"/>
                <w:b w:val="0"/>
                <w:color w:val="auto"/>
                <w:sz w:val="22"/>
                <w:szCs w:val="22"/>
                <w:highlight w:val="none"/>
              </w:rPr>
              <w:t>★</w:t>
            </w:r>
            <w:r>
              <w:rPr>
                <w:rFonts w:hint="eastAsia" w:ascii="宋体" w:hAnsi="宋体" w:eastAsia="宋体" w:cs="宋体"/>
                <w:color w:val="000000"/>
                <w:kern w:val="0"/>
                <w:sz w:val="22"/>
                <w:szCs w:val="22"/>
                <w:highlight w:val="none"/>
                <w:lang w:eastAsia="zh-CN"/>
              </w:rPr>
              <w:t>号是必须满足项，</w:t>
            </w:r>
            <w:r>
              <w:rPr>
                <w:rFonts w:hint="eastAsia" w:ascii="宋体" w:hAnsi="宋体" w:eastAsia="宋体" w:cs="宋体"/>
                <w:kern w:val="0"/>
                <w:sz w:val="22"/>
                <w:szCs w:val="22"/>
                <w:highlight w:val="none"/>
              </w:rPr>
              <w:t>满分</w:t>
            </w:r>
            <w:r>
              <w:rPr>
                <w:rFonts w:hint="eastAsia" w:ascii="宋体" w:hAnsi="宋体" w:eastAsia="宋体" w:cs="宋体"/>
                <w:kern w:val="0"/>
                <w:sz w:val="22"/>
                <w:szCs w:val="22"/>
                <w:highlight w:val="none"/>
                <w:lang w:val="en-US" w:eastAsia="zh-CN"/>
              </w:rPr>
              <w:t>5</w:t>
            </w:r>
            <w:r>
              <w:rPr>
                <w:rFonts w:hint="eastAsia" w:ascii="宋体" w:hAnsi="宋体" w:eastAsia="宋体" w:cs="宋体"/>
                <w:kern w:val="0"/>
                <w:sz w:val="22"/>
                <w:szCs w:val="22"/>
                <w:highlight w:val="none"/>
              </w:rPr>
              <w:t>分</w:t>
            </w:r>
            <w:r>
              <w:rPr>
                <w:rFonts w:hint="eastAsia" w:ascii="宋体" w:hAnsi="宋体" w:eastAsia="宋体" w:cs="宋体"/>
                <w:kern w:val="0"/>
                <w:sz w:val="22"/>
                <w:szCs w:val="22"/>
                <w:highlight w:val="none"/>
                <w:lang w:eastAsia="zh-CN"/>
              </w:rPr>
              <w:t>。</w:t>
            </w:r>
          </w:p>
        </w:tc>
        <w:tc>
          <w:tcPr>
            <w:tcW w:w="892" w:type="dxa"/>
            <w:tcBorders>
              <w:top w:val="single" w:color="auto" w:sz="2" w:space="0"/>
              <w:left w:val="single" w:color="auto" w:sz="2" w:space="0"/>
              <w:bottom w:val="single" w:color="auto" w:sz="2" w:space="0"/>
              <w:right w:val="single" w:color="auto" w:sz="2" w:space="0"/>
            </w:tcBorders>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91" w:hRule="atLeast"/>
          <w:jc w:val="center"/>
        </w:trPr>
        <w:tc>
          <w:tcPr>
            <w:tcW w:w="1957" w:type="dxa"/>
            <w:vMerge w:val="restart"/>
            <w:tcBorders>
              <w:top w:val="single" w:color="auto" w:sz="2" w:space="0"/>
              <w:left w:val="single" w:color="auto" w:sz="2" w:space="0"/>
              <w:right w:val="single" w:color="auto" w:sz="2" w:space="0"/>
            </w:tcBorders>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技术方案</w:t>
            </w:r>
          </w:p>
        </w:tc>
        <w:tc>
          <w:tcPr>
            <w:tcW w:w="6371" w:type="dxa"/>
            <w:tcBorders>
              <w:top w:val="single" w:color="auto" w:sz="2" w:space="0"/>
              <w:left w:val="single" w:color="auto" w:sz="2" w:space="0"/>
              <w:bottom w:val="single" w:color="auto" w:sz="2" w:space="0"/>
              <w:right w:val="single" w:color="auto" w:sz="2" w:space="0"/>
            </w:tcBorders>
            <w:tcMar>
              <w:top w:w="28" w:type="dxa"/>
              <w:bottom w:w="2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中心不见面开标及乡镇不见面开标方案需求分析及重点、难点环节的理解，解决方案是否完整、切实可行、措施得力。优得</w:t>
            </w:r>
            <w:r>
              <w:rPr>
                <w:rFonts w:hint="eastAsia" w:ascii="宋体" w:hAnsi="宋体" w:eastAsia="宋体" w:cs="宋体"/>
                <w:sz w:val="22"/>
                <w:szCs w:val="22"/>
                <w:highlight w:val="none"/>
                <w:lang w:val="en-US" w:eastAsia="zh-CN"/>
              </w:rPr>
              <w:t>4-5</w:t>
            </w:r>
            <w:r>
              <w:rPr>
                <w:rFonts w:hint="eastAsia" w:ascii="宋体" w:hAnsi="宋体" w:eastAsia="宋体" w:cs="宋体"/>
                <w:sz w:val="22"/>
                <w:szCs w:val="22"/>
                <w:highlight w:val="none"/>
              </w:rPr>
              <w:t>分；良得2</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分；一般得 1-0 分。根据实际情况酌情给分。</w:t>
            </w:r>
          </w:p>
        </w:tc>
        <w:tc>
          <w:tcPr>
            <w:tcW w:w="892" w:type="dxa"/>
            <w:tcBorders>
              <w:top w:val="single" w:color="auto" w:sz="2" w:space="0"/>
              <w:left w:val="single" w:color="auto" w:sz="2" w:space="0"/>
              <w:bottom w:val="single" w:color="auto" w:sz="2" w:space="0"/>
              <w:right w:val="single" w:color="auto" w:sz="2" w:space="0"/>
            </w:tcBorders>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03" w:hRule="atLeast"/>
          <w:jc w:val="center"/>
        </w:trPr>
        <w:tc>
          <w:tcPr>
            <w:tcW w:w="1957" w:type="dxa"/>
            <w:vMerge w:val="continue"/>
            <w:tcBorders>
              <w:left w:val="single" w:color="auto" w:sz="2" w:space="0"/>
              <w:bottom w:val="single" w:color="auto" w:sz="2" w:space="0"/>
              <w:right w:val="single" w:color="auto" w:sz="2" w:space="0"/>
            </w:tcBorders>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6371" w:type="dxa"/>
            <w:tcBorders>
              <w:top w:val="single" w:color="auto" w:sz="2" w:space="0"/>
              <w:left w:val="single" w:color="auto" w:sz="2" w:space="0"/>
              <w:bottom w:val="single" w:color="auto" w:sz="2" w:space="0"/>
              <w:right w:val="single" w:color="auto" w:sz="2" w:space="0"/>
            </w:tcBorders>
            <w:tcMar>
              <w:top w:w="28" w:type="dxa"/>
              <w:bottom w:w="2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超融合实施和容灾方案及云存储备份需求分析及重点、难点环节的理解，解决方案是否完整、切实可行、措施得力。优得4</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分；良得2</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分；一般得 1-0 分。根据实际情况酌情给分。</w:t>
            </w:r>
          </w:p>
        </w:tc>
        <w:tc>
          <w:tcPr>
            <w:tcW w:w="892" w:type="dxa"/>
            <w:tcBorders>
              <w:top w:val="single" w:color="auto" w:sz="2" w:space="0"/>
              <w:left w:val="single" w:color="auto" w:sz="2" w:space="0"/>
              <w:bottom w:val="single" w:color="auto" w:sz="2" w:space="0"/>
              <w:right w:val="single" w:color="auto" w:sz="2" w:space="0"/>
            </w:tcBorders>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5</w:t>
            </w:r>
          </w:p>
        </w:tc>
      </w:tr>
    </w:tbl>
    <w:p>
      <w:pPr>
        <w:autoSpaceDE w:val="0"/>
        <w:autoSpaceDN w:val="0"/>
        <w:adjustRightInd w:val="0"/>
        <w:spacing w:line="360" w:lineRule="auto"/>
        <w:ind w:firstLine="1308"/>
        <w:rPr>
          <w:rFonts w:asciiTheme="majorEastAsia" w:hAnsiTheme="majorEastAsia" w:eastAsiaTheme="majorEastAsia"/>
          <w:b/>
          <w:color w:val="000000" w:themeColor="text1"/>
          <w:kern w:val="0"/>
          <w:sz w:val="36"/>
          <w:highlight w:val="none"/>
          <w14:textFill>
            <w14:solidFill>
              <w14:schemeClr w14:val="tx1"/>
            </w14:solidFill>
          </w14:textFill>
        </w:rPr>
      </w:pPr>
    </w:p>
    <w:p>
      <w:pPr>
        <w:spacing w:line="360" w:lineRule="auto"/>
        <w:jc w:val="center"/>
        <w:rPr>
          <w:rFonts w:asciiTheme="minorEastAsia" w:hAnsiTheme="minorEastAsia" w:eastAsiaTheme="minorEastAsia"/>
          <w:b/>
          <w:color w:val="000000" w:themeColor="text1"/>
          <w:sz w:val="30"/>
          <w:szCs w:val="30"/>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公开招标需求</w:t>
      </w:r>
    </w:p>
    <w:p>
      <w:pPr>
        <w:tabs>
          <w:tab w:val="left" w:pos="8280"/>
        </w:tabs>
        <w:autoSpaceDE w:val="0"/>
        <w:autoSpaceDN w:val="0"/>
        <w:adjustRightInd w:val="0"/>
        <w:spacing w:line="360" w:lineRule="auto"/>
        <w:ind w:right="25"/>
        <w:rPr>
          <w:rFonts w:asciiTheme="minorEastAsia" w:hAnsiTheme="minorEastAsia" w:eastAsiaTheme="minorEastAsia"/>
          <w:sz w:val="28"/>
          <w:highlight w:val="none"/>
        </w:rPr>
      </w:pPr>
      <w:r>
        <w:rPr>
          <w:rFonts w:hint="eastAsia" w:asciiTheme="minorEastAsia" w:hAnsiTheme="minorEastAsia" w:eastAsiaTheme="minorEastAsia"/>
          <w:b/>
          <w:sz w:val="28"/>
          <w:highlight w:val="none"/>
        </w:rPr>
        <w:t>一、招标项目一览表</w:t>
      </w:r>
    </w:p>
    <w:p>
      <w:pPr>
        <w:rPr>
          <w:rFonts w:asciiTheme="minorEastAsia" w:hAnsiTheme="minorEastAsia" w:eastAsiaTheme="minorEastAsia"/>
          <w:sz w:val="28"/>
          <w:highlight w:val="none"/>
        </w:rPr>
      </w:pPr>
      <w:r>
        <w:rPr>
          <w:rFonts w:hint="eastAsia" w:asciiTheme="minorEastAsia" w:hAnsiTheme="minorEastAsia" w:eastAsiaTheme="minorEastAsia"/>
          <w:sz w:val="24"/>
          <w:highlight w:val="none"/>
        </w:rPr>
        <w:t>本次招标共</w:t>
      </w:r>
      <w:r>
        <w:rPr>
          <w:rFonts w:hint="eastAsia" w:asciiTheme="minorEastAsia" w:hAnsiTheme="minorEastAsia" w:eastAsiaTheme="minorEastAsia"/>
          <w:sz w:val="24"/>
          <w:highlight w:val="none"/>
          <w:u w:val="single"/>
        </w:rPr>
        <w:t>1</w:t>
      </w:r>
      <w:r>
        <w:rPr>
          <w:rFonts w:hint="eastAsia" w:asciiTheme="minorEastAsia" w:hAnsiTheme="minorEastAsia" w:eastAsiaTheme="minorEastAsia"/>
          <w:sz w:val="24"/>
          <w:highlight w:val="none"/>
        </w:rPr>
        <w:t>个标段,项目预算170万元，具体内容如下表</w:t>
      </w:r>
      <w:r>
        <w:rPr>
          <w:rFonts w:hint="eastAsia" w:asciiTheme="minorEastAsia" w:hAnsiTheme="minorEastAsia" w:eastAsiaTheme="minorEastAsia"/>
          <w:sz w:val="28"/>
          <w:highlight w:val="none"/>
        </w:rPr>
        <w:t>：</w:t>
      </w:r>
    </w:p>
    <w:p>
      <w:pPr>
        <w:rPr>
          <w:b/>
          <w:bCs/>
          <w:sz w:val="22"/>
          <w:szCs w:val="22"/>
          <w:highlight w:val="none"/>
        </w:rPr>
      </w:pPr>
      <w:r>
        <w:rPr>
          <w:rFonts w:hint="eastAsia" w:cs="Arial"/>
          <w:b/>
          <w:bCs/>
          <w:sz w:val="22"/>
          <w:szCs w:val="22"/>
          <w:highlight w:val="none"/>
          <w:lang w:eastAsia="zh-CN"/>
        </w:rPr>
        <w:t>（</w:t>
      </w:r>
      <w:r>
        <w:rPr>
          <w:rFonts w:hint="eastAsia" w:cs="Arial"/>
          <w:b/>
          <w:bCs/>
          <w:sz w:val="22"/>
          <w:szCs w:val="22"/>
          <w:highlight w:val="none"/>
          <w:lang w:val="en-US" w:eastAsia="zh-CN"/>
        </w:rPr>
        <w:t>一</w:t>
      </w:r>
      <w:r>
        <w:rPr>
          <w:rFonts w:hint="eastAsia" w:cs="Arial"/>
          <w:b/>
          <w:bCs/>
          <w:sz w:val="22"/>
          <w:szCs w:val="22"/>
          <w:highlight w:val="none"/>
          <w:lang w:eastAsia="zh-CN"/>
        </w:rPr>
        <w:t>）</w:t>
      </w:r>
      <w:r>
        <w:rPr>
          <w:rFonts w:hint="eastAsia" w:cs="Arial"/>
          <w:b/>
          <w:bCs/>
          <w:sz w:val="22"/>
          <w:szCs w:val="22"/>
          <w:highlight w:val="none"/>
        </w:rPr>
        <w:t>玉环市公共资源中心硬件</w:t>
      </w:r>
    </w:p>
    <w:tbl>
      <w:tblPr>
        <w:tblStyle w:val="17"/>
        <w:tblW w:w="9380" w:type="dxa"/>
        <w:tblInd w:w="0" w:type="dxa"/>
        <w:tblLayout w:type="fixed"/>
        <w:tblCellMar>
          <w:top w:w="0" w:type="dxa"/>
          <w:left w:w="108" w:type="dxa"/>
          <w:bottom w:w="0" w:type="dxa"/>
          <w:right w:w="108" w:type="dxa"/>
        </w:tblCellMar>
      </w:tblPr>
      <w:tblGrid>
        <w:gridCol w:w="1057"/>
        <w:gridCol w:w="5329"/>
        <w:gridCol w:w="1497"/>
        <w:gridCol w:w="1497"/>
      </w:tblGrid>
      <w:tr>
        <w:tblPrEx>
          <w:tblLayout w:type="fixed"/>
          <w:tblCellMar>
            <w:top w:w="0" w:type="dxa"/>
            <w:left w:w="108" w:type="dxa"/>
            <w:bottom w:w="0" w:type="dxa"/>
            <w:right w:w="108" w:type="dxa"/>
          </w:tblCellMar>
        </w:tblPrEx>
        <w:trPr>
          <w:trHeight w:val="249" w:hRule="atLeast"/>
        </w:trPr>
        <w:tc>
          <w:tcPr>
            <w:tcW w:w="105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序号</w:t>
            </w:r>
          </w:p>
        </w:tc>
        <w:tc>
          <w:tcPr>
            <w:tcW w:w="5329" w:type="dxa"/>
            <w:tcBorders>
              <w:top w:val="single" w:color="auto" w:sz="4" w:space="0"/>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设备</w:t>
            </w:r>
          </w:p>
        </w:tc>
        <w:tc>
          <w:tcPr>
            <w:tcW w:w="1497" w:type="dxa"/>
            <w:tcBorders>
              <w:top w:val="single" w:color="auto" w:sz="4" w:space="0"/>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数量</w:t>
            </w:r>
          </w:p>
        </w:tc>
        <w:tc>
          <w:tcPr>
            <w:tcW w:w="1497" w:type="dxa"/>
            <w:tcBorders>
              <w:top w:val="single" w:color="auto" w:sz="4" w:space="0"/>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单位</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服务器超融合（三节点）</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套</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万兆交换机</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防火墙</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WAF防火墙</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大容量存储</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6</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智能路由</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7</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一体化大屏</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8</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千兆电口交换机</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千兆光口交换机</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容灾系统（6个CPU授权）</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套</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11</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虚拟化防护（6个CPU授权）</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套</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12</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服务器机柜</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13</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智能半球摄像机</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14</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全彩球机</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15</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高保真拾音器及混音适配器</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16</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桌面摄像头</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3 </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套</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17</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电脑USB调音台</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套</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18</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有线电容麦克风</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19</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台式电脑</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rPr>
          <w:trHeight w:val="249" w:hRule="atLeast"/>
        </w:trPr>
        <w:tc>
          <w:tcPr>
            <w:tcW w:w="1057"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20</w:t>
            </w:r>
          </w:p>
        </w:tc>
        <w:tc>
          <w:tcPr>
            <w:tcW w:w="5329"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高保真头戴式耳麦</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w:t>
            </w:r>
          </w:p>
        </w:tc>
        <w:tc>
          <w:tcPr>
            <w:tcW w:w="1497"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套</w:t>
            </w:r>
          </w:p>
        </w:tc>
      </w:tr>
      <w:tr>
        <w:tblPrEx>
          <w:tblLayout w:type="fixed"/>
          <w:tblCellMar>
            <w:top w:w="0" w:type="dxa"/>
            <w:left w:w="108" w:type="dxa"/>
            <w:bottom w:w="0" w:type="dxa"/>
            <w:right w:w="108" w:type="dxa"/>
          </w:tblCellMar>
        </w:tblPrEx>
        <w:trPr>
          <w:trHeight w:val="249" w:hRule="atLeast"/>
        </w:trPr>
        <w:tc>
          <w:tcPr>
            <w:tcW w:w="105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21</w:t>
            </w:r>
          </w:p>
        </w:tc>
        <w:tc>
          <w:tcPr>
            <w:tcW w:w="532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网络布线一批</w:t>
            </w:r>
          </w:p>
        </w:tc>
        <w:tc>
          <w:tcPr>
            <w:tcW w:w="149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c>
          <w:tcPr>
            <w:tcW w:w="149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批</w:t>
            </w:r>
          </w:p>
        </w:tc>
      </w:tr>
      <w:tr>
        <w:tblPrEx>
          <w:tblLayout w:type="fixed"/>
          <w:tblCellMar>
            <w:top w:w="0" w:type="dxa"/>
            <w:left w:w="108" w:type="dxa"/>
            <w:bottom w:w="0" w:type="dxa"/>
            <w:right w:w="108" w:type="dxa"/>
          </w:tblCellMar>
        </w:tblPrEx>
        <w:trPr>
          <w:trHeight w:val="249" w:hRule="atLeast"/>
        </w:trPr>
        <w:tc>
          <w:tcPr>
            <w:tcW w:w="105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22</w:t>
            </w:r>
          </w:p>
        </w:tc>
        <w:tc>
          <w:tcPr>
            <w:tcW w:w="532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技术安装及材料</w:t>
            </w:r>
          </w:p>
        </w:tc>
        <w:tc>
          <w:tcPr>
            <w:tcW w:w="149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c>
          <w:tcPr>
            <w:tcW w:w="149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批</w:t>
            </w:r>
          </w:p>
        </w:tc>
      </w:tr>
    </w:tbl>
    <w:p>
      <w:pPr>
        <w:widowControl/>
        <w:snapToGrid w:val="0"/>
        <w:spacing w:line="360" w:lineRule="auto"/>
        <w:rPr>
          <w:rFonts w:ascii="宋体" w:hAnsi="宋体" w:cs="Arial"/>
          <w:b/>
          <w:szCs w:val="21"/>
          <w:highlight w:val="none"/>
          <w:lang w:val="zh-CN"/>
        </w:rPr>
      </w:pPr>
    </w:p>
    <w:p>
      <w:pPr>
        <w:widowControl/>
        <w:snapToGrid w:val="0"/>
        <w:spacing w:line="360" w:lineRule="auto"/>
        <w:rPr>
          <w:rFonts w:ascii="宋体" w:hAnsi="宋体" w:cs="Arial"/>
          <w:b/>
          <w:sz w:val="22"/>
          <w:szCs w:val="22"/>
          <w:highlight w:val="none"/>
          <w:lang w:val="zh-CN"/>
        </w:rPr>
      </w:pPr>
      <w:r>
        <w:rPr>
          <w:rFonts w:hint="eastAsia" w:ascii="宋体" w:hAnsi="宋体" w:cs="Arial"/>
          <w:b/>
          <w:sz w:val="22"/>
          <w:szCs w:val="22"/>
          <w:highlight w:val="none"/>
          <w:lang w:val="zh-CN"/>
        </w:rPr>
        <w:t>（</w:t>
      </w:r>
      <w:r>
        <w:rPr>
          <w:rFonts w:hint="eastAsia" w:ascii="宋体" w:hAnsi="宋体" w:cs="Arial"/>
          <w:b/>
          <w:sz w:val="22"/>
          <w:szCs w:val="22"/>
          <w:highlight w:val="none"/>
          <w:lang w:val="en-US" w:eastAsia="zh-CN"/>
        </w:rPr>
        <w:t>二</w:t>
      </w:r>
      <w:r>
        <w:rPr>
          <w:rFonts w:hint="eastAsia" w:ascii="宋体" w:hAnsi="宋体" w:cs="Arial"/>
          <w:b/>
          <w:sz w:val="22"/>
          <w:szCs w:val="22"/>
          <w:highlight w:val="none"/>
          <w:lang w:val="zh-CN"/>
        </w:rPr>
        <w:t>）乡镇不见面开标室硬件</w:t>
      </w:r>
    </w:p>
    <w:tbl>
      <w:tblPr>
        <w:tblStyle w:val="17"/>
        <w:tblW w:w="9480" w:type="dxa"/>
        <w:tblInd w:w="0" w:type="dxa"/>
        <w:tblLayout w:type="fixed"/>
        <w:tblCellMar>
          <w:top w:w="0" w:type="dxa"/>
          <w:left w:w="108" w:type="dxa"/>
          <w:bottom w:w="0" w:type="dxa"/>
          <w:right w:w="108" w:type="dxa"/>
        </w:tblCellMar>
      </w:tblPr>
      <w:tblGrid>
        <w:gridCol w:w="1068"/>
        <w:gridCol w:w="5386"/>
        <w:gridCol w:w="1513"/>
        <w:gridCol w:w="1513"/>
      </w:tblGrid>
      <w:tr>
        <w:tblPrEx>
          <w:tblLayout w:type="fixed"/>
          <w:tblCellMar>
            <w:top w:w="0" w:type="dxa"/>
            <w:left w:w="108" w:type="dxa"/>
            <w:bottom w:w="0" w:type="dxa"/>
            <w:right w:w="108" w:type="dxa"/>
          </w:tblCellMar>
        </w:tblPrEx>
        <w:tc>
          <w:tcPr>
            <w:tcW w:w="1068"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序号</w:t>
            </w:r>
          </w:p>
        </w:tc>
        <w:tc>
          <w:tcPr>
            <w:tcW w:w="5386" w:type="dxa"/>
            <w:tcBorders>
              <w:top w:val="single" w:color="auto" w:sz="4" w:space="0"/>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设备</w:t>
            </w:r>
          </w:p>
        </w:tc>
        <w:tc>
          <w:tcPr>
            <w:tcW w:w="1513" w:type="dxa"/>
            <w:tcBorders>
              <w:top w:val="single" w:color="auto" w:sz="4" w:space="0"/>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数量</w:t>
            </w:r>
          </w:p>
        </w:tc>
        <w:tc>
          <w:tcPr>
            <w:tcW w:w="1513" w:type="dxa"/>
            <w:tcBorders>
              <w:top w:val="single" w:color="auto" w:sz="4" w:space="0"/>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单位</w:t>
            </w:r>
          </w:p>
        </w:tc>
      </w:tr>
      <w:tr>
        <w:tblPrEx>
          <w:tblLayout w:type="fixed"/>
          <w:tblCellMar>
            <w:top w:w="0" w:type="dxa"/>
            <w:left w:w="108" w:type="dxa"/>
            <w:bottom w:w="0" w:type="dxa"/>
            <w:right w:w="108" w:type="dxa"/>
          </w:tblCellMar>
        </w:tblPrEx>
        <w:tc>
          <w:tcPr>
            <w:tcW w:w="1068"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c>
          <w:tcPr>
            <w:tcW w:w="5386"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智能半球</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c>
          <w:tcPr>
            <w:tcW w:w="1068"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ascii="宋体" w:hAnsi="宋体" w:cs="宋体"/>
                <w:kern w:val="0"/>
                <w:sz w:val="22"/>
                <w:szCs w:val="22"/>
                <w:highlight w:val="none"/>
              </w:rPr>
              <w:t>2</w:t>
            </w:r>
          </w:p>
        </w:tc>
        <w:tc>
          <w:tcPr>
            <w:tcW w:w="5386"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全彩球机</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c>
          <w:tcPr>
            <w:tcW w:w="1068"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ascii="宋体" w:hAnsi="宋体" w:cs="宋体"/>
                <w:kern w:val="0"/>
                <w:sz w:val="22"/>
                <w:szCs w:val="22"/>
                <w:highlight w:val="none"/>
              </w:rPr>
              <w:t>3</w:t>
            </w:r>
          </w:p>
        </w:tc>
        <w:tc>
          <w:tcPr>
            <w:tcW w:w="5386"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刻录主机</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c>
          <w:tcPr>
            <w:tcW w:w="1068"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ascii="宋体" w:hAnsi="宋体" w:cs="宋体"/>
                <w:kern w:val="0"/>
                <w:sz w:val="22"/>
                <w:szCs w:val="22"/>
                <w:highlight w:val="none"/>
              </w:rPr>
              <w:t>4</w:t>
            </w:r>
          </w:p>
        </w:tc>
        <w:tc>
          <w:tcPr>
            <w:tcW w:w="5386"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交换机</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c>
          <w:tcPr>
            <w:tcW w:w="1068"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ascii="宋体" w:hAnsi="宋体" w:cs="宋体"/>
                <w:kern w:val="0"/>
                <w:sz w:val="22"/>
                <w:szCs w:val="22"/>
                <w:highlight w:val="none"/>
              </w:rPr>
              <w:t>5</w:t>
            </w:r>
          </w:p>
        </w:tc>
        <w:tc>
          <w:tcPr>
            <w:tcW w:w="5386"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高保真拾音器及混音适配器</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套</w:t>
            </w:r>
          </w:p>
        </w:tc>
      </w:tr>
      <w:tr>
        <w:tblPrEx>
          <w:tblLayout w:type="fixed"/>
          <w:tblCellMar>
            <w:top w:w="0" w:type="dxa"/>
            <w:left w:w="108" w:type="dxa"/>
            <w:bottom w:w="0" w:type="dxa"/>
            <w:right w:w="108" w:type="dxa"/>
          </w:tblCellMar>
        </w:tblPrEx>
        <w:tc>
          <w:tcPr>
            <w:tcW w:w="1068"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ascii="宋体" w:hAnsi="宋体" w:cs="宋体"/>
                <w:kern w:val="0"/>
                <w:sz w:val="22"/>
                <w:szCs w:val="22"/>
                <w:highlight w:val="none"/>
              </w:rPr>
              <w:t>6</w:t>
            </w:r>
          </w:p>
        </w:tc>
        <w:tc>
          <w:tcPr>
            <w:tcW w:w="5386"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桌面摄像头</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3 </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套</w:t>
            </w:r>
          </w:p>
        </w:tc>
      </w:tr>
      <w:tr>
        <w:tblPrEx>
          <w:tblLayout w:type="fixed"/>
          <w:tblCellMar>
            <w:top w:w="0" w:type="dxa"/>
            <w:left w:w="108" w:type="dxa"/>
            <w:bottom w:w="0" w:type="dxa"/>
            <w:right w:w="108" w:type="dxa"/>
          </w:tblCellMar>
        </w:tblPrEx>
        <w:tc>
          <w:tcPr>
            <w:tcW w:w="1068"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ascii="宋体" w:hAnsi="宋体" w:cs="宋体"/>
                <w:kern w:val="0"/>
                <w:sz w:val="22"/>
                <w:szCs w:val="22"/>
                <w:highlight w:val="none"/>
              </w:rPr>
              <w:t>7</w:t>
            </w:r>
          </w:p>
        </w:tc>
        <w:tc>
          <w:tcPr>
            <w:tcW w:w="5386"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头戴式耳麦</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c>
          <w:tcPr>
            <w:tcW w:w="1068"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ascii="宋体" w:hAnsi="宋体" w:cs="宋体"/>
                <w:kern w:val="0"/>
                <w:sz w:val="22"/>
                <w:szCs w:val="22"/>
                <w:highlight w:val="none"/>
              </w:rPr>
              <w:t>8</w:t>
            </w:r>
          </w:p>
        </w:tc>
        <w:tc>
          <w:tcPr>
            <w:tcW w:w="5386"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电脑USB调音台</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c>
          <w:tcPr>
            <w:tcW w:w="1068"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ascii="宋体" w:hAnsi="宋体" w:cs="宋体"/>
                <w:kern w:val="0"/>
                <w:sz w:val="22"/>
                <w:szCs w:val="22"/>
                <w:highlight w:val="none"/>
              </w:rPr>
              <w:t>9</w:t>
            </w:r>
          </w:p>
        </w:tc>
        <w:tc>
          <w:tcPr>
            <w:tcW w:w="5386"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有线电容麦</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台</w:t>
            </w:r>
          </w:p>
        </w:tc>
      </w:tr>
      <w:tr>
        <w:tblPrEx>
          <w:tblLayout w:type="fixed"/>
          <w:tblCellMar>
            <w:top w:w="0" w:type="dxa"/>
            <w:left w:w="108" w:type="dxa"/>
            <w:bottom w:w="0" w:type="dxa"/>
            <w:right w:w="108" w:type="dxa"/>
          </w:tblCellMar>
        </w:tblPrEx>
        <w:trPr>
          <w:trHeight w:val="90" w:hRule="atLeast"/>
        </w:trPr>
        <w:tc>
          <w:tcPr>
            <w:tcW w:w="1068"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w:t>
            </w:r>
            <w:r>
              <w:rPr>
                <w:rFonts w:ascii="宋体" w:hAnsi="宋体" w:cs="宋体"/>
                <w:kern w:val="0"/>
                <w:sz w:val="22"/>
                <w:szCs w:val="22"/>
                <w:highlight w:val="none"/>
              </w:rPr>
              <w:t>0</w:t>
            </w:r>
          </w:p>
        </w:tc>
        <w:tc>
          <w:tcPr>
            <w:tcW w:w="5386"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台式电脑</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套</w:t>
            </w:r>
          </w:p>
        </w:tc>
      </w:tr>
      <w:tr>
        <w:tblPrEx>
          <w:tblLayout w:type="fixed"/>
          <w:tblCellMar>
            <w:top w:w="0" w:type="dxa"/>
            <w:left w:w="108" w:type="dxa"/>
            <w:bottom w:w="0" w:type="dxa"/>
            <w:right w:w="108" w:type="dxa"/>
          </w:tblCellMar>
        </w:tblPrEx>
        <w:tc>
          <w:tcPr>
            <w:tcW w:w="1068" w:type="dxa"/>
            <w:tcBorders>
              <w:top w:val="nil"/>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ascii="宋体" w:hAnsi="宋体" w:cs="宋体"/>
                <w:kern w:val="0"/>
                <w:sz w:val="22"/>
                <w:szCs w:val="22"/>
                <w:highlight w:val="none"/>
              </w:rPr>
              <w:t>1</w:t>
            </w:r>
            <w:r>
              <w:rPr>
                <w:rFonts w:hint="eastAsia" w:ascii="宋体" w:hAnsi="宋体" w:cs="宋体"/>
                <w:kern w:val="0"/>
                <w:sz w:val="22"/>
                <w:szCs w:val="22"/>
                <w:highlight w:val="none"/>
              </w:rPr>
              <w:t>1</w:t>
            </w:r>
          </w:p>
        </w:tc>
        <w:tc>
          <w:tcPr>
            <w:tcW w:w="5386"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技术安装及材料（需和公共资源中心网络技术对接）</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 </w:t>
            </w:r>
          </w:p>
        </w:tc>
        <w:tc>
          <w:tcPr>
            <w:tcW w:w="1513" w:type="dxa"/>
            <w:tcBorders>
              <w:top w:val="nil"/>
              <w:left w:val="nil"/>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套</w:t>
            </w:r>
          </w:p>
        </w:tc>
      </w:tr>
    </w:tbl>
    <w:p>
      <w:pPr>
        <w:tabs>
          <w:tab w:val="left" w:pos="8280"/>
        </w:tabs>
        <w:autoSpaceDE w:val="0"/>
        <w:autoSpaceDN w:val="0"/>
        <w:adjustRightInd w:val="0"/>
        <w:spacing w:line="360" w:lineRule="auto"/>
        <w:ind w:right="25"/>
        <w:rPr>
          <w:rFonts w:hint="eastAsia" w:asciiTheme="minorEastAsia" w:hAnsiTheme="minorEastAsia" w:eastAsiaTheme="minorEastAsia"/>
          <w:b/>
          <w:sz w:val="28"/>
          <w:highlight w:val="none"/>
        </w:rPr>
      </w:pPr>
    </w:p>
    <w:p>
      <w:pPr>
        <w:tabs>
          <w:tab w:val="left" w:pos="8280"/>
        </w:tabs>
        <w:autoSpaceDE w:val="0"/>
        <w:autoSpaceDN w:val="0"/>
        <w:adjustRightInd w:val="0"/>
        <w:spacing w:line="360" w:lineRule="auto"/>
        <w:ind w:right="25"/>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二、技术需求</w:t>
      </w:r>
    </w:p>
    <w:p>
      <w:pPr>
        <w:tabs>
          <w:tab w:val="left" w:pos="8280"/>
        </w:tabs>
        <w:autoSpaceDE w:val="0"/>
        <w:autoSpaceDN w:val="0"/>
        <w:adjustRightInd w:val="0"/>
        <w:spacing w:line="360" w:lineRule="auto"/>
        <w:ind w:right="25"/>
        <w:rPr>
          <w:rFonts w:cs="微软雅黑" w:asciiTheme="minorEastAsia" w:hAnsiTheme="minorEastAsia" w:eastAsiaTheme="minorEastAsia"/>
          <w:sz w:val="24"/>
          <w:highlight w:val="none"/>
        </w:rPr>
      </w:pPr>
      <w:r>
        <w:rPr>
          <w:rFonts w:hint="eastAsia" w:asciiTheme="minorEastAsia" w:hAnsiTheme="minorEastAsia" w:eastAsiaTheme="minorEastAsia"/>
          <w:b/>
          <w:sz w:val="24"/>
          <w:highlight w:val="none"/>
        </w:rPr>
        <w:t>（一）</w:t>
      </w:r>
      <w:r>
        <w:rPr>
          <w:rFonts w:hint="eastAsia" w:cs="微软雅黑" w:asciiTheme="minorEastAsia" w:hAnsiTheme="minorEastAsia" w:eastAsiaTheme="minorEastAsia"/>
          <w:b/>
          <w:sz w:val="24"/>
          <w:highlight w:val="none"/>
        </w:rPr>
        <w:t>项目概况及总体要求</w:t>
      </w:r>
      <w:r>
        <w:rPr>
          <w:rFonts w:hint="eastAsia" w:cs="微软雅黑" w:asciiTheme="minorEastAsia" w:hAnsiTheme="minorEastAsia" w:eastAsiaTheme="minorEastAsia"/>
          <w:sz w:val="24"/>
          <w:highlight w:val="none"/>
        </w:rPr>
        <w:t>（</w:t>
      </w:r>
      <w:r>
        <w:rPr>
          <w:rFonts w:cs="微软雅黑" w:asciiTheme="minorEastAsia" w:hAnsiTheme="minorEastAsia" w:eastAsiaTheme="minorEastAsia"/>
          <w:sz w:val="24"/>
          <w:highlight w:val="none"/>
        </w:rPr>
        <w:t>采购标的需实现的功能或者目标，以及为落实政府采购政策需满足的要求</w:t>
      </w:r>
      <w:r>
        <w:rPr>
          <w:rFonts w:hint="eastAsia" w:cs="微软雅黑" w:asciiTheme="minorEastAsia" w:hAnsiTheme="minorEastAsia" w:eastAsiaTheme="minorEastAsia"/>
          <w:sz w:val="24"/>
          <w:highlight w:val="none"/>
        </w:rPr>
        <w:t>）</w:t>
      </w:r>
      <w:r>
        <w:rPr>
          <w:rFonts w:cs="微软雅黑" w:asciiTheme="minorEastAsia" w:hAnsiTheme="minorEastAsia" w:eastAsiaTheme="minorEastAsia"/>
          <w:sz w:val="24"/>
          <w:highlight w:val="none"/>
        </w:rPr>
        <w:t>；</w:t>
      </w:r>
    </w:p>
    <w:p>
      <w:pPr>
        <w:tabs>
          <w:tab w:val="left" w:pos="8280"/>
        </w:tabs>
        <w:autoSpaceDE w:val="0"/>
        <w:autoSpaceDN w:val="0"/>
        <w:adjustRightInd w:val="0"/>
        <w:spacing w:line="360" w:lineRule="auto"/>
        <w:ind w:right="25"/>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（二）</w:t>
      </w:r>
      <w:r>
        <w:rPr>
          <w:rFonts w:asciiTheme="minorEastAsia" w:hAnsiTheme="minorEastAsia" w:eastAsiaTheme="minorEastAsia"/>
          <w:b/>
          <w:sz w:val="24"/>
          <w:highlight w:val="none"/>
        </w:rPr>
        <w:t>技术性能指标</w:t>
      </w:r>
    </w:p>
    <w:p>
      <w:pPr>
        <w:pStyle w:val="24"/>
        <w:numPr>
          <w:ilvl w:val="3"/>
          <w:numId w:val="6"/>
        </w:numPr>
        <w:spacing w:line="360" w:lineRule="auto"/>
        <w:ind w:firstLineChars="0"/>
        <w:rPr>
          <w:rFonts w:ascii="宋体" w:hAnsi="宋体" w:cs="Arial"/>
          <w:b/>
          <w:szCs w:val="21"/>
          <w:highlight w:val="none"/>
        </w:rPr>
      </w:pPr>
      <w:r>
        <w:rPr>
          <w:rFonts w:ascii="宋体" w:hAnsi="宋体" w:cs="Arial"/>
          <w:b/>
          <w:szCs w:val="21"/>
          <w:highlight w:val="none"/>
        </w:rPr>
        <w:t>服务器</w:t>
      </w:r>
      <w:r>
        <w:rPr>
          <w:rFonts w:hint="eastAsia" w:ascii="宋体" w:hAnsi="宋体" w:cs="Arial"/>
          <w:b/>
          <w:szCs w:val="21"/>
          <w:highlight w:val="none"/>
        </w:rPr>
        <w:t>超融合</w:t>
      </w:r>
    </w:p>
    <w:tbl>
      <w:tblPr>
        <w:tblStyle w:val="17"/>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7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指标</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采购内容</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基于通用X86架构的模块化的“超融合虚拟化平台”设备，19英寸工业标准机架式，2U机架高度，最多可支持4个热插拔节点，本次项目配置3个热插拔节点。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0"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sz w:val="22"/>
                <w:szCs w:val="22"/>
                <w:highlight w:val="none"/>
              </w:rPr>
              <w:t>架构要求</w:t>
            </w:r>
          </w:p>
        </w:tc>
        <w:tc>
          <w:tcPr>
            <w:tcW w:w="780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采用符合超融合特性的系统架构横向扩展的体系结构，具有高可靠、无交换背板和No SAN等特性；在一个资源池内，支持横向扩展（Scale-out）；分布式架构需将所有节点的空间能无缝融合为单一的存储池，节间无主次之分,无计算、存储、管理节点之分。节点出厂配置服务器、存储虚拟化能力；集群规模扩展数量要求大于1024个。</w:t>
            </w:r>
            <w:r>
              <w:rPr>
                <w:rFonts w:hint="eastAsia" w:ascii="宋体" w:hAnsi="宋体" w:eastAsia="宋体" w:cs="宋体"/>
                <w:sz w:val="22"/>
                <w:szCs w:val="22"/>
                <w:highlight w:val="none"/>
              </w:rPr>
              <w:br w:type="textWrapping"/>
            </w:r>
            <w:r>
              <w:rPr>
                <w:rFonts w:hint="eastAsia" w:ascii="宋体" w:hAnsi="宋体" w:eastAsia="宋体" w:cs="宋体"/>
                <w:sz w:val="22"/>
                <w:szCs w:val="22"/>
                <w:highlight w:val="none"/>
              </w:rPr>
              <w:t>本次所采购的每个节点配置≥2颗Skylake 4108 CPU；最大支持≥384GB内存，本次配置≥4个32GB DDR4-2666MHz内存条；配置≥1块960GB SSD固态硬盘，2块6TB 3.5英寸HDD硬盘；内置≥2x M.2 Boot [240 GB] 用于系统安装；配置≥1个千兆自适应IPMI管理端口，外部业务交换配置≥2个双口10GbE 网卡,2个10GbE板载网卡端口；需配置满足本次组网需求的SFP+ to SFP+集成线缆。支持热插拔冗余风扇；配置≥2个热插拔冗余电源。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平台整体要求3年原厂商维保及系统平台支持服务。本次设备要标原装原包，出厂时已预装基本超融合软件。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sz w:val="22"/>
                <w:szCs w:val="22"/>
                <w:highlight w:val="none"/>
              </w:rPr>
              <w:t>x86虚拟化平台支持</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根据业务快速部署、灵活转换的弹性需求，该平台须支持至少四种常见的主流虚拟化Hypervisor，如VMware vSphere ESXi、AHV、Hyper-V、XenServer等，且能实现VMware vSphere和AHV之间的VM一键式转换。需提供运行界面截图或测试证明。（注：需要了解本单位使用某种虚拟化平台）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636" w:type="dxa"/>
            <w:shd w:val="clear" w:color="auto" w:fill="auto"/>
            <w:noWra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sz w:val="22"/>
                <w:szCs w:val="22"/>
                <w:highlight w:val="none"/>
              </w:rPr>
              <w:t>设备混用</w:t>
            </w:r>
          </w:p>
        </w:tc>
        <w:tc>
          <w:tcPr>
            <w:tcW w:w="780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必须支持在单一集群中混合不同的设备型号，节点型号，并且每个节点必须支持不同的配置，包括CPU、内存、SSD和磁盘等等。</w:t>
            </w:r>
            <w:bookmarkStart w:id="1" w:name="OLE_LINK5"/>
            <w:r>
              <w:rPr>
                <w:rFonts w:hint="eastAsia" w:ascii="宋体" w:hAnsi="宋体" w:eastAsia="宋体" w:cs="宋体"/>
                <w:sz w:val="22"/>
                <w:szCs w:val="22"/>
                <w:highlight w:val="none"/>
              </w:rPr>
              <w:t>必须提供制造商官网官方证明材料。</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全闪存节点和非全闪存节点混用</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必须能够支持基于全闪存节点和非全闪存节点混用的方式构建一个超融合集群。必须提供制造商官网官方证明材料。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融合式系统先进性原则</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提供业界融合式系统最先进技术，必须是Gartner 2018集成系统领导者象限和IDC超融合架构评测领导厂商。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分布式文件系统</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必须提供企业级分布式文件的解决方案，不接受采用开源产品（例如GlusterFS、Ceph等）进行二次开发，单节点故障时不会影响整个存储空间的使用且数据不会发生错误或丢失。为保证与虚拟化层兼容性，利用虚化层原生的接口调用存储，禁止在虚拟化层上安装单独存储连接组件及客户端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横向线性扩展</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单一集群内没有节点/节点数、SSD和HDD存储容量的限制，可扩展大于1024节点，自动发现新增节点/节点，在不中断业务的情况下将新节点/节点自动或手动加入现有集群中，实现集群计算和存储资源的无缝扩展。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6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元数据保护模式</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使用已验证的成熟的强一致性算法（Paxos）保证分布式文件系统元数据写入的一致性，并且通过5份副本的方式保证元数据始终可靠。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2"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color w:val="000000"/>
                <w:kern w:val="0"/>
                <w:sz w:val="22"/>
                <w:szCs w:val="22"/>
                <w:highlight w:val="none"/>
              </w:rPr>
              <w:t>▲</w:t>
            </w:r>
            <w:r>
              <w:rPr>
                <w:rFonts w:hint="eastAsia" w:ascii="宋体" w:hAnsi="宋体" w:eastAsia="宋体" w:cs="宋体"/>
                <w:sz w:val="22"/>
                <w:szCs w:val="22"/>
                <w:highlight w:val="none"/>
              </w:rPr>
              <w:t>业务数据保护模式</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多数据副本:可以实现数据保留2份和3份，充分保护数据；当一个或多个SSD损坏情况下，不影响本地磁盘组或分布式存储集群，本地存储的数据仍可用；当整个节点所有硬件全部失效时不会影响数据正常访问，业务不中断；要求节点不使用Raid技术或分布式Raid技术保护数据，避免由于磁盘故障导致整个Raid组性能降级，从而影响业务正常运行。本项目重要业务系统要求原生三份数据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业务加速</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为满足业务快速处理需求，本次要求使用SSD硬盘（非PCI-E SSD卡），实现业务加速，并可为单个虚拟机，卷组设定Flash加速模式，保障核心业务虚拟机的性能。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sz w:val="22"/>
                <w:szCs w:val="22"/>
                <w:highlight w:val="none"/>
              </w:rPr>
              <w:t>数据本地化</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满足虚拟化环境下虚拟机因故障触发HA机制，或手动迁移时，虚拟机的数据文件将会随虚拟机自动迁移到其所在主机的磁盘中，通过数据本地化提高虚拟机性能，并降低虚拟机跨界点数据读取带来的网络高负载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智能数据分层</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软件自动将经常访问的热数据缓存到SSD磁盘上，而将不常用的数据放在SATA磁盘上，无需手工干预；SSD必须实现同时作为缓存层和数据容量层功能。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数据存储优先级</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节点优先使用本地SSD磁盘进行IO吞吐，其次使用集群范围内其他节点SSD磁盘进行IO吞吐，不会由于SSD容量问题而导致性能降级，始终保持节点IO吞吐的高性能，损坏单个SSD不应该出现整个磁盘组不工作，最大限度不影响整个集群的性能和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▲重复数据删除</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提供内存、SSD、SATA不同性能层面的重复数据删除功能，并且使用几k到十几k的粒度保证重复数据删除的效率和效果。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▲数据压缩</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支持数据的在线压缩，写数据时同步压缩；也要配置线后压缩，在资源闲置时对于冷数据进行压缩处理，最大化存储层可用空间。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sz w:val="22"/>
                <w:szCs w:val="22"/>
                <w:highlight w:val="none"/>
              </w:rPr>
              <w:t>纠删码</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支持纠删码(Erasure Code)的数据保护方式，在不影响性能的情况下，实现数据的冗余保护和快速恢复机制；纠删码功能没有特殊硬件要求，例如必须要闪存卡支持或者其他特殊硬件支持，本身必须借助软件能力，无论是SSD还是HDD的数据都能够支持；在冗余2即两份数据的情况下，可用容量达到70%左右，在冗余3即三份数据的情况下，可用容量达到50%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存储快照</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在存储层面提供基于虚拟机磁盘粒度的快照，并且具备自动快照管理功能，可以定制时间间隔自动拍摄快照，并且自定义保存最新的多个快照。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color w:val="000000"/>
                <w:kern w:val="0"/>
                <w:sz w:val="22"/>
                <w:szCs w:val="22"/>
                <w:highlight w:val="none"/>
              </w:rPr>
              <w:t>▲</w:t>
            </w:r>
            <w:r>
              <w:rPr>
                <w:rFonts w:hint="eastAsia" w:ascii="宋体" w:hAnsi="宋体" w:eastAsia="宋体" w:cs="宋体"/>
                <w:sz w:val="22"/>
                <w:szCs w:val="22"/>
                <w:highlight w:val="none"/>
              </w:rPr>
              <w:t>NAS及iSCSI服务</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平台须原生支持NAS及iSCSI服务能力，可以提供标准的SMB，iSCSI协议的数据服务，为其他业务系统提供文件服务或块设备服务。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本地备份</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在不需要额外备份软件的支持下，内置通过快照方式进行以虚拟机为中心的本地备份；也要能够支持主流虚拟化备份软件方案，并且经过厂商的相互认证，包括Veeam、Commvault等；针对于VMware vSphere存储备份，须支持VAAI接口。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color w:val="000000"/>
                <w:kern w:val="0"/>
                <w:sz w:val="22"/>
                <w:szCs w:val="22"/>
                <w:highlight w:val="none"/>
              </w:rPr>
              <w:t>▲</w:t>
            </w:r>
            <w:r>
              <w:rPr>
                <w:rFonts w:hint="eastAsia" w:ascii="宋体" w:hAnsi="宋体" w:eastAsia="宋体" w:cs="宋体"/>
                <w:sz w:val="22"/>
                <w:szCs w:val="22"/>
                <w:highlight w:val="none"/>
              </w:rPr>
              <w:t>远程数据容灾</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不需要额外</w:t>
            </w:r>
            <w:ins w:id="0" w:author="Charlie Cai" w:date="2017-07-20T11:05:00Z">
              <w:r>
                <w:rPr>
                  <w:rFonts w:hint="eastAsia" w:ascii="宋体" w:hAnsi="宋体" w:eastAsia="宋体" w:cs="宋体"/>
                  <w:sz w:val="22"/>
                  <w:szCs w:val="22"/>
                  <w:highlight w:val="none"/>
                </w:rPr>
                <w:t>第三方</w:t>
              </w:r>
            </w:ins>
            <w:r>
              <w:rPr>
                <w:rFonts w:hint="eastAsia" w:ascii="宋体" w:hAnsi="宋体" w:eastAsia="宋体" w:cs="宋体"/>
                <w:sz w:val="22"/>
                <w:szCs w:val="22"/>
                <w:highlight w:val="none"/>
              </w:rPr>
              <w:t>的软硬件采购支持，就具备跨地域的远程数据容灾能力，包括同城的实时数据复制和异地的一对一、一对多、多对一及多对多等异步复制方式。同城数据级双活容灾支持二层网络方式；同时为了降低成本也要支持三层网络的容灾。必须支持跨Hypervisor的远程基础架构层数据容灾。支持近似于同步的异步复制，需提供运行界面截图或测试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数据加密</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不借助硬件设备，跟第三方软件，可以通过自身软件实现软件级的数据加密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636" w:type="dxa"/>
            <w:shd w:val="clear" w:color="auto" w:fill="auto"/>
            <w:noWra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机箱感知</w:t>
            </w:r>
          </w:p>
        </w:tc>
        <w:tc>
          <w:tcPr>
            <w:tcW w:w="7804"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支持机箱感知，把数据副本存放在另外一个机箱中，而不仅仅是同一个机箱的其他节点中，即使整个机箱同时故障，数据仍然是安全的。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color w:val="000000"/>
                <w:kern w:val="0"/>
                <w:sz w:val="22"/>
                <w:szCs w:val="22"/>
                <w:highlight w:val="none"/>
              </w:rPr>
              <w:t>▲</w:t>
            </w:r>
            <w:r>
              <w:rPr>
                <w:rFonts w:hint="eastAsia" w:ascii="宋体" w:hAnsi="宋体" w:eastAsia="宋体" w:cs="宋体"/>
                <w:sz w:val="22"/>
                <w:szCs w:val="22"/>
                <w:highlight w:val="none"/>
              </w:rPr>
              <w:t>支持云端备份功能</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所投产品须支持原生的云端备份功能，通过统一的管理平台即可实现虚拟机数据备份到公有云平台，如亚马逊AWS或微软Azure平台，需提供运行界面截图或测试证明。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云平台支持</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无缝支持开源OpenStack框架，无需做二次开发就可以实现对资源的部署和调用。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统一运维管理平台</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一个管理软件平台实现所有监控和运维能力，包括软硬件监控、容量评估、风险分析、健康检查、错误告警、备份容灾等，而不是多种监控管理、备份、容灾等软件的组合；统一管理平台也是分布式架构，而不是主备（高可用）架构，访问统一服务域名（IP地址）或任意硬件节点服务域名（IP地址）都可以管理整个集群；任意管理节点及组件出问题，都可通过访问其他健康节点实现对整个平台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5"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sz w:val="22"/>
                <w:szCs w:val="22"/>
                <w:highlight w:val="none"/>
              </w:rPr>
              <w:t>智能化运维管理</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管理内容必须包括：支持远程监控图形界面, 可实现与操作系统无关的远程对服务器的完全控制，包括远程的开关机、重启、更新Firmware, 虚拟KVM, 虚拟软驱, 虚拟光驱等操作；可监控、报告及控制处理器、内存及系统级的能耗，允许通过一体化管理控制台实现基于策略的功耗封顶；通过统一管理软件进行日常维护管理，能看到所有虚拟机磁盘文件IO性能和整个集群中CPU、内存使用情况；可以通过标准SNMP接口实现和现有监控系统的整合，并且支持多种告警方式，包括邮件告警等；提供REST API接口方便进行定制开发和第三方接口；必须支持软硬件智能化健康检查，包括CPU、内存、SDD、HDD、网卡、电源等硬件的健康状况，也可以感知虚拟机、分布式存储等软件平台状态；必须支持性能数据采集和分析，缺省保留整个集群的性能数据，便于进行性能问题诊断和报表；提供灵活的性能报表展示，粒度达到每个独立的物理磁盘、网卡、虚拟机、主机等。需提供运行界面截图或测试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网络可视化</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运维管理平台支持网络可视化功能，可以动态的呈现虚拟机，主机及网络交换机的映射关系，方便管理人员快速的获取网络路径，快速定位网络故障。需提供运行界面截图或测试证明。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自动故障切换</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提供故障切换能力，当组件自身故障时，不影响整个集群正常运行，保证业务连续性；当SSD和SATA盘出现故障情况下，可以通过热插拔方式进行盘的替换；当整个节点处故障的情况下，可以支持整个节点的热插拔硬件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color w:val="000000"/>
                <w:kern w:val="0"/>
                <w:sz w:val="22"/>
                <w:szCs w:val="22"/>
                <w:highlight w:val="none"/>
              </w:rPr>
              <w:t>▲</w:t>
            </w:r>
            <w:r>
              <w:rPr>
                <w:rFonts w:hint="eastAsia" w:ascii="宋体" w:hAnsi="宋体" w:eastAsia="宋体" w:cs="宋体"/>
                <w:sz w:val="22"/>
                <w:szCs w:val="22"/>
                <w:highlight w:val="none"/>
              </w:rPr>
              <w:t>超前扩展能力</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为将来支持更高磁盘IO能力，需要支持全SSD或全NvME SSD等全闪存节点扩展在本集群中，以提供单节点超高IOPS能力。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▲一键式升级操作</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超融合平台须支持无业务中断的一键式升级操作，包括平台软件、虚拟化Hypervisor、BIOS、HBA磁盘接入卡和磁盘固件等。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sz w:val="22"/>
                <w:szCs w:val="22"/>
                <w:highlight w:val="none"/>
              </w:rPr>
              <w:t>在线升级</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在不需要关闭业务系统和主机节点的情况下，可以实现平台软件的在线升级。需提供运行界面截图或测试证明。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▲跨地域的集中式管理</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可以在同一界面中对分布在不同数据中心或物理位置的多个集群进行统一管理，需要同时通过一个界面统一管理到计算、存储、虚拟化等资源。需提供运行界面截图或测试证明。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kern w:val="0"/>
                <w:sz w:val="22"/>
                <w:szCs w:val="22"/>
                <w:highlight w:val="none"/>
                <w:lang w:eastAsia="zh-CN"/>
              </w:rPr>
              <w:t>★</w:t>
            </w:r>
            <w:r>
              <w:rPr>
                <w:rFonts w:hint="eastAsia" w:ascii="宋体" w:hAnsi="宋体" w:eastAsia="宋体" w:cs="宋体"/>
                <w:sz w:val="22"/>
                <w:szCs w:val="22"/>
                <w:highlight w:val="none"/>
              </w:rPr>
              <w:t>自助服务门户</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无需借助第三方系统，原生支持用户自助服务门户，与用户现网域环境进行对接，支持创建业务应用项目，分配资源，实现业务用户自助创建和管理业务应用虚拟机。需提供运行界面截图或测试证明。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一键式智能</w:t>
            </w:r>
            <w:bookmarkStart w:id="2" w:name="OLE_LINK15"/>
            <w:r>
              <w:rPr>
                <w:rFonts w:hint="eastAsia" w:ascii="宋体" w:hAnsi="宋体" w:eastAsia="宋体" w:cs="宋体"/>
                <w:sz w:val="22"/>
                <w:szCs w:val="22"/>
                <w:highlight w:val="none"/>
              </w:rPr>
              <w:t>趋势分析</w:t>
            </w:r>
            <w:bookmarkEnd w:id="2"/>
            <w:r>
              <w:rPr>
                <w:rFonts w:hint="eastAsia" w:ascii="宋体" w:hAnsi="宋体" w:eastAsia="宋体" w:cs="宋体"/>
                <w:sz w:val="22"/>
                <w:szCs w:val="22"/>
                <w:highlight w:val="none"/>
              </w:rPr>
              <w:t>和容量规划</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支持一键式智能容量趋势分析和容量规划，智能生成CPU、内存、存储用量趋势图，支持根据系统的使用趋势以及用户自定义的新增业务计划的容量模型以及情景假设，智能生成PDF容量规划报告。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虚机资源优化报告</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支持一键式生成虚机资源优化报告，智能发现超配资源的虚机、长期不活跃的僵尸虚机、资源受限的虚机、资源极度消耗虚机等，帮助管理员优化虚机资源配置，提高集群资源利用效率。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智能异常侦测</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支持基于机器学习技术，对</w:t>
            </w:r>
            <w:bookmarkStart w:id="3" w:name="OLE_LINK17"/>
            <w:r>
              <w:rPr>
                <w:rFonts w:hint="eastAsia" w:ascii="宋体" w:hAnsi="宋体" w:eastAsia="宋体" w:cs="宋体"/>
                <w:sz w:val="22"/>
                <w:szCs w:val="22"/>
                <w:highlight w:val="none"/>
              </w:rPr>
              <w:t>虚机、主机、集群</w:t>
            </w:r>
            <w:bookmarkEnd w:id="3"/>
            <w:r>
              <w:rPr>
                <w:rFonts w:hint="eastAsia" w:ascii="宋体" w:hAnsi="宋体" w:eastAsia="宋体" w:cs="宋体"/>
                <w:sz w:val="22"/>
                <w:szCs w:val="22"/>
                <w:highlight w:val="none"/>
              </w:rPr>
              <w:t>实现基于动态行为学习的异常检测和智能报告，任何虚机、主机、集群偏离正常行为的异常表现都将被及时发现。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bookmarkStart w:id="4" w:name="OLE_LINK20"/>
            <w:r>
              <w:rPr>
                <w:rFonts w:hint="eastAsia" w:ascii="宋体" w:hAnsi="宋体" w:eastAsia="宋体" w:cs="宋体"/>
                <w:sz w:val="22"/>
                <w:szCs w:val="22"/>
                <w:highlight w:val="none"/>
              </w:rPr>
              <w:t>自定义监控仪表盘</w:t>
            </w:r>
            <w:bookmarkEnd w:id="4"/>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支持一键式创建自定义监控仪表盘,对集群、虚机、主机、存储等的所有性能、容量、延时、IO、带宽、利用率、效率等各项指标进行自定义监控仪表盘设定，实现个性化的高效监控管理。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智能定期报告</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一键式创建智能定期报告策略，按照管理员定义的报告策略，自动定期生成存储、磁盘、主机、虚机、集群的各种性能、效率分析和统计分析报告，发送到指定的邮箱，帮助管理员及时发现潜在问题，保障服务质量，实现更敏捷的业务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智能搜索</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支持智能搜索，可以根据自然语言搜索任意对象，比如host iops &gt; 1000,vm latency &gt; 20 ms等，并且搜索结果可以直接进行维护操作，如开机、关机、克隆、快照等等。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硬件设备无关性</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支持不同型号、不同年代的计算存储一体超融合设备的混用和兼容，真正实现按需购买，保护用户投资。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客户服务资质</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ins w:id="1" w:author="Charlie Cai" w:date="2017-07-20T11:06:00Z">
              <w:r>
                <w:rPr>
                  <w:rFonts w:hint="eastAsia" w:ascii="宋体" w:hAnsi="宋体" w:eastAsia="宋体" w:cs="宋体"/>
                  <w:sz w:val="22"/>
                  <w:szCs w:val="22"/>
                  <w:highlight w:val="none"/>
                </w:rPr>
                <w:t>软件硬件由同一原厂</w:t>
              </w:r>
            </w:ins>
            <w:r>
              <w:rPr>
                <w:rFonts w:hint="eastAsia" w:ascii="宋体" w:hAnsi="宋体" w:eastAsia="宋体" w:cs="宋体"/>
                <w:sz w:val="22"/>
                <w:szCs w:val="22"/>
                <w:highlight w:val="none"/>
              </w:rPr>
              <w:t>400电话及在线服务支持系统，非外包服务支持团队。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63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▲服务承诺</w:t>
            </w:r>
          </w:p>
        </w:tc>
        <w:tc>
          <w:tcPr>
            <w:tcW w:w="7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提供原厂商3年质保，签订合同时提供原厂针对本项目的授权原件和售后服务承诺函原件。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440"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供应商需要负责项目的实施工作和数据迁移工作，将用户系统从原平台迁移到新的平台下，供应商需要提供所投产品的原厂认证工程师证书及社保证明。</w:t>
            </w:r>
          </w:p>
        </w:tc>
      </w:tr>
    </w:tbl>
    <w:p>
      <w:pPr>
        <w:rPr>
          <w:highlight w:val="none"/>
        </w:rPr>
      </w:pPr>
    </w:p>
    <w:p>
      <w:pPr>
        <w:rPr>
          <w:highlight w:val="none"/>
        </w:rPr>
      </w:pPr>
    </w:p>
    <w:p>
      <w:pPr>
        <w:rPr>
          <w:b/>
          <w:bCs/>
          <w:sz w:val="22"/>
          <w:szCs w:val="22"/>
          <w:highlight w:val="none"/>
        </w:rPr>
      </w:pPr>
      <w:r>
        <w:rPr>
          <w:rFonts w:hint="eastAsia"/>
          <w:b/>
          <w:bCs/>
          <w:sz w:val="22"/>
          <w:szCs w:val="22"/>
          <w:highlight w:val="none"/>
          <w:lang w:val="en-US" w:eastAsia="zh-CN"/>
        </w:rPr>
        <w:t>2.</w:t>
      </w:r>
      <w:r>
        <w:rPr>
          <w:rFonts w:hint="eastAsia"/>
          <w:b/>
          <w:bCs/>
          <w:sz w:val="22"/>
          <w:szCs w:val="22"/>
          <w:highlight w:val="none"/>
        </w:rPr>
        <w:t>万兆交换机</w:t>
      </w:r>
    </w:p>
    <w:tbl>
      <w:tblPr>
        <w:tblStyle w:val="17"/>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696" w:type="dxa"/>
            <w:shd w:val="clear" w:color="auto" w:fill="auto"/>
            <w:tcMar>
              <w:top w:w="28" w:type="dxa"/>
              <w:bottom w:w="28" w:type="dxa"/>
            </w:tcMar>
            <w:vAlign w:val="center"/>
          </w:tcPr>
          <w:p>
            <w:pPr>
              <w:widowControl/>
              <w:jc w:val="center"/>
              <w:rPr>
                <w:rFonts w:ascii="宋体" w:hAnsi="宋体" w:cs="Arial"/>
                <w:b/>
                <w:kern w:val="0"/>
                <w:sz w:val="22"/>
                <w:szCs w:val="22"/>
                <w:highlight w:val="none"/>
              </w:rPr>
            </w:pPr>
            <w:r>
              <w:rPr>
                <w:rFonts w:hint="eastAsia" w:ascii="宋体" w:hAnsi="宋体" w:cs="Arial"/>
                <w:b/>
                <w:kern w:val="0"/>
                <w:sz w:val="22"/>
                <w:szCs w:val="22"/>
                <w:highlight w:val="none"/>
              </w:rPr>
              <w:t>指标</w:t>
            </w:r>
          </w:p>
        </w:tc>
        <w:tc>
          <w:tcPr>
            <w:tcW w:w="7784" w:type="dxa"/>
            <w:shd w:val="clear" w:color="auto" w:fill="auto"/>
            <w:tcMar>
              <w:top w:w="28" w:type="dxa"/>
              <w:bottom w:w="28" w:type="dxa"/>
            </w:tcMar>
            <w:vAlign w:val="center"/>
          </w:tcPr>
          <w:p>
            <w:pPr>
              <w:widowControl/>
              <w:jc w:val="center"/>
              <w:rPr>
                <w:rFonts w:ascii="宋体" w:hAnsi="宋体" w:cs="Arial"/>
                <w:b/>
                <w:kern w:val="0"/>
                <w:sz w:val="22"/>
                <w:szCs w:val="22"/>
                <w:highlight w:val="none"/>
              </w:rPr>
            </w:pPr>
            <w:r>
              <w:rPr>
                <w:rFonts w:ascii="宋体" w:hAnsi="宋体" w:cs="Arial"/>
                <w:b/>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696" w:type="dxa"/>
            <w:shd w:val="clear" w:color="auto" w:fill="auto"/>
            <w:tcMar>
              <w:top w:w="28" w:type="dxa"/>
              <w:bottom w:w="28" w:type="dxa"/>
            </w:tcMar>
            <w:vAlign w:val="center"/>
          </w:tcPr>
          <w:p>
            <w:pPr>
              <w:widowControl/>
              <w:jc w:val="center"/>
              <w:rPr>
                <w:rFonts w:ascii="宋体" w:hAnsi="宋体" w:cs="Arial"/>
                <w:bCs/>
                <w:kern w:val="0"/>
                <w:sz w:val="22"/>
                <w:szCs w:val="22"/>
                <w:highlight w:val="none"/>
              </w:rPr>
            </w:pPr>
            <w:r>
              <w:rPr>
                <w:rFonts w:hint="eastAsia" w:ascii="宋体" w:hAnsi="宋体" w:cs="Arial"/>
                <w:bCs/>
                <w:kern w:val="0"/>
                <w:sz w:val="22"/>
                <w:szCs w:val="22"/>
                <w:highlight w:val="none"/>
              </w:rPr>
              <w:t>性能指标</w:t>
            </w:r>
          </w:p>
        </w:tc>
        <w:tc>
          <w:tcPr>
            <w:tcW w:w="7784" w:type="dxa"/>
            <w:shd w:val="clear" w:color="auto" w:fill="auto"/>
            <w:tcMar>
              <w:top w:w="28" w:type="dxa"/>
              <w:bottom w:w="28" w:type="dxa"/>
            </w:tcMar>
            <w:vAlign w:val="center"/>
          </w:tcPr>
          <w:p>
            <w:pPr>
              <w:widowControl/>
              <w:rPr>
                <w:rFonts w:ascii="宋体" w:hAnsi="宋体" w:cs="Arial"/>
                <w:bCs/>
                <w:sz w:val="22"/>
                <w:szCs w:val="22"/>
                <w:highlight w:val="none"/>
              </w:rPr>
            </w:pPr>
            <w:r>
              <w:rPr>
                <w:rFonts w:hint="eastAsia" w:ascii="宋体" w:hAnsi="宋体" w:cs="Arial"/>
                <w:bCs/>
                <w:sz w:val="22"/>
                <w:szCs w:val="22"/>
                <w:highlight w:val="none"/>
              </w:rPr>
              <w:t xml:space="preserve">24口10GE SFP+端口  包转发率360Mpps 支持虚拟化 </w:t>
            </w:r>
          </w:p>
        </w:tc>
      </w:tr>
    </w:tbl>
    <w:p>
      <w:pPr>
        <w:rPr>
          <w:rFonts w:hint="eastAsia"/>
          <w:b/>
          <w:bCs/>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highlight w:val="none"/>
        </w:rPr>
      </w:pPr>
      <w:r>
        <w:rPr>
          <w:rFonts w:hint="eastAsia"/>
          <w:b/>
          <w:bCs/>
          <w:sz w:val="22"/>
          <w:szCs w:val="22"/>
          <w:highlight w:val="none"/>
          <w:lang w:val="en-US" w:eastAsia="zh-CN"/>
        </w:rPr>
        <w:t>3.</w:t>
      </w:r>
      <w:r>
        <w:rPr>
          <w:rFonts w:hint="eastAsia"/>
          <w:b/>
          <w:bCs/>
          <w:sz w:val="22"/>
          <w:szCs w:val="22"/>
          <w:highlight w:val="none"/>
        </w:rPr>
        <w:t>防火墙</w:t>
      </w:r>
    </w:p>
    <w:tbl>
      <w:tblPr>
        <w:tblStyle w:val="17"/>
        <w:tblpPr w:leftFromText="180" w:rightFromText="180" w:vertAnchor="text" w:horzAnchor="page" w:tblpXSpec="center" w:tblpY="352"/>
        <w:tblOverlap w:val="never"/>
        <w:tblW w:w="9680" w:type="dxa"/>
        <w:jc w:val="center"/>
        <w:tblInd w:w="411" w:type="dxa"/>
        <w:tblLayout w:type="fixed"/>
        <w:tblCellMar>
          <w:top w:w="0" w:type="dxa"/>
          <w:left w:w="0" w:type="dxa"/>
          <w:bottom w:w="0" w:type="dxa"/>
          <w:right w:w="0" w:type="dxa"/>
        </w:tblCellMar>
      </w:tblPr>
      <w:tblGrid>
        <w:gridCol w:w="1535"/>
        <w:gridCol w:w="8145"/>
      </w:tblGrid>
      <w:tr>
        <w:tblPrEx>
          <w:tblLayout w:type="fixed"/>
          <w:tblCellMar>
            <w:top w:w="0" w:type="dxa"/>
            <w:left w:w="0" w:type="dxa"/>
            <w:bottom w:w="0" w:type="dxa"/>
            <w:right w:w="0" w:type="dxa"/>
          </w:tblCellMar>
        </w:tblPrEx>
        <w:trPr>
          <w:trHeight w:val="463"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bCs/>
                <w:sz w:val="22"/>
                <w:szCs w:val="22"/>
                <w:highlight w:val="none"/>
              </w:rPr>
            </w:pPr>
            <w:r>
              <w:rPr>
                <w:rFonts w:hint="eastAsia" w:ascii="宋体" w:hAnsi="宋体" w:cs="宋体"/>
                <w:b/>
                <w:bCs/>
                <w:sz w:val="22"/>
                <w:szCs w:val="22"/>
                <w:highlight w:val="none"/>
              </w:rPr>
              <w:t>指标</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bCs/>
                <w:sz w:val="22"/>
                <w:szCs w:val="22"/>
                <w:highlight w:val="none"/>
              </w:rPr>
            </w:pPr>
            <w:r>
              <w:rPr>
                <w:rFonts w:hint="eastAsia" w:ascii="宋体" w:hAnsi="宋体" w:cs="宋体"/>
                <w:b/>
                <w:bCs/>
                <w:sz w:val="22"/>
                <w:szCs w:val="22"/>
                <w:highlight w:val="none"/>
              </w:rPr>
              <w:t>指标要求</w:t>
            </w:r>
          </w:p>
        </w:tc>
      </w:tr>
      <w:tr>
        <w:tblPrEx>
          <w:tblLayout w:type="fixed"/>
          <w:tblCellMar>
            <w:top w:w="0" w:type="dxa"/>
            <w:left w:w="0" w:type="dxa"/>
            <w:bottom w:w="0" w:type="dxa"/>
            <w:right w:w="0" w:type="dxa"/>
          </w:tblCellMar>
        </w:tblPrEx>
        <w:trPr>
          <w:trHeight w:val="787"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产品架构</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采用非X86 64位多核高性能处理器和高速存储器；主控模块内存≥8G；≥2U机架式设备</w:t>
            </w:r>
          </w:p>
        </w:tc>
      </w:tr>
      <w:tr>
        <w:tblPrEx>
          <w:tblLayout w:type="fixed"/>
          <w:tblCellMar>
            <w:top w:w="0" w:type="dxa"/>
            <w:left w:w="0" w:type="dxa"/>
            <w:bottom w:w="0" w:type="dxa"/>
            <w:right w:w="0" w:type="dxa"/>
          </w:tblCellMar>
        </w:tblPrEx>
        <w:trPr>
          <w:trHeight w:val="787"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eastAsia="宋体" w:cs="宋体"/>
                <w:b w:val="0"/>
                <w:color w:val="auto"/>
                <w:sz w:val="22"/>
                <w:szCs w:val="22"/>
                <w:highlight w:val="none"/>
              </w:rPr>
              <w:t>★</w:t>
            </w:r>
            <w:r>
              <w:rPr>
                <w:rFonts w:hint="eastAsia" w:ascii="宋体" w:hAnsi="宋体" w:cs="宋体"/>
                <w:sz w:val="22"/>
                <w:szCs w:val="22"/>
                <w:highlight w:val="none"/>
              </w:rPr>
              <w:t>性能要求</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所投产品防火墙吞吐量≥12Gbps，每秒新建连接数≥22万，并发连接数≥800万。IPSec VPN隧道数≥6000；IPSEC VPN加密性能≥1.5G</w:t>
            </w:r>
          </w:p>
        </w:tc>
      </w:tr>
      <w:tr>
        <w:tblPrEx>
          <w:tblLayout w:type="fixed"/>
          <w:tblCellMar>
            <w:top w:w="0" w:type="dxa"/>
            <w:left w:w="0" w:type="dxa"/>
            <w:bottom w:w="0" w:type="dxa"/>
            <w:right w:w="0" w:type="dxa"/>
          </w:tblCellMar>
        </w:tblPrEx>
        <w:trPr>
          <w:trHeight w:val="787"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硬件要求</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单台配置千兆以太网电接口≥16个，千兆光口≥2个，硬盘槽位≥2个，接口卡扩展槽个数≥2个</w:t>
            </w:r>
          </w:p>
        </w:tc>
      </w:tr>
      <w:tr>
        <w:tblPrEx>
          <w:tblLayout w:type="fixed"/>
          <w:tblCellMar>
            <w:top w:w="0" w:type="dxa"/>
            <w:left w:w="0" w:type="dxa"/>
            <w:bottom w:w="0" w:type="dxa"/>
            <w:right w:w="0" w:type="dxa"/>
          </w:tblCellMar>
        </w:tblPrEx>
        <w:trPr>
          <w:trHeight w:val="787"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配置要求</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单台配置硬盘≥500G，配置3年入侵防御、内容过滤/审计特征库升级服务，配置15个SSL VPN接入授权，配置双电源</w:t>
            </w:r>
          </w:p>
        </w:tc>
      </w:tr>
      <w:tr>
        <w:tblPrEx>
          <w:tblLayout w:type="fixed"/>
          <w:tblCellMar>
            <w:top w:w="0" w:type="dxa"/>
            <w:left w:w="0" w:type="dxa"/>
            <w:bottom w:w="0" w:type="dxa"/>
            <w:right w:w="0" w:type="dxa"/>
          </w:tblCellMar>
        </w:tblPrEx>
        <w:trPr>
          <w:trHeight w:val="463"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扩展要求</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接口扩展：可扩展4PFC接口卡、4SFP插卡、4SFP+插卡</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支持双电源扩展，可扩展类型支持交流电源、直流电源</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硬盘扩展：可支持扩展500G和1T 的HDD硬盘，480G SSD硬盘；</w:t>
            </w:r>
          </w:p>
        </w:tc>
      </w:tr>
      <w:tr>
        <w:tblPrEx>
          <w:tblLayout w:type="fixed"/>
          <w:tblCellMar>
            <w:top w:w="0" w:type="dxa"/>
            <w:left w:w="0" w:type="dxa"/>
            <w:bottom w:w="0" w:type="dxa"/>
            <w:right w:w="0" w:type="dxa"/>
          </w:tblCellMar>
        </w:tblPrEx>
        <w:trPr>
          <w:trHeight w:val="463"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部署模式</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实现路由模式、透明（网桥）模式、混合模式。</w:t>
            </w:r>
          </w:p>
        </w:tc>
      </w:tr>
      <w:tr>
        <w:tblPrEx>
          <w:tblLayout w:type="fixed"/>
          <w:tblCellMar>
            <w:top w:w="0" w:type="dxa"/>
            <w:left w:w="0" w:type="dxa"/>
            <w:bottom w:w="0" w:type="dxa"/>
            <w:right w:w="0" w:type="dxa"/>
          </w:tblCellMar>
        </w:tblPrEx>
        <w:trPr>
          <w:trHeight w:val="787"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路由实现</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实现静态路由、策略路由、等价路由、RIP、OSPF、BGP、ISIS、RIPv2等路由协议。</w:t>
            </w:r>
          </w:p>
        </w:tc>
      </w:tr>
      <w:tr>
        <w:tblPrEx>
          <w:tblLayout w:type="fixed"/>
          <w:tblCellMar>
            <w:top w:w="0" w:type="dxa"/>
            <w:left w:w="0" w:type="dxa"/>
            <w:bottom w:w="0" w:type="dxa"/>
            <w:right w:w="0" w:type="dxa"/>
          </w:tblCellMar>
        </w:tblPrEx>
        <w:trPr>
          <w:trHeight w:val="1109"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安全策略</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一体化安全策略：可基于地址、端口、服务、应用、用户、时间、VRF等属性，配置入侵防御、数据过滤、文件过滤、防病毒、URL过滤、日志记录、会话老化时间等高级访问控制功能；（要求提供配置截图且设备制造厂商必须盖章）</w:t>
            </w:r>
          </w:p>
        </w:tc>
      </w:tr>
      <w:tr>
        <w:tblPrEx>
          <w:tblLayout w:type="fixed"/>
          <w:tblCellMar>
            <w:top w:w="0" w:type="dxa"/>
            <w:left w:w="0" w:type="dxa"/>
            <w:bottom w:w="0" w:type="dxa"/>
            <w:right w:w="0" w:type="dxa"/>
          </w:tblCellMar>
        </w:tblPrEx>
        <w:trPr>
          <w:trHeight w:val="787"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攻击防护</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实现安全区域划分，访问控制列表，配置对象及策略，动态包过滤，黑名单，MAC和IP绑定功能，基于MAC的访问控制列表，802.1q VLAN 透传等功能。</w:t>
            </w:r>
          </w:p>
        </w:tc>
      </w:tr>
      <w:tr>
        <w:tblPrEx>
          <w:tblLayout w:type="fixed"/>
          <w:tblCellMar>
            <w:top w:w="0" w:type="dxa"/>
            <w:left w:w="0" w:type="dxa"/>
            <w:bottom w:w="0" w:type="dxa"/>
            <w:right w:w="0" w:type="dxa"/>
          </w:tblCellMar>
        </w:tblPrEx>
        <w:trPr>
          <w:trHeight w:val="787"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支持DDoS 攻击防护，可防范多种类型DDoS 攻击，如SYN flood、UDP flood、ICMP flood、HTTP flood、DNS flood、ARP flood 和ARP 欺骗等。</w:t>
            </w:r>
          </w:p>
        </w:tc>
      </w:tr>
      <w:tr>
        <w:tblPrEx>
          <w:tblLayout w:type="fixed"/>
          <w:tblCellMar>
            <w:top w:w="0" w:type="dxa"/>
            <w:left w:w="0" w:type="dxa"/>
            <w:bottom w:w="0" w:type="dxa"/>
            <w:right w:w="0" w:type="dxa"/>
          </w:tblCellMar>
        </w:tblPrEx>
        <w:trPr>
          <w:trHeight w:val="1109"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支持DDoS流量阈值学习。启用学习功能后，系统将自动分析当前流量并计算出各种攻击类型的防范阈值，管理员可参考学习结果设置阈值。学习功能支持学习时长、学习模式、周期学习及自动应用等功能。</w:t>
            </w:r>
          </w:p>
        </w:tc>
      </w:tr>
      <w:tr>
        <w:tblPrEx>
          <w:tblLayout w:type="fixed"/>
          <w:tblCellMar>
            <w:top w:w="0" w:type="dxa"/>
            <w:left w:w="0" w:type="dxa"/>
            <w:bottom w:w="0" w:type="dxa"/>
            <w:right w:w="0" w:type="dxa"/>
          </w:tblCellMar>
        </w:tblPrEx>
        <w:trPr>
          <w:trHeight w:val="787"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入侵检测</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实现对黑客攻击、蠕虫/病毒、木马、恶意代码、间谍软件/广告软件、缓冲区溢出、SQL注入、IDS/IPS逃逸等攻击的防御，实现攻击特征库的分类。</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基于特征检测，支持超过7800 漏洞特征的攻击检测和防御。</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基于协议检测，支持协议自识别。</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基于协议异常检测，支持自定义IPS 签名。</w:t>
            </w:r>
          </w:p>
        </w:tc>
      </w:tr>
      <w:tr>
        <w:tblPrEx>
          <w:tblLayout w:type="fixed"/>
          <w:tblCellMar>
            <w:top w:w="0" w:type="dxa"/>
            <w:left w:w="0" w:type="dxa"/>
            <w:bottom w:w="0" w:type="dxa"/>
            <w:right w:w="0" w:type="dxa"/>
          </w:tblCellMar>
        </w:tblPrEx>
        <w:trPr>
          <w:trHeight w:val="787"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防病毒</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基于病毒特征进行检测，实现病毒库手动和自动升级，报文流处理模式，实现病毒日志和报表。</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可检测病毒数量超过37000条。</w:t>
            </w:r>
          </w:p>
        </w:tc>
      </w:tr>
      <w:tr>
        <w:tblPrEx>
          <w:tblLayout w:type="fixed"/>
          <w:tblCellMar>
            <w:top w:w="0" w:type="dxa"/>
            <w:left w:w="0" w:type="dxa"/>
            <w:bottom w:w="0" w:type="dxa"/>
            <w:right w:w="0" w:type="dxa"/>
          </w:tblCellMar>
        </w:tblPrEx>
        <w:trPr>
          <w:trHeight w:val="463"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内容过滤</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支持Word、Excel、PPT、PDF、EXE、RAR等超过32种文件类型及内容的过滤。</w:t>
            </w:r>
          </w:p>
        </w:tc>
      </w:tr>
      <w:tr>
        <w:tblPrEx>
          <w:tblLayout w:type="fixed"/>
          <w:tblCellMar>
            <w:top w:w="0" w:type="dxa"/>
            <w:left w:w="0" w:type="dxa"/>
            <w:bottom w:w="0" w:type="dxa"/>
            <w:right w:w="0" w:type="dxa"/>
          </w:tblCellMar>
        </w:tblPrEx>
        <w:trPr>
          <w:trHeight w:val="463"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Web安全</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提供专业的安全URL 分类，包括钓鱼网站库分类和恶意URL 库分类。</w:t>
            </w:r>
          </w:p>
        </w:tc>
      </w:tr>
      <w:tr>
        <w:tblPrEx>
          <w:tblLayout w:type="fixed"/>
          <w:tblCellMar>
            <w:top w:w="0" w:type="dxa"/>
            <w:left w:w="0" w:type="dxa"/>
            <w:bottom w:w="0" w:type="dxa"/>
            <w:right w:w="0" w:type="dxa"/>
          </w:tblCellMar>
        </w:tblPrEx>
        <w:trPr>
          <w:trHeight w:val="787"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实现对超过50种URL类别的预定义，实现URL规则黑白名单，并可以对访问URL的流量进行丢弃、重置、重定向、日志记录，列入黑名单等操作。</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基于Web 的防攻击支持，如跨站脚本攻击、SQL 注入攻击。</w:t>
            </w:r>
          </w:p>
        </w:tc>
      </w:tr>
      <w:tr>
        <w:tblPrEx>
          <w:tblLayout w:type="fixed"/>
          <w:tblCellMar>
            <w:top w:w="0" w:type="dxa"/>
            <w:left w:w="0" w:type="dxa"/>
            <w:bottom w:w="0" w:type="dxa"/>
            <w:right w:w="0" w:type="dxa"/>
          </w:tblCellMar>
        </w:tblPrEx>
        <w:trPr>
          <w:trHeight w:val="787"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邮件安全</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可检测邮件正文、附件（含压缩形式）内容及大小、收发件人信息、邮件后缀等内容，支持关键字过滤。</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支持对邮件附件进行病毒检查和安全性提醒。</w:t>
            </w:r>
          </w:p>
        </w:tc>
      </w:tr>
      <w:tr>
        <w:tblPrEx>
          <w:tblLayout w:type="fixed"/>
          <w:tblCellMar>
            <w:top w:w="0" w:type="dxa"/>
            <w:left w:w="0" w:type="dxa"/>
            <w:bottom w:w="0" w:type="dxa"/>
            <w:right w:w="0" w:type="dxa"/>
          </w:tblCellMar>
        </w:tblPrEx>
        <w:trPr>
          <w:trHeight w:val="1433"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应用控制</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支持云应用（如百度云、阿里云、七牛云、天翼云等）、移动应用（微信、QQ、百度视频等）、WEB应用（百度贴吧、百合网、1号店等）、网络下载（安卓市场、App Store、360浏览器等）等超过3400种应用协议的识别和控制，可自定义协议类型。</w:t>
            </w:r>
          </w:p>
        </w:tc>
      </w:tr>
      <w:tr>
        <w:tblPrEx>
          <w:tblLayout w:type="fixed"/>
          <w:tblCellMar>
            <w:top w:w="0" w:type="dxa"/>
            <w:left w:w="0" w:type="dxa"/>
            <w:bottom w:w="0" w:type="dxa"/>
            <w:right w:w="0" w:type="dxa"/>
          </w:tblCellMar>
        </w:tblPrEx>
        <w:trPr>
          <w:trHeight w:val="1109"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带宽管理</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支持通道化的QoS，支持基于源地址、用户、服务、应用、时间进行带宽控制，并支持配置保障带宽、限制带宽、带宽借用、带宽动态均分、带宽优先级等QoS动作，支持4级层次化QoS、支持多级用户/用户组嵌套。</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支持带宽策略独占和带宽策略共享功能。</w:t>
            </w:r>
          </w:p>
        </w:tc>
      </w:tr>
      <w:tr>
        <w:tblPrEx>
          <w:tblLayout w:type="fixed"/>
          <w:tblCellMar>
            <w:top w:w="0" w:type="dxa"/>
            <w:left w:w="0" w:type="dxa"/>
            <w:bottom w:w="0" w:type="dxa"/>
            <w:right w:w="0" w:type="dxa"/>
          </w:tblCellMar>
        </w:tblPrEx>
        <w:trPr>
          <w:trHeight w:val="1109"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行为审计</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基于应用协议识别对各社区软件进行详细审计，可审计应用类型（如百度贴吧、新浪微博），应用账号，应用行为（如登录、评论），操作时间，发布内容，终端类型（Android、IOS）等。</w:t>
            </w:r>
          </w:p>
        </w:tc>
      </w:tr>
      <w:tr>
        <w:tblPrEx>
          <w:tblLayout w:type="fixed"/>
          <w:tblCellMar>
            <w:top w:w="0" w:type="dxa"/>
            <w:left w:w="0" w:type="dxa"/>
            <w:bottom w:w="0" w:type="dxa"/>
            <w:right w:w="0" w:type="dxa"/>
          </w:tblCellMar>
        </w:tblPrEx>
        <w:trPr>
          <w:trHeight w:val="1109"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基于应用协议识别对各搜索引擎进行详细审计，可审计应用类型（如360、百度、搜狗），应用行为（如搜索），操作时间，搜索内容，终端类型（Android、IOS）等。</w:t>
            </w:r>
          </w:p>
        </w:tc>
      </w:tr>
      <w:tr>
        <w:tblPrEx>
          <w:tblLayout w:type="fixed"/>
          <w:tblCellMar>
            <w:top w:w="0" w:type="dxa"/>
            <w:left w:w="0" w:type="dxa"/>
            <w:bottom w:w="0" w:type="dxa"/>
            <w:right w:w="0" w:type="dxa"/>
          </w:tblCellMar>
        </w:tblPrEx>
        <w:trPr>
          <w:trHeight w:val="1109"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基于应用协议识别对邮件系统进行详细审计，可审计应用类型（如163、Outlook），应用行为（如发送、接收），操作时间，发件人、收件人、邮件主题、邮件内容等。</w:t>
            </w:r>
          </w:p>
        </w:tc>
      </w:tr>
      <w:tr>
        <w:tblPrEx>
          <w:tblLayout w:type="fixed"/>
          <w:tblCellMar>
            <w:top w:w="0" w:type="dxa"/>
            <w:left w:w="0" w:type="dxa"/>
            <w:bottom w:w="0" w:type="dxa"/>
            <w:right w:w="0" w:type="dxa"/>
          </w:tblCellMar>
        </w:tblPrEx>
        <w:trPr>
          <w:trHeight w:val="1109"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基于应用协议识别对文件传输内容进行详细审计，可审计应用类型（如360手机助手、新浪微盘），账号，行为（上传文件、下载文件），文件名称，操作系统，终端类型，操作时间等。</w:t>
            </w:r>
          </w:p>
        </w:tc>
      </w:tr>
      <w:tr>
        <w:tblPrEx>
          <w:tblLayout w:type="fixed"/>
          <w:tblCellMar>
            <w:top w:w="0" w:type="dxa"/>
            <w:left w:w="0" w:type="dxa"/>
            <w:bottom w:w="0" w:type="dxa"/>
            <w:right w:w="0" w:type="dxa"/>
          </w:tblCellMar>
        </w:tblPrEx>
        <w:trPr>
          <w:trHeight w:val="1109"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基于应用协议识别对娱乐软件进行详细审计，可审计应用类型（如爱奇艺、斗鱼TV），账号，行为（在线播放、登录），应用内容（观看视频的名称），操作系统，终端类型，操作时间等。</w:t>
            </w:r>
          </w:p>
        </w:tc>
      </w:tr>
      <w:tr>
        <w:tblPrEx>
          <w:tblLayout w:type="fixed"/>
          <w:tblCellMar>
            <w:top w:w="0" w:type="dxa"/>
            <w:left w:w="0" w:type="dxa"/>
            <w:bottom w:w="0" w:type="dxa"/>
            <w:right w:w="0" w:type="dxa"/>
          </w:tblCellMar>
        </w:tblPrEx>
        <w:trPr>
          <w:trHeight w:val="1109"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用户行为画像</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提供基于用户名（或用户IP地址）实现对用户行为统一分析界面，采用饼状图对访问应用流量、网站访问集中分析展示，包含基于时间轴的访问行为轨迹(应用账号、行为内容等)，关联账号（微信、QQ）等相关用户行为审计内容</w:t>
            </w:r>
          </w:p>
        </w:tc>
      </w:tr>
      <w:tr>
        <w:tblPrEx>
          <w:tblLayout w:type="fixed"/>
          <w:tblCellMar>
            <w:top w:w="0" w:type="dxa"/>
            <w:left w:w="0" w:type="dxa"/>
            <w:bottom w:w="0" w:type="dxa"/>
            <w:right w:w="0" w:type="dxa"/>
          </w:tblCellMar>
        </w:tblPrEx>
        <w:trPr>
          <w:trHeight w:val="1433"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负载均衡</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链路负载均衡功能，支持智能DNS，支持加权轮转、随机、加权最小连接、源IP地址hash、源IP地址和端口hash、目的地址hash、带宽算法、最大带宽算法、ACL、动态就近性、基于优先级的调度算法、主备实服务器组12种调度算法，要求提供配置截图且设备制造厂商必须盖章</w:t>
            </w:r>
          </w:p>
        </w:tc>
      </w:tr>
      <w:tr>
        <w:tblPrEx>
          <w:tblLayout w:type="fixed"/>
          <w:tblCellMar>
            <w:top w:w="0" w:type="dxa"/>
            <w:left w:w="0" w:type="dxa"/>
            <w:bottom w:w="0" w:type="dxa"/>
            <w:right w:w="0" w:type="dxa"/>
          </w:tblCellMar>
        </w:tblPrEx>
        <w:trPr>
          <w:trHeight w:val="787"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支持服务器负载功能，支持加权轮转、随机、加权最小连接、源ip地址hash、源ip地址和端口hash、目的地址hash等服务器负载算法</w:t>
            </w:r>
          </w:p>
        </w:tc>
      </w:tr>
      <w:tr>
        <w:tblPrEx>
          <w:tblLayout w:type="fixed"/>
          <w:tblCellMar>
            <w:top w:w="0" w:type="dxa"/>
            <w:left w:w="0" w:type="dxa"/>
            <w:bottom w:w="0" w:type="dxa"/>
            <w:right w:w="0" w:type="dxa"/>
          </w:tblCellMar>
        </w:tblPrEx>
        <w:trPr>
          <w:trHeight w:val="787"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DNS透明代理</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实现内网用户访问外网资源时候的对DNS解析的过程的优化，所有DNS请求不受到客户端填写DNS服务器地址的影响，由设备重新解析。</w:t>
            </w:r>
          </w:p>
        </w:tc>
      </w:tr>
      <w:tr>
        <w:tblPrEx>
          <w:tblLayout w:type="fixed"/>
          <w:tblCellMar>
            <w:top w:w="0" w:type="dxa"/>
            <w:left w:w="0" w:type="dxa"/>
            <w:bottom w:w="0" w:type="dxa"/>
            <w:right w:w="0" w:type="dxa"/>
          </w:tblCellMar>
        </w:tblPrEx>
        <w:trPr>
          <w:trHeight w:val="787"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NAT功能</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实现一对一、多对一、多对多等多种形式的NAT，实现DNS、FTP、H.323等多种NAT ALG功能。</w:t>
            </w:r>
          </w:p>
        </w:tc>
      </w:tr>
      <w:tr>
        <w:tblPrEx>
          <w:tblLayout w:type="fixed"/>
          <w:tblCellMar>
            <w:top w:w="0" w:type="dxa"/>
            <w:left w:w="0" w:type="dxa"/>
            <w:bottom w:w="0" w:type="dxa"/>
            <w:right w:w="0" w:type="dxa"/>
          </w:tblCellMar>
        </w:tblPrEx>
        <w:trPr>
          <w:trHeight w:val="463"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VPN</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实现高性能IPSec、L2TP、GRE VPN、SSL VPN等功能。</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SSLVPN支持Web/TCP/IP三种接入方式。</w:t>
            </w:r>
          </w:p>
        </w:tc>
      </w:tr>
      <w:tr>
        <w:tblPrEx>
          <w:tblLayout w:type="fixed"/>
          <w:tblCellMar>
            <w:top w:w="0" w:type="dxa"/>
            <w:left w:w="0" w:type="dxa"/>
            <w:bottom w:w="0" w:type="dxa"/>
            <w:right w:w="0" w:type="dxa"/>
          </w:tblCellMar>
        </w:tblPrEx>
        <w:trPr>
          <w:trHeight w:val="787"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支持多种用户认证方式：本地认证、支持AAA认证、支持AAA计费、支持LDAP/AD、支持证书双因子认证、支持动态令牌、支持短信认证/邮件认证。</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支持IPv6 SSLVPN。</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支持集群化和虚拟化。</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支持审计。</w:t>
            </w:r>
          </w:p>
        </w:tc>
      </w:tr>
      <w:tr>
        <w:tblPrEx>
          <w:tblLayout w:type="fixed"/>
          <w:tblCellMar>
            <w:top w:w="0" w:type="dxa"/>
            <w:left w:w="0" w:type="dxa"/>
            <w:bottom w:w="0" w:type="dxa"/>
            <w:right w:w="0" w:type="dxa"/>
          </w:tblCellMar>
        </w:tblPrEx>
        <w:trPr>
          <w:trHeight w:val="1109"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支持终端使用包括IE、Google chrome、Safari、火狐等主流浏览器登录SSLVPN系统，登录后可完整支持各种业务系统的访问。支持Linux、Windows、Mac平台。</w:t>
            </w:r>
          </w:p>
        </w:tc>
      </w:tr>
      <w:tr>
        <w:tblPrEx>
          <w:tblLayout w:type="fixed"/>
          <w:tblCellMar>
            <w:top w:w="0" w:type="dxa"/>
            <w:left w:w="0" w:type="dxa"/>
            <w:bottom w:w="0" w:type="dxa"/>
            <w:right w:w="0" w:type="dxa"/>
          </w:tblCellMar>
        </w:tblPrEx>
        <w:trPr>
          <w:trHeight w:val="1433"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color w:val="000000"/>
                <w:kern w:val="0"/>
                <w:sz w:val="22"/>
                <w:szCs w:val="22"/>
                <w:highlight w:val="none"/>
              </w:rPr>
              <w:t>▲</w:t>
            </w:r>
            <w:r>
              <w:rPr>
                <w:rFonts w:hint="eastAsia" w:ascii="宋体" w:hAnsi="宋体" w:cs="宋体"/>
                <w:sz w:val="22"/>
                <w:szCs w:val="22"/>
                <w:highlight w:val="none"/>
              </w:rPr>
              <w:t>虚拟化能力</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所投设备须支持虚拟防火墙功能：支持虚拟防火墙的创建、启动、关闭、删除功能；可独立分配CPU/内存等计算资源；虚拟防火墙可独立管理，独立保存配置；虚拟防火墙具备独立会话管理、NAT、路由等功能。（要求提供设备配置截图及官网证明截图）</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在虚墙之内可配置VRF，支持二级虚拟化技术。（设备可测试）</w:t>
            </w:r>
          </w:p>
        </w:tc>
      </w:tr>
      <w:tr>
        <w:tblPrEx>
          <w:tblLayout w:type="fixed"/>
          <w:tblCellMar>
            <w:top w:w="0" w:type="dxa"/>
            <w:left w:w="0" w:type="dxa"/>
            <w:bottom w:w="0" w:type="dxa"/>
            <w:right w:w="0" w:type="dxa"/>
          </w:tblCellMar>
        </w:tblPrEx>
        <w:trPr>
          <w:trHeight w:val="1109"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实现N:1虚拟化技术，利用双机集群式高可靠性技术，融合后可统一管理配置，对外单一节点，实现主备/主主方式转发。（要求提供设备配置截图及官网证明截图）</w:t>
            </w:r>
          </w:p>
        </w:tc>
      </w:tr>
      <w:tr>
        <w:tblPrEx>
          <w:tblLayout w:type="fixed"/>
          <w:tblCellMar>
            <w:top w:w="0" w:type="dxa"/>
            <w:left w:w="0" w:type="dxa"/>
            <w:bottom w:w="0" w:type="dxa"/>
            <w:right w:w="0" w:type="dxa"/>
          </w:tblCellMar>
        </w:tblPrEx>
        <w:trPr>
          <w:trHeight w:val="787"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安全可视化</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支持实时数据数据展示，即时显示设备当前流量的用户、应用、IP等信息，帮助用户把握设备状态，及时调整设备策略。</w:t>
            </w:r>
          </w:p>
        </w:tc>
      </w:tr>
      <w:tr>
        <w:tblPrEx>
          <w:tblLayout w:type="fixed"/>
          <w:tblCellMar>
            <w:top w:w="0" w:type="dxa"/>
            <w:left w:w="0" w:type="dxa"/>
            <w:bottom w:w="0" w:type="dxa"/>
            <w:right w:w="0" w:type="dxa"/>
          </w:tblCellMar>
        </w:tblPrEx>
        <w:trPr>
          <w:trHeight w:val="787"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可视化多维度报表呈现，支持用户、应用、内容、时间、流量、威胁、URL 等多维度呈现报表。</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支持自定义报表和订阅功能。</w:t>
            </w:r>
          </w:p>
        </w:tc>
      </w:tr>
      <w:tr>
        <w:tblPrEx>
          <w:tblLayout w:type="fixed"/>
          <w:tblCellMar>
            <w:top w:w="0" w:type="dxa"/>
            <w:left w:w="0" w:type="dxa"/>
            <w:bottom w:w="0" w:type="dxa"/>
            <w:right w:w="0" w:type="dxa"/>
          </w:tblCellMar>
        </w:tblPrEx>
        <w:trPr>
          <w:trHeight w:val="787"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支持按不同业务展示存储空间的使用情况，如审计业务、流量业务、威胁业务、URL过滤业务、文件过滤业务等。</w:t>
            </w:r>
          </w:p>
        </w:tc>
      </w:tr>
      <w:tr>
        <w:tblPrEx>
          <w:tblLayout w:type="fixed"/>
          <w:tblCellMar>
            <w:top w:w="0" w:type="dxa"/>
            <w:left w:w="0" w:type="dxa"/>
            <w:bottom w:w="0" w:type="dxa"/>
            <w:right w:w="0" w:type="dxa"/>
          </w:tblCellMar>
        </w:tblPrEx>
        <w:trPr>
          <w:trHeight w:val="463"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智能管理</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要求支持策略命中率检测和策略冗余分析，简化运维。</w:t>
            </w:r>
          </w:p>
        </w:tc>
      </w:tr>
      <w:tr>
        <w:tblPrEx>
          <w:tblLayout w:type="fixed"/>
          <w:tblCellMar>
            <w:top w:w="0" w:type="dxa"/>
            <w:left w:w="0" w:type="dxa"/>
            <w:bottom w:w="0" w:type="dxa"/>
            <w:right w:w="0" w:type="dxa"/>
          </w:tblCellMar>
        </w:tblPrEx>
        <w:trPr>
          <w:trHeight w:val="787"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支持SNMPv1、SNMPv2、SNMPv3、RMON等网络管理协议，并且支持通过网管软件远程进行设备软件升级、配置等。</w:t>
            </w:r>
          </w:p>
        </w:tc>
      </w:tr>
      <w:tr>
        <w:tblPrEx>
          <w:tblLayout w:type="fixed"/>
          <w:tblCellMar>
            <w:top w:w="0" w:type="dxa"/>
            <w:left w:w="0" w:type="dxa"/>
            <w:bottom w:w="0" w:type="dxa"/>
            <w:right w:w="0" w:type="dxa"/>
          </w:tblCellMar>
        </w:tblPrEx>
        <w:trPr>
          <w:trHeight w:val="1109"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设备制造厂商符合信息技术服务管理体系符合ISO/IEC 20000-1：2011标准，符合信息安全管理体系符合ISO/IEC 27001：2013标准，能提供有效证书的复印件</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支持通过Web方式管理设备启动文件，简化管理员操作。</w:t>
            </w:r>
          </w:p>
        </w:tc>
      </w:tr>
      <w:tr>
        <w:tblPrEx>
          <w:tblLayout w:type="fixed"/>
          <w:tblCellMar>
            <w:top w:w="0" w:type="dxa"/>
            <w:left w:w="0" w:type="dxa"/>
            <w:bottom w:w="0" w:type="dxa"/>
            <w:right w:w="0" w:type="dxa"/>
          </w:tblCellMar>
        </w:tblPrEx>
        <w:trPr>
          <w:trHeight w:val="787"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报文监控</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支持报文捕获功能，可抓取一段时间之内的报文并生成.cap文件，结合Wireshark等软件分析这段时间内的报文情况。</w:t>
            </w:r>
          </w:p>
        </w:tc>
      </w:tr>
      <w:tr>
        <w:tblPrEx>
          <w:tblLayout w:type="fixed"/>
          <w:tblCellMar>
            <w:top w:w="0" w:type="dxa"/>
            <w:left w:w="0" w:type="dxa"/>
            <w:bottom w:w="0" w:type="dxa"/>
            <w:right w:w="0" w:type="dxa"/>
          </w:tblCellMar>
        </w:tblPrEx>
        <w:trPr>
          <w:trHeight w:val="787"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支持网页诊断功能，详细分析出用户无法上网的原因，方便管理员快速定位问题。</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支持丢包统计，帮助管理员分析设备及网络中的异常状态。</w:t>
            </w:r>
          </w:p>
        </w:tc>
      </w:tr>
      <w:tr>
        <w:tblPrEx>
          <w:tblLayout w:type="fixed"/>
          <w:tblCellMar>
            <w:top w:w="0" w:type="dxa"/>
            <w:left w:w="0" w:type="dxa"/>
            <w:bottom w:w="0" w:type="dxa"/>
            <w:right w:w="0" w:type="dxa"/>
          </w:tblCellMar>
        </w:tblPrEx>
        <w:trPr>
          <w:trHeight w:val="787"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支持设备异常现场抓包功能，在设备宕机或出现其他异常时，将CPU、内存、报文、内核栈等信息快照，帮忙维护人员及时定位问题，避免再次复现问题。</w:t>
            </w:r>
          </w:p>
        </w:tc>
      </w:tr>
      <w:tr>
        <w:tblPrEx>
          <w:tblLayout w:type="fixed"/>
          <w:tblCellMar>
            <w:top w:w="0" w:type="dxa"/>
            <w:left w:w="0" w:type="dxa"/>
            <w:bottom w:w="0" w:type="dxa"/>
            <w:right w:w="0" w:type="dxa"/>
          </w:tblCellMar>
        </w:tblPrEx>
        <w:trPr>
          <w:trHeight w:val="787"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支持报文示踪功能，在Web页面依次展示出报文进出设备所经过的业务点，帮助管理员快速定位网络不通等问题。</w:t>
            </w:r>
          </w:p>
        </w:tc>
      </w:tr>
      <w:tr>
        <w:tblPrEx>
          <w:tblLayout w:type="fixed"/>
          <w:tblCellMar>
            <w:top w:w="0" w:type="dxa"/>
            <w:left w:w="0" w:type="dxa"/>
            <w:bottom w:w="0" w:type="dxa"/>
            <w:right w:w="0" w:type="dxa"/>
          </w:tblCellMar>
        </w:tblPrEx>
        <w:trPr>
          <w:trHeight w:val="787"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IPv6</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实现IPV6动态路由协议、IPV6对象及策略、IPV6状态防火墙、IPV6攻击防范、IPV6 GRE\IPSEC VPN、IPV6日志审计、IPV6会话热备等功能。</w:t>
            </w:r>
          </w:p>
        </w:tc>
      </w:tr>
      <w:tr>
        <w:tblPrEx>
          <w:tblLayout w:type="fixed"/>
          <w:tblCellMar>
            <w:top w:w="0" w:type="dxa"/>
            <w:left w:w="0" w:type="dxa"/>
            <w:bottom w:w="0" w:type="dxa"/>
            <w:right w:w="0" w:type="dxa"/>
          </w:tblCellMar>
        </w:tblPrEx>
        <w:trPr>
          <w:trHeight w:val="787" w:hRule="atLeast"/>
          <w:jc w:val="center"/>
        </w:trPr>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sz w:val="22"/>
                <w:szCs w:val="22"/>
                <w:highlight w:val="none"/>
              </w:rPr>
              <w:t>AFT</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支持AFT技术，可用于IPv4和IPv6网络边缘设备，使得用户不必改变目前网络中主机的配置即可实现IPv6网络与IPv4网络的通信。</w:t>
            </w:r>
          </w:p>
        </w:tc>
      </w:tr>
      <w:tr>
        <w:tblPrEx>
          <w:tblLayout w:type="fixed"/>
          <w:tblCellMar>
            <w:top w:w="0" w:type="dxa"/>
            <w:left w:w="0" w:type="dxa"/>
            <w:bottom w:w="0" w:type="dxa"/>
            <w:right w:w="0" w:type="dxa"/>
          </w:tblCellMar>
        </w:tblPrEx>
        <w:trPr>
          <w:trHeight w:val="787"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color w:val="000000"/>
                <w:kern w:val="0"/>
                <w:sz w:val="22"/>
                <w:szCs w:val="22"/>
                <w:highlight w:val="none"/>
              </w:rPr>
              <w:t>▲</w:t>
            </w:r>
            <w:r>
              <w:rPr>
                <w:rFonts w:hint="eastAsia" w:ascii="宋体" w:hAnsi="宋体" w:cs="宋体"/>
                <w:sz w:val="22"/>
                <w:szCs w:val="22"/>
                <w:highlight w:val="none"/>
              </w:rPr>
              <w:t>厂商资质</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设备制造厂商具备CNNVD（中国国家信息安全漏洞库）一级支撑单位资质，能提供有效证书的复印件。</w:t>
            </w:r>
          </w:p>
        </w:tc>
      </w:tr>
      <w:tr>
        <w:tblPrEx>
          <w:tblLayout w:type="fixed"/>
          <w:tblCellMar>
            <w:top w:w="0" w:type="dxa"/>
            <w:left w:w="0" w:type="dxa"/>
            <w:bottom w:w="0" w:type="dxa"/>
            <w:right w:w="0" w:type="dxa"/>
          </w:tblCellMar>
        </w:tblPrEx>
        <w:trPr>
          <w:trHeight w:val="787"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设备制造厂商具备CNVD（中国国家信息安全漏洞共享平台）技术组成员资质，能提供有效证书的复印件。</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设备制造厂商需获得CMMI 5级认证。</w:t>
            </w:r>
          </w:p>
        </w:tc>
      </w:tr>
      <w:tr>
        <w:tblPrEx>
          <w:tblLayout w:type="fixed"/>
          <w:tblCellMar>
            <w:top w:w="0" w:type="dxa"/>
            <w:left w:w="0" w:type="dxa"/>
            <w:bottom w:w="0" w:type="dxa"/>
            <w:right w:w="0" w:type="dxa"/>
          </w:tblCellMar>
        </w:tblPrEx>
        <w:trPr>
          <w:trHeight w:val="1109"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为保证投标产品生产厂商信息安全风险评估、需求分析、方案设计、建设集成、监控和维护等综合能力，需获得由中国信息安全测评中心所颁发的信息安全服务资质(安全工程类一级)认证，要求提供证书复印件</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设备制造厂商具备信息安全风险评估服务资质二级，能提供有效证书的复印件</w:t>
            </w:r>
          </w:p>
        </w:tc>
      </w:tr>
      <w:tr>
        <w:tblPrEx>
          <w:tblLayout w:type="fixed"/>
          <w:tblCellMar>
            <w:top w:w="0" w:type="dxa"/>
            <w:left w:w="0" w:type="dxa"/>
            <w:bottom w:w="0" w:type="dxa"/>
            <w:right w:w="0" w:type="dxa"/>
          </w:tblCellMar>
        </w:tblPrEx>
        <w:trPr>
          <w:trHeight w:val="463"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设备制造厂商是中国反网络病毒联盟成员单位</w:t>
            </w:r>
          </w:p>
        </w:tc>
      </w:tr>
      <w:tr>
        <w:tblPrEx>
          <w:tblLayout w:type="fixed"/>
          <w:tblCellMar>
            <w:top w:w="0" w:type="dxa"/>
            <w:left w:w="0" w:type="dxa"/>
            <w:bottom w:w="0" w:type="dxa"/>
            <w:right w:w="0" w:type="dxa"/>
          </w:tblCellMar>
        </w:tblPrEx>
        <w:trPr>
          <w:trHeight w:val="787" w:hRule="atLeast"/>
          <w:jc w:val="center"/>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r>
              <w:rPr>
                <w:rFonts w:hint="eastAsia" w:ascii="宋体" w:hAnsi="宋体" w:cs="宋体"/>
                <w:color w:val="000000"/>
                <w:kern w:val="0"/>
                <w:sz w:val="22"/>
                <w:szCs w:val="22"/>
                <w:highlight w:val="none"/>
              </w:rPr>
              <w:t>▲</w:t>
            </w:r>
            <w:r>
              <w:rPr>
                <w:rFonts w:hint="eastAsia" w:ascii="宋体" w:hAnsi="宋体" w:cs="宋体"/>
                <w:sz w:val="22"/>
                <w:szCs w:val="22"/>
                <w:highlight w:val="none"/>
              </w:rPr>
              <w:t>产品资质</w:t>
            </w: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所投产品须具备公安部监制的计算机信息系统安全专用产品销售许可证，能提供有效证书的复印件</w:t>
            </w:r>
          </w:p>
        </w:tc>
      </w:tr>
      <w:tr>
        <w:tblPrEx>
          <w:tblLayout w:type="fixed"/>
          <w:tblCellMar>
            <w:top w:w="0" w:type="dxa"/>
            <w:left w:w="0" w:type="dxa"/>
            <w:bottom w:w="0" w:type="dxa"/>
            <w:right w:w="0" w:type="dxa"/>
          </w:tblCellMar>
        </w:tblPrEx>
        <w:trPr>
          <w:trHeight w:val="787"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所投产品须具备中国信息安全测评中心颁发的信息技术产品安全测评证书（EAL3+级），能提供有效证书的复印件</w:t>
            </w:r>
          </w:p>
        </w:tc>
      </w:tr>
      <w:tr>
        <w:tblPrEx>
          <w:tblLayout w:type="fixed"/>
          <w:tblCellMar>
            <w:top w:w="0" w:type="dxa"/>
            <w:left w:w="0" w:type="dxa"/>
            <w:bottom w:w="0" w:type="dxa"/>
            <w:right w:w="0" w:type="dxa"/>
          </w:tblCellMar>
        </w:tblPrEx>
        <w:trPr>
          <w:trHeight w:val="842" w:hRule="atLeast"/>
          <w:jc w:val="center"/>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highlight w:val="none"/>
              </w:rPr>
            </w:pPr>
          </w:p>
        </w:tc>
        <w:tc>
          <w:tcPr>
            <w:tcW w:w="8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2"/>
                <w:szCs w:val="22"/>
                <w:highlight w:val="none"/>
              </w:rPr>
            </w:pPr>
            <w:r>
              <w:rPr>
                <w:rFonts w:hint="eastAsia" w:ascii="宋体" w:hAnsi="宋体" w:cs="宋体"/>
                <w:sz w:val="22"/>
                <w:szCs w:val="22"/>
                <w:highlight w:val="none"/>
              </w:rPr>
              <w:t>所投产品须具备中国信息安全认证中心颁发的《中国国家信息安全产品认证证书》，能提供有效证书的复印件</w:t>
            </w:r>
          </w:p>
        </w:tc>
      </w:tr>
    </w:tbl>
    <w:p>
      <w:pPr>
        <w:pStyle w:val="24"/>
        <w:spacing w:line="360" w:lineRule="auto"/>
        <w:ind w:left="284" w:firstLine="0" w:firstLineChars="0"/>
        <w:rPr>
          <w:rFonts w:ascii="宋体" w:hAnsi="宋体" w:cs="Arial"/>
          <w:b/>
          <w:szCs w:val="21"/>
          <w:highlight w:val="none"/>
        </w:rPr>
      </w:pPr>
    </w:p>
    <w:p>
      <w:pPr>
        <w:pStyle w:val="24"/>
        <w:spacing w:line="360" w:lineRule="auto"/>
        <w:ind w:left="0" w:leftChars="0" w:firstLine="211" w:firstLineChars="100"/>
        <w:rPr>
          <w:rFonts w:hint="eastAsia" w:ascii="宋体" w:hAnsi="宋体" w:cs="Arial"/>
          <w:b/>
          <w:szCs w:val="21"/>
          <w:highlight w:val="none"/>
        </w:rPr>
      </w:pPr>
      <w:r>
        <w:rPr>
          <w:rFonts w:hint="eastAsia" w:ascii="宋体" w:hAnsi="宋体" w:cs="Arial"/>
          <w:b/>
          <w:szCs w:val="21"/>
          <w:highlight w:val="none"/>
          <w:lang w:val="en-US" w:eastAsia="zh-CN"/>
        </w:rPr>
        <w:t>4.</w:t>
      </w:r>
      <w:r>
        <w:rPr>
          <w:rFonts w:hint="eastAsia" w:ascii="宋体" w:hAnsi="宋体" w:cs="Arial"/>
          <w:b/>
          <w:szCs w:val="21"/>
          <w:highlight w:val="none"/>
        </w:rPr>
        <w:t>WAF防火墙</w:t>
      </w:r>
    </w:p>
    <w:tbl>
      <w:tblPr>
        <w:tblStyle w:val="17"/>
        <w:tblpPr w:leftFromText="180" w:rightFromText="180" w:vertAnchor="text" w:horzAnchor="page" w:tblpX="1540" w:tblpY="342"/>
        <w:tblOverlap w:val="never"/>
        <w:tblW w:w="9315" w:type="dxa"/>
        <w:jc w:val="center"/>
        <w:tblInd w:w="0" w:type="dxa"/>
        <w:tblLayout w:type="fixed"/>
        <w:tblCellMar>
          <w:top w:w="0" w:type="dxa"/>
          <w:left w:w="108" w:type="dxa"/>
          <w:bottom w:w="0" w:type="dxa"/>
          <w:right w:w="108" w:type="dxa"/>
        </w:tblCellMar>
      </w:tblPr>
      <w:tblGrid>
        <w:gridCol w:w="1635"/>
        <w:gridCol w:w="7680"/>
      </w:tblGrid>
      <w:tr>
        <w:tblPrEx>
          <w:tblLayout w:type="fixed"/>
        </w:tblPrEx>
        <w:trPr>
          <w:trHeight w:val="436"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b/>
                <w:bCs/>
                <w:highlight w:val="none"/>
              </w:rPr>
            </w:pPr>
            <w:r>
              <w:rPr>
                <w:rFonts w:hint="eastAsia"/>
                <w:b/>
                <w:bCs/>
                <w:highlight w:val="none"/>
              </w:rPr>
              <w:t>指标项</w:t>
            </w:r>
          </w:p>
        </w:tc>
        <w:tc>
          <w:tcPr>
            <w:tcW w:w="76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b/>
                <w:bCs/>
                <w:highlight w:val="none"/>
              </w:rPr>
            </w:pPr>
            <w:r>
              <w:rPr>
                <w:rFonts w:hint="eastAsia"/>
                <w:b/>
                <w:bCs/>
                <w:highlight w:val="none"/>
              </w:rPr>
              <w:t>指标要求</w:t>
            </w:r>
          </w:p>
        </w:tc>
      </w:tr>
      <w:tr>
        <w:tblPrEx>
          <w:tblLayout w:type="fixed"/>
          <w:tblCellMar>
            <w:top w:w="0" w:type="dxa"/>
            <w:left w:w="108" w:type="dxa"/>
            <w:bottom w:w="0" w:type="dxa"/>
            <w:right w:w="108" w:type="dxa"/>
          </w:tblCellMar>
        </w:tblPrEx>
        <w:trPr>
          <w:trHeight w:val="3742"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szCs w:val="21"/>
                <w:highlight w:val="none"/>
              </w:rPr>
            </w:pPr>
            <w:r>
              <w:rPr>
                <w:rFonts w:hint="eastAsia" w:ascii="宋体" w:hAnsi="宋体" w:eastAsia="宋体"/>
                <w:szCs w:val="21"/>
                <w:highlight w:val="none"/>
              </w:rPr>
              <w:t>▲资质</w:t>
            </w:r>
          </w:p>
        </w:tc>
        <w:tc>
          <w:tcPr>
            <w:tcW w:w="76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szCs w:val="21"/>
                <w:highlight w:val="none"/>
              </w:rPr>
            </w:pPr>
            <w:r>
              <w:rPr>
                <w:rFonts w:hint="eastAsia" w:ascii="宋体" w:hAnsi="宋体" w:eastAsia="宋体"/>
                <w:szCs w:val="21"/>
                <w:highlight w:val="none"/>
              </w:rPr>
              <w:t>通过公安部检测并获得公安部计算机信息系统安全专用产品销售许可证</w:t>
            </w:r>
          </w:p>
          <w:p>
            <w:pPr>
              <w:widowControl/>
              <w:spacing w:line="360" w:lineRule="auto"/>
              <w:jc w:val="left"/>
              <w:rPr>
                <w:rFonts w:ascii="宋体" w:hAnsi="宋体" w:eastAsia="宋体"/>
                <w:szCs w:val="21"/>
                <w:highlight w:val="none"/>
              </w:rPr>
            </w:pPr>
            <w:r>
              <w:rPr>
                <w:rFonts w:hint="eastAsia" w:ascii="宋体" w:hAnsi="宋体" w:eastAsia="宋体"/>
                <w:szCs w:val="21"/>
                <w:highlight w:val="none"/>
              </w:rPr>
              <w:t>中国信息安全认证中心《IT产品信息安全认证证书》</w:t>
            </w:r>
          </w:p>
          <w:p>
            <w:pPr>
              <w:widowControl/>
              <w:spacing w:line="360" w:lineRule="auto"/>
              <w:jc w:val="left"/>
              <w:rPr>
                <w:rFonts w:ascii="宋体" w:hAnsi="宋体" w:eastAsia="宋体"/>
                <w:szCs w:val="21"/>
                <w:highlight w:val="none"/>
              </w:rPr>
            </w:pPr>
            <w:r>
              <w:rPr>
                <w:rFonts w:hint="eastAsia" w:ascii="宋体" w:hAnsi="宋体" w:eastAsia="宋体"/>
                <w:szCs w:val="21"/>
                <w:highlight w:val="none"/>
              </w:rPr>
              <w:t>通过军用信息安全产品检测并获得认证证书</w:t>
            </w:r>
          </w:p>
          <w:p>
            <w:pPr>
              <w:widowControl/>
              <w:spacing w:line="360" w:lineRule="auto"/>
              <w:jc w:val="left"/>
              <w:rPr>
                <w:rFonts w:ascii="宋体" w:hAnsi="宋体" w:eastAsia="宋体"/>
                <w:szCs w:val="21"/>
                <w:highlight w:val="none"/>
              </w:rPr>
            </w:pPr>
            <w:r>
              <w:rPr>
                <w:rFonts w:hint="eastAsia" w:ascii="宋体" w:hAnsi="宋体" w:eastAsia="宋体"/>
                <w:szCs w:val="21"/>
                <w:highlight w:val="none"/>
              </w:rPr>
              <w:t>通过国家保密局检测中心检测并获得检测证书</w:t>
            </w:r>
          </w:p>
          <w:p>
            <w:pPr>
              <w:widowControl/>
              <w:spacing w:line="360" w:lineRule="auto"/>
              <w:jc w:val="left"/>
              <w:rPr>
                <w:rFonts w:ascii="宋体" w:hAnsi="宋体" w:eastAsia="宋体"/>
                <w:szCs w:val="21"/>
                <w:highlight w:val="none"/>
              </w:rPr>
            </w:pPr>
            <w:r>
              <w:rPr>
                <w:rFonts w:hint="eastAsia" w:ascii="宋体" w:hAnsi="宋体" w:eastAsia="宋体"/>
                <w:szCs w:val="21"/>
                <w:highlight w:val="none"/>
              </w:rPr>
              <w:t>产品具备IPV6</w:t>
            </w:r>
            <w:r>
              <w:rPr>
                <w:rFonts w:ascii="宋体" w:hAnsi="宋体" w:eastAsia="宋体"/>
                <w:szCs w:val="21"/>
                <w:highlight w:val="none"/>
              </w:rPr>
              <w:t xml:space="preserve"> </w:t>
            </w:r>
            <w:r>
              <w:rPr>
                <w:rFonts w:hint="eastAsia" w:ascii="宋体" w:hAnsi="宋体" w:eastAsia="宋体"/>
                <w:szCs w:val="21"/>
                <w:highlight w:val="none"/>
              </w:rPr>
              <w:t>Ready</w:t>
            </w:r>
            <w:r>
              <w:rPr>
                <w:rFonts w:ascii="宋体" w:hAnsi="宋体" w:eastAsia="宋体"/>
                <w:szCs w:val="21"/>
                <w:highlight w:val="none"/>
              </w:rPr>
              <w:t xml:space="preserve"> </w:t>
            </w:r>
            <w:r>
              <w:rPr>
                <w:rFonts w:hint="eastAsia" w:ascii="宋体" w:hAnsi="宋体" w:eastAsia="宋体"/>
                <w:szCs w:val="21"/>
                <w:highlight w:val="none"/>
              </w:rPr>
              <w:t>L</w:t>
            </w:r>
            <w:r>
              <w:rPr>
                <w:rFonts w:ascii="宋体" w:hAnsi="宋体" w:eastAsia="宋体"/>
                <w:szCs w:val="21"/>
                <w:highlight w:val="none"/>
              </w:rPr>
              <w:t>ogo</w:t>
            </w:r>
            <w:r>
              <w:rPr>
                <w:rFonts w:hint="eastAsia" w:ascii="宋体" w:hAnsi="宋体" w:eastAsia="宋体"/>
                <w:szCs w:val="21"/>
                <w:highlight w:val="none"/>
              </w:rPr>
              <w:t>认证</w:t>
            </w:r>
          </w:p>
          <w:p>
            <w:pPr>
              <w:widowControl/>
              <w:spacing w:line="360" w:lineRule="auto"/>
              <w:jc w:val="left"/>
              <w:rPr>
                <w:rFonts w:ascii="宋体" w:hAnsi="宋体" w:eastAsia="宋体"/>
                <w:szCs w:val="21"/>
                <w:highlight w:val="none"/>
              </w:rPr>
            </w:pPr>
            <w:r>
              <w:rPr>
                <w:rFonts w:hint="eastAsia" w:ascii="宋体" w:hAnsi="宋体" w:eastAsia="宋体"/>
                <w:szCs w:val="21"/>
                <w:highlight w:val="none"/>
              </w:rPr>
              <w:t>产品具备国家信息安全测评信息技术产品安全测评证书（EAL</w:t>
            </w:r>
            <w:r>
              <w:rPr>
                <w:rFonts w:ascii="宋体" w:hAnsi="宋体" w:eastAsia="宋体"/>
                <w:szCs w:val="21"/>
                <w:highlight w:val="none"/>
              </w:rPr>
              <w:t>3+）</w:t>
            </w:r>
          </w:p>
          <w:p>
            <w:pPr>
              <w:widowControl/>
              <w:spacing w:line="360" w:lineRule="auto"/>
              <w:jc w:val="left"/>
              <w:rPr>
                <w:rFonts w:ascii="宋体" w:hAnsi="宋体" w:eastAsia="宋体"/>
                <w:szCs w:val="21"/>
                <w:highlight w:val="none"/>
              </w:rPr>
            </w:pPr>
            <w:r>
              <w:rPr>
                <w:rFonts w:hint="eastAsia" w:ascii="宋体" w:hAnsi="宋体" w:eastAsia="宋体"/>
                <w:szCs w:val="21"/>
                <w:highlight w:val="none"/>
              </w:rPr>
              <w:t>产品具备WEB应用防火墙认证证书</w:t>
            </w:r>
          </w:p>
          <w:p>
            <w:pPr>
              <w:widowControl/>
              <w:spacing w:line="360" w:lineRule="auto"/>
              <w:jc w:val="left"/>
              <w:rPr>
                <w:rFonts w:ascii="宋体" w:hAnsi="宋体" w:eastAsia="宋体"/>
                <w:szCs w:val="21"/>
                <w:highlight w:val="none"/>
              </w:rPr>
            </w:pPr>
            <w:r>
              <w:rPr>
                <w:rFonts w:hint="eastAsia" w:ascii="宋体" w:hAnsi="宋体" w:eastAsia="宋体"/>
                <w:szCs w:val="21"/>
                <w:highlight w:val="none"/>
              </w:rPr>
              <w:t>产品具备国家信息安全漏洞库CNNVD兼容性资质证书</w:t>
            </w:r>
          </w:p>
        </w:tc>
      </w:tr>
      <w:tr>
        <w:tblPrEx>
          <w:tblLayout w:type="fixed"/>
          <w:tblCellMar>
            <w:top w:w="0" w:type="dxa"/>
            <w:left w:w="108" w:type="dxa"/>
            <w:bottom w:w="0" w:type="dxa"/>
            <w:right w:w="108" w:type="dxa"/>
          </w:tblCellMar>
        </w:tblPrEx>
        <w:trPr>
          <w:trHeight w:val="963"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szCs w:val="21"/>
                <w:highlight w:val="none"/>
              </w:rPr>
            </w:pPr>
            <w:r>
              <w:rPr>
                <w:rFonts w:hint="eastAsia" w:ascii="宋体" w:hAnsi="宋体" w:eastAsia="宋体"/>
                <w:szCs w:val="21"/>
                <w:highlight w:val="none"/>
              </w:rPr>
              <w:t>规格</w:t>
            </w:r>
          </w:p>
        </w:tc>
        <w:tc>
          <w:tcPr>
            <w:tcW w:w="76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szCs w:val="21"/>
                <w:highlight w:val="none"/>
              </w:rPr>
            </w:pPr>
            <w:r>
              <w:rPr>
                <w:rFonts w:hint="eastAsia" w:ascii="宋体" w:hAnsi="宋体" w:eastAsia="宋体"/>
                <w:szCs w:val="21"/>
                <w:highlight w:val="none"/>
              </w:rPr>
              <w:t>标准2U专用千兆硬件平台</w:t>
            </w:r>
          </w:p>
          <w:p>
            <w:pPr>
              <w:widowControl/>
              <w:spacing w:line="360" w:lineRule="auto"/>
              <w:jc w:val="left"/>
              <w:rPr>
                <w:rFonts w:hint="eastAsia" w:ascii="宋体" w:hAnsi="宋体" w:eastAsia="宋体"/>
                <w:szCs w:val="21"/>
                <w:highlight w:val="none"/>
              </w:rPr>
            </w:pPr>
            <w:r>
              <w:rPr>
                <w:rFonts w:hint="eastAsia" w:ascii="宋体" w:hAnsi="宋体" w:eastAsia="宋体"/>
                <w:szCs w:val="21"/>
                <w:highlight w:val="none"/>
              </w:rPr>
              <w:t>标配1+1冗余电源，电源可热插拔</w:t>
            </w:r>
          </w:p>
        </w:tc>
      </w:tr>
      <w:tr>
        <w:tblPrEx>
          <w:tblLayout w:type="fixed"/>
          <w:tblCellMar>
            <w:top w:w="0" w:type="dxa"/>
            <w:left w:w="108" w:type="dxa"/>
            <w:bottom w:w="0" w:type="dxa"/>
            <w:right w:w="108" w:type="dxa"/>
          </w:tblCellMar>
        </w:tblPrEx>
        <w:trPr>
          <w:trHeight w:val="503"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网口数量</w:t>
            </w:r>
          </w:p>
        </w:tc>
        <w:tc>
          <w:tcPr>
            <w:tcW w:w="76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szCs w:val="21"/>
                <w:highlight w:val="none"/>
              </w:rPr>
            </w:pPr>
            <w:r>
              <w:rPr>
                <w:rFonts w:hint="eastAsia" w:ascii="宋体" w:hAnsi="宋体" w:eastAsia="宋体"/>
                <w:szCs w:val="21"/>
                <w:highlight w:val="none"/>
              </w:rPr>
              <w:t>标配：2*GE电管理口，8*工作口（4*GE电口，4*GE光口）</w:t>
            </w:r>
          </w:p>
        </w:tc>
      </w:tr>
      <w:tr>
        <w:tblPrEx>
          <w:tblLayout w:type="fixed"/>
          <w:tblCellMar>
            <w:top w:w="0" w:type="dxa"/>
            <w:left w:w="108" w:type="dxa"/>
            <w:bottom w:w="0" w:type="dxa"/>
            <w:right w:w="108" w:type="dxa"/>
          </w:tblCellMar>
        </w:tblPrEx>
        <w:trPr>
          <w:trHeight w:val="1425"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性能参数</w:t>
            </w:r>
          </w:p>
        </w:tc>
        <w:tc>
          <w:tcPr>
            <w:tcW w:w="76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eastAsia="宋体"/>
                <w:szCs w:val="21"/>
                <w:highlight w:val="none"/>
              </w:rPr>
            </w:pPr>
            <w:r>
              <w:rPr>
                <w:rFonts w:hint="eastAsia" w:ascii="宋体" w:hAnsi="宋体" w:eastAsia="宋体"/>
                <w:szCs w:val="21"/>
                <w:highlight w:val="none"/>
              </w:rPr>
              <w:t>应用吞吐量不小于2000Mbps</w:t>
            </w:r>
          </w:p>
          <w:p>
            <w:pPr>
              <w:widowControl/>
              <w:spacing w:line="360" w:lineRule="auto"/>
              <w:rPr>
                <w:rFonts w:ascii="宋体" w:hAnsi="宋体" w:eastAsia="宋体"/>
                <w:szCs w:val="21"/>
                <w:highlight w:val="none"/>
              </w:rPr>
            </w:pPr>
            <w:r>
              <w:rPr>
                <w:rFonts w:hint="eastAsia" w:ascii="宋体" w:hAnsi="宋体" w:eastAsia="宋体"/>
                <w:szCs w:val="21"/>
                <w:highlight w:val="none"/>
              </w:rPr>
              <w:t>HTTP并发连接不小于20万</w:t>
            </w:r>
          </w:p>
          <w:p>
            <w:pPr>
              <w:widowControl/>
              <w:spacing w:line="360" w:lineRule="auto"/>
              <w:rPr>
                <w:rFonts w:ascii="宋体" w:hAnsi="宋体" w:eastAsia="宋体"/>
                <w:szCs w:val="21"/>
                <w:highlight w:val="none"/>
              </w:rPr>
            </w:pPr>
            <w:r>
              <w:rPr>
                <w:rFonts w:hint="eastAsia" w:ascii="宋体" w:hAnsi="宋体" w:eastAsia="宋体"/>
                <w:szCs w:val="21"/>
                <w:highlight w:val="none"/>
              </w:rPr>
              <w:t>HTTP新建连接(CPS)不小于1万</w:t>
            </w:r>
          </w:p>
        </w:tc>
      </w:tr>
      <w:tr>
        <w:tblPrEx>
          <w:tblLayout w:type="fixed"/>
          <w:tblCellMar>
            <w:top w:w="0" w:type="dxa"/>
            <w:left w:w="108" w:type="dxa"/>
            <w:bottom w:w="0" w:type="dxa"/>
            <w:right w:w="108" w:type="dxa"/>
          </w:tblCellMar>
        </w:tblPrEx>
        <w:trPr>
          <w:trHeight w:val="963" w:hRule="atLeast"/>
          <w:jc w:val="center"/>
        </w:trPr>
        <w:tc>
          <w:tcPr>
            <w:tcW w:w="1635"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部署方式</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透明桥部署：防护口不占用IP地址，实现完全透明部署，无需以先终结用户的TCP会话后再发起新的TCP会话到服务器方式处理，并支持路由不对称场景</w:t>
            </w:r>
          </w:p>
        </w:tc>
      </w:tr>
      <w:tr>
        <w:tblPrEx>
          <w:tblLayout w:type="fixed"/>
          <w:tblCellMar>
            <w:top w:w="0" w:type="dxa"/>
            <w:left w:w="108" w:type="dxa"/>
            <w:bottom w:w="0" w:type="dxa"/>
            <w:right w:w="108" w:type="dxa"/>
          </w:tblCellMar>
        </w:tblPrEx>
        <w:trPr>
          <w:trHeight w:val="963"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透明代理部署：防护口不占用IP地址，实现应用层透明部署，支持TCP连接复用，并优化服务器会话处理改善服务器处理性能</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端口镜像部署：镜像服务器流量即可实现安全审计和告警</w:t>
            </w:r>
          </w:p>
        </w:tc>
      </w:tr>
      <w:tr>
        <w:tblPrEx>
          <w:tblLayout w:type="fixed"/>
          <w:tblCellMar>
            <w:top w:w="0" w:type="dxa"/>
            <w:left w:w="108" w:type="dxa"/>
            <w:bottom w:w="0" w:type="dxa"/>
            <w:right w:w="108" w:type="dxa"/>
          </w:tblCellMar>
        </w:tblPrEx>
        <w:trPr>
          <w:trHeight w:val="1425"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反向代理部署：可支持代理和路由牵引两种模式，客户端源IP可采用透明和非透明两种转发机制，非透明可指定字段进行识别，支持多台WAF设备冗余和集群部署，提供界面截图</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路由模式部署：可支持静态路由、动态路由分发，无缝路由切换</w:t>
            </w:r>
          </w:p>
        </w:tc>
      </w:tr>
      <w:tr>
        <w:tblPrEx>
          <w:tblLayout w:type="fixed"/>
          <w:tblCellMar>
            <w:top w:w="0" w:type="dxa"/>
            <w:left w:w="108" w:type="dxa"/>
            <w:bottom w:w="0" w:type="dxa"/>
            <w:right w:w="108" w:type="dxa"/>
          </w:tblCellMar>
        </w:tblPrEx>
        <w:trPr>
          <w:trHeight w:val="1425"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支持虚拟化部署，支持KVM、Xen、VMWare等虚拟机环境，并支持WAF镜像导入，需提供第三方测评机构（必须是公安部三所、国家保密局、ISCCC其中一家）的检测报告</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支持链路聚合，提升网络带宽、增加容错性和链路负载均衡</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支持VLAN子接口，业务口可承载多个VLAN通道</w:t>
            </w:r>
          </w:p>
        </w:tc>
      </w:tr>
      <w:tr>
        <w:tblPrEx>
          <w:tblLayout w:type="fixed"/>
          <w:tblCellMar>
            <w:top w:w="0" w:type="dxa"/>
            <w:left w:w="108" w:type="dxa"/>
            <w:bottom w:w="0" w:type="dxa"/>
            <w:right w:w="108" w:type="dxa"/>
          </w:tblCellMar>
        </w:tblPrEx>
        <w:trPr>
          <w:trHeight w:val="503"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高可用性</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支持全透明集群模式、主-主模式、主备模式、硬件BYPASS、软件BYPASS</w:t>
            </w:r>
          </w:p>
        </w:tc>
      </w:tr>
      <w:tr>
        <w:tblPrEx>
          <w:tblLayout w:type="fixed"/>
          <w:tblCellMar>
            <w:top w:w="0" w:type="dxa"/>
            <w:left w:w="108" w:type="dxa"/>
            <w:bottom w:w="0" w:type="dxa"/>
            <w:right w:w="108" w:type="dxa"/>
          </w:tblCellMar>
        </w:tblPrEx>
        <w:trPr>
          <w:trHeight w:val="503" w:hRule="atLeast"/>
          <w:jc w:val="center"/>
        </w:trPr>
        <w:tc>
          <w:tcPr>
            <w:tcW w:w="1635"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保护对象</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支持多条链路数据的防护，防护网段数量不限</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top w:val="single" w:color="auto" w:sz="4" w:space="0"/>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支持以域名和IP多种方式进行防护</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支持ipv4/ipv6双协议栈</w:t>
            </w:r>
          </w:p>
        </w:tc>
      </w:tr>
      <w:tr>
        <w:tblPrEx>
          <w:tblLayout w:type="fixed"/>
          <w:tblCellMar>
            <w:top w:w="0" w:type="dxa"/>
            <w:left w:w="108" w:type="dxa"/>
            <w:bottom w:w="0" w:type="dxa"/>
            <w:right w:w="108" w:type="dxa"/>
          </w:tblCellMar>
        </w:tblPrEx>
        <w:trPr>
          <w:trHeight w:val="949" w:hRule="atLeast"/>
          <w:jc w:val="center"/>
        </w:trPr>
        <w:tc>
          <w:tcPr>
            <w:tcW w:w="1635" w:type="dxa"/>
            <w:tcBorders>
              <w:top w:val="single" w:color="auto" w:sz="4" w:space="0"/>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WEB服务自发现</w:t>
            </w:r>
          </w:p>
        </w:tc>
        <w:tc>
          <w:tcPr>
            <w:tcW w:w="7680" w:type="dxa"/>
            <w:tcBorders>
              <w:top w:val="single" w:color="auto" w:sz="4" w:space="0"/>
              <w:left w:val="nil"/>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eastAsia="宋体" w:cs="宋体"/>
                <w:b w:val="0"/>
                <w:color w:val="auto"/>
                <w:sz w:val="22"/>
                <w:szCs w:val="22"/>
                <w:highlight w:val="none"/>
              </w:rPr>
              <w:t>★</w:t>
            </w:r>
            <w:r>
              <w:rPr>
                <w:rFonts w:hint="eastAsia" w:ascii="宋体" w:hAnsi="宋体" w:eastAsia="宋体"/>
                <w:szCs w:val="21"/>
                <w:highlight w:val="none"/>
              </w:rPr>
              <w:t>支持WEB站点服务自动侦测功能，支持自动识别VLAN信息，提供界面截图</w:t>
            </w:r>
          </w:p>
        </w:tc>
      </w:tr>
      <w:tr>
        <w:tblPrEx>
          <w:tblLayout w:type="fixed"/>
          <w:tblCellMar>
            <w:top w:w="0" w:type="dxa"/>
            <w:left w:w="108" w:type="dxa"/>
            <w:bottom w:w="0" w:type="dxa"/>
            <w:right w:w="108" w:type="dxa"/>
          </w:tblCellMar>
        </w:tblPrEx>
        <w:trPr>
          <w:trHeight w:val="963" w:hRule="atLeast"/>
          <w:jc w:val="center"/>
        </w:trPr>
        <w:tc>
          <w:tcPr>
            <w:tcW w:w="1635"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防御功能</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能够识别恶意请求含：跨站脚本(XSS)、注入式攻击（包括SQL注入、命令注入 、Cookie 注入等）、跨站请求伪造等应用攻击行为</w:t>
            </w:r>
          </w:p>
        </w:tc>
      </w:tr>
      <w:tr>
        <w:tblPrEx>
          <w:tblLayout w:type="fixed"/>
          <w:tblCellMar>
            <w:top w:w="0" w:type="dxa"/>
            <w:left w:w="108" w:type="dxa"/>
            <w:bottom w:w="0" w:type="dxa"/>
            <w:right w:w="108" w:type="dxa"/>
          </w:tblCellMar>
        </w:tblPrEx>
        <w:trPr>
          <w:trHeight w:val="963"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能够识别服务端响应内容导致的缺陷：敏感信息泄露、已有的网页后门、错误配置、目录浏览等缺陷</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能基于访问行为特征进行分析，能识别盗链、爬虫攻击的能力</w:t>
            </w:r>
          </w:p>
        </w:tc>
      </w:tr>
      <w:tr>
        <w:tblPrEx>
          <w:tblLayout w:type="fixed"/>
          <w:tblCellMar>
            <w:top w:w="0" w:type="dxa"/>
            <w:left w:w="108" w:type="dxa"/>
            <w:bottom w:w="0" w:type="dxa"/>
            <w:right w:w="108" w:type="dxa"/>
          </w:tblCellMar>
        </w:tblPrEx>
        <w:trPr>
          <w:trHeight w:val="631"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能识别网站中的网页木马程序，通过策略可防止木马网页被用户访问</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内置主流Webshell特征库，对上传内容进行检查，防止恶意Weshell上传</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支持丰富的自定义规则，可以针对多个条件组合，形成深度的WEB防护规则</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支持服务器隐藏，可配置删除服务器响应头信息</w:t>
            </w:r>
          </w:p>
        </w:tc>
      </w:tr>
      <w:tr>
        <w:tblPrEx>
          <w:tblLayout w:type="fixed"/>
          <w:tblCellMar>
            <w:top w:w="0" w:type="dxa"/>
            <w:left w:w="108" w:type="dxa"/>
            <w:bottom w:w="0" w:type="dxa"/>
            <w:right w:w="108" w:type="dxa"/>
          </w:tblCellMar>
        </w:tblPrEx>
        <w:trPr>
          <w:trHeight w:val="963"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内置身份证、银行卡等服务器敏感信息库，对服务器响应敏感内容进行隐藏，并支持自定义，提供界面截图</w:t>
            </w:r>
          </w:p>
        </w:tc>
      </w:tr>
      <w:tr>
        <w:tblPrEx>
          <w:tblLayout w:type="fixed"/>
          <w:tblCellMar>
            <w:top w:w="0" w:type="dxa"/>
            <w:left w:w="108" w:type="dxa"/>
            <w:bottom w:w="0" w:type="dxa"/>
            <w:right w:w="108" w:type="dxa"/>
          </w:tblCellMar>
        </w:tblPrEx>
        <w:trPr>
          <w:trHeight w:val="963"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支持Cookie安全机制，支持Cookie自学习，防止Cookie被篡改和劫持，并支持Cookie Httponly</w:t>
            </w:r>
          </w:p>
        </w:tc>
      </w:tr>
      <w:tr>
        <w:tblPrEx>
          <w:tblLayout w:type="fixed"/>
          <w:tblCellMar>
            <w:top w:w="0" w:type="dxa"/>
            <w:left w:w="108" w:type="dxa"/>
            <w:bottom w:w="0" w:type="dxa"/>
            <w:right w:w="108" w:type="dxa"/>
          </w:tblCellMar>
        </w:tblPrEx>
        <w:trPr>
          <w:trHeight w:val="2813"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eastAsia="宋体" w:cs="宋体"/>
                <w:b w:val="0"/>
                <w:color w:val="auto"/>
                <w:sz w:val="22"/>
                <w:szCs w:val="22"/>
                <w:highlight w:val="none"/>
              </w:rPr>
              <w:t>★</w:t>
            </w:r>
            <w:r>
              <w:rPr>
                <w:rFonts w:hint="eastAsia" w:ascii="宋体" w:hAnsi="宋体" w:eastAsia="宋体"/>
                <w:szCs w:val="21"/>
                <w:highlight w:val="none"/>
              </w:rPr>
              <w:t>智能自学习功能</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支持网站自学习建模功能，能通过自学习形成网站URL树；</w:t>
            </w:r>
          </w:p>
          <w:p>
            <w:pPr>
              <w:spacing w:line="360" w:lineRule="auto"/>
              <w:rPr>
                <w:rFonts w:ascii="宋体" w:hAnsi="宋体" w:eastAsia="宋体"/>
                <w:szCs w:val="21"/>
                <w:highlight w:val="none"/>
              </w:rPr>
            </w:pPr>
            <w:r>
              <w:rPr>
                <w:rFonts w:hint="eastAsia" w:ascii="宋体" w:hAnsi="宋体" w:eastAsia="宋体"/>
                <w:szCs w:val="21"/>
                <w:highlight w:val="none"/>
              </w:rPr>
              <w:t>通过自学习能生成安全防护策略；</w:t>
            </w:r>
          </w:p>
          <w:p>
            <w:pPr>
              <w:spacing w:line="360" w:lineRule="auto"/>
              <w:rPr>
                <w:rFonts w:ascii="宋体" w:hAnsi="宋体" w:eastAsia="宋体"/>
                <w:szCs w:val="21"/>
                <w:highlight w:val="none"/>
              </w:rPr>
            </w:pPr>
            <w:r>
              <w:rPr>
                <w:rFonts w:hint="eastAsia" w:ascii="宋体" w:hAnsi="宋体" w:eastAsia="宋体"/>
                <w:szCs w:val="21"/>
                <w:highlight w:val="none"/>
              </w:rPr>
              <w:t>通过自学习能发现参数的名称、类型、匹配频率；</w:t>
            </w:r>
          </w:p>
          <w:p>
            <w:pPr>
              <w:spacing w:line="360" w:lineRule="auto"/>
              <w:rPr>
                <w:rFonts w:ascii="宋体" w:hAnsi="宋体" w:eastAsia="宋体"/>
                <w:szCs w:val="21"/>
                <w:highlight w:val="none"/>
              </w:rPr>
            </w:pPr>
            <w:r>
              <w:rPr>
                <w:rFonts w:hint="eastAsia" w:ascii="宋体" w:hAnsi="宋体" w:eastAsia="宋体"/>
                <w:szCs w:val="21"/>
                <w:highlight w:val="none"/>
              </w:rPr>
              <w:t>可配置匹配到自学习特征后放行；</w:t>
            </w:r>
          </w:p>
          <w:p>
            <w:pPr>
              <w:spacing w:line="360" w:lineRule="auto"/>
              <w:rPr>
                <w:rFonts w:ascii="宋体" w:hAnsi="宋体" w:eastAsia="宋体"/>
                <w:szCs w:val="21"/>
                <w:highlight w:val="none"/>
              </w:rPr>
            </w:pPr>
            <w:r>
              <w:rPr>
                <w:rFonts w:hint="eastAsia" w:ascii="宋体" w:hAnsi="宋体" w:eastAsia="宋体"/>
                <w:szCs w:val="21"/>
                <w:highlight w:val="none"/>
              </w:rPr>
              <w:t>可配置匹配不到自学习特征直接阻断请求；</w:t>
            </w:r>
          </w:p>
          <w:p>
            <w:pPr>
              <w:spacing w:line="360" w:lineRule="auto"/>
              <w:rPr>
                <w:rFonts w:ascii="宋体" w:hAnsi="宋体" w:eastAsia="宋体"/>
                <w:szCs w:val="21"/>
                <w:highlight w:val="none"/>
              </w:rPr>
            </w:pPr>
            <w:r>
              <w:rPr>
                <w:rFonts w:hint="eastAsia" w:ascii="宋体" w:hAnsi="宋体" w:eastAsia="宋体"/>
                <w:szCs w:val="21"/>
                <w:highlight w:val="none"/>
              </w:rPr>
              <w:t>提供界面截图</w:t>
            </w:r>
          </w:p>
        </w:tc>
      </w:tr>
      <w:tr>
        <w:tblPrEx>
          <w:tblLayout w:type="fixed"/>
          <w:tblCellMar>
            <w:top w:w="0" w:type="dxa"/>
            <w:left w:w="108" w:type="dxa"/>
            <w:bottom w:w="0" w:type="dxa"/>
            <w:right w:w="108" w:type="dxa"/>
          </w:tblCellMar>
        </w:tblPrEx>
        <w:trPr>
          <w:trHeight w:val="3276"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智能攻击者锁定</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持智能识别攻击者，对网站连接发起攻击的IP地址进行自动锁定禁止访问被攻击的网站</w:t>
            </w:r>
          </w:p>
          <w:p>
            <w:pPr>
              <w:spacing w:line="360" w:lineRule="auto"/>
              <w:rPr>
                <w:rFonts w:ascii="宋体" w:hAnsi="宋体" w:eastAsia="宋体"/>
                <w:szCs w:val="21"/>
                <w:highlight w:val="none"/>
              </w:rPr>
            </w:pPr>
            <w:r>
              <w:rPr>
                <w:rFonts w:hint="eastAsia" w:ascii="宋体" w:hAnsi="宋体" w:eastAsia="宋体"/>
                <w:szCs w:val="21"/>
                <w:highlight w:val="none"/>
              </w:rPr>
              <w:t>可配置攻击者识别策略和算法</w:t>
            </w:r>
          </w:p>
          <w:p>
            <w:pPr>
              <w:spacing w:line="360" w:lineRule="auto"/>
              <w:rPr>
                <w:rFonts w:ascii="宋体" w:hAnsi="宋体" w:eastAsia="宋体"/>
                <w:szCs w:val="21"/>
                <w:highlight w:val="none"/>
              </w:rPr>
            </w:pPr>
            <w:r>
              <w:rPr>
                <w:rFonts w:hint="eastAsia" w:ascii="宋体" w:hAnsi="宋体" w:eastAsia="宋体"/>
                <w:szCs w:val="21"/>
                <w:highlight w:val="none"/>
              </w:rPr>
              <w:t>可配置攻击者锁定时间</w:t>
            </w:r>
          </w:p>
          <w:p>
            <w:pPr>
              <w:spacing w:line="360" w:lineRule="auto"/>
              <w:rPr>
                <w:rFonts w:ascii="宋体" w:hAnsi="宋体" w:eastAsia="宋体"/>
                <w:szCs w:val="21"/>
                <w:highlight w:val="none"/>
              </w:rPr>
            </w:pPr>
            <w:r>
              <w:rPr>
                <w:rFonts w:hint="eastAsia" w:ascii="宋体" w:hAnsi="宋体" w:eastAsia="宋体"/>
                <w:szCs w:val="21"/>
                <w:highlight w:val="none"/>
              </w:rPr>
              <w:t>可配置将攻击者直接加入网络黑名单</w:t>
            </w:r>
          </w:p>
          <w:p>
            <w:pPr>
              <w:spacing w:line="360" w:lineRule="auto"/>
              <w:rPr>
                <w:rFonts w:ascii="宋体" w:hAnsi="宋体" w:eastAsia="宋体"/>
                <w:szCs w:val="21"/>
                <w:highlight w:val="none"/>
              </w:rPr>
            </w:pPr>
            <w:r>
              <w:rPr>
                <w:rFonts w:hint="eastAsia" w:ascii="宋体" w:hAnsi="宋体" w:eastAsia="宋体"/>
                <w:szCs w:val="21"/>
                <w:highlight w:val="none"/>
              </w:rPr>
              <w:t>可展示攻击者发生的时间和攻击者所在的地理位置</w:t>
            </w:r>
          </w:p>
          <w:p>
            <w:pPr>
              <w:spacing w:line="360" w:lineRule="auto"/>
              <w:rPr>
                <w:rFonts w:ascii="宋体" w:hAnsi="宋体" w:eastAsia="宋体"/>
                <w:szCs w:val="21"/>
                <w:highlight w:val="none"/>
              </w:rPr>
            </w:pPr>
            <w:r>
              <w:rPr>
                <w:rFonts w:hint="eastAsia" w:ascii="宋体" w:hAnsi="宋体" w:eastAsia="宋体"/>
                <w:szCs w:val="21"/>
                <w:highlight w:val="none"/>
              </w:rPr>
              <w:t>提供界面截图</w:t>
            </w:r>
          </w:p>
        </w:tc>
      </w:tr>
      <w:tr>
        <w:tblPrEx>
          <w:tblLayout w:type="fixed"/>
          <w:tblCellMar>
            <w:top w:w="0" w:type="dxa"/>
            <w:left w:w="108" w:type="dxa"/>
            <w:bottom w:w="0" w:type="dxa"/>
            <w:right w:w="108" w:type="dxa"/>
          </w:tblCellMar>
        </w:tblPrEx>
        <w:trPr>
          <w:trHeight w:val="1425"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虚拟补丁自动生成</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支持导入扫描器结果形成WAF策略</w:t>
            </w:r>
          </w:p>
          <w:p>
            <w:pPr>
              <w:spacing w:line="360" w:lineRule="auto"/>
              <w:rPr>
                <w:rFonts w:ascii="宋体" w:hAnsi="宋体" w:eastAsia="宋体"/>
                <w:szCs w:val="21"/>
                <w:highlight w:val="none"/>
              </w:rPr>
            </w:pPr>
            <w:r>
              <w:rPr>
                <w:rFonts w:hint="eastAsia" w:ascii="宋体" w:hAnsi="宋体" w:eastAsia="宋体"/>
                <w:szCs w:val="21"/>
                <w:highlight w:val="none"/>
              </w:rPr>
              <w:t>扫描器扫出的漏洞信息可直接导入WAF，形成专用防护规则</w:t>
            </w:r>
          </w:p>
          <w:p>
            <w:pPr>
              <w:spacing w:line="360" w:lineRule="auto"/>
              <w:rPr>
                <w:rFonts w:ascii="宋体" w:hAnsi="宋体" w:eastAsia="宋体"/>
                <w:szCs w:val="21"/>
                <w:highlight w:val="none"/>
              </w:rPr>
            </w:pPr>
            <w:r>
              <w:rPr>
                <w:rFonts w:hint="eastAsia" w:ascii="宋体" w:hAnsi="宋体" w:eastAsia="宋体"/>
                <w:szCs w:val="21"/>
                <w:highlight w:val="none"/>
              </w:rPr>
              <w:t>提供界面截图</w:t>
            </w:r>
          </w:p>
        </w:tc>
      </w:tr>
      <w:tr>
        <w:tblPrEx>
          <w:tblLayout w:type="fixed"/>
          <w:tblCellMar>
            <w:top w:w="0" w:type="dxa"/>
            <w:left w:w="108" w:type="dxa"/>
            <w:bottom w:w="0" w:type="dxa"/>
            <w:right w:w="108" w:type="dxa"/>
          </w:tblCellMar>
        </w:tblPrEx>
        <w:trPr>
          <w:trHeight w:val="503" w:hRule="atLeast"/>
          <w:jc w:val="center"/>
        </w:trPr>
        <w:tc>
          <w:tcPr>
            <w:tcW w:w="1635"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防御动作</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针对触发安全规则的行为进行阻断并发出告警页面</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告警页面支持重定向至其它URL</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能将攻击者列入网络黑名单进行网络阻断该IP的访问</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对攻击报文丢弃</w:t>
            </w:r>
          </w:p>
        </w:tc>
      </w:tr>
      <w:tr>
        <w:tblPrEx>
          <w:tblLayout w:type="fixed"/>
          <w:tblCellMar>
            <w:top w:w="0" w:type="dxa"/>
            <w:left w:w="108" w:type="dxa"/>
            <w:bottom w:w="0" w:type="dxa"/>
            <w:right w:w="108" w:type="dxa"/>
          </w:tblCellMar>
        </w:tblPrEx>
        <w:trPr>
          <w:trHeight w:val="1425"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WEB访问行为合规</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eastAsia="宋体" w:cs="宋体"/>
                <w:b w:val="0"/>
                <w:color w:val="auto"/>
                <w:sz w:val="22"/>
                <w:szCs w:val="22"/>
                <w:highlight w:val="none"/>
              </w:rPr>
              <w:t>★</w:t>
            </w:r>
            <w:r>
              <w:rPr>
                <w:rFonts w:hint="eastAsia" w:ascii="宋体" w:hAnsi="宋体" w:eastAsia="宋体"/>
                <w:szCs w:val="21"/>
                <w:highlight w:val="none"/>
              </w:rPr>
              <w:t>可实现访问流程的校验，向网站提交表单前必须先访问指定的网页，并等待可配置的时间长度后才能正常提交表单，需提供第三方测评机构（必须是公安部三所、国家保密局、ISCCC其中一家）的检测报告</w:t>
            </w:r>
          </w:p>
        </w:tc>
      </w:tr>
      <w:tr>
        <w:tblPrEx>
          <w:tblLayout w:type="fixed"/>
          <w:tblCellMar>
            <w:top w:w="0" w:type="dxa"/>
            <w:left w:w="108" w:type="dxa"/>
            <w:bottom w:w="0" w:type="dxa"/>
            <w:right w:w="108" w:type="dxa"/>
          </w:tblCellMar>
        </w:tblPrEx>
        <w:trPr>
          <w:trHeight w:val="2349"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CC防护功能</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eastAsia="宋体" w:cs="宋体"/>
                <w:b w:val="0"/>
                <w:color w:val="auto"/>
                <w:sz w:val="22"/>
                <w:szCs w:val="22"/>
                <w:highlight w:val="none"/>
              </w:rPr>
              <w:t>★</w:t>
            </w:r>
            <w:r>
              <w:rPr>
                <w:rFonts w:hint="eastAsia" w:ascii="宋体" w:hAnsi="宋体" w:eastAsia="宋体"/>
                <w:szCs w:val="21"/>
                <w:highlight w:val="none"/>
              </w:rPr>
              <w:t>可根据URL、请求头字段、目标IP、请求方法等多种组合条件对CC攻击进行检测，检测指标为URL访问速率和URL访问集中度；可根据IP、IP+URL和IP+User_Agent等算法对客户端进行检测，并支持应用层字段解析和自定义检测字段功能，支持挑战模式，支持基于地址位置的识别，需提供第三方测评机构（必须是公安部三所、国家保密局、ISCCC其中一家）的检测报告</w:t>
            </w:r>
          </w:p>
        </w:tc>
      </w:tr>
      <w:tr>
        <w:tblPrEx>
          <w:tblLayout w:type="fixed"/>
          <w:tblCellMar>
            <w:top w:w="0" w:type="dxa"/>
            <w:left w:w="108" w:type="dxa"/>
            <w:bottom w:w="0" w:type="dxa"/>
            <w:right w:w="108" w:type="dxa"/>
          </w:tblCellMar>
        </w:tblPrEx>
        <w:trPr>
          <w:trHeight w:val="503" w:hRule="atLeast"/>
          <w:jc w:val="center"/>
        </w:trPr>
        <w:tc>
          <w:tcPr>
            <w:tcW w:w="1635"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eastAsia="宋体" w:cs="宋体"/>
                <w:b w:val="0"/>
                <w:color w:val="auto"/>
                <w:sz w:val="22"/>
                <w:szCs w:val="22"/>
                <w:highlight w:val="none"/>
              </w:rPr>
              <w:t>★</w:t>
            </w:r>
            <w:r>
              <w:rPr>
                <w:rFonts w:hint="eastAsia" w:ascii="宋体" w:hAnsi="宋体" w:eastAsia="宋体"/>
                <w:szCs w:val="21"/>
                <w:highlight w:val="none"/>
              </w:rPr>
              <w:t>WEB应用弱点扫描模块</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模块类型为独立软件形式，须提供光盘介质一套；</w:t>
            </w:r>
          </w:p>
        </w:tc>
      </w:tr>
      <w:tr>
        <w:tblPrEx>
          <w:tblLayout w:type="fixed"/>
          <w:tblCellMar>
            <w:top w:w="0" w:type="dxa"/>
            <w:left w:w="108" w:type="dxa"/>
            <w:bottom w:w="0" w:type="dxa"/>
            <w:right w:w="108" w:type="dxa"/>
          </w:tblCellMar>
        </w:tblPrEx>
        <w:trPr>
          <w:trHeight w:val="1425"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提供有丰富的策略包，支持各种WEB应用系统以及各种典型的应用漏洞进行检测（如SQL注入、Cookie注入、XPath注入、LDAP注入、跨站脚本、代码注入、表单绕过、弱口令、敏感文件和目录、管理后台、敏感数据、第三方软件等）；</w:t>
            </w:r>
          </w:p>
        </w:tc>
      </w:tr>
      <w:tr>
        <w:tblPrEx>
          <w:tblLayout w:type="fixed"/>
          <w:tblCellMar>
            <w:top w:w="0" w:type="dxa"/>
            <w:left w:w="108" w:type="dxa"/>
            <w:bottom w:w="0" w:type="dxa"/>
            <w:right w:w="108" w:type="dxa"/>
          </w:tblCellMar>
        </w:tblPrEx>
        <w:trPr>
          <w:trHeight w:val="963" w:hRule="atLeast"/>
          <w:jc w:val="center"/>
        </w:trPr>
        <w:tc>
          <w:tcPr>
            <w:tcW w:w="163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拥有国内自主知识产权；通过公安部信息安全产品检测中心检测并获得销售许可证书。</w:t>
            </w:r>
          </w:p>
        </w:tc>
      </w:tr>
      <w:tr>
        <w:tblPrEx>
          <w:tblLayout w:type="fixed"/>
          <w:tblCellMar>
            <w:top w:w="0" w:type="dxa"/>
            <w:left w:w="108" w:type="dxa"/>
            <w:bottom w:w="0" w:type="dxa"/>
            <w:right w:w="108" w:type="dxa"/>
          </w:tblCellMar>
        </w:tblPrEx>
        <w:trPr>
          <w:trHeight w:val="1425"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地图态势分析</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eastAsia="宋体" w:cs="宋体"/>
                <w:b w:val="0"/>
                <w:color w:val="auto"/>
                <w:sz w:val="22"/>
                <w:szCs w:val="22"/>
                <w:highlight w:val="none"/>
              </w:rPr>
              <w:t>★</w:t>
            </w:r>
            <w:r>
              <w:rPr>
                <w:rFonts w:hint="eastAsia" w:ascii="宋体" w:hAnsi="宋体" w:eastAsia="宋体"/>
                <w:szCs w:val="21"/>
                <w:highlight w:val="none"/>
              </w:rPr>
              <w:t>按地理区域对攻击次数等进行统计，通过地图展示，并在地图上可以指定某一地理区域进行访问控制，阻断此区域 IP的访问，提供界面截图与第三方测评机构（必须是公安部三所、国家保密局、ISCCC其中一家）的检测报告</w:t>
            </w:r>
          </w:p>
        </w:tc>
      </w:tr>
      <w:tr>
        <w:tblPrEx>
          <w:tblLayout w:type="fixed"/>
          <w:tblCellMar>
            <w:top w:w="0" w:type="dxa"/>
            <w:left w:w="108" w:type="dxa"/>
            <w:bottom w:w="0" w:type="dxa"/>
            <w:right w:w="108" w:type="dxa"/>
          </w:tblCellMar>
        </w:tblPrEx>
        <w:trPr>
          <w:trHeight w:val="963"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IP信誉库</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根据国际权威机构提供的恶意IP名单库，对恶意 IP的访问实施告警或阻断，提供界面截图</w:t>
            </w:r>
          </w:p>
        </w:tc>
      </w:tr>
      <w:tr>
        <w:tblPrEx>
          <w:tblLayout w:type="fixed"/>
          <w:tblCellMar>
            <w:top w:w="0" w:type="dxa"/>
            <w:left w:w="108" w:type="dxa"/>
            <w:bottom w:w="0" w:type="dxa"/>
            <w:right w:w="108" w:type="dxa"/>
          </w:tblCellMar>
        </w:tblPrEx>
        <w:trPr>
          <w:trHeight w:val="963"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篡改监控</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系统提供防篡改功能，能够防止被篡改内容被浏览者访问到,一旦检测到被篡改，实时发送告警信息给管理员。提供≥20台操作系统web应用</w:t>
            </w:r>
          </w:p>
        </w:tc>
      </w:tr>
      <w:tr>
        <w:tblPrEx>
          <w:tblLayout w:type="fixed"/>
          <w:tblCellMar>
            <w:top w:w="0" w:type="dxa"/>
            <w:left w:w="108" w:type="dxa"/>
            <w:bottom w:w="0" w:type="dxa"/>
            <w:right w:w="108" w:type="dxa"/>
          </w:tblCellMar>
        </w:tblPrEx>
        <w:trPr>
          <w:trHeight w:val="963" w:hRule="atLeast"/>
          <w:jc w:val="center"/>
        </w:trPr>
        <w:tc>
          <w:tcPr>
            <w:tcW w:w="1635"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安全审计</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能详细记录攻击事件的HTTP请求头信息，含请求的URL、UserAgent、POST内容，cookie等所有的请求头内容</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能详细记录服务器响应头信息，服务器响应内容</w:t>
            </w:r>
          </w:p>
        </w:tc>
      </w:tr>
      <w:tr>
        <w:tblPrEx>
          <w:tblLayout w:type="fixed"/>
          <w:tblCellMar>
            <w:top w:w="0" w:type="dxa"/>
            <w:left w:w="108" w:type="dxa"/>
            <w:bottom w:w="0" w:type="dxa"/>
            <w:right w:w="108" w:type="dxa"/>
          </w:tblCellMar>
        </w:tblPrEx>
        <w:trPr>
          <w:trHeight w:val="503"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日志分析</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根据产生的安全日志进行智能分析，提高人工分析效率，减小规则误判概率，</w:t>
            </w:r>
          </w:p>
        </w:tc>
      </w:tr>
      <w:tr>
        <w:tblPrEx>
          <w:tblLayout w:type="fixed"/>
          <w:tblCellMar>
            <w:top w:w="0" w:type="dxa"/>
            <w:left w:w="108" w:type="dxa"/>
            <w:bottom w:w="0" w:type="dxa"/>
            <w:right w:w="108" w:type="dxa"/>
          </w:tblCellMar>
        </w:tblPrEx>
        <w:trPr>
          <w:trHeight w:val="503" w:hRule="atLeast"/>
          <w:jc w:val="center"/>
        </w:trPr>
        <w:tc>
          <w:tcPr>
            <w:tcW w:w="1635"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报表</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根据PCI-DSS要求，对用户的应用进行合规性评估，生成合规报表</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支持自定义报表、定时报表、支持各类导出格式（WORD,PDF等）</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报表可自动发至管理员邮箱</w:t>
            </w:r>
          </w:p>
        </w:tc>
      </w:tr>
      <w:tr>
        <w:tblPrEx>
          <w:tblLayout w:type="fixed"/>
          <w:tblCellMar>
            <w:top w:w="0" w:type="dxa"/>
            <w:left w:w="108" w:type="dxa"/>
            <w:bottom w:w="0" w:type="dxa"/>
            <w:right w:w="108" w:type="dxa"/>
          </w:tblCellMar>
        </w:tblPrEx>
        <w:trPr>
          <w:trHeight w:val="503"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告警方式</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支持Syslog、手机短信、邮件等多种告警方式</w:t>
            </w:r>
          </w:p>
        </w:tc>
      </w:tr>
      <w:tr>
        <w:tblPrEx>
          <w:tblLayout w:type="fixed"/>
          <w:tblCellMar>
            <w:top w:w="0" w:type="dxa"/>
            <w:left w:w="108" w:type="dxa"/>
            <w:bottom w:w="0" w:type="dxa"/>
            <w:right w:w="108" w:type="dxa"/>
          </w:tblCellMar>
        </w:tblPrEx>
        <w:trPr>
          <w:trHeight w:val="503" w:hRule="atLeast"/>
          <w:jc w:val="center"/>
        </w:trPr>
        <w:tc>
          <w:tcPr>
            <w:tcW w:w="1635"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访问审计</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具备审计网站正常访问流量的能力，提供按小时，日期、月份生成报表</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能记录、查询所有用户对网站的访问情况</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能分析出访问量最大的URL，IP地址</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能分析出访问流量最大的文件类型</w:t>
            </w:r>
          </w:p>
        </w:tc>
      </w:tr>
      <w:tr>
        <w:tblPrEx>
          <w:tblLayout w:type="fixed"/>
          <w:tblCellMar>
            <w:top w:w="0" w:type="dxa"/>
            <w:left w:w="108" w:type="dxa"/>
            <w:bottom w:w="0" w:type="dxa"/>
            <w:right w:w="108" w:type="dxa"/>
          </w:tblCellMar>
        </w:tblPrEx>
        <w:trPr>
          <w:trHeight w:val="503" w:hRule="atLeast"/>
          <w:jc w:val="center"/>
        </w:trPr>
        <w:tc>
          <w:tcPr>
            <w:tcW w:w="1635"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加速功能</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系统内嵌应用加速模块，通过对各类静态页面及部分脚本高速缓存，提高访问速度</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支持响应内容压缩，并支持对压缩的响应内容识别</w:t>
            </w:r>
          </w:p>
        </w:tc>
      </w:tr>
      <w:tr>
        <w:tblPrEx>
          <w:tblLayout w:type="fixed"/>
          <w:tblCellMar>
            <w:top w:w="0" w:type="dxa"/>
            <w:left w:w="108" w:type="dxa"/>
            <w:bottom w:w="0" w:type="dxa"/>
            <w:right w:w="108" w:type="dxa"/>
          </w:tblCellMar>
        </w:tblPrEx>
        <w:trPr>
          <w:trHeight w:val="963" w:hRule="atLeast"/>
          <w:jc w:val="center"/>
        </w:trPr>
        <w:tc>
          <w:tcPr>
            <w:tcW w:w="1635"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SSL透明代理</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支持HTTPS服务器的防护，可支持第三方认证机构颁发的证书链，WEB应用防火墙前端与后端均为HTTPS加密链路，实现HTTPS应用系统的防御</w:t>
            </w:r>
          </w:p>
        </w:tc>
      </w:tr>
      <w:tr>
        <w:tblPrEx>
          <w:tblLayout w:type="fixed"/>
          <w:tblCellMar>
            <w:top w:w="0" w:type="dxa"/>
            <w:left w:w="108" w:type="dxa"/>
            <w:bottom w:w="0" w:type="dxa"/>
            <w:right w:w="108" w:type="dxa"/>
          </w:tblCellMar>
        </w:tblPrEx>
        <w:trPr>
          <w:trHeight w:val="963" w:hRule="atLeast"/>
          <w:jc w:val="center"/>
        </w:trPr>
        <w:tc>
          <w:tcPr>
            <w:tcW w:w="163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部署在SSL网关后面，能够解析到真实的访问者IP，并能对真实的IP进行防护和阻断</w:t>
            </w:r>
          </w:p>
        </w:tc>
      </w:tr>
      <w:tr>
        <w:tblPrEx>
          <w:tblLayout w:type="fixed"/>
          <w:tblCellMar>
            <w:top w:w="0" w:type="dxa"/>
            <w:left w:w="108" w:type="dxa"/>
            <w:bottom w:w="0" w:type="dxa"/>
            <w:right w:w="108" w:type="dxa"/>
          </w:tblCellMar>
        </w:tblPrEx>
        <w:trPr>
          <w:trHeight w:val="963"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负载均衡</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工作在代理模式时，可对保护的多台WEB服务器，达到平均分发、按比例分发、热备等多种负载均衡模式。</w:t>
            </w:r>
          </w:p>
        </w:tc>
      </w:tr>
      <w:tr>
        <w:tblPrEx>
          <w:tblLayout w:type="fixed"/>
          <w:tblCellMar>
            <w:top w:w="0" w:type="dxa"/>
            <w:left w:w="108" w:type="dxa"/>
            <w:bottom w:w="0" w:type="dxa"/>
            <w:right w:w="108" w:type="dxa"/>
          </w:tblCellMar>
        </w:tblPrEx>
        <w:trPr>
          <w:trHeight w:val="503" w:hRule="atLeast"/>
          <w:jc w:val="center"/>
        </w:trPr>
        <w:tc>
          <w:tcPr>
            <w:tcW w:w="1635" w:type="dxa"/>
            <w:vMerge w:val="restart"/>
            <w:tcBorders>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操作界面</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设备管理采用管理员与审计员分离</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操作界面支持全中文界面</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支持集中管理，对多台WAF进行统一管理，实现日志收集、策略分发等功能</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支持LDAP认证</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与风暴中心交互，对用户安全情况进行分析并提供安全预警、反馈机制</w:t>
            </w:r>
          </w:p>
        </w:tc>
      </w:tr>
      <w:tr>
        <w:tblPrEx>
          <w:tblLayout w:type="fixed"/>
          <w:tblCellMar>
            <w:top w:w="0" w:type="dxa"/>
            <w:left w:w="108" w:type="dxa"/>
            <w:bottom w:w="0" w:type="dxa"/>
            <w:right w:w="108" w:type="dxa"/>
          </w:tblCellMar>
        </w:tblPrEx>
        <w:trPr>
          <w:trHeight w:val="503" w:hRule="atLeast"/>
          <w:jc w:val="center"/>
        </w:trPr>
        <w:tc>
          <w:tcPr>
            <w:tcW w:w="16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厂商资质</w:t>
            </w: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原厂商为国家级</w:t>
            </w:r>
            <w:r>
              <w:rPr>
                <w:rFonts w:ascii="宋体" w:hAnsi="宋体" w:eastAsia="宋体"/>
                <w:szCs w:val="21"/>
                <w:highlight w:val="none"/>
              </w:rPr>
              <w:t>网络安全应急服务支撑单位</w:t>
            </w:r>
            <w:r>
              <w:rPr>
                <w:rFonts w:hint="eastAsia" w:ascii="宋体" w:hAnsi="宋体" w:eastAsia="宋体"/>
                <w:szCs w:val="21"/>
                <w:highlight w:val="none"/>
              </w:rPr>
              <w:t>，提供相关证书或者证明</w:t>
            </w:r>
          </w:p>
        </w:tc>
      </w:tr>
      <w:tr>
        <w:tblPrEx>
          <w:tblLayout w:type="fixed"/>
          <w:tblCellMar>
            <w:top w:w="0" w:type="dxa"/>
            <w:left w:w="108" w:type="dxa"/>
            <w:bottom w:w="0" w:type="dxa"/>
            <w:right w:w="108" w:type="dxa"/>
          </w:tblCellMar>
        </w:tblPrEx>
        <w:trPr>
          <w:trHeight w:val="503" w:hRule="atLeast"/>
          <w:jc w:val="center"/>
        </w:trPr>
        <w:tc>
          <w:tcPr>
            <w:tcW w:w="163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hAnsi="宋体" w:eastAsia="宋体"/>
                <w:szCs w:val="21"/>
                <w:highlight w:val="none"/>
              </w:rPr>
              <w:t>原厂商具有《中国信息安全认证中心》颁发的信息安全一级应急处理服务资质</w:t>
            </w:r>
          </w:p>
        </w:tc>
      </w:tr>
      <w:tr>
        <w:tblPrEx>
          <w:tblLayout w:type="fixed"/>
          <w:tblCellMar>
            <w:top w:w="0" w:type="dxa"/>
            <w:left w:w="108" w:type="dxa"/>
            <w:bottom w:w="0" w:type="dxa"/>
            <w:right w:w="108" w:type="dxa"/>
          </w:tblCellMar>
        </w:tblPrEx>
        <w:trPr>
          <w:trHeight w:val="1003" w:hRule="atLeast"/>
          <w:jc w:val="center"/>
        </w:trPr>
        <w:tc>
          <w:tcPr>
            <w:tcW w:w="163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p>
        </w:tc>
        <w:tc>
          <w:tcPr>
            <w:tcW w:w="768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Cs w:val="21"/>
                <w:highlight w:val="none"/>
              </w:rPr>
            </w:pPr>
            <w:r>
              <w:rPr>
                <w:rFonts w:hint="eastAsia" w:ascii="宋体" w:eastAsia="宋体" w:cs="宋体"/>
                <w:b w:val="0"/>
                <w:color w:val="auto"/>
                <w:sz w:val="22"/>
                <w:szCs w:val="22"/>
                <w:highlight w:val="none"/>
              </w:rPr>
              <w:t>★</w:t>
            </w:r>
            <w:r>
              <w:rPr>
                <w:rFonts w:hint="eastAsia" w:ascii="宋体" w:hAnsi="宋体" w:eastAsia="宋体"/>
                <w:szCs w:val="21"/>
                <w:highlight w:val="none"/>
              </w:rPr>
              <w:t>要求原厂商常驻浙江地区15名以上具有CISP证书技术支撑人员,提供三个月社保证明。</w:t>
            </w:r>
          </w:p>
        </w:tc>
      </w:tr>
    </w:tbl>
    <w:p>
      <w:pPr>
        <w:pStyle w:val="24"/>
        <w:spacing w:line="360" w:lineRule="auto"/>
        <w:ind w:left="284" w:firstLine="0" w:firstLineChars="0"/>
        <w:rPr>
          <w:rFonts w:ascii="宋体" w:hAnsi="宋体" w:cs="Arial"/>
          <w:b/>
          <w:szCs w:val="21"/>
          <w:highlight w:val="none"/>
        </w:rPr>
      </w:pPr>
    </w:p>
    <w:p>
      <w:pPr>
        <w:pStyle w:val="24"/>
        <w:spacing w:line="360" w:lineRule="auto"/>
        <w:ind w:left="0" w:leftChars="0" w:firstLine="211" w:firstLineChars="100"/>
        <w:rPr>
          <w:rFonts w:ascii="宋体" w:hAnsi="宋体" w:cs="Arial"/>
          <w:b/>
          <w:szCs w:val="21"/>
          <w:highlight w:val="none"/>
        </w:rPr>
      </w:pPr>
      <w:r>
        <w:rPr>
          <w:rFonts w:hint="eastAsia" w:ascii="宋体" w:hAnsi="宋体" w:cs="Arial"/>
          <w:b/>
          <w:szCs w:val="21"/>
          <w:highlight w:val="none"/>
          <w:lang w:val="en-US" w:eastAsia="zh-CN"/>
        </w:rPr>
        <w:t>5.</w:t>
      </w:r>
      <w:r>
        <w:rPr>
          <w:rFonts w:hint="eastAsia" w:ascii="宋体" w:hAnsi="宋体" w:cs="Arial"/>
          <w:b/>
          <w:szCs w:val="21"/>
          <w:highlight w:val="none"/>
        </w:rPr>
        <w:t>大容量存储</w:t>
      </w:r>
    </w:p>
    <w:tbl>
      <w:tblPr>
        <w:tblStyle w:val="17"/>
        <w:tblW w:w="9460" w:type="dxa"/>
        <w:jc w:val="center"/>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bCs/>
                <w:sz w:val="22"/>
                <w:szCs w:val="22"/>
                <w:highlight w:val="none"/>
              </w:rPr>
            </w:pPr>
            <w:r>
              <w:rPr>
                <w:rFonts w:hint="eastAsia" w:ascii="宋体" w:hAnsi="宋体" w:cs="宋体"/>
                <w:b/>
                <w:bCs/>
                <w:sz w:val="22"/>
                <w:szCs w:val="22"/>
                <w:highlight w:val="none"/>
              </w:rPr>
              <w:t>指标</w:t>
            </w:r>
          </w:p>
        </w:tc>
        <w:tc>
          <w:tcPr>
            <w:tcW w:w="7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bCs/>
                <w:sz w:val="22"/>
                <w:szCs w:val="22"/>
                <w:highlight w:val="none"/>
              </w:rPr>
            </w:pPr>
            <w:r>
              <w:rPr>
                <w:rFonts w:hint="eastAsia" w:ascii="宋体" w:hAnsi="宋体" w:cs="宋体"/>
                <w:b/>
                <w:bCs/>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bCs/>
                <w:sz w:val="22"/>
                <w:szCs w:val="22"/>
                <w:highlight w:val="none"/>
              </w:rPr>
            </w:pPr>
            <w:r>
              <w:rPr>
                <w:rFonts w:hint="eastAsia" w:ascii="宋体" w:hAnsi="宋体" w:cs="宋体"/>
                <w:sz w:val="22"/>
                <w:szCs w:val="22"/>
                <w:highlight w:val="none"/>
              </w:rPr>
              <w:t>参数</w:t>
            </w:r>
          </w:p>
        </w:tc>
        <w:tc>
          <w:tcPr>
            <w:tcW w:w="7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2"/>
                <w:szCs w:val="22"/>
                <w:highlight w:val="none"/>
              </w:rPr>
            </w:pPr>
            <w:r>
              <w:rPr>
                <w:rFonts w:hint="eastAsia" w:ascii="宋体" w:hAnsi="宋体" w:cs="宋体"/>
                <w:sz w:val="22"/>
                <w:szCs w:val="22"/>
                <w:highlight w:val="none"/>
              </w:rPr>
              <w:t>双控制器结构，每控制器配置：≥1颗64位多核处理器，≥8GB内存，内存支持扩展到≥256GB，≥4个千兆网口，内置128GSSD固态硬盘可接入2T/3T/4T/6T/8T/10TSATA/SAS磁盘，支持磁盘交错启动和漫游，并支持在线热插拔；</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2"/>
                <w:szCs w:val="22"/>
                <w:highlight w:val="none"/>
              </w:rPr>
            </w:pPr>
            <w:r>
              <w:rPr>
                <w:rFonts w:hint="eastAsia" w:ascii="宋体" w:hAnsi="宋体" w:cs="宋体"/>
                <w:sz w:val="22"/>
                <w:szCs w:val="22"/>
                <w:highlight w:val="none"/>
              </w:rPr>
              <w:t>每个控制器具有：3个12GB SAS3.0接口、2个USB3.0、1个USB2.0接口可接入硬盘≥48块，支持SATA和SAS混插，并支持≥12级扩展柜级联扩展；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2"/>
                <w:szCs w:val="22"/>
                <w:highlight w:val="none"/>
              </w:rPr>
            </w:pPr>
            <w:r>
              <w:rPr>
                <w:rFonts w:hint="eastAsia" w:ascii="宋体" w:hAnsi="宋体" w:cs="宋体"/>
                <w:sz w:val="22"/>
                <w:szCs w:val="22"/>
                <w:highlight w:val="none"/>
              </w:rPr>
              <w:t>应能对视音频、图片及智能分析录像的混合直存，节省存储服务器和图片服务器；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2"/>
                <w:szCs w:val="22"/>
                <w:highlight w:val="none"/>
              </w:rPr>
            </w:pPr>
            <w:r>
              <w:rPr>
                <w:rFonts w:hint="eastAsia" w:ascii="宋体" w:hAnsi="宋体" w:cs="宋体"/>
                <w:sz w:val="22"/>
                <w:szCs w:val="22"/>
                <w:highlight w:val="none"/>
              </w:rPr>
              <w:t>单台存储设备组建网络RAID,允许每组RAID中任意9个磁盘发生故障，数据不丢失，存储服务不中断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2"/>
                <w:szCs w:val="22"/>
                <w:highlight w:val="none"/>
              </w:rPr>
            </w:pPr>
            <w:r>
              <w:rPr>
                <w:rFonts w:hint="eastAsia" w:ascii="宋体" w:hAnsi="宋体" w:cs="宋体"/>
                <w:sz w:val="22"/>
                <w:szCs w:val="22"/>
                <w:highlight w:val="none"/>
              </w:rPr>
              <w:t>应能接入并存储2048Mbps视频图像，同时转发2048Mbps的视频图像；同时回放512Mbps的视频图像；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2"/>
                <w:szCs w:val="22"/>
                <w:highlight w:val="none"/>
              </w:rPr>
            </w:pPr>
            <w:r>
              <w:rPr>
                <w:rFonts w:hint="eastAsia" w:ascii="宋体" w:hAnsi="宋体" w:cs="宋体"/>
                <w:sz w:val="22"/>
                <w:szCs w:val="22"/>
                <w:highlight w:val="none"/>
              </w:rPr>
              <w:t>支持不低于700Mbps图片并发输入，同时不低于700Mbps图片并发输出；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2"/>
                <w:szCs w:val="22"/>
                <w:highlight w:val="none"/>
              </w:rPr>
            </w:pPr>
            <w:r>
              <w:rPr>
                <w:rFonts w:hint="eastAsia" w:ascii="宋体" w:hAnsi="宋体" w:cs="宋体"/>
                <w:sz w:val="22"/>
                <w:szCs w:val="22"/>
                <w:highlight w:val="none"/>
              </w:rPr>
              <w:t>录像报表生成功能检验，可生成EXCEL录像报表文件，文件信息包括录像读/写状态，起始、结束时间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2"/>
                <w:szCs w:val="22"/>
                <w:highlight w:val="none"/>
              </w:rPr>
            </w:pPr>
            <w:r>
              <w:rPr>
                <w:rFonts w:hint="eastAsia" w:ascii="宋体" w:hAnsi="宋体" w:cs="宋体"/>
                <w:sz w:val="22"/>
                <w:szCs w:val="22"/>
                <w:highlight w:val="none"/>
              </w:rPr>
              <w:t>当开启智能录像时，样机可根据前端接入路数、存储周期、码率等参数，自动选择N+M冗余级别较高的数据保护方式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2"/>
                <w:szCs w:val="22"/>
                <w:highlight w:val="none"/>
              </w:rPr>
            </w:pPr>
            <w:r>
              <w:rPr>
                <w:rFonts w:hint="eastAsia" w:ascii="宋体" w:hAnsi="宋体" w:cs="宋体"/>
                <w:sz w:val="22"/>
                <w:szCs w:val="22"/>
                <w:highlight w:val="none"/>
              </w:rPr>
              <w:t>可将损坏RAID按照RAID损坏等级进行重构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2"/>
                <w:szCs w:val="22"/>
                <w:highlight w:val="none"/>
              </w:rPr>
            </w:pPr>
            <w:r>
              <w:rPr>
                <w:rFonts w:hint="eastAsia" w:ascii="宋体" w:hAnsi="宋体" w:cs="宋体"/>
                <w:sz w:val="22"/>
                <w:szCs w:val="22"/>
                <w:highlight w:val="none"/>
              </w:rPr>
              <w:t>业务故障隔离功能检验，存储的业务模块可以放在不同的容器中，一个业务模块故障时，不影响其它业务模块。系统可自动重启业务模块并恢复原有业务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2"/>
                <w:szCs w:val="22"/>
                <w:highlight w:val="none"/>
              </w:rPr>
            </w:pPr>
            <w:r>
              <w:rPr>
                <w:rFonts w:hint="eastAsia" w:ascii="宋体" w:hAnsi="宋体" w:cs="宋体"/>
                <w:sz w:val="22"/>
                <w:szCs w:val="22"/>
                <w:highlight w:val="none"/>
              </w:rPr>
              <w:t>可在操作界面查看数据重构状态，样机的磁盘或节点离线并重新插回后，可在界面显示离线磁盘或节点的数据重构过程，离线前数据不丢失</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bCs/>
                <w:sz w:val="22"/>
                <w:szCs w:val="22"/>
                <w:highlight w:val="none"/>
              </w:rPr>
            </w:pPr>
            <w:r>
              <w:rPr>
                <w:rFonts w:hint="eastAsia" w:ascii="宋体" w:hAnsi="宋体" w:cs="宋体"/>
                <w:sz w:val="22"/>
                <w:szCs w:val="22"/>
                <w:highlight w:val="none"/>
              </w:rPr>
              <w:t>本次配置48个8TB企业级硬盘 ；裸容量为384TB</w:t>
            </w:r>
          </w:p>
        </w:tc>
      </w:tr>
    </w:tbl>
    <w:p>
      <w:pPr>
        <w:pStyle w:val="24"/>
        <w:spacing w:line="360" w:lineRule="auto"/>
        <w:ind w:left="284" w:firstLine="0" w:firstLineChars="0"/>
        <w:rPr>
          <w:rFonts w:ascii="宋体" w:hAnsi="宋体" w:cs="Arial"/>
          <w:b/>
          <w:szCs w:val="21"/>
          <w:highlight w:val="none"/>
        </w:rPr>
      </w:pPr>
      <w:r>
        <w:rPr>
          <w:rFonts w:hint="eastAsia" w:ascii="宋体" w:hAnsi="宋体" w:cs="Arial"/>
          <w:b/>
          <w:szCs w:val="21"/>
          <w:highlight w:val="none"/>
          <w:lang w:val="en-US" w:eastAsia="zh-CN"/>
        </w:rPr>
        <w:t>6.</w:t>
      </w:r>
      <w:r>
        <w:rPr>
          <w:rFonts w:hint="eastAsia" w:ascii="宋体" w:hAnsi="宋体" w:cs="Arial"/>
          <w:b/>
          <w:szCs w:val="21"/>
          <w:highlight w:val="none"/>
        </w:rPr>
        <w:t>智能路由</w:t>
      </w:r>
    </w:p>
    <w:tbl>
      <w:tblPr>
        <w:tblStyle w:val="17"/>
        <w:tblW w:w="9500"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bCs/>
                <w:sz w:val="22"/>
                <w:szCs w:val="22"/>
                <w:highlight w:val="none"/>
              </w:rPr>
            </w:pPr>
            <w:r>
              <w:rPr>
                <w:rFonts w:hint="eastAsia" w:ascii="宋体" w:hAnsi="宋体" w:cs="宋体"/>
                <w:b/>
                <w:bCs/>
                <w:sz w:val="22"/>
                <w:szCs w:val="22"/>
                <w:highlight w:val="none"/>
              </w:rPr>
              <w:t>指标</w:t>
            </w:r>
          </w:p>
        </w:tc>
        <w:tc>
          <w:tcPr>
            <w:tcW w:w="7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bCs/>
                <w:sz w:val="22"/>
                <w:szCs w:val="22"/>
                <w:highlight w:val="none"/>
              </w:rPr>
            </w:pPr>
            <w:r>
              <w:rPr>
                <w:rFonts w:hint="eastAsia" w:ascii="宋体" w:hAnsi="宋体" w:cs="宋体"/>
                <w:b/>
                <w:bCs/>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5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系统平台</w:t>
            </w:r>
          </w:p>
        </w:tc>
        <w:tc>
          <w:tcPr>
            <w:tcW w:w="790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基于linux平台开发。可独立运行于物理机、虚拟机及云环境架构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提供图形管理界面。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5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网络功能</w:t>
            </w:r>
          </w:p>
        </w:tc>
        <w:tc>
          <w:tcPr>
            <w:tcW w:w="7906"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内置基本网络交换及路由、防火墙模块。策略路由、动态路由支持（RIP，RIPNG，OSPFv2，OSPFv3，BGP）、GRE隧道技术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5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主备冗余</w:t>
            </w:r>
          </w:p>
        </w:tc>
        <w:tc>
          <w:tcPr>
            <w:tcW w:w="7906"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支持硬+软模式部署双机及多机群集。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支持中心控制+节点模式部署双机及多机群集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5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硬件参数</w:t>
            </w:r>
          </w:p>
        </w:tc>
        <w:tc>
          <w:tcPr>
            <w:tcW w:w="7906"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采用intle I3处理器，4G高速内存。内置500G磁盘。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含6个千M以太网口。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5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VPN</w:t>
            </w:r>
          </w:p>
        </w:tc>
        <w:tc>
          <w:tcPr>
            <w:tcW w:w="7906"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支持pptp、L2TP、</w:t>
            </w:r>
            <w:r>
              <w:rPr>
                <w:highlight w:val="none"/>
              </w:rPr>
              <w:fldChar w:fldCharType="begin"/>
            </w:r>
            <w:r>
              <w:rPr>
                <w:highlight w:val="none"/>
              </w:rPr>
              <w:instrText xml:space="preserve"> HYPERLINK "http://www.baidu.com/link?url=oCbVH7Tl8bO_FzTgLYx3DFnfo0op-ho0fJeLbjXvgSOiJzMvhMN78YGm4ABTcYIUrQfYddjdfnCn3Spuil9aAa" \t "_blank" </w:instrText>
            </w:r>
            <w:r>
              <w:rPr>
                <w:highlight w:val="none"/>
              </w:rPr>
              <w:fldChar w:fldCharType="separate"/>
            </w:r>
            <w:r>
              <w:rPr>
                <w:rFonts w:hint="eastAsia" w:ascii="宋体" w:hAnsi="宋体" w:cs="宋体"/>
                <w:sz w:val="22"/>
                <w:szCs w:val="22"/>
                <w:highlight w:val="none"/>
              </w:rPr>
              <w:t>IPSec VPN</w:t>
            </w:r>
            <w:r>
              <w:rPr>
                <w:rFonts w:hint="eastAsia" w:ascii="宋体" w:hAnsi="宋体" w:cs="宋体"/>
                <w:sz w:val="22"/>
                <w:szCs w:val="22"/>
                <w:highlight w:val="none"/>
              </w:rPr>
              <w:fldChar w:fldCharType="end"/>
            </w:r>
            <w:r>
              <w:rPr>
                <w:rFonts w:hint="eastAsia" w:ascii="宋体" w:hAnsi="宋体" w:cs="宋体"/>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支持动态口令及密码生命周期管理。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5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eastAsia="宋体" w:cs="宋体"/>
                <w:b w:val="0"/>
                <w:color w:val="auto"/>
                <w:sz w:val="22"/>
                <w:szCs w:val="22"/>
                <w:highlight w:val="none"/>
              </w:rPr>
              <w:t>★</w:t>
            </w:r>
            <w:r>
              <w:rPr>
                <w:rFonts w:hint="eastAsia" w:ascii="宋体" w:hAnsi="宋体" w:cs="宋体"/>
                <w:sz w:val="22"/>
                <w:szCs w:val="22"/>
                <w:highlight w:val="none"/>
              </w:rPr>
              <w:t>智能路由</w:t>
            </w:r>
          </w:p>
        </w:tc>
        <w:tc>
          <w:tcPr>
            <w:tcW w:w="7906"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支持玉环市公共资源、乡镇开标室政府网链路、光纤线路智能选路。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支持在线路故障发生时自动IP代理及端口重定向。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堡垒审计</w:t>
            </w:r>
          </w:p>
        </w:tc>
        <w:tc>
          <w:tcPr>
            <w:tcW w:w="7906"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 xml:space="preserve">支持windows及linux等主流系统的堡垒访问，并具备实时录像与回放功能。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15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自动运维</w:t>
            </w:r>
          </w:p>
        </w:tc>
        <w:tc>
          <w:tcPr>
            <w:tcW w:w="790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系统能够支持监控多种主流操作系统，包括Windows2000/2003/2008的32位/64位等各版本、RedHatLinuxAS、AIX、Solaris、HP-UX等。及支持ssh或telnet后台管理网络设备如（华三、华为、思科等网络交换设备）的种网络通联状态，端口及服务运行状态，并进行自动化处理和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jc w:val="center"/>
        </w:trPr>
        <w:tc>
          <w:tcPr>
            <w:tcW w:w="15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eastAsia="宋体" w:cs="宋体"/>
                <w:b w:val="0"/>
                <w:color w:val="auto"/>
                <w:sz w:val="22"/>
                <w:szCs w:val="22"/>
                <w:highlight w:val="none"/>
              </w:rPr>
              <w:t>★</w:t>
            </w:r>
            <w:r>
              <w:rPr>
                <w:rFonts w:hint="eastAsia" w:ascii="宋体" w:hAnsi="宋体" w:cs="宋体"/>
                <w:sz w:val="22"/>
                <w:szCs w:val="22"/>
                <w:highlight w:val="none"/>
              </w:rPr>
              <w:t>备份与恢复</w:t>
            </w:r>
          </w:p>
        </w:tc>
        <w:tc>
          <w:tcPr>
            <w:tcW w:w="790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具备备份与恢复的能力并具有连接备份到阿里云OSS，百度云等主流的云计算厂商对象存储产品的能力。备份内容包含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文件系统：windows及linux的主流文件格式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数据库备份文件：mysql、sqlserver、oracle等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设备配置文件：主流交换机、路由器、安全设备等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支持备份文件设置定时删除或归档保存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消息与通知</w:t>
            </w:r>
          </w:p>
        </w:tc>
        <w:tc>
          <w:tcPr>
            <w:tcW w:w="790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支持邮件、短信、微信、SNMP、syslog等发生处理通知与消息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网元数量</w:t>
            </w:r>
          </w:p>
        </w:tc>
        <w:tc>
          <w:tcPr>
            <w:tcW w:w="790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堡垒审计终端授权数 20 VPN 数量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5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售后服务</w:t>
            </w:r>
          </w:p>
        </w:tc>
        <w:tc>
          <w:tcPr>
            <w:tcW w:w="790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提供三年以上免费质保，签订合同前提供原厂商出具的针对此项目的质保承诺函。</w:t>
            </w:r>
          </w:p>
        </w:tc>
      </w:tr>
    </w:tbl>
    <w:p>
      <w:pPr>
        <w:pStyle w:val="24"/>
        <w:spacing w:line="360" w:lineRule="auto"/>
        <w:ind w:left="284" w:firstLine="0" w:firstLineChars="0"/>
        <w:rPr>
          <w:rFonts w:hint="eastAsia" w:ascii="宋体" w:hAnsi="宋体" w:cs="Arial"/>
          <w:b/>
          <w:sz w:val="22"/>
          <w:szCs w:val="22"/>
          <w:highlight w:val="none"/>
          <w:lang w:val="en-US" w:eastAsia="zh-CN"/>
        </w:rPr>
      </w:pPr>
    </w:p>
    <w:p>
      <w:pPr>
        <w:pStyle w:val="24"/>
        <w:spacing w:line="360" w:lineRule="auto"/>
        <w:ind w:left="284" w:firstLine="0" w:firstLineChars="0"/>
        <w:rPr>
          <w:rFonts w:hint="eastAsia" w:ascii="宋体" w:hAnsi="宋体" w:cs="Arial"/>
          <w:b/>
          <w:sz w:val="22"/>
          <w:szCs w:val="22"/>
          <w:highlight w:val="none"/>
          <w:lang w:val="en-US" w:eastAsia="zh-CN"/>
        </w:rPr>
      </w:pPr>
    </w:p>
    <w:p>
      <w:pPr>
        <w:pStyle w:val="24"/>
        <w:spacing w:line="360" w:lineRule="auto"/>
        <w:ind w:left="284" w:firstLine="0" w:firstLineChars="0"/>
        <w:rPr>
          <w:rFonts w:ascii="宋体" w:hAnsi="宋体" w:cs="Arial"/>
          <w:b/>
          <w:sz w:val="22"/>
          <w:szCs w:val="22"/>
          <w:highlight w:val="none"/>
        </w:rPr>
      </w:pPr>
      <w:r>
        <w:rPr>
          <w:rFonts w:hint="eastAsia" w:ascii="宋体" w:hAnsi="宋体" w:cs="Arial"/>
          <w:b/>
          <w:sz w:val="22"/>
          <w:szCs w:val="22"/>
          <w:highlight w:val="none"/>
          <w:lang w:val="en-US" w:eastAsia="zh-CN"/>
        </w:rPr>
        <w:t>7.</w:t>
      </w:r>
      <w:r>
        <w:rPr>
          <w:rFonts w:hint="eastAsia" w:ascii="宋体" w:hAnsi="宋体" w:cs="Arial"/>
          <w:b/>
          <w:sz w:val="22"/>
          <w:szCs w:val="22"/>
          <w:highlight w:val="none"/>
        </w:rPr>
        <w:t>一体化大屏</w:t>
      </w:r>
    </w:p>
    <w:tbl>
      <w:tblPr>
        <w:tblStyle w:val="18"/>
        <w:tblW w:w="9380" w:type="dxa"/>
        <w:jc w:val="center"/>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bCs/>
                <w:sz w:val="22"/>
                <w:szCs w:val="22"/>
                <w:highlight w:val="none"/>
              </w:rPr>
            </w:pPr>
            <w:r>
              <w:rPr>
                <w:rFonts w:hint="eastAsia" w:ascii="宋体" w:hAnsi="宋体" w:cs="宋体"/>
                <w:b/>
                <w:bCs/>
                <w:sz w:val="22"/>
                <w:szCs w:val="22"/>
                <w:highlight w:val="none"/>
              </w:rPr>
              <w:t>指标</w:t>
            </w:r>
          </w:p>
        </w:tc>
        <w:tc>
          <w:tcPr>
            <w:tcW w:w="7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bCs/>
                <w:sz w:val="22"/>
                <w:szCs w:val="22"/>
                <w:highlight w:val="none"/>
              </w:rPr>
            </w:pPr>
            <w:r>
              <w:rPr>
                <w:rFonts w:hint="eastAsia" w:ascii="宋体" w:hAnsi="宋体" w:cs="宋体"/>
                <w:b/>
                <w:bCs/>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显示部分</w:t>
            </w:r>
          </w:p>
        </w:tc>
        <w:tc>
          <w:tcPr>
            <w:tcW w:w="784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color w:val="000000"/>
                <w:kern w:val="0"/>
                <w:sz w:val="22"/>
                <w:szCs w:val="22"/>
                <w:highlight w:val="none"/>
              </w:rPr>
              <w:t>▲</w:t>
            </w:r>
            <w:r>
              <w:rPr>
                <w:rFonts w:hint="eastAsia" w:ascii="宋体" w:hAnsi="宋体" w:cs="宋体"/>
                <w:sz w:val="22"/>
                <w:szCs w:val="22"/>
                <w:highlight w:val="none"/>
              </w:rPr>
              <w:t>1、显示区域对角线尺寸不小于138吋；点间距≤1.906mm；SMD1515表贴三合一LED，表面黑色雾化处理不反光。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2、显示对比度≥3000：1；显示灰度等级≥14bit；可视角度（垂直/水平）≥140°；屏幕亮度阈值100~500nit；色温阈值3200~9500K。</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eastAsia="宋体" w:cs="宋体"/>
                <w:b w:val="0"/>
                <w:color w:val="auto"/>
                <w:sz w:val="22"/>
                <w:szCs w:val="22"/>
                <w:highlight w:val="none"/>
              </w:rPr>
              <w:t>★</w:t>
            </w:r>
            <w:r>
              <w:rPr>
                <w:rFonts w:hint="eastAsia" w:ascii="宋体" w:hAnsi="宋体" w:cs="宋体"/>
                <w:sz w:val="22"/>
                <w:szCs w:val="22"/>
                <w:highlight w:val="none"/>
              </w:rPr>
              <w:t>3、支持通过按键调高或降低亮度。（提供具有CNAS检测资质的检测单位出具的第三方专业检测报告，加盖原厂公章）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4、整机显示比例16：9；分辨率≥1600*900。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屏幕刷新率（Hz）≥3840Hz，帧频率50&amp;60Hz；具备对比度/色度调节/视觉修正等图像调整功能。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LED像素失控率≤1/200000。（提供具有CNAS检测资质的检测单位出具的第三方专业检测报告，加盖原厂公章）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5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整机设计</w:t>
            </w:r>
          </w:p>
        </w:tc>
        <w:tc>
          <w:tcPr>
            <w:tcW w:w="784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eastAsia="宋体" w:cs="宋体"/>
                <w:b w:val="0"/>
                <w:color w:val="auto"/>
                <w:sz w:val="22"/>
                <w:szCs w:val="22"/>
                <w:highlight w:val="none"/>
              </w:rPr>
              <w:t>★</w:t>
            </w:r>
            <w:r>
              <w:rPr>
                <w:rFonts w:hint="eastAsia" w:ascii="宋体" w:hAnsi="宋体" w:cs="宋体"/>
                <w:sz w:val="22"/>
                <w:szCs w:val="22"/>
                <w:highlight w:val="none"/>
              </w:rPr>
              <w:t>7、整机采用高内聚耦合设计。只要一个按键即可对屏体进行开启、关闭、待机等操作。（提供具有CNAS检测资质的检测单位出具的第三方专业检测报告，加盖原厂公章）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color w:val="000000"/>
                <w:kern w:val="0"/>
                <w:sz w:val="22"/>
                <w:szCs w:val="22"/>
                <w:highlight w:val="none"/>
              </w:rPr>
              <w:t>▲</w:t>
            </w:r>
            <w:r>
              <w:rPr>
                <w:rFonts w:hint="eastAsia" w:ascii="宋体" w:hAnsi="宋体" w:cs="宋体"/>
                <w:sz w:val="22"/>
                <w:szCs w:val="22"/>
                <w:highlight w:val="none"/>
              </w:rPr>
              <w:t>8、指示灯：具有状态指示类，根据设备工作状态，通过颜色变化，呈现设备的状态。（提供具有CNAS检测资质的检测单位出具的第三方专业检测报告，加盖原厂公章）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9、整机具备外部可见前置端口不少于如下种类和数量：USB2.0*2，HDMI IN*1，LINE OUT*1（提供具有CNAS检测资质的检测单位出具的第三方专业检测报告，加盖原厂公章）。内置千兆网卡，支持发射AP热点；提供RJ45接口，能够通过有线、无线两种方式接入互联网。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10、整机内置嵌入式系统。采用Android7.1及以上系统，CPU：2×A72+4×A53，GPU不低于Mali T864，内存容量：2GB，存储容量：8GB。（提供具有CNAS检测资质的检测单位出具的第三方专业检测报告，加盖原厂公章）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11、内置不少于7欢迎界面模板，可根据用户需求自定义文字等。（提供具有CNAS检测资质的检测单位出具的第三方专业检测报告，加盖原厂公章）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15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电磁及维护设计</w:t>
            </w:r>
          </w:p>
        </w:tc>
        <w:tc>
          <w:tcPr>
            <w:tcW w:w="784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12、电源、接收卡、转接板三合一，即箱体内多个模块集成与一块电路板卡上，包含但不限于交/直流电源、接收卡、转接板等，配合不同点间距灯板即可正常工作。（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▲13、整机一根电源线，即可实现对其供电，无需特地准备其他供电配件如电箱等。（提供具有CNAS检测资质的检测单位出具的第三方专业检测报告，加盖原厂公章）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▲14、整机通过EMC电磁兼容测试，符合国家标准GB/T9254-2008电源端子骚扰电压限值（A级）要求。（提供具有CNAS检测资质的检测单位出具的第三方专业检测报告，加盖原厂公章）</w:t>
            </w:r>
            <w:r>
              <w:rPr>
                <w:rFonts w:hint="eastAsia" w:ascii="宋体" w:hAnsi="宋体" w:cs="宋体"/>
                <w:sz w:val="22"/>
                <w:szCs w:val="22"/>
                <w:highlight w:val="none"/>
                <w:lang w:eastAsia="zh-CN"/>
              </w:rPr>
              <w:t>★</w:t>
            </w:r>
            <w:r>
              <w:rPr>
                <w:rFonts w:hint="eastAsia" w:ascii="宋体" w:hAnsi="宋体" w:cs="宋体"/>
                <w:sz w:val="22"/>
                <w:szCs w:val="22"/>
                <w:highlight w:val="none"/>
              </w:rPr>
              <w:t>15、整机通过EMC电磁兼容测试，在30MHz～1000MHz频率范围，符合国家标准GB/T9254-2008辐射骚扰场强限值（A级）要求。（提供具有CNAS检测资质的检测单位出具的第三方专业检测报告，加盖原厂公章）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16、显示单元采用全压铸铝箱体，采用无风扇静音设计。整机噪音≤20dB（A）（提供具有CNAS检测资质的检测单位出具的第三方专业检测报告，加盖原厂公章）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17、箱体厚度≤38.5mm，模组间隙≤0.1mm，平整度≤0.1mm。（提供具有CNAS检测资质的检测单位出具的第三方专业检测报告，加盖原厂公章）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18、箱体间连线完全隐藏于箱体内部，外部无任何可见的箱体间连线。（提供具有CNAS检测资质的检测单位出具的第三方专业检测报告，加盖原厂公章）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color w:val="000000"/>
                <w:kern w:val="0"/>
                <w:sz w:val="22"/>
                <w:szCs w:val="22"/>
                <w:highlight w:val="none"/>
              </w:rPr>
              <w:t>▲</w:t>
            </w:r>
            <w:r>
              <w:rPr>
                <w:rFonts w:hint="eastAsia" w:ascii="宋体" w:hAnsi="宋体" w:cs="宋体"/>
                <w:sz w:val="22"/>
                <w:szCs w:val="22"/>
                <w:highlight w:val="none"/>
              </w:rPr>
              <w:t>19、设备有任何硬件问题，能在不拆装箱体的基础上，通过移动灯板，对问题进行判断、处理，箱体外部无可见连线。（提供具有CNAS检测资质的检测单位出具的第三方专业检测报告，加盖原厂公章）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20、在开机屏幕正常工作的状态下，可对灯板进行插拔操作，不影响其他灯板工作；同时无需任何连线，就能检查、更换灯板；热插拔后显示屏显示正常无任何不良现象。（提供具有CNAS检测资质的检测单位出具的第三方专业检测报告，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5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屏幕调试</w:t>
            </w:r>
          </w:p>
        </w:tc>
        <w:tc>
          <w:tcPr>
            <w:tcW w:w="784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21、屏幕有自己的OSD菜单，实现对其操控时的状态显示。（提供具有CNAS检测资质的检测单位出具的第三方专业检测报告，加盖原厂公章）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22、支持IR控制，实现对屏幕的亮度、通道切换、功能选择等操作。（提供具有CNAS检测资质的检测单位出具的第三方专业检测报告，加盖原厂公章）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23、为保证显示屏整屏亮度和色彩的一致性，每个像素点需要具备单点亮度校正和单点颜色校正。（提供具有CNAS检测资质的检测单位出具的第三方专业检测报告，加盖原厂公章）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24、灯板储存校正系数，换灯板后校正系数自带读取不需要人工操作。（提供具有CNAS检测资质的检测单位出具的第三方专业检测报告，加盖原厂公章）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25、每次开机，可自动进入上次关机时的通道，避免每次需要对输入信号进行调节。（提供具有CNAS检测资质的检测单位出具的第三方专业检测报告，加盖原厂公章）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5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无线传屏</w:t>
            </w:r>
          </w:p>
        </w:tc>
        <w:tc>
          <w:tcPr>
            <w:tcW w:w="784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26、支持电脑通过无线投屏，把屏幕传到LED显示屏且不影响电脑上网功能（Windows，MacOS）；支持手机/平板投屏（Android/iOS），且传输延迟≦90ms。（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27、无线传屏发射端采用单按键设计，只需按一下即可传屏，无需在外接设备上进行任何操作。为确保硬件兼容性，无线传屏发射端须与LED拼接屏为同一品牌。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28、支持同时连接不少于8个传屏发射器，支持同时四画面上屏，通过按键切换传输不同外部电脑的画面及声音。（提供具有CNAS检测资质的检测单位出具的第三方专业检测报告，加盖原厂公章）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29、整机支持安卓、IOS及MAC系统的移动终端远程互动投屏，无需连接无线传屏发射器及任何外接设备即可直接远程共享终端屏幕画面，并可以实现上述分屏投射功能。</w:t>
            </w:r>
          </w:p>
        </w:tc>
      </w:tr>
    </w:tbl>
    <w:p>
      <w:pPr>
        <w:pStyle w:val="24"/>
        <w:spacing w:line="360" w:lineRule="auto"/>
        <w:ind w:left="284" w:firstLine="0" w:firstLineChars="0"/>
        <w:rPr>
          <w:rFonts w:ascii="宋体" w:hAnsi="宋体" w:cs="Arial"/>
          <w:b/>
          <w:szCs w:val="21"/>
          <w:highlight w:val="none"/>
        </w:rPr>
      </w:pPr>
    </w:p>
    <w:p>
      <w:pPr>
        <w:pStyle w:val="24"/>
        <w:spacing w:line="360" w:lineRule="auto"/>
        <w:ind w:left="284" w:firstLine="0" w:firstLineChars="0"/>
        <w:rPr>
          <w:rFonts w:ascii="宋体" w:hAnsi="宋体" w:cs="Arial"/>
          <w:b/>
          <w:sz w:val="22"/>
          <w:szCs w:val="22"/>
          <w:highlight w:val="none"/>
        </w:rPr>
      </w:pPr>
      <w:r>
        <w:rPr>
          <w:rFonts w:hint="eastAsia" w:ascii="宋体" w:hAnsi="宋体" w:cs="Arial"/>
          <w:b/>
          <w:sz w:val="22"/>
          <w:szCs w:val="22"/>
          <w:highlight w:val="none"/>
          <w:lang w:val="en-US" w:eastAsia="zh-CN"/>
        </w:rPr>
        <w:t>8.</w:t>
      </w:r>
      <w:r>
        <w:rPr>
          <w:rFonts w:hint="eastAsia" w:ascii="宋体" w:hAnsi="宋体" w:cs="Arial"/>
          <w:b/>
          <w:sz w:val="22"/>
          <w:szCs w:val="22"/>
          <w:highlight w:val="none"/>
        </w:rPr>
        <w:t>千兆电口交换机</w:t>
      </w:r>
    </w:p>
    <w:tbl>
      <w:tblPr>
        <w:tblStyle w:val="17"/>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7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704" w:type="dxa"/>
            <w:shd w:val="clear" w:color="auto" w:fill="auto"/>
            <w:tcMar>
              <w:top w:w="28" w:type="dxa"/>
              <w:bottom w:w="28" w:type="dxa"/>
            </w:tcMar>
            <w:vAlign w:val="center"/>
          </w:tcPr>
          <w:p>
            <w:pPr>
              <w:widowControl/>
              <w:jc w:val="center"/>
              <w:rPr>
                <w:rFonts w:ascii="宋体" w:hAnsi="宋体" w:cs="Arial"/>
                <w:b/>
                <w:kern w:val="0"/>
                <w:sz w:val="22"/>
                <w:szCs w:val="22"/>
                <w:highlight w:val="none"/>
              </w:rPr>
            </w:pPr>
            <w:r>
              <w:rPr>
                <w:rFonts w:hint="eastAsia" w:ascii="宋体" w:hAnsi="宋体" w:cs="Arial"/>
                <w:b/>
                <w:kern w:val="0"/>
                <w:sz w:val="22"/>
                <w:szCs w:val="22"/>
                <w:highlight w:val="none"/>
              </w:rPr>
              <w:t>指标</w:t>
            </w:r>
          </w:p>
        </w:tc>
        <w:tc>
          <w:tcPr>
            <w:tcW w:w="7816" w:type="dxa"/>
            <w:shd w:val="clear" w:color="auto" w:fill="auto"/>
            <w:tcMar>
              <w:top w:w="28" w:type="dxa"/>
              <w:bottom w:w="28" w:type="dxa"/>
            </w:tcMar>
            <w:vAlign w:val="center"/>
          </w:tcPr>
          <w:p>
            <w:pPr>
              <w:widowControl/>
              <w:jc w:val="center"/>
              <w:rPr>
                <w:rFonts w:ascii="宋体" w:hAnsi="宋体" w:cs="Arial"/>
                <w:b/>
                <w:kern w:val="0"/>
                <w:sz w:val="22"/>
                <w:szCs w:val="22"/>
                <w:highlight w:val="none"/>
              </w:rPr>
            </w:pPr>
            <w:r>
              <w:rPr>
                <w:rFonts w:ascii="宋体" w:hAnsi="宋体" w:cs="Arial"/>
                <w:b/>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704" w:type="dxa"/>
            <w:shd w:val="clear" w:color="auto" w:fill="auto"/>
            <w:tcMar>
              <w:top w:w="28" w:type="dxa"/>
              <w:bottom w:w="28" w:type="dxa"/>
            </w:tcMar>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性能指标</w:t>
            </w:r>
          </w:p>
        </w:tc>
        <w:tc>
          <w:tcPr>
            <w:tcW w:w="7816" w:type="dxa"/>
            <w:shd w:val="clear" w:color="auto" w:fill="auto"/>
            <w:tcMar>
              <w:top w:w="28" w:type="dxa"/>
              <w:bottom w:w="28" w:type="dxa"/>
            </w:tcMar>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24口千兆电口 4口SFP光口 包转发率</w:t>
            </w:r>
            <w:r>
              <w:rPr>
                <w:rFonts w:hint="eastAsia" w:ascii="宋体" w:hAnsi="宋体" w:cs="宋体"/>
                <w:kern w:val="0"/>
                <w:sz w:val="22"/>
                <w:szCs w:val="22"/>
                <w:highlight w:val="none"/>
              </w:rPr>
              <w:t>≥80Mpps</w:t>
            </w:r>
          </w:p>
        </w:tc>
      </w:tr>
    </w:tbl>
    <w:p>
      <w:pPr>
        <w:pStyle w:val="24"/>
        <w:spacing w:line="360" w:lineRule="auto"/>
        <w:ind w:left="284" w:firstLine="0" w:firstLineChars="0"/>
        <w:rPr>
          <w:rFonts w:ascii="宋体" w:hAnsi="宋体" w:cs="Arial"/>
          <w:b/>
          <w:szCs w:val="21"/>
          <w:highlight w:val="none"/>
        </w:rPr>
      </w:pPr>
    </w:p>
    <w:p>
      <w:pPr>
        <w:pStyle w:val="24"/>
        <w:spacing w:line="360" w:lineRule="auto"/>
        <w:ind w:left="284" w:firstLine="0" w:firstLineChars="0"/>
        <w:rPr>
          <w:rFonts w:ascii="宋体" w:hAnsi="宋体" w:cs="Arial"/>
          <w:b/>
          <w:sz w:val="22"/>
          <w:szCs w:val="22"/>
          <w:highlight w:val="none"/>
        </w:rPr>
      </w:pPr>
      <w:r>
        <w:rPr>
          <w:rFonts w:hint="eastAsia" w:ascii="宋体" w:hAnsi="宋体" w:cs="Arial"/>
          <w:b/>
          <w:sz w:val="22"/>
          <w:szCs w:val="22"/>
          <w:highlight w:val="none"/>
          <w:lang w:val="en-US" w:eastAsia="zh-CN"/>
        </w:rPr>
        <w:t>9.</w:t>
      </w:r>
      <w:r>
        <w:rPr>
          <w:rFonts w:hint="eastAsia" w:ascii="宋体" w:hAnsi="宋体" w:cs="Arial"/>
          <w:b/>
          <w:sz w:val="22"/>
          <w:szCs w:val="22"/>
          <w:highlight w:val="none"/>
        </w:rPr>
        <w:t>千兆光口交换机</w:t>
      </w:r>
    </w:p>
    <w:tbl>
      <w:tblPr>
        <w:tblStyle w:val="17"/>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07" w:type="dxa"/>
            <w:shd w:val="clear" w:color="auto" w:fill="auto"/>
            <w:tcMar>
              <w:top w:w="28" w:type="dxa"/>
              <w:bottom w:w="28" w:type="dxa"/>
            </w:tcMar>
            <w:vAlign w:val="center"/>
          </w:tcPr>
          <w:p>
            <w:pPr>
              <w:widowControl/>
              <w:jc w:val="center"/>
              <w:rPr>
                <w:rFonts w:ascii="宋体" w:hAnsi="宋体" w:cs="Arial"/>
                <w:b/>
                <w:kern w:val="0"/>
                <w:sz w:val="22"/>
                <w:szCs w:val="22"/>
                <w:highlight w:val="none"/>
              </w:rPr>
            </w:pPr>
            <w:r>
              <w:rPr>
                <w:rFonts w:hint="eastAsia" w:ascii="宋体" w:hAnsi="宋体" w:cs="Arial"/>
                <w:b/>
                <w:kern w:val="0"/>
                <w:sz w:val="22"/>
                <w:szCs w:val="22"/>
                <w:highlight w:val="none"/>
              </w:rPr>
              <w:t>指标</w:t>
            </w:r>
          </w:p>
        </w:tc>
        <w:tc>
          <w:tcPr>
            <w:tcW w:w="7833" w:type="dxa"/>
            <w:shd w:val="clear" w:color="auto" w:fill="auto"/>
            <w:tcMar>
              <w:top w:w="28" w:type="dxa"/>
              <w:bottom w:w="28" w:type="dxa"/>
            </w:tcMar>
            <w:vAlign w:val="center"/>
          </w:tcPr>
          <w:p>
            <w:pPr>
              <w:widowControl/>
              <w:jc w:val="center"/>
              <w:rPr>
                <w:rFonts w:ascii="宋体" w:hAnsi="宋体" w:cs="Arial"/>
                <w:b/>
                <w:kern w:val="0"/>
                <w:sz w:val="22"/>
                <w:szCs w:val="22"/>
                <w:highlight w:val="none"/>
              </w:rPr>
            </w:pPr>
            <w:r>
              <w:rPr>
                <w:rFonts w:ascii="宋体" w:hAnsi="宋体" w:cs="Arial"/>
                <w:b/>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707" w:type="dxa"/>
            <w:shd w:val="clear" w:color="auto" w:fill="auto"/>
            <w:tcMar>
              <w:top w:w="28" w:type="dxa"/>
              <w:bottom w:w="28" w:type="dxa"/>
            </w:tcMar>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性能指标</w:t>
            </w:r>
          </w:p>
        </w:tc>
        <w:tc>
          <w:tcPr>
            <w:tcW w:w="7833" w:type="dxa"/>
            <w:shd w:val="clear" w:color="auto" w:fill="auto"/>
            <w:tcMar>
              <w:top w:w="28" w:type="dxa"/>
              <w:bottom w:w="28" w:type="dxa"/>
            </w:tcMar>
            <w:vAlign w:val="center"/>
          </w:tcPr>
          <w:p>
            <w:pPr>
              <w:widowControl/>
              <w:jc w:val="left"/>
              <w:rPr>
                <w:rFonts w:ascii="宋体" w:hAnsi="宋体" w:cs="Arial"/>
                <w:kern w:val="0"/>
                <w:sz w:val="22"/>
                <w:szCs w:val="22"/>
                <w:highlight w:val="none"/>
              </w:rPr>
            </w:pPr>
            <w:r>
              <w:rPr>
                <w:rFonts w:hint="eastAsia" w:ascii="宋体" w:hAnsi="宋体" w:cs="Arial"/>
                <w:kern w:val="0"/>
                <w:sz w:val="22"/>
                <w:szCs w:val="22"/>
                <w:highlight w:val="none"/>
              </w:rPr>
              <w:t>24口SFP光口 4口SFP+光口 包转发率</w:t>
            </w:r>
            <w:r>
              <w:rPr>
                <w:rFonts w:hint="eastAsia" w:ascii="宋体" w:hAnsi="宋体" w:cs="宋体"/>
                <w:kern w:val="0"/>
                <w:sz w:val="22"/>
                <w:szCs w:val="22"/>
                <w:highlight w:val="none"/>
              </w:rPr>
              <w:t>≥80Mpps</w:t>
            </w:r>
          </w:p>
        </w:tc>
      </w:tr>
    </w:tbl>
    <w:p>
      <w:pPr>
        <w:pStyle w:val="24"/>
        <w:spacing w:line="360" w:lineRule="auto"/>
        <w:ind w:firstLine="0" w:firstLineChars="0"/>
        <w:rPr>
          <w:rFonts w:ascii="宋体" w:hAnsi="宋体" w:cs="Arial"/>
          <w:b/>
          <w:szCs w:val="21"/>
          <w:highlight w:val="none"/>
        </w:rPr>
      </w:pPr>
    </w:p>
    <w:p>
      <w:pPr>
        <w:pStyle w:val="24"/>
        <w:spacing w:line="360" w:lineRule="auto"/>
        <w:ind w:left="284" w:firstLine="0" w:firstLineChars="0"/>
        <w:rPr>
          <w:rFonts w:ascii="宋体" w:hAnsi="宋体" w:cs="Arial"/>
          <w:b/>
          <w:sz w:val="22"/>
          <w:szCs w:val="22"/>
          <w:highlight w:val="none"/>
        </w:rPr>
      </w:pPr>
      <w:r>
        <w:rPr>
          <w:rFonts w:hint="eastAsia" w:ascii="宋体" w:hAnsi="宋体" w:cs="Arial"/>
          <w:b/>
          <w:sz w:val="22"/>
          <w:szCs w:val="22"/>
          <w:highlight w:val="none"/>
          <w:lang w:val="en-US" w:eastAsia="zh-CN"/>
        </w:rPr>
        <w:t>10.</w:t>
      </w:r>
      <w:r>
        <w:rPr>
          <w:rFonts w:hint="eastAsia" w:ascii="宋体" w:hAnsi="宋体" w:cs="Arial"/>
          <w:b/>
          <w:sz w:val="22"/>
          <w:szCs w:val="22"/>
          <w:highlight w:val="none"/>
        </w:rPr>
        <w:t>容灾系统</w:t>
      </w:r>
    </w:p>
    <w:tbl>
      <w:tblPr>
        <w:tblStyle w:val="17"/>
        <w:tblW w:w="9360" w:type="dxa"/>
        <w:jc w:val="center"/>
        <w:tblInd w:w="-269" w:type="dxa"/>
        <w:tblLayout w:type="fixed"/>
        <w:tblCellMar>
          <w:top w:w="0" w:type="dxa"/>
          <w:left w:w="108" w:type="dxa"/>
          <w:bottom w:w="0" w:type="dxa"/>
          <w:right w:w="108" w:type="dxa"/>
        </w:tblCellMar>
      </w:tblPr>
      <w:tblGrid>
        <w:gridCol w:w="1652"/>
        <w:gridCol w:w="7708"/>
      </w:tblGrid>
      <w:tr>
        <w:tblPrEx>
          <w:tblLayout w:type="fixed"/>
          <w:tblCellMar>
            <w:top w:w="0" w:type="dxa"/>
            <w:left w:w="108" w:type="dxa"/>
            <w:bottom w:w="0" w:type="dxa"/>
            <w:right w:w="108" w:type="dxa"/>
          </w:tblCellMar>
        </w:tblPrEx>
        <w:trPr>
          <w:trHeight w:val="432"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技术指标项目</w:t>
            </w: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技术指标参数</w:t>
            </w:r>
          </w:p>
        </w:tc>
      </w:tr>
      <w:tr>
        <w:tblPrEx>
          <w:tblLayout w:type="fixed"/>
          <w:tblCellMar>
            <w:top w:w="0" w:type="dxa"/>
            <w:left w:w="108" w:type="dxa"/>
            <w:bottom w:w="0" w:type="dxa"/>
            <w:right w:w="108" w:type="dxa"/>
          </w:tblCellMar>
        </w:tblPrEx>
        <w:trPr>
          <w:trHeight w:val="226"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总体要求</w:t>
            </w: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按照CPU数量授权许可，本次配置6CPU许可</w:t>
            </w:r>
          </w:p>
        </w:tc>
      </w:tr>
      <w:tr>
        <w:tblPrEx>
          <w:tblLayout w:type="fixed"/>
          <w:tblCellMar>
            <w:top w:w="0" w:type="dxa"/>
            <w:left w:w="108" w:type="dxa"/>
            <w:bottom w:w="0" w:type="dxa"/>
            <w:right w:w="108" w:type="dxa"/>
          </w:tblCellMar>
        </w:tblPrEx>
        <w:trPr>
          <w:trHeight w:val="432"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存储软件市场排名</w:t>
            </w: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全球前三名的数据保护软件厂商</w:t>
            </w:r>
          </w:p>
        </w:tc>
      </w:tr>
      <w:tr>
        <w:tblPrEx>
          <w:tblLayout w:type="fixed"/>
          <w:tblCellMar>
            <w:top w:w="0" w:type="dxa"/>
            <w:left w:w="108" w:type="dxa"/>
            <w:bottom w:w="0" w:type="dxa"/>
            <w:right w:w="108" w:type="dxa"/>
          </w:tblCellMar>
        </w:tblPrEx>
        <w:trPr>
          <w:trHeight w:val="432"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kern w:val="0"/>
                <w:sz w:val="22"/>
                <w:szCs w:val="22"/>
                <w:highlight w:val="none"/>
              </w:rPr>
              <w:t>支持多种操作系统备份</w:t>
            </w: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支持备份通用操作系统平台，包括：AIX、HP-UX、Solaris， Windows、Linux等等。</w:t>
            </w:r>
          </w:p>
        </w:tc>
      </w:tr>
      <w:tr>
        <w:tblPrEx>
          <w:tblLayout w:type="fixed"/>
          <w:tblCellMar>
            <w:top w:w="0" w:type="dxa"/>
            <w:left w:w="108" w:type="dxa"/>
            <w:bottom w:w="0" w:type="dxa"/>
            <w:right w:w="108" w:type="dxa"/>
          </w:tblCellMar>
        </w:tblPrEx>
        <w:trPr>
          <w:trHeight w:val="638"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kern w:val="0"/>
                <w:sz w:val="22"/>
                <w:szCs w:val="22"/>
                <w:highlight w:val="none"/>
              </w:rPr>
              <w:t>支持多种网络环境备份</w:t>
            </w: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支持TCP/IP网络环境的数据备份，可以升级到SAN环境下的LANFree备份，并支持升级到ServerFree备份。</w:t>
            </w:r>
          </w:p>
        </w:tc>
      </w:tr>
      <w:tr>
        <w:tblPrEx>
          <w:tblLayout w:type="fixed"/>
          <w:tblCellMar>
            <w:top w:w="0" w:type="dxa"/>
            <w:left w:w="108" w:type="dxa"/>
            <w:bottom w:w="0" w:type="dxa"/>
            <w:right w:w="108" w:type="dxa"/>
          </w:tblCellMar>
        </w:tblPrEx>
        <w:trPr>
          <w:trHeight w:val="638"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kern w:val="0"/>
                <w:sz w:val="22"/>
                <w:szCs w:val="22"/>
                <w:highlight w:val="none"/>
              </w:rPr>
              <w:t>支持多种数据库系统备份</w:t>
            </w: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支持各种数据库平台（包括DB2、SQL Server、Oracle、Informix、Sybase、Mysql等）的在线备份。</w:t>
            </w:r>
          </w:p>
        </w:tc>
      </w:tr>
      <w:tr>
        <w:tblPrEx>
          <w:tblLayout w:type="fixed"/>
          <w:tblCellMar>
            <w:top w:w="0" w:type="dxa"/>
            <w:left w:w="108" w:type="dxa"/>
            <w:bottom w:w="0" w:type="dxa"/>
            <w:right w:w="108" w:type="dxa"/>
          </w:tblCellMar>
        </w:tblPrEx>
        <w:trPr>
          <w:trHeight w:val="638"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kern w:val="0"/>
                <w:sz w:val="22"/>
                <w:szCs w:val="22"/>
                <w:highlight w:val="none"/>
              </w:rPr>
              <w:t>支持多种存储备份设备</w:t>
            </w: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支持各种类型的磁盘阵列（SAN，iSCSI，NAS等）、磁带机、磁带库、虚拟带库，支持OST设备。</w:t>
            </w:r>
          </w:p>
        </w:tc>
      </w:tr>
      <w:tr>
        <w:tblPrEx>
          <w:tblLayout w:type="fixed"/>
          <w:tblCellMar>
            <w:top w:w="0" w:type="dxa"/>
            <w:left w:w="108" w:type="dxa"/>
            <w:bottom w:w="0" w:type="dxa"/>
            <w:right w:w="108" w:type="dxa"/>
          </w:tblCellMar>
        </w:tblPrEx>
        <w:trPr>
          <w:trHeight w:val="638"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支持可视化人机界面</w:t>
            </w: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支持以图形或WEB方式进行管理，包括在管理范围内设备的状态和性能信息、各种数据保护参数、各种备份作业的设置信息、各种备份/恢复作业的执行状态统计信息、各种备份业务数据的相关信息等</w:t>
            </w:r>
          </w:p>
        </w:tc>
      </w:tr>
      <w:tr>
        <w:tblPrEx>
          <w:tblLayout w:type="fixed"/>
          <w:tblCellMar>
            <w:top w:w="0" w:type="dxa"/>
            <w:left w:w="108" w:type="dxa"/>
            <w:bottom w:w="0" w:type="dxa"/>
            <w:right w:w="108" w:type="dxa"/>
          </w:tblCellMar>
        </w:tblPrEx>
        <w:trPr>
          <w:trHeight w:val="638"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备份管理平台</w:t>
            </w: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备份管理平台可支持自由选择安装，可以部署在虚拟机、桌面机、台式机、移动终端（如平板电脑、智能手机等），采用独立的APP，而不是Web版本进行管理和控制。</w:t>
            </w:r>
          </w:p>
        </w:tc>
      </w:tr>
      <w:tr>
        <w:tblPrEx>
          <w:tblLayout w:type="fixed"/>
          <w:tblCellMar>
            <w:top w:w="0" w:type="dxa"/>
            <w:left w:w="108" w:type="dxa"/>
            <w:bottom w:w="0" w:type="dxa"/>
            <w:right w:w="108" w:type="dxa"/>
          </w:tblCellMar>
        </w:tblPrEx>
        <w:trPr>
          <w:trHeight w:val="432"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支持用户审计管理</w:t>
            </w: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支持对备份系统的用户的分级管理，如：系统管理员、维护员、操作员等不同的角色，并且可以纪录所有的用户的操作情况</w:t>
            </w:r>
          </w:p>
        </w:tc>
      </w:tr>
      <w:tr>
        <w:tblPrEx>
          <w:tblLayout w:type="fixed"/>
          <w:tblCellMar>
            <w:top w:w="0" w:type="dxa"/>
            <w:left w:w="108" w:type="dxa"/>
            <w:bottom w:w="0" w:type="dxa"/>
            <w:right w:w="108" w:type="dxa"/>
          </w:tblCellMar>
        </w:tblPrEx>
        <w:trPr>
          <w:trHeight w:val="432"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kern w:val="0"/>
                <w:sz w:val="22"/>
                <w:szCs w:val="22"/>
                <w:highlight w:val="none"/>
              </w:rPr>
              <w:t>支持云备份管理组件</w:t>
            </w: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支持基于共有云、私有云、混合云的备份解决方案，可以自由选择将备份数据备份到云端，必要时可以从云端将数据进行恢复。</w:t>
            </w:r>
          </w:p>
        </w:tc>
      </w:tr>
      <w:tr>
        <w:tblPrEx>
          <w:tblLayout w:type="fixed"/>
          <w:tblCellMar>
            <w:top w:w="0" w:type="dxa"/>
            <w:left w:w="108" w:type="dxa"/>
            <w:bottom w:w="0" w:type="dxa"/>
            <w:right w:w="108" w:type="dxa"/>
          </w:tblCellMar>
        </w:tblPrEx>
        <w:trPr>
          <w:trHeight w:val="432"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支持桌面机备份</w:t>
            </w: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支持通过局域网或VPN进行桌面机备份，个人用户实现自助式文件备份和恢复。</w:t>
            </w:r>
          </w:p>
        </w:tc>
      </w:tr>
      <w:tr>
        <w:tblPrEx>
          <w:tblLayout w:type="fixed"/>
          <w:tblCellMar>
            <w:top w:w="0" w:type="dxa"/>
            <w:left w:w="108" w:type="dxa"/>
            <w:bottom w:w="0" w:type="dxa"/>
            <w:right w:w="108" w:type="dxa"/>
          </w:tblCellMar>
        </w:tblPrEx>
        <w:trPr>
          <w:trHeight w:val="376" w:hRule="atLeast"/>
          <w:jc w:val="center"/>
        </w:trPr>
        <w:tc>
          <w:tcPr>
            <w:tcW w:w="1652"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kern w:val="0"/>
                <w:sz w:val="22"/>
                <w:szCs w:val="22"/>
                <w:highlight w:val="none"/>
              </w:rPr>
              <w:t>全面支持VMware备份</w:t>
            </w:r>
          </w:p>
        </w:tc>
        <w:tc>
          <w:tcPr>
            <w:tcW w:w="7708" w:type="dxa"/>
            <w:tcBorders>
              <w:top w:val="single" w:color="auto" w:sz="4" w:space="0"/>
              <w:left w:val="nil"/>
              <w:bottom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a、深度集成VMware，支持将VMware自带的VDP之间容灾复制；</w:t>
            </w:r>
          </w:p>
        </w:tc>
      </w:tr>
      <w:tr>
        <w:tblPrEx>
          <w:tblLayout w:type="fixed"/>
          <w:tblCellMar>
            <w:top w:w="0" w:type="dxa"/>
            <w:left w:w="108" w:type="dxa"/>
            <w:bottom w:w="0" w:type="dxa"/>
            <w:right w:w="108" w:type="dxa"/>
          </w:tblCellMar>
        </w:tblPrEx>
        <w:trPr>
          <w:trHeight w:val="245" w:hRule="atLeast"/>
          <w:jc w:val="center"/>
        </w:trPr>
        <w:tc>
          <w:tcPr>
            <w:tcW w:w="1652"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p>
        </w:tc>
        <w:tc>
          <w:tcPr>
            <w:tcW w:w="7708" w:type="dxa"/>
            <w:tcBorders>
              <w:top w:val="nil"/>
              <w:left w:val="nil"/>
              <w:bottom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b、能自动发现VMware拓扑结构，方便管理；</w:t>
            </w:r>
          </w:p>
        </w:tc>
      </w:tr>
      <w:tr>
        <w:tblPrEx>
          <w:tblLayout w:type="fixed"/>
          <w:tblCellMar>
            <w:top w:w="0" w:type="dxa"/>
            <w:left w:w="108" w:type="dxa"/>
            <w:bottom w:w="0" w:type="dxa"/>
            <w:right w:w="108" w:type="dxa"/>
          </w:tblCellMar>
        </w:tblPrEx>
        <w:trPr>
          <w:trHeight w:val="245" w:hRule="atLeast"/>
          <w:jc w:val="center"/>
        </w:trPr>
        <w:tc>
          <w:tcPr>
            <w:tcW w:w="1652"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p>
        </w:tc>
        <w:tc>
          <w:tcPr>
            <w:tcW w:w="7708" w:type="dxa"/>
            <w:tcBorders>
              <w:top w:val="nil"/>
              <w:left w:val="nil"/>
              <w:bottom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c、支持源端消重方式备份VMware；</w:t>
            </w:r>
          </w:p>
        </w:tc>
      </w:tr>
      <w:tr>
        <w:tblPrEx>
          <w:tblLayout w:type="fixed"/>
          <w:tblCellMar>
            <w:top w:w="0" w:type="dxa"/>
            <w:left w:w="108" w:type="dxa"/>
            <w:bottom w:w="0" w:type="dxa"/>
            <w:right w:w="108" w:type="dxa"/>
          </w:tblCellMar>
        </w:tblPrEx>
        <w:trPr>
          <w:trHeight w:val="451" w:hRule="atLeast"/>
          <w:jc w:val="center"/>
        </w:trPr>
        <w:tc>
          <w:tcPr>
            <w:tcW w:w="1652"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p>
        </w:tc>
        <w:tc>
          <w:tcPr>
            <w:tcW w:w="7708" w:type="dxa"/>
            <w:tcBorders>
              <w:top w:val="nil"/>
              <w:left w:val="nil"/>
              <w:bottom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d、支持与vSphere web client界面集成，即可以在vSphere web client中直接操作备份恢复；</w:t>
            </w:r>
          </w:p>
        </w:tc>
      </w:tr>
      <w:tr>
        <w:tblPrEx>
          <w:tblLayout w:type="fixed"/>
          <w:tblCellMar>
            <w:top w:w="0" w:type="dxa"/>
            <w:left w:w="108" w:type="dxa"/>
            <w:bottom w:w="0" w:type="dxa"/>
            <w:right w:w="108" w:type="dxa"/>
          </w:tblCellMar>
        </w:tblPrEx>
        <w:trPr>
          <w:trHeight w:val="245" w:hRule="atLeast"/>
          <w:jc w:val="center"/>
        </w:trPr>
        <w:tc>
          <w:tcPr>
            <w:tcW w:w="1652"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p>
        </w:tc>
        <w:tc>
          <w:tcPr>
            <w:tcW w:w="7708" w:type="dxa"/>
            <w:tcBorders>
              <w:top w:val="nil"/>
              <w:left w:val="nil"/>
              <w:bottom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e、支持在VM中自助恢复丢失的单个文件</w:t>
            </w:r>
          </w:p>
        </w:tc>
      </w:tr>
      <w:tr>
        <w:tblPrEx>
          <w:tblLayout w:type="fixed"/>
          <w:tblCellMar>
            <w:top w:w="0" w:type="dxa"/>
            <w:left w:w="108" w:type="dxa"/>
            <w:bottom w:w="0" w:type="dxa"/>
            <w:right w:w="108" w:type="dxa"/>
          </w:tblCellMar>
        </w:tblPrEx>
        <w:trPr>
          <w:trHeight w:val="245" w:hRule="atLeast"/>
          <w:jc w:val="center"/>
        </w:trPr>
        <w:tc>
          <w:tcPr>
            <w:tcW w:w="1652"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p>
        </w:tc>
        <w:tc>
          <w:tcPr>
            <w:tcW w:w="7708" w:type="dxa"/>
            <w:tcBorders>
              <w:top w:val="nil"/>
              <w:left w:val="nil"/>
              <w:bottom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f、支持Instant Access功能，无需恢复，直接访问备份的VM</w:t>
            </w:r>
          </w:p>
        </w:tc>
      </w:tr>
      <w:tr>
        <w:tblPrEx>
          <w:tblLayout w:type="fixed"/>
          <w:tblCellMar>
            <w:top w:w="0" w:type="dxa"/>
            <w:left w:w="108" w:type="dxa"/>
            <w:bottom w:w="0" w:type="dxa"/>
            <w:right w:w="108" w:type="dxa"/>
          </w:tblCellMar>
        </w:tblPrEx>
        <w:trPr>
          <w:trHeight w:val="245" w:hRule="atLeast"/>
          <w:jc w:val="center"/>
        </w:trPr>
        <w:tc>
          <w:tcPr>
            <w:tcW w:w="1652"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p>
        </w:tc>
        <w:tc>
          <w:tcPr>
            <w:tcW w:w="7708" w:type="dxa"/>
            <w:tcBorders>
              <w:top w:val="nil"/>
              <w:left w:val="nil"/>
              <w:bottom w:val="nil"/>
              <w:right w:val="single" w:color="auto" w:sz="8"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g、支持对单个VMDK文件的备份/恢复</w:t>
            </w:r>
          </w:p>
        </w:tc>
      </w:tr>
      <w:tr>
        <w:tblPrEx>
          <w:tblLayout w:type="fixed"/>
          <w:tblCellMar>
            <w:top w:w="0" w:type="dxa"/>
            <w:left w:w="108" w:type="dxa"/>
            <w:bottom w:w="0" w:type="dxa"/>
            <w:right w:w="108" w:type="dxa"/>
          </w:tblCellMar>
        </w:tblPrEx>
        <w:trPr>
          <w:trHeight w:val="245" w:hRule="atLeast"/>
          <w:jc w:val="center"/>
        </w:trPr>
        <w:tc>
          <w:tcPr>
            <w:tcW w:w="1652"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p>
        </w:tc>
        <w:tc>
          <w:tcPr>
            <w:tcW w:w="7708" w:type="dxa"/>
            <w:tcBorders>
              <w:top w:val="nil"/>
              <w:left w:val="nil"/>
              <w:bottom w:val="nil"/>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h、当vCenter完全损坏的时候可以快速恢复虚拟机，而不需要重新部署vCenter</w:t>
            </w:r>
          </w:p>
        </w:tc>
      </w:tr>
      <w:tr>
        <w:tblPrEx>
          <w:tblLayout w:type="fixed"/>
          <w:tblCellMar>
            <w:top w:w="0" w:type="dxa"/>
            <w:left w:w="108" w:type="dxa"/>
            <w:bottom w:w="0" w:type="dxa"/>
            <w:right w:w="108" w:type="dxa"/>
          </w:tblCellMar>
        </w:tblPrEx>
        <w:trPr>
          <w:trHeight w:val="245" w:hRule="atLeast"/>
          <w:jc w:val="center"/>
        </w:trPr>
        <w:tc>
          <w:tcPr>
            <w:tcW w:w="1652" w:type="dxa"/>
            <w:vMerge w:val="continue"/>
            <w:tcBorders>
              <w:top w:val="nil"/>
              <w:left w:val="single" w:color="auto" w:sz="8"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p>
        </w:tc>
        <w:tc>
          <w:tcPr>
            <w:tcW w:w="7708"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i、软件能够部署在VMWARE环境中</w:t>
            </w:r>
          </w:p>
        </w:tc>
      </w:tr>
      <w:tr>
        <w:tblPrEx>
          <w:tblLayout w:type="fixed"/>
          <w:tblCellMar>
            <w:top w:w="0" w:type="dxa"/>
            <w:left w:w="108" w:type="dxa"/>
            <w:bottom w:w="0" w:type="dxa"/>
            <w:right w:w="108" w:type="dxa"/>
          </w:tblCellMar>
        </w:tblPrEx>
        <w:trPr>
          <w:trHeight w:val="638" w:hRule="atLeast"/>
          <w:jc w:val="center"/>
        </w:trPr>
        <w:tc>
          <w:tcPr>
            <w:tcW w:w="1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kern w:val="0"/>
                <w:sz w:val="22"/>
                <w:szCs w:val="22"/>
                <w:highlight w:val="none"/>
              </w:rPr>
              <w:t>VMware连续数据保护</w:t>
            </w: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a、支持任意时间点恢复数据，可以捕获并记录VM虚机每一个写I/O操作，当虚拟机需要恢复时，用户可从任意时间点中选择，使虚拟机能够基于以前的事务快速地从任一时间点恢复</w:t>
            </w:r>
          </w:p>
        </w:tc>
      </w:tr>
      <w:tr>
        <w:tblPrEx>
          <w:tblLayout w:type="fixed"/>
          <w:tblCellMar>
            <w:top w:w="0" w:type="dxa"/>
            <w:left w:w="108" w:type="dxa"/>
            <w:bottom w:w="0" w:type="dxa"/>
            <w:right w:w="108" w:type="dxa"/>
          </w:tblCellMar>
        </w:tblPrEx>
        <w:trPr>
          <w:trHeight w:val="764" w:hRule="atLeast"/>
          <w:jc w:val="center"/>
        </w:trPr>
        <w:tc>
          <w:tcPr>
            <w:tcW w:w="16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b、可以实现对物理和数据逻辑故障的恢复，逻辑故障包括：逻辑错误、人为误操作和病毒等引起的数据库数据丢失、人为或病毒引起的数据库崩溃等故障。</w:t>
            </w:r>
          </w:p>
        </w:tc>
      </w:tr>
      <w:tr>
        <w:tblPrEx>
          <w:tblLayout w:type="fixed"/>
          <w:tblCellMar>
            <w:top w:w="0" w:type="dxa"/>
            <w:left w:w="108" w:type="dxa"/>
            <w:bottom w:w="0" w:type="dxa"/>
            <w:right w:w="108" w:type="dxa"/>
          </w:tblCellMar>
        </w:tblPrEx>
        <w:trPr>
          <w:trHeight w:val="794" w:hRule="atLeast"/>
          <w:jc w:val="center"/>
        </w:trPr>
        <w:tc>
          <w:tcPr>
            <w:tcW w:w="16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c、与VMware深度整合，可通过vSphere client发起对任意虚机的保护，通过vCenter管理所有保护虚机，策略及恢复，无需额外界面及软件</w:t>
            </w:r>
          </w:p>
        </w:tc>
      </w:tr>
      <w:tr>
        <w:tblPrEx>
          <w:tblLayout w:type="fixed"/>
          <w:tblCellMar>
            <w:top w:w="0" w:type="dxa"/>
            <w:left w:w="108" w:type="dxa"/>
            <w:bottom w:w="0" w:type="dxa"/>
            <w:right w:w="108" w:type="dxa"/>
          </w:tblCellMar>
        </w:tblPrEx>
        <w:trPr>
          <w:trHeight w:val="704" w:hRule="atLeast"/>
          <w:jc w:val="center"/>
        </w:trPr>
        <w:tc>
          <w:tcPr>
            <w:tcW w:w="16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d、本次配置支持对50台虚拟机提供本地连续数据保护许可，对50台虚拟机提供远程连续数据保护许可</w:t>
            </w:r>
          </w:p>
        </w:tc>
      </w:tr>
      <w:tr>
        <w:tblPrEx>
          <w:tblLayout w:type="fixed"/>
          <w:tblCellMar>
            <w:top w:w="0" w:type="dxa"/>
            <w:left w:w="108" w:type="dxa"/>
            <w:bottom w:w="0" w:type="dxa"/>
            <w:right w:w="108" w:type="dxa"/>
          </w:tblCellMar>
        </w:tblPrEx>
        <w:trPr>
          <w:trHeight w:val="704"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支持虚拟合成全备份</w:t>
            </w:r>
          </w:p>
        </w:tc>
        <w:tc>
          <w:tcPr>
            <w:tcW w:w="7708"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支持把一个全备份和多个增量备份合成一个新的全备份，且合成过程在备份设备底层完成，不占用介质服务器的资源</w:t>
            </w:r>
          </w:p>
        </w:tc>
      </w:tr>
      <w:tr>
        <w:tblPrEx>
          <w:tblLayout w:type="fixed"/>
          <w:tblCellMar>
            <w:top w:w="0" w:type="dxa"/>
            <w:left w:w="108" w:type="dxa"/>
            <w:bottom w:w="0" w:type="dxa"/>
            <w:right w:w="108" w:type="dxa"/>
          </w:tblCellMar>
        </w:tblPrEx>
        <w:trPr>
          <w:trHeight w:val="631"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支持高密度文件系统快照备份</w:t>
            </w:r>
          </w:p>
        </w:tc>
        <w:tc>
          <w:tcPr>
            <w:tcW w:w="7708"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通过快照提高对大量小文件系统的备份性能，同时支持文件级别的恢复</w:t>
            </w:r>
          </w:p>
        </w:tc>
      </w:tr>
      <w:tr>
        <w:tblPrEx>
          <w:tblLayout w:type="fixed"/>
          <w:tblCellMar>
            <w:top w:w="0" w:type="dxa"/>
            <w:left w:w="108" w:type="dxa"/>
            <w:bottom w:w="0" w:type="dxa"/>
            <w:right w:w="108" w:type="dxa"/>
          </w:tblCellMar>
        </w:tblPrEx>
        <w:trPr>
          <w:trHeight w:val="451"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kern w:val="0"/>
                <w:sz w:val="22"/>
                <w:szCs w:val="22"/>
                <w:highlight w:val="none"/>
              </w:rPr>
              <w:t>备份数据容灾复制</w:t>
            </w:r>
          </w:p>
        </w:tc>
        <w:tc>
          <w:tcPr>
            <w:tcW w:w="7708"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备份系统要支持对备份后数据的远程复制功能，并且能够支持基于广域网的低带宽传输</w:t>
            </w:r>
          </w:p>
        </w:tc>
      </w:tr>
      <w:tr>
        <w:tblPrEx>
          <w:tblLayout w:type="fixed"/>
          <w:tblCellMar>
            <w:top w:w="0" w:type="dxa"/>
            <w:left w:w="108" w:type="dxa"/>
            <w:bottom w:w="0" w:type="dxa"/>
            <w:right w:w="108" w:type="dxa"/>
          </w:tblCellMar>
        </w:tblPrEx>
        <w:trPr>
          <w:trHeight w:val="699"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kern w:val="0"/>
                <w:sz w:val="22"/>
                <w:szCs w:val="22"/>
                <w:highlight w:val="none"/>
              </w:rPr>
              <w:t>高效的恢复能力</w:t>
            </w:r>
          </w:p>
        </w:tc>
        <w:tc>
          <w:tcPr>
            <w:tcW w:w="7708"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恢复数据时不需采用全备份叠加增量备份来恢复至指定的时间点，而是采用任意时间点恢复的方式直接恢复到客户所要求时间点的数据</w:t>
            </w:r>
          </w:p>
        </w:tc>
      </w:tr>
      <w:tr>
        <w:tblPrEx>
          <w:tblLayout w:type="fixed"/>
          <w:tblCellMar>
            <w:top w:w="0" w:type="dxa"/>
            <w:left w:w="108" w:type="dxa"/>
            <w:bottom w:w="0" w:type="dxa"/>
            <w:right w:w="108" w:type="dxa"/>
          </w:tblCellMar>
        </w:tblPrEx>
        <w:trPr>
          <w:trHeight w:val="1086"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kern w:val="0"/>
                <w:sz w:val="22"/>
                <w:szCs w:val="22"/>
                <w:highlight w:val="none"/>
              </w:rPr>
              <w:t>数据切分比对技术</w:t>
            </w:r>
          </w:p>
        </w:tc>
        <w:tc>
          <w:tcPr>
            <w:tcW w:w="7708"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备份方案需采用高效率的重复数据删除技术，能够对不同的文件采用变长而非定长的数据段进行分割。无论文件更改了那部分都能够智能的找到未发生变化的部分，而不会增加需要传输的备份数据量</w:t>
            </w:r>
          </w:p>
        </w:tc>
      </w:tr>
      <w:tr>
        <w:tblPrEx>
          <w:tblLayout w:type="fixed"/>
          <w:tblCellMar>
            <w:top w:w="0" w:type="dxa"/>
            <w:left w:w="108" w:type="dxa"/>
            <w:bottom w:w="0" w:type="dxa"/>
            <w:right w:w="108" w:type="dxa"/>
          </w:tblCellMar>
        </w:tblPrEx>
        <w:trPr>
          <w:trHeight w:val="1101"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kern w:val="0"/>
                <w:sz w:val="22"/>
                <w:szCs w:val="22"/>
                <w:highlight w:val="none"/>
              </w:rPr>
              <w:t>源端重复数据删除技术</w:t>
            </w:r>
          </w:p>
        </w:tc>
        <w:tc>
          <w:tcPr>
            <w:tcW w:w="7708"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备份方案要支持在数据源进行的重复数据的删除功能，避免大量数据通过网络传输时带来的带宽的占用和过长的备份窗口，将客户端上需要备份的数据中的重复部分在传输之前就进行甄别和筛选，只将唯一的数据段写入后端备份设备</w:t>
            </w:r>
          </w:p>
        </w:tc>
      </w:tr>
      <w:tr>
        <w:tblPrEx>
          <w:tblLayout w:type="fixed"/>
          <w:tblCellMar>
            <w:top w:w="0" w:type="dxa"/>
            <w:left w:w="108" w:type="dxa"/>
            <w:bottom w:w="0" w:type="dxa"/>
            <w:right w:w="108" w:type="dxa"/>
          </w:tblCellMar>
        </w:tblPrEx>
        <w:trPr>
          <w:trHeight w:val="477"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kern w:val="0"/>
                <w:sz w:val="22"/>
                <w:szCs w:val="22"/>
                <w:highlight w:val="none"/>
              </w:rPr>
              <w:t>全局消重</w:t>
            </w:r>
          </w:p>
        </w:tc>
        <w:tc>
          <w:tcPr>
            <w:tcW w:w="7708"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采用单一消重池，没有消重池容量大小限制</w:t>
            </w:r>
          </w:p>
        </w:tc>
      </w:tr>
      <w:tr>
        <w:tblPrEx>
          <w:tblLayout w:type="fixed"/>
          <w:tblCellMar>
            <w:top w:w="0" w:type="dxa"/>
            <w:left w:w="108" w:type="dxa"/>
            <w:bottom w:w="0" w:type="dxa"/>
            <w:right w:w="108" w:type="dxa"/>
          </w:tblCellMar>
        </w:tblPrEx>
        <w:trPr>
          <w:trHeight w:val="1413"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提供统一监控软件</w:t>
            </w:r>
          </w:p>
        </w:tc>
        <w:tc>
          <w:tcPr>
            <w:tcW w:w="7708"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对整个数据灾备流程和系统进行监控/报告/告警/预测/分析，支持客户现有存储及网络环境，支持多操作系统，支持主流的数据保护系统及备份系统，支持对连续性数据复制的监控和报告。能够提供清晰、详细的图示和报表，清晰显示生产端到容灾端数据保护逻辑</w:t>
            </w:r>
          </w:p>
        </w:tc>
      </w:tr>
      <w:tr>
        <w:tblPrEx>
          <w:tblLayout w:type="fixed"/>
          <w:tblCellMar>
            <w:top w:w="0" w:type="dxa"/>
            <w:left w:w="108" w:type="dxa"/>
            <w:bottom w:w="0" w:type="dxa"/>
            <w:right w:w="108" w:type="dxa"/>
          </w:tblCellMar>
        </w:tblPrEx>
        <w:trPr>
          <w:trHeight w:val="451"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支持监控的操作系统</w:t>
            </w:r>
          </w:p>
        </w:tc>
        <w:tc>
          <w:tcPr>
            <w:tcW w:w="7708"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IBM AIX， HPUX，Windows，SUN Solaris，Linux等操作系统</w:t>
            </w:r>
          </w:p>
        </w:tc>
      </w:tr>
      <w:tr>
        <w:tblPrEx>
          <w:tblLayout w:type="fixed"/>
          <w:tblCellMar>
            <w:top w:w="0" w:type="dxa"/>
            <w:left w:w="108" w:type="dxa"/>
            <w:bottom w:w="0" w:type="dxa"/>
            <w:right w:w="108" w:type="dxa"/>
          </w:tblCellMar>
        </w:tblPrEx>
        <w:trPr>
          <w:trHeight w:val="849"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容量分析预警功能</w:t>
            </w:r>
          </w:p>
        </w:tc>
        <w:tc>
          <w:tcPr>
            <w:tcW w:w="7708"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支持对容量的全面监控和预测，通过预警功能更好的计划购买或部署新的容量，防止容量耗尽影响应用程序</w:t>
            </w:r>
          </w:p>
        </w:tc>
      </w:tr>
      <w:tr>
        <w:tblPrEx>
          <w:tblLayout w:type="fixed"/>
          <w:tblCellMar>
            <w:top w:w="0" w:type="dxa"/>
            <w:left w:w="108" w:type="dxa"/>
            <w:bottom w:w="0" w:type="dxa"/>
            <w:right w:w="108" w:type="dxa"/>
          </w:tblCellMar>
        </w:tblPrEx>
        <w:trPr>
          <w:trHeight w:val="451"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监控平台统一管理</w:t>
            </w:r>
          </w:p>
        </w:tc>
        <w:tc>
          <w:tcPr>
            <w:tcW w:w="7708"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整合跨多个系统和域收集的信息，通过单一窗口实现监控，分析和报告</w:t>
            </w:r>
          </w:p>
        </w:tc>
      </w:tr>
      <w:tr>
        <w:tblPrEx>
          <w:tblLayout w:type="fixed"/>
          <w:tblCellMar>
            <w:top w:w="0" w:type="dxa"/>
            <w:left w:w="108" w:type="dxa"/>
            <w:bottom w:w="0" w:type="dxa"/>
            <w:right w:w="108" w:type="dxa"/>
          </w:tblCellMar>
        </w:tblPrEx>
        <w:trPr>
          <w:trHeight w:val="451"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分析功能</w:t>
            </w:r>
          </w:p>
        </w:tc>
        <w:tc>
          <w:tcPr>
            <w:tcW w:w="7708"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当对本地生产端和远程端的数据保护进行监控时，可以监控到以下内容：远程站点的配置信息，包括服务器和存储拓扑关系，数据复制映射关系，数据复制带宽</w:t>
            </w:r>
          </w:p>
        </w:tc>
      </w:tr>
      <w:tr>
        <w:tblPrEx>
          <w:tblLayout w:type="fixed"/>
          <w:tblCellMar>
            <w:top w:w="0" w:type="dxa"/>
            <w:left w:w="108" w:type="dxa"/>
            <w:bottom w:w="0" w:type="dxa"/>
            <w:right w:w="108" w:type="dxa"/>
          </w:tblCellMar>
        </w:tblPrEx>
        <w:trPr>
          <w:trHeight w:val="1071"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kern w:val="0"/>
                <w:sz w:val="22"/>
                <w:szCs w:val="22"/>
                <w:highlight w:val="none"/>
              </w:rPr>
              <w:t>监控功能</w:t>
            </w:r>
          </w:p>
        </w:tc>
        <w:tc>
          <w:tcPr>
            <w:tcW w:w="7708"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对远程端被复制的数据进行可恢复性分析，比对主机，存储，数据库结构等信息，给出分析诊断结论或报表以确定远端数据是否可恢复，支持对数据库关联结构进行分析</w:t>
            </w:r>
          </w:p>
        </w:tc>
      </w:tr>
      <w:tr>
        <w:tblPrEx>
          <w:tblLayout w:type="fixed"/>
          <w:tblCellMar>
            <w:top w:w="0" w:type="dxa"/>
            <w:left w:w="108" w:type="dxa"/>
            <w:bottom w:w="0" w:type="dxa"/>
            <w:right w:w="108" w:type="dxa"/>
          </w:tblCellMar>
        </w:tblPrEx>
        <w:trPr>
          <w:trHeight w:val="714"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告警功能</w:t>
            </w:r>
          </w:p>
        </w:tc>
        <w:tc>
          <w:tcPr>
            <w:tcW w:w="7708"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对数据保护过程进行全程实时监控可以通过e-mail, SNMP, or external scripts来实现告警功能</w:t>
            </w:r>
          </w:p>
        </w:tc>
      </w:tr>
      <w:tr>
        <w:tblPrEx>
          <w:tblLayout w:type="fixed"/>
          <w:tblCellMar>
            <w:top w:w="0" w:type="dxa"/>
            <w:left w:w="108" w:type="dxa"/>
            <w:bottom w:w="0" w:type="dxa"/>
            <w:right w:w="108" w:type="dxa"/>
          </w:tblCellMar>
        </w:tblPrEx>
        <w:trPr>
          <w:trHeight w:val="844"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kern w:val="0"/>
                <w:sz w:val="22"/>
                <w:szCs w:val="22"/>
                <w:highlight w:val="none"/>
              </w:rPr>
              <w:t>支持SLA目标监控</w:t>
            </w:r>
          </w:p>
        </w:tc>
        <w:tc>
          <w:tcPr>
            <w:tcW w:w="7708" w:type="dxa"/>
            <w:tcBorders>
              <w:top w:val="nil"/>
              <w:left w:val="single" w:color="auto" w:sz="4"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支持用户指定的SLA，即服务级别目标监控，即当用户指定数据保护在一定的时间或其他条件内没有完成，系统给于自动告警和分析</w:t>
            </w:r>
          </w:p>
        </w:tc>
      </w:tr>
      <w:tr>
        <w:tblPrEx>
          <w:tblLayout w:type="fixed"/>
          <w:tblCellMar>
            <w:top w:w="0" w:type="dxa"/>
            <w:left w:w="108" w:type="dxa"/>
            <w:bottom w:w="0" w:type="dxa"/>
            <w:right w:w="108" w:type="dxa"/>
          </w:tblCellMar>
        </w:tblPrEx>
        <w:trPr>
          <w:trHeight w:val="432"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搜索功能</w:t>
            </w: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自动对备份的文件进行全文索引，通过关键字实现搜索，并直接恢复搜索到的文件</w:t>
            </w:r>
          </w:p>
        </w:tc>
      </w:tr>
      <w:tr>
        <w:tblPrEx>
          <w:tblLayout w:type="fixed"/>
          <w:tblCellMar>
            <w:top w:w="0" w:type="dxa"/>
            <w:left w:w="108" w:type="dxa"/>
            <w:bottom w:w="0" w:type="dxa"/>
            <w:right w:w="108" w:type="dxa"/>
          </w:tblCellMar>
        </w:tblPrEx>
        <w:trPr>
          <w:trHeight w:val="657" w:hRule="atLeast"/>
          <w:jc w:val="center"/>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服务及软件版本升级要求</w:t>
            </w:r>
          </w:p>
        </w:tc>
        <w:tc>
          <w:tcPr>
            <w:tcW w:w="7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要求在杭州本地有工程师支持,原厂1年7*24小时服务</w:t>
            </w:r>
          </w:p>
        </w:tc>
      </w:tr>
    </w:tbl>
    <w:p>
      <w:pPr>
        <w:pStyle w:val="24"/>
        <w:spacing w:line="360" w:lineRule="auto"/>
        <w:ind w:firstLine="0" w:firstLineChars="0"/>
        <w:rPr>
          <w:rFonts w:hint="eastAsia" w:ascii="宋体" w:hAnsi="宋体" w:cs="Arial"/>
          <w:b/>
          <w:sz w:val="22"/>
          <w:szCs w:val="22"/>
          <w:highlight w:val="none"/>
          <w:lang w:val="en-US" w:eastAsia="zh-CN"/>
        </w:rPr>
      </w:pPr>
    </w:p>
    <w:p>
      <w:pPr>
        <w:pStyle w:val="24"/>
        <w:spacing w:line="360" w:lineRule="auto"/>
        <w:ind w:firstLine="0" w:firstLineChars="0"/>
        <w:rPr>
          <w:rFonts w:ascii="宋体" w:hAnsi="宋体" w:cs="Arial"/>
          <w:b/>
          <w:szCs w:val="21"/>
          <w:highlight w:val="none"/>
        </w:rPr>
      </w:pPr>
      <w:r>
        <w:rPr>
          <w:rFonts w:hint="eastAsia" w:ascii="宋体" w:hAnsi="宋体" w:cs="Arial"/>
          <w:b/>
          <w:sz w:val="22"/>
          <w:szCs w:val="22"/>
          <w:highlight w:val="none"/>
          <w:lang w:val="en-US" w:eastAsia="zh-CN"/>
        </w:rPr>
        <w:t>11.</w:t>
      </w:r>
      <w:r>
        <w:rPr>
          <w:rFonts w:hint="eastAsia" w:ascii="宋体" w:hAnsi="宋体" w:cs="Arial"/>
          <w:b/>
          <w:sz w:val="22"/>
          <w:szCs w:val="22"/>
          <w:highlight w:val="none"/>
        </w:rPr>
        <w:t>虚拟化防护</w:t>
      </w:r>
    </w:p>
    <w:tbl>
      <w:tblPr>
        <w:tblStyle w:val="18"/>
        <w:tblW w:w="9540" w:type="dxa"/>
        <w:jc w:val="center"/>
        <w:tblInd w:w="18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54"/>
        <w:gridCol w:w="80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70" w:hRule="atLeast"/>
          <w:jc w:val="center"/>
        </w:trPr>
        <w:tc>
          <w:tcPr>
            <w:tcW w:w="145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指标</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指标要求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321" w:hRule="atLeast"/>
          <w:jc w:val="center"/>
        </w:trPr>
        <w:tc>
          <w:tcPr>
            <w:tcW w:w="145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管理架构要求</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采用B/S架构设计，管理控制中心高度集成化，无需额外安装或外接数据库即可实现日志存储和分析展示，无需额外安装或对接升级服务器即可实现文件、特征库的升级和分发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321" w:hRule="atLeast"/>
          <w:jc w:val="center"/>
        </w:trPr>
        <w:tc>
          <w:tcPr>
            <w:tcW w:w="145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管理控制中心要求</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提供已加固的操作系统作为管理控制中心寄宿环境，保证管理控制中心自身安全；支持从老旧控制中心平滑迁移至新控制中心；提供控制中心多升级负载均衡，保证控制中心在集中升级时不会出性能瓶颈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321" w:hRule="atLeast"/>
          <w:jc w:val="center"/>
        </w:trPr>
        <w:tc>
          <w:tcPr>
            <w:tcW w:w="1454"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客户端要求</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采用轻量级Agent部署，无需依赖虚拟化平台API即可实现安全防护；客户端支持手动从控制中心获取安装，也可通过管理控制中心批量远程安装；客户端对windows类、linux类；物理服务器、虚拟服务器、桌面云具备相同的防护和部署模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94" w:hRule="atLeast"/>
          <w:jc w:val="center"/>
        </w:trPr>
        <w:tc>
          <w:tcPr>
            <w:tcW w:w="145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产品支持对已防护的主机统计在线率，对虚拟机是否安装客户端统计整体部署率，提供截图证明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94" w:hRule="atLeast"/>
          <w:jc w:val="center"/>
        </w:trPr>
        <w:tc>
          <w:tcPr>
            <w:tcW w:w="145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虚拟化平台支持</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产品应至少支持VMware 、Ctrix、Microsoft、Huawei、H3C、浪潮等国内外主流虚拟化厂商平台，并能够采用一个管理控制中心进行统一管理，提供截图证明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94" w:hRule="atLeast"/>
          <w:jc w:val="center"/>
        </w:trPr>
        <w:tc>
          <w:tcPr>
            <w:tcW w:w="1454"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操作系统支持</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产品应至少支持Windows 7/8/10等云桌面常见操作系统类型，Windows Server2003/2008/2012/2016等虚拟化环境常见基于Windows NT的服务器操作系统；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94" w:hRule="atLeast"/>
          <w:jc w:val="center"/>
        </w:trPr>
        <w:tc>
          <w:tcPr>
            <w:tcW w:w="145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产品应至少支持SuSE、Red Hat、Ubuntu、Debian、CentOS、Asianux、NeoKylinLinux等虚拟化环境常见基于Linux内核的操作系统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65" w:hRule="atLeast"/>
          <w:jc w:val="center"/>
        </w:trPr>
        <w:tc>
          <w:tcPr>
            <w:tcW w:w="145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License许可</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此次要求提供6颗CPU三年授权，包含防病毒+防火墙+入侵防御+防暴力破解+webshell检测+安全基线+虚拟化加固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745" w:hRule="atLeast"/>
          <w:jc w:val="center"/>
        </w:trPr>
        <w:tc>
          <w:tcPr>
            <w:tcW w:w="1454"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文件防护要求</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除支持一般性病毒木马查杀外，还应支持例如：宏病毒、敲诈勒索软件、注册表病毒、间谍软件、僵尸远程软件等特定恶意文件的查杀；除落地在本地文件系统中的文件外，对网络映射驱动器、移动存储路径、共享目录、局域网路径等扩展路径也能够进行扫描查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321" w:hRule="atLeast"/>
          <w:jc w:val="center"/>
        </w:trPr>
        <w:tc>
          <w:tcPr>
            <w:tcW w:w="145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产品提供不少于3种病毒查杀引擎，可根据不同虚拟化环境和查杀要求灵活开启与关闭；同时产品应支持利用CPU虚拟化技术提升系统的安全防护能力，提供截图证明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321" w:hRule="atLeast"/>
          <w:jc w:val="center"/>
        </w:trPr>
        <w:tc>
          <w:tcPr>
            <w:tcW w:w="145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产品应内置webshell扫描引擎，针对网站系统恶意webshell、后门等文件进行扫描防护；能够针对webshell文件设定白名单，对文件进行加白处理，避免对核心网站系统文件造成影响，提供截图证明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94" w:hRule="atLeast"/>
          <w:jc w:val="center"/>
        </w:trPr>
        <w:tc>
          <w:tcPr>
            <w:tcW w:w="145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提供快速扫描、全盘扫描、指定扫描等多种扫描防护模式，支持自定义路径、指定引擎、自定义处理动作的个性化扫描防护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321" w:hRule="atLeast"/>
          <w:jc w:val="center"/>
        </w:trPr>
        <w:tc>
          <w:tcPr>
            <w:tcW w:w="145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提供主动防御保护，智能监控系统文件操作行为，利用文件审计关联技术，实时对病毒木马及恶意相关文件进行拦截和防护，特别是针对近期流行的敲诈者木马能够进行有效拦截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321" w:hRule="atLeast"/>
          <w:jc w:val="center"/>
        </w:trPr>
        <w:tc>
          <w:tcPr>
            <w:tcW w:w="145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产品应提供对不同压缩包类型文件的监控防护，压缩包监控防护层级不小于10层，压缩包格式支持不少于30种，支持略过特定大小和特定层数的压缩包文件，并可以自定义添加或删除压缩包格式类型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94" w:hRule="atLeast"/>
          <w:jc w:val="center"/>
        </w:trPr>
        <w:tc>
          <w:tcPr>
            <w:tcW w:w="145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产品应支持对病毒文件进行手动加白置黑操作，对目录、文件、扩展名进行信任操作，以提升查杀效率和降低误杀率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94" w:hRule="atLeast"/>
          <w:jc w:val="center"/>
        </w:trPr>
        <w:tc>
          <w:tcPr>
            <w:tcW w:w="145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产品应支持对病毒扫描查杀进行资源占用限制和任务并发控制，防止引发启动风暴、扫描风暴，修改资源利用方式无需重启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321" w:hRule="atLeast"/>
          <w:jc w:val="center"/>
        </w:trPr>
        <w:tc>
          <w:tcPr>
            <w:tcW w:w="1454"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网络隔离和防护要求</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产品应支持双向状态防火墙，提供对出入主机流量进行访问控制与隔离；防火墙支持从IP、端口、方向、协议、优先级方面进行策略控制；支持防火墙策略的批量复制、删除、修改、停用等操作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745" w:hRule="atLeast"/>
          <w:jc w:val="center"/>
        </w:trPr>
        <w:tc>
          <w:tcPr>
            <w:tcW w:w="145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应支持入侵防御，可对来自网络层的拒绝服务、缓冲区溢出、木马后门、web攻击、恶意网络扫描、恶意入侵提权等各类威胁流量的检测与防护。入侵防御规则应不少于11000条，并支持按照攻击类型进行分组分类，支持对每一类攻击类型单独开启或关闭防护，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94" w:hRule="atLeast"/>
          <w:jc w:val="center"/>
        </w:trPr>
        <w:tc>
          <w:tcPr>
            <w:tcW w:w="145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产品应支持防暴力破解，可对来自网络的暴力破解行为进行拦截，支持配置时间、破解次数等阈值，并提供暴力破解IP或IP段的黑白名单设置，提供截图证明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70" w:hRule="atLeast"/>
          <w:jc w:val="center"/>
        </w:trPr>
        <w:tc>
          <w:tcPr>
            <w:tcW w:w="145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针对近期爆发流行的永恒之蓝等勒索病毒攻击，能够进行有效防护，提供截图证明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020" w:hRule="atLeast"/>
          <w:jc w:val="center"/>
        </w:trPr>
        <w:tc>
          <w:tcPr>
            <w:tcW w:w="145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系统加固要求</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产品应支持对主机安全缺陷、配置进行扫描评估，通过打分形式展现不合规和风险程度。能够对window操作系统上的策略、服务、组件等进行扫描凭，对linux操作系统上的账号、服务、安全参数、进程、配置等进行扫描评估，并给出修复建议，修复建议包括自动修复和手动提示修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产品应支持对主机的安全加固，针对利用虚拟化漏洞的恶意软件、程序进行拦截并阻止其在主机上运行，提供软件、程序的黑白名单，以减少对系统程序的误拦截风险，提供截图证明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46" w:hRule="atLeast"/>
          <w:jc w:val="center"/>
        </w:trPr>
        <w:tc>
          <w:tcPr>
            <w:tcW w:w="145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自动化运维</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产品应支持自动化安全运维：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支持自定义安全策略的定时、指定范围执行；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支持对策略、主机组织结构、日志的手动或自动备份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支持手动或自定同步虚拟化平台组织结构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支持手动、自动升级系统文件、引擎版本、特征库信息，能够基于分组、时间设定灰度升级策略，提供截图证明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支持基于时间动态进行调整带宽和网络并发连接，减少控制中心升级对业务网络产生的影响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70" w:hRule="atLeast"/>
          <w:jc w:val="center"/>
        </w:trPr>
        <w:tc>
          <w:tcPr>
            <w:tcW w:w="145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Syslog支持</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支持syslog协议，将安全日志发送到第三方syslog服务器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70" w:hRule="atLeast"/>
          <w:jc w:val="center"/>
        </w:trPr>
        <w:tc>
          <w:tcPr>
            <w:tcW w:w="145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离线升级</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提供在线或者离线升级方式，隔离网情况下能够采用离线工具进行更新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70" w:hRule="atLeast"/>
          <w:jc w:val="center"/>
        </w:trPr>
        <w:tc>
          <w:tcPr>
            <w:tcW w:w="145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LDAP支持</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支持LDAP，将LDAP组织结构导入到本地用于本地系统管理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70" w:hRule="atLeast"/>
          <w:jc w:val="center"/>
        </w:trPr>
        <w:tc>
          <w:tcPr>
            <w:tcW w:w="145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展示与告警</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支持动态展示安全事件并能够进行邮件告警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70" w:hRule="atLeast"/>
          <w:jc w:val="center"/>
        </w:trPr>
        <w:tc>
          <w:tcPr>
            <w:tcW w:w="145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多账号</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支持不同账号设定不同的组织结构权限和策略使用权限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70" w:hRule="atLeast"/>
          <w:jc w:val="center"/>
        </w:trPr>
        <w:tc>
          <w:tcPr>
            <w:tcW w:w="145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报表订阅</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支持报表订阅，能够对报表时间、内容定制、订阅信息等进行自定义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94" w:hRule="atLeast"/>
          <w:jc w:val="center"/>
        </w:trPr>
        <w:tc>
          <w:tcPr>
            <w:tcW w:w="1454"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计量计费</w:t>
            </w: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产品应支持按照物理CPU、虚机数、CPU+虚机数混合计费模式，以满足不同的虚拟化环境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94" w:hRule="atLeast"/>
          <w:jc w:val="center"/>
        </w:trPr>
        <w:tc>
          <w:tcPr>
            <w:tcW w:w="145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tc>
        <w:tc>
          <w:tcPr>
            <w:tcW w:w="80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产品控制中心一次授权永久有效，当虚拟化平台扩容或新增虚拟化平台时，无需额外购买控制中心扩展升级授权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70" w:hRule="atLeast"/>
          <w:jc w:val="center"/>
        </w:trPr>
        <w:tc>
          <w:tcPr>
            <w:tcW w:w="9540" w:type="dxa"/>
            <w:gridSpan w:val="2"/>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产品应具备由公安部颁发的“虚拟化安全防护”类产品销售许可证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70" w:hRule="atLeast"/>
          <w:jc w:val="center"/>
        </w:trPr>
        <w:tc>
          <w:tcPr>
            <w:tcW w:w="9540" w:type="dxa"/>
            <w:gridSpan w:val="2"/>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产品应具备由VMware颁发的VMware Ready兼容性认证，提供官方网站截图或证明材料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70" w:hRule="atLeast"/>
          <w:jc w:val="center"/>
        </w:trPr>
        <w:tc>
          <w:tcPr>
            <w:tcW w:w="9540" w:type="dxa"/>
            <w:gridSpan w:val="2"/>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产品应具备军用信息安全产品认证资质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70" w:hRule="atLeast"/>
          <w:jc w:val="center"/>
        </w:trPr>
        <w:tc>
          <w:tcPr>
            <w:tcW w:w="9540" w:type="dxa"/>
            <w:gridSpan w:val="2"/>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生产厂家要求为国家级CNCERT/CC网络安全应急服务支撑单位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20" w:hRule="atLeast"/>
          <w:jc w:val="center"/>
        </w:trPr>
        <w:tc>
          <w:tcPr>
            <w:tcW w:w="9540" w:type="dxa"/>
            <w:gridSpan w:val="2"/>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生产厂家要求为CNVD国家信息安全漏洞共享平台技术组成员</w:t>
            </w:r>
          </w:p>
        </w:tc>
      </w:tr>
    </w:tbl>
    <w:p>
      <w:pPr>
        <w:pStyle w:val="24"/>
        <w:spacing w:line="360" w:lineRule="auto"/>
        <w:ind w:firstLine="0" w:firstLineChars="0"/>
        <w:rPr>
          <w:rFonts w:hint="eastAsia" w:ascii="宋体" w:hAnsi="宋体" w:cs="Arial"/>
          <w:b/>
          <w:sz w:val="22"/>
          <w:szCs w:val="22"/>
          <w:highlight w:val="none"/>
        </w:rPr>
      </w:pPr>
    </w:p>
    <w:p>
      <w:pPr>
        <w:pStyle w:val="24"/>
        <w:numPr>
          <w:ilvl w:val="0"/>
          <w:numId w:val="0"/>
        </w:numPr>
        <w:spacing w:line="360" w:lineRule="auto"/>
        <w:rPr>
          <w:rFonts w:hint="eastAsia" w:ascii="宋体" w:hAnsi="宋体" w:cs="Arial"/>
          <w:b/>
          <w:sz w:val="22"/>
          <w:szCs w:val="22"/>
          <w:highlight w:val="none"/>
        </w:rPr>
      </w:pPr>
      <w:r>
        <w:rPr>
          <w:rFonts w:hint="eastAsia" w:ascii="宋体" w:hAnsi="宋体" w:cs="Arial"/>
          <w:b/>
          <w:sz w:val="22"/>
          <w:szCs w:val="22"/>
          <w:highlight w:val="none"/>
          <w:lang w:val="en-US" w:eastAsia="zh-CN"/>
        </w:rPr>
        <w:t>12.</w:t>
      </w:r>
      <w:r>
        <w:rPr>
          <w:rFonts w:hint="eastAsia" w:ascii="宋体" w:hAnsi="宋体" w:cs="Arial"/>
          <w:b/>
          <w:sz w:val="22"/>
          <w:szCs w:val="22"/>
          <w:highlight w:val="none"/>
        </w:rPr>
        <w:t>服务器机柜</w:t>
      </w:r>
    </w:p>
    <w:tbl>
      <w:tblPr>
        <w:tblStyle w:val="17"/>
        <w:tblpPr w:leftFromText="180" w:rightFromText="180" w:vertAnchor="text" w:horzAnchor="page" w:tblpXSpec="center" w:tblpY="266"/>
        <w:tblOverlap w:val="never"/>
        <w:tblW w:w="9004" w:type="dxa"/>
        <w:jc w:val="center"/>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7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21"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b/>
                <w:kern w:val="0"/>
                <w:sz w:val="22"/>
                <w:szCs w:val="22"/>
                <w:highlight w:val="none"/>
              </w:rPr>
            </w:pPr>
            <w:r>
              <w:rPr>
                <w:rFonts w:hint="eastAsia" w:ascii="宋体" w:hAnsi="宋体" w:cs="Arial"/>
                <w:b/>
                <w:kern w:val="0"/>
                <w:sz w:val="22"/>
                <w:szCs w:val="22"/>
                <w:highlight w:val="none"/>
              </w:rPr>
              <w:t>指标</w:t>
            </w:r>
          </w:p>
        </w:tc>
        <w:tc>
          <w:tcPr>
            <w:tcW w:w="7783"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b/>
                <w:kern w:val="0"/>
                <w:sz w:val="22"/>
                <w:szCs w:val="22"/>
                <w:highlight w:val="none"/>
              </w:rPr>
            </w:pPr>
            <w:r>
              <w:rPr>
                <w:rFonts w:ascii="宋体" w:hAnsi="宋体" w:cs="Arial"/>
                <w:b/>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21"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kern w:val="0"/>
                <w:sz w:val="22"/>
                <w:szCs w:val="22"/>
                <w:highlight w:val="none"/>
              </w:rPr>
            </w:pPr>
            <w:r>
              <w:rPr>
                <w:rFonts w:hint="eastAsia" w:ascii="宋体" w:hAnsi="宋体" w:cs="Arial"/>
                <w:kern w:val="0"/>
                <w:sz w:val="22"/>
                <w:szCs w:val="22"/>
                <w:highlight w:val="none"/>
              </w:rPr>
              <w:t>性能指标</w:t>
            </w:r>
          </w:p>
        </w:tc>
        <w:tc>
          <w:tcPr>
            <w:tcW w:w="7783"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Arial"/>
                <w:kern w:val="0"/>
                <w:sz w:val="22"/>
                <w:szCs w:val="22"/>
                <w:highlight w:val="none"/>
              </w:rPr>
            </w:pPr>
            <w:r>
              <w:rPr>
                <w:rFonts w:hint="eastAsia" w:ascii="宋体" w:hAnsi="宋体" w:cs="Arial"/>
                <w:kern w:val="0"/>
                <w:sz w:val="22"/>
                <w:szCs w:val="22"/>
                <w:highlight w:val="none"/>
              </w:rPr>
              <w:t>图腾42U服务器机柜 尺寸600x1000x2000 PDU电源两只 层板5个，可以容许提供优于图腾质量的机柜</w:t>
            </w:r>
          </w:p>
        </w:tc>
      </w:tr>
    </w:tbl>
    <w:p>
      <w:pPr>
        <w:pStyle w:val="24"/>
        <w:spacing w:line="360" w:lineRule="auto"/>
        <w:ind w:firstLine="0" w:firstLineChars="0"/>
        <w:rPr>
          <w:rFonts w:hint="eastAsia" w:ascii="宋体" w:hAnsi="宋体" w:cs="Arial"/>
          <w:b/>
          <w:sz w:val="22"/>
          <w:szCs w:val="22"/>
          <w:highlight w:val="none"/>
        </w:rPr>
      </w:pPr>
    </w:p>
    <w:p>
      <w:pPr>
        <w:pStyle w:val="24"/>
        <w:spacing w:line="360" w:lineRule="auto"/>
        <w:ind w:firstLine="0" w:firstLineChars="0"/>
        <w:rPr>
          <w:rFonts w:hint="eastAsia" w:ascii="宋体" w:hAnsi="宋体" w:cs="Arial"/>
          <w:b/>
          <w:sz w:val="22"/>
          <w:szCs w:val="22"/>
          <w:highlight w:val="none"/>
        </w:rPr>
      </w:pPr>
    </w:p>
    <w:p>
      <w:pPr>
        <w:pStyle w:val="24"/>
        <w:spacing w:line="360" w:lineRule="auto"/>
        <w:ind w:firstLine="0" w:firstLineChars="0"/>
        <w:rPr>
          <w:rFonts w:ascii="宋体" w:hAnsi="宋体" w:cs="Arial"/>
          <w:b/>
          <w:sz w:val="22"/>
          <w:szCs w:val="22"/>
          <w:highlight w:val="none"/>
        </w:rPr>
      </w:pPr>
      <w:r>
        <w:rPr>
          <w:rFonts w:hint="eastAsia" w:ascii="宋体" w:hAnsi="宋体" w:cs="Arial"/>
          <w:b/>
          <w:sz w:val="22"/>
          <w:szCs w:val="22"/>
          <w:highlight w:val="none"/>
          <w:lang w:val="en-US" w:eastAsia="zh-CN"/>
        </w:rPr>
        <w:t>13.</w:t>
      </w:r>
      <w:r>
        <w:rPr>
          <w:rFonts w:hint="eastAsia" w:ascii="宋体" w:hAnsi="宋体" w:cs="Arial"/>
          <w:b/>
          <w:sz w:val="22"/>
          <w:szCs w:val="22"/>
          <w:highlight w:val="none"/>
        </w:rPr>
        <w:t>智能半球摄像机</w:t>
      </w:r>
    </w:p>
    <w:tbl>
      <w:tblPr>
        <w:tblStyle w:val="17"/>
        <w:tblW w:w="9312"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676" w:type="dxa"/>
            <w:shd w:val="clear" w:color="auto" w:fill="auto"/>
            <w:tcMar>
              <w:top w:w="28" w:type="dxa"/>
              <w:bottom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bCs/>
                <w:sz w:val="22"/>
                <w:szCs w:val="22"/>
                <w:highlight w:val="none"/>
              </w:rPr>
            </w:pPr>
            <w:r>
              <w:rPr>
                <w:rFonts w:hint="eastAsia" w:ascii="宋体" w:hAnsi="宋体" w:cs="宋体"/>
                <w:b/>
                <w:bCs/>
                <w:sz w:val="22"/>
                <w:szCs w:val="22"/>
                <w:highlight w:val="none"/>
              </w:rPr>
              <w:t>指标</w:t>
            </w:r>
          </w:p>
        </w:tc>
        <w:tc>
          <w:tcPr>
            <w:tcW w:w="7636" w:type="dxa"/>
            <w:shd w:val="clear" w:color="auto" w:fill="auto"/>
            <w:tcMar>
              <w:top w:w="28" w:type="dxa"/>
              <w:bottom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bCs/>
                <w:sz w:val="22"/>
                <w:szCs w:val="22"/>
                <w:highlight w:val="none"/>
              </w:rPr>
            </w:pPr>
            <w:r>
              <w:rPr>
                <w:rFonts w:hint="eastAsia" w:ascii="宋体" w:hAnsi="宋体" w:cs="宋体"/>
                <w:b/>
                <w:bCs/>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676" w:type="dxa"/>
            <w:shd w:val="clear" w:color="auto" w:fill="auto"/>
            <w:tcMar>
              <w:top w:w="28" w:type="dxa"/>
              <w:bottom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2"/>
                <w:szCs w:val="22"/>
                <w:highlight w:val="none"/>
              </w:rPr>
            </w:pPr>
            <w:r>
              <w:rPr>
                <w:rFonts w:hint="eastAsia" w:ascii="宋体" w:hAnsi="宋体" w:cs="宋体"/>
                <w:sz w:val="22"/>
                <w:szCs w:val="22"/>
                <w:highlight w:val="none"/>
              </w:rPr>
              <w:t>性能指标</w:t>
            </w:r>
          </w:p>
        </w:tc>
        <w:tc>
          <w:tcPr>
            <w:tcW w:w="7636" w:type="dxa"/>
            <w:shd w:val="clear" w:color="auto" w:fill="auto"/>
            <w:tcMar>
              <w:top w:w="28" w:type="dxa"/>
              <w:bottom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2"/>
                <w:szCs w:val="22"/>
                <w:highlight w:val="none"/>
              </w:rPr>
            </w:pPr>
            <w:r>
              <w:rPr>
                <w:rFonts w:hint="eastAsia" w:ascii="宋体" w:hAnsi="宋体" w:cs="宋体"/>
                <w:sz w:val="22"/>
                <w:szCs w:val="22"/>
                <w:highlight w:val="none"/>
              </w:rPr>
              <w:t>400万星光级1/1.8” CMOSAI半球型网络摄像机</w:t>
            </w:r>
            <w:r>
              <w:rPr>
                <w:rFonts w:hint="eastAsia" w:ascii="宋体" w:hAnsi="宋体" w:cs="宋体"/>
                <w:sz w:val="22"/>
                <w:szCs w:val="22"/>
                <w:highlight w:val="none"/>
              </w:rPr>
              <w:br w:type="textWrapping"/>
            </w:r>
            <w:r>
              <w:rPr>
                <w:rFonts w:hint="eastAsia" w:ascii="宋体" w:hAnsi="宋体" w:cs="宋体"/>
                <w:sz w:val="22"/>
                <w:szCs w:val="22"/>
                <w:highlight w:val="none"/>
              </w:rPr>
              <w:t>支持三种智能资源切换：人脸抓拍（默认）、道路监控、Smart事件</w:t>
            </w:r>
            <w:r>
              <w:rPr>
                <w:rFonts w:hint="eastAsia" w:ascii="宋体" w:hAnsi="宋体" w:cs="宋体"/>
                <w:sz w:val="22"/>
                <w:szCs w:val="22"/>
                <w:highlight w:val="none"/>
              </w:rPr>
              <w:br w:type="textWrapping"/>
            </w:r>
            <w:r>
              <w:rPr>
                <w:rFonts w:hint="eastAsia" w:ascii="宋体" w:hAnsi="宋体" w:cs="宋体"/>
                <w:sz w:val="22"/>
                <w:szCs w:val="22"/>
                <w:highlight w:val="none"/>
              </w:rPr>
              <w:t>人脸抓拍：支持对运动人脸进行检测、跟踪、抓拍、评分、筛选，输出最优的人脸抓图，最多同时抓拍14张人脸。</w:t>
            </w:r>
            <w:r>
              <w:rPr>
                <w:rFonts w:hint="eastAsia" w:ascii="宋体" w:hAnsi="宋体" w:cs="宋体"/>
                <w:sz w:val="22"/>
                <w:szCs w:val="22"/>
                <w:highlight w:val="none"/>
              </w:rPr>
              <w:br w:type="textWrapping"/>
            </w:r>
            <w:r>
              <w:rPr>
                <w:rFonts w:hint="eastAsia" w:ascii="宋体" w:hAnsi="宋体" w:cs="宋体"/>
                <w:sz w:val="22"/>
                <w:szCs w:val="22"/>
                <w:highlight w:val="none"/>
              </w:rPr>
              <w:t>道路监控：车牌抓拍，车辆颜色、类型，机非人识别</w:t>
            </w:r>
            <w:r>
              <w:rPr>
                <w:rFonts w:hint="eastAsia" w:ascii="宋体" w:hAnsi="宋体" w:cs="宋体"/>
                <w:sz w:val="22"/>
                <w:szCs w:val="22"/>
                <w:highlight w:val="none"/>
              </w:rPr>
              <w:br w:type="textWrapping"/>
            </w:r>
            <w:r>
              <w:rPr>
                <w:rFonts w:hint="eastAsia" w:ascii="宋体" w:hAnsi="宋体" w:cs="宋体"/>
                <w:sz w:val="22"/>
                <w:szCs w:val="22"/>
                <w:highlight w:val="none"/>
              </w:rPr>
              <w:t>smart事件：越界侦测,区域入侵侦测,进入/离开区域侦测,徘徊侦测,人员聚集侦测,快速运动侦测,停车侦测,物品遗留/拿取侦测</w:t>
            </w:r>
            <w:r>
              <w:rPr>
                <w:rFonts w:hint="eastAsia" w:ascii="宋体" w:hAnsi="宋体" w:cs="宋体"/>
                <w:sz w:val="22"/>
                <w:szCs w:val="22"/>
                <w:highlight w:val="none"/>
              </w:rPr>
              <w:br w:type="textWrapping"/>
            </w:r>
            <w:r>
              <w:rPr>
                <w:rFonts w:hint="eastAsia" w:ascii="宋体" w:hAnsi="宋体" w:cs="宋体"/>
                <w:sz w:val="22"/>
                <w:szCs w:val="22"/>
                <w:highlight w:val="none"/>
              </w:rPr>
              <w:t>最低照度彩色:0.0005Lux @ (F1.2, AGC ON)  黑白:0.0001 Lux @ (F1.2, AGC ON), 0 Lux with IR</w:t>
            </w:r>
            <w:r>
              <w:rPr>
                <w:rFonts w:hint="eastAsia" w:ascii="宋体" w:hAnsi="宋体" w:cs="宋体"/>
                <w:sz w:val="22"/>
                <w:szCs w:val="22"/>
                <w:highlight w:val="none"/>
              </w:rPr>
              <w:br w:type="textWrapping"/>
            </w:r>
            <w:r>
              <w:rPr>
                <w:rFonts w:hint="eastAsia" w:ascii="宋体" w:hAnsi="宋体" w:cs="宋体"/>
                <w:sz w:val="22"/>
                <w:szCs w:val="22"/>
                <w:highlight w:val="none"/>
              </w:rPr>
              <w:t>镜头：（2.8-12mm）@F1.2，水平视场角：104.5°~39.1°</w:t>
            </w:r>
            <w:r>
              <w:rPr>
                <w:rFonts w:hint="eastAsia" w:ascii="宋体" w:hAnsi="宋体" w:cs="宋体"/>
                <w:sz w:val="22"/>
                <w:szCs w:val="22"/>
                <w:highlight w:val="none"/>
              </w:rPr>
              <w:br w:type="textWrapping"/>
            </w:r>
            <w:r>
              <w:rPr>
                <w:rFonts w:hint="eastAsia" w:ascii="宋体" w:hAnsi="宋体" w:cs="宋体"/>
                <w:sz w:val="22"/>
                <w:szCs w:val="22"/>
                <w:highlight w:val="none"/>
              </w:rPr>
              <w:t>三轴调节:P:0-355°, Tilt: 0-75°, Rotation: 0-355°</w:t>
            </w:r>
            <w:r>
              <w:rPr>
                <w:rFonts w:hint="eastAsia" w:ascii="宋体" w:hAnsi="宋体" w:cs="宋体"/>
                <w:sz w:val="22"/>
                <w:szCs w:val="22"/>
                <w:highlight w:val="none"/>
              </w:rPr>
              <w:br w:type="textWrapping"/>
            </w:r>
            <w:r>
              <w:rPr>
                <w:rFonts w:hint="eastAsia" w:ascii="宋体" w:hAnsi="宋体" w:cs="宋体"/>
                <w:sz w:val="22"/>
                <w:szCs w:val="22"/>
                <w:highlight w:val="none"/>
              </w:rPr>
              <w:t>视频压缩标准：H.265/H.264 / MJPEG</w:t>
            </w:r>
            <w:r>
              <w:rPr>
                <w:rFonts w:hint="eastAsia" w:ascii="宋体" w:hAnsi="宋体" w:cs="宋体"/>
                <w:sz w:val="22"/>
                <w:szCs w:val="22"/>
                <w:highlight w:val="none"/>
              </w:rPr>
              <w:br w:type="textWrapping"/>
            </w:r>
            <w:r>
              <w:rPr>
                <w:rFonts w:hint="eastAsia" w:ascii="宋体" w:hAnsi="宋体" w:cs="宋体"/>
                <w:sz w:val="22"/>
                <w:szCs w:val="22"/>
                <w:highlight w:val="none"/>
              </w:rPr>
              <w:t>最大图像尺寸：2560 x 1440</w:t>
            </w:r>
            <w:r>
              <w:rPr>
                <w:rFonts w:hint="eastAsia" w:ascii="宋体" w:hAnsi="宋体" w:cs="宋体"/>
                <w:sz w:val="22"/>
                <w:szCs w:val="22"/>
                <w:highlight w:val="none"/>
              </w:rPr>
              <w:br w:type="textWrapping"/>
            </w:r>
            <w:r>
              <w:rPr>
                <w:rFonts w:hint="eastAsia" w:ascii="宋体" w:hAnsi="宋体" w:cs="宋体"/>
                <w:sz w:val="22"/>
                <w:szCs w:val="22"/>
                <w:highlight w:val="none"/>
              </w:rPr>
              <w:t xml:space="preserve">存储功能：支持Micro SD(即TF卡)/Micro SDHC /Micro SDXC卡(128G)断网本地存储,NAS(NFS,SMB/CIFS均支持) </w:t>
            </w:r>
            <w:r>
              <w:rPr>
                <w:rFonts w:hint="eastAsia" w:ascii="宋体" w:hAnsi="宋体" w:cs="宋体"/>
                <w:sz w:val="22"/>
                <w:szCs w:val="22"/>
                <w:highlight w:val="none"/>
              </w:rPr>
              <w:br w:type="textWrapping"/>
            </w:r>
            <w:r>
              <w:rPr>
                <w:rFonts w:hint="eastAsia" w:ascii="宋体" w:hAnsi="宋体" w:cs="宋体"/>
                <w:sz w:val="22"/>
                <w:szCs w:val="22"/>
                <w:highlight w:val="none"/>
              </w:rPr>
              <w:t>音频接口：1对3.5mm音频输入(Line in)/输出外部接口</w:t>
            </w:r>
            <w:r>
              <w:rPr>
                <w:rFonts w:hint="eastAsia" w:ascii="宋体" w:hAnsi="宋体" w:cs="宋体"/>
                <w:sz w:val="22"/>
                <w:szCs w:val="22"/>
                <w:highlight w:val="none"/>
              </w:rPr>
              <w:br w:type="textWrapping"/>
            </w:r>
            <w:r>
              <w:rPr>
                <w:rFonts w:hint="eastAsia" w:ascii="宋体" w:hAnsi="宋体" w:cs="宋体"/>
                <w:sz w:val="22"/>
                <w:szCs w:val="22"/>
                <w:highlight w:val="none"/>
              </w:rPr>
              <w:t>通讯接口：1 个RJ45 10M / 100M /1000M自适应以太网口,1个RS-485接口</w:t>
            </w:r>
            <w:r>
              <w:rPr>
                <w:rFonts w:hint="eastAsia" w:ascii="宋体" w:hAnsi="宋体" w:cs="宋体"/>
                <w:sz w:val="22"/>
                <w:szCs w:val="22"/>
                <w:highlight w:val="none"/>
              </w:rPr>
              <w:br w:type="textWrapping"/>
            </w:r>
            <w:r>
              <w:rPr>
                <w:rFonts w:hint="eastAsia" w:ascii="宋体" w:hAnsi="宋体" w:cs="宋体"/>
                <w:sz w:val="22"/>
                <w:szCs w:val="22"/>
                <w:highlight w:val="none"/>
              </w:rPr>
              <w:t>报警输入：1路</w:t>
            </w:r>
            <w:r>
              <w:rPr>
                <w:rFonts w:hint="eastAsia" w:ascii="宋体" w:hAnsi="宋体" w:cs="宋体"/>
                <w:sz w:val="22"/>
                <w:szCs w:val="22"/>
                <w:highlight w:val="none"/>
              </w:rPr>
              <w:br w:type="textWrapping"/>
            </w:r>
            <w:r>
              <w:rPr>
                <w:rFonts w:hint="eastAsia" w:ascii="宋体" w:hAnsi="宋体" w:cs="宋体"/>
                <w:sz w:val="22"/>
                <w:szCs w:val="22"/>
                <w:highlight w:val="none"/>
              </w:rPr>
              <w:t>报警输出：1路(报警输出最大支持DC24V 1A或AC110V 500mA)</w:t>
            </w:r>
            <w:r>
              <w:rPr>
                <w:rFonts w:hint="eastAsia" w:ascii="宋体" w:hAnsi="宋体" w:cs="宋体"/>
                <w:sz w:val="22"/>
                <w:szCs w:val="22"/>
                <w:highlight w:val="none"/>
              </w:rPr>
              <w:br w:type="textWrapping"/>
            </w:r>
            <w:r>
              <w:rPr>
                <w:rFonts w:hint="eastAsia" w:ascii="宋体" w:hAnsi="宋体" w:cs="宋体"/>
                <w:sz w:val="22"/>
                <w:szCs w:val="22"/>
                <w:highlight w:val="none"/>
              </w:rPr>
              <w:t>工作温度和湿度：-30℃~60℃,湿度小于95%(无凝结)</w:t>
            </w:r>
            <w:r>
              <w:rPr>
                <w:rFonts w:hint="eastAsia" w:ascii="宋体" w:hAnsi="宋体" w:cs="宋体"/>
                <w:sz w:val="22"/>
                <w:szCs w:val="22"/>
                <w:highlight w:val="none"/>
              </w:rPr>
              <w:br w:type="textWrapping"/>
            </w:r>
            <w:r>
              <w:rPr>
                <w:rFonts w:hint="eastAsia" w:ascii="宋体" w:hAnsi="宋体" w:cs="宋体"/>
                <w:sz w:val="22"/>
                <w:szCs w:val="22"/>
                <w:highlight w:val="none"/>
              </w:rPr>
              <w:t>电源供应DC：12V；AC：24V；PoE：802.3af</w:t>
            </w:r>
            <w:r>
              <w:rPr>
                <w:rFonts w:hint="eastAsia" w:ascii="宋体" w:hAnsi="宋体" w:cs="宋体"/>
                <w:sz w:val="22"/>
                <w:szCs w:val="22"/>
                <w:highlight w:val="none"/>
              </w:rPr>
              <w:br w:type="textWrapping"/>
            </w:r>
            <w:r>
              <w:rPr>
                <w:rFonts w:hint="eastAsia" w:ascii="宋体" w:hAnsi="宋体" w:cs="宋体"/>
                <w:sz w:val="22"/>
                <w:szCs w:val="22"/>
                <w:highlight w:val="none"/>
              </w:rPr>
              <w:t>电源接口类型：两线式电源接口</w:t>
            </w:r>
            <w:r>
              <w:rPr>
                <w:rFonts w:hint="eastAsia" w:ascii="宋体" w:hAnsi="宋体" w:cs="宋体"/>
                <w:sz w:val="22"/>
                <w:szCs w:val="22"/>
                <w:highlight w:val="none"/>
              </w:rPr>
              <w:br w:type="textWrapping"/>
            </w:r>
            <w:r>
              <w:rPr>
                <w:rFonts w:hint="eastAsia" w:ascii="宋体" w:hAnsi="宋体" w:cs="宋体"/>
                <w:sz w:val="22"/>
                <w:szCs w:val="22"/>
                <w:highlight w:val="none"/>
              </w:rPr>
              <w:t>功耗：DC： 12 V, 0.6 A, Max：7.5W；AC24V：10.5W；PoE： (802.3af, 36V-57V), 0.3 A to 0.2 A，Max：10.5W</w:t>
            </w:r>
            <w:r>
              <w:rPr>
                <w:rFonts w:hint="eastAsia" w:ascii="宋体" w:hAnsi="宋体" w:cs="宋体"/>
                <w:sz w:val="22"/>
                <w:szCs w:val="22"/>
                <w:highlight w:val="none"/>
              </w:rPr>
              <w:br w:type="textWrapping"/>
            </w:r>
            <w:r>
              <w:rPr>
                <w:rFonts w:hint="eastAsia" w:ascii="宋体" w:hAnsi="宋体" w:cs="宋体"/>
                <w:sz w:val="22"/>
                <w:szCs w:val="22"/>
                <w:highlight w:val="none"/>
              </w:rPr>
              <w:t>红外距离：30米</w:t>
            </w:r>
            <w:r>
              <w:rPr>
                <w:rFonts w:hint="eastAsia" w:ascii="宋体" w:hAnsi="宋体" w:cs="宋体"/>
                <w:sz w:val="22"/>
                <w:szCs w:val="22"/>
                <w:highlight w:val="none"/>
              </w:rPr>
              <w:br w:type="textWrapping"/>
            </w:r>
            <w:r>
              <w:rPr>
                <w:rFonts w:hint="eastAsia" w:ascii="宋体" w:hAnsi="宋体" w:cs="宋体"/>
                <w:sz w:val="22"/>
                <w:szCs w:val="22"/>
                <w:highlight w:val="none"/>
              </w:rPr>
              <w:t>红外波长：850nm</w:t>
            </w:r>
            <w:r>
              <w:rPr>
                <w:rFonts w:hint="eastAsia" w:ascii="宋体" w:hAnsi="宋体" w:cs="宋体"/>
                <w:sz w:val="22"/>
                <w:szCs w:val="22"/>
                <w:highlight w:val="none"/>
              </w:rPr>
              <w:br w:type="textWrapping"/>
            </w:r>
            <w:r>
              <w:rPr>
                <w:rFonts w:hint="eastAsia" w:ascii="宋体" w:hAnsi="宋体" w:cs="宋体"/>
                <w:sz w:val="22"/>
                <w:szCs w:val="22"/>
                <w:highlight w:val="none"/>
              </w:rPr>
              <w:t>尺寸(mm)：Φ140.5 × 122.6</w:t>
            </w:r>
            <w:r>
              <w:rPr>
                <w:rFonts w:hint="eastAsia" w:ascii="宋体" w:hAnsi="宋体" w:cs="宋体"/>
                <w:sz w:val="22"/>
                <w:szCs w:val="22"/>
                <w:highlight w:val="none"/>
              </w:rPr>
              <w:br w:type="textWrapping"/>
            </w:r>
            <w:r>
              <w:rPr>
                <w:rFonts w:hint="eastAsia" w:ascii="宋体" w:hAnsi="宋体" w:cs="宋体"/>
                <w:sz w:val="22"/>
                <w:szCs w:val="22"/>
                <w:highlight w:val="none"/>
              </w:rPr>
              <w:t>重量：900</w:t>
            </w:r>
          </w:p>
        </w:tc>
      </w:tr>
    </w:tbl>
    <w:p>
      <w:pPr>
        <w:pStyle w:val="24"/>
        <w:spacing w:line="360" w:lineRule="auto"/>
        <w:ind w:firstLine="0" w:firstLineChars="0"/>
        <w:rPr>
          <w:rFonts w:ascii="宋体" w:hAnsi="宋体" w:cs="Arial"/>
          <w:b/>
          <w:szCs w:val="21"/>
          <w:highlight w:val="none"/>
        </w:rPr>
      </w:pPr>
    </w:p>
    <w:p>
      <w:pPr>
        <w:pStyle w:val="24"/>
        <w:spacing w:line="360" w:lineRule="auto"/>
        <w:ind w:firstLine="0" w:firstLineChars="0"/>
        <w:rPr>
          <w:rFonts w:ascii="宋体" w:hAnsi="宋体" w:cs="Arial"/>
          <w:b/>
          <w:sz w:val="22"/>
          <w:szCs w:val="22"/>
          <w:highlight w:val="none"/>
        </w:rPr>
      </w:pPr>
      <w:r>
        <w:rPr>
          <w:rFonts w:hint="eastAsia" w:ascii="宋体" w:hAnsi="宋体" w:cs="Arial"/>
          <w:b/>
          <w:sz w:val="22"/>
          <w:szCs w:val="22"/>
          <w:highlight w:val="none"/>
          <w:lang w:val="en-US" w:eastAsia="zh-CN"/>
        </w:rPr>
        <w:t>14.</w:t>
      </w:r>
      <w:r>
        <w:rPr>
          <w:rFonts w:hint="eastAsia" w:ascii="宋体" w:hAnsi="宋体" w:cs="Arial"/>
          <w:b/>
          <w:sz w:val="22"/>
          <w:szCs w:val="22"/>
          <w:highlight w:val="none"/>
        </w:rPr>
        <w:t>全彩球机</w:t>
      </w:r>
    </w:p>
    <w:tbl>
      <w:tblPr>
        <w:tblStyle w:val="17"/>
        <w:tblW w:w="9298" w:type="dxa"/>
        <w:jc w:val="center"/>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指标</w:t>
            </w:r>
          </w:p>
        </w:tc>
        <w:tc>
          <w:tcPr>
            <w:tcW w:w="7734"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2"/>
                <w:szCs w:val="22"/>
                <w:highlight w:val="none"/>
              </w:rPr>
            </w:pPr>
            <w:r>
              <w:rPr>
                <w:rFonts w:hint="eastAsia" w:ascii="宋体" w:hAnsi="宋体" w:eastAsia="宋体" w:cs="宋体"/>
                <w:b/>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64"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2"/>
                <w:szCs w:val="22"/>
                <w:highlight w:val="none"/>
              </w:rPr>
            </w:pPr>
            <w:r>
              <w:rPr>
                <w:rFonts w:hint="eastAsia" w:ascii="宋体" w:hAnsi="宋体" w:eastAsia="宋体" w:cs="宋体"/>
                <w:bCs/>
                <w:kern w:val="0"/>
                <w:sz w:val="22"/>
                <w:szCs w:val="22"/>
                <w:highlight w:val="none"/>
              </w:rPr>
              <w:t>性能指标</w:t>
            </w:r>
          </w:p>
        </w:tc>
        <w:tc>
          <w:tcPr>
            <w:tcW w:w="7734"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sz w:val="22"/>
                <w:szCs w:val="22"/>
                <w:highlight w:val="none"/>
              </w:rPr>
            </w:pPr>
            <w:r>
              <w:rPr>
                <w:rFonts w:hint="eastAsia" w:ascii="宋体" w:hAnsi="宋体" w:eastAsia="宋体" w:cs="宋体"/>
                <w:kern w:val="0"/>
                <w:sz w:val="22"/>
                <w:szCs w:val="22"/>
                <w:highlight w:val="none"/>
              </w:rPr>
              <w:t>E系列400万像素7寸混合补光网络高清智能球机；2560×1440@30fps；支持1080p@60fps、960p@60fps、720p@60fps高帧率输出；0.005Lux/F1.2(彩色),0.001Lux/F1.2(黑白) ,0 Lux with IR；可见光补光30m，红外光照射距离最远可达150m；焦距：4.4 - 144 mm, 30倍光学；支持音频、报警；支持自动跟踪；支持120dB超宽动态、透雾、强光抑制、电子防抖、Smart IR；支持萤石云；区域入侵侦测、越界侦测、音频异常侦测、移动侦测；水平键控速度最大160°/s，垂直键控速度最大120°/s，垂直范围-15°~90°；H.265/H.264/MJPEG；最大支持256GB Micro SD卡；AC24V，40W max（其中补光灯15W max）；支持IP66；工作温度：-30℃-65℃。</w:t>
            </w:r>
          </w:p>
        </w:tc>
      </w:tr>
    </w:tbl>
    <w:p>
      <w:pPr>
        <w:pStyle w:val="24"/>
        <w:spacing w:line="360" w:lineRule="auto"/>
        <w:ind w:firstLine="0" w:firstLineChars="0"/>
        <w:rPr>
          <w:rFonts w:hint="eastAsia" w:ascii="宋体" w:hAnsi="宋体" w:cs="Arial"/>
          <w:b/>
          <w:sz w:val="22"/>
          <w:szCs w:val="22"/>
          <w:highlight w:val="none"/>
          <w:lang w:val="en-US" w:eastAsia="zh-CN"/>
        </w:rPr>
      </w:pPr>
    </w:p>
    <w:p>
      <w:pPr>
        <w:pStyle w:val="24"/>
        <w:spacing w:line="360" w:lineRule="auto"/>
        <w:ind w:firstLine="0" w:firstLineChars="0"/>
        <w:rPr>
          <w:rFonts w:ascii="宋体" w:hAnsi="宋体" w:cs="Arial"/>
          <w:b/>
          <w:sz w:val="22"/>
          <w:szCs w:val="22"/>
          <w:highlight w:val="none"/>
        </w:rPr>
      </w:pPr>
      <w:r>
        <w:rPr>
          <w:rFonts w:hint="eastAsia" w:ascii="宋体" w:hAnsi="宋体" w:cs="Arial"/>
          <w:b/>
          <w:sz w:val="22"/>
          <w:szCs w:val="22"/>
          <w:highlight w:val="none"/>
          <w:lang w:val="en-US" w:eastAsia="zh-CN"/>
        </w:rPr>
        <w:t>15.</w:t>
      </w:r>
      <w:r>
        <w:rPr>
          <w:rFonts w:hint="eastAsia" w:ascii="宋体" w:hAnsi="宋体" w:cs="Arial"/>
          <w:b/>
          <w:sz w:val="22"/>
          <w:szCs w:val="22"/>
          <w:highlight w:val="none"/>
        </w:rPr>
        <w:t>高保真拾音器及混音适配器</w:t>
      </w:r>
    </w:p>
    <w:tbl>
      <w:tblPr>
        <w:tblStyle w:val="17"/>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7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1687" w:type="dxa"/>
            <w:shd w:val="clear" w:color="auto" w:fill="auto"/>
            <w:tcMar>
              <w:top w:w="28" w:type="dxa"/>
              <w:bottom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bCs/>
                <w:sz w:val="22"/>
                <w:szCs w:val="22"/>
                <w:highlight w:val="none"/>
              </w:rPr>
            </w:pPr>
            <w:r>
              <w:rPr>
                <w:rFonts w:hint="eastAsia" w:ascii="宋体" w:hAnsi="宋体" w:cs="宋体"/>
                <w:b/>
                <w:bCs/>
                <w:sz w:val="22"/>
                <w:szCs w:val="22"/>
                <w:highlight w:val="none"/>
              </w:rPr>
              <w:t>指标</w:t>
            </w:r>
          </w:p>
        </w:tc>
        <w:tc>
          <w:tcPr>
            <w:tcW w:w="7753" w:type="dxa"/>
            <w:shd w:val="clear" w:color="auto" w:fill="auto"/>
            <w:tcMar>
              <w:top w:w="28" w:type="dxa"/>
              <w:bottom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bCs/>
                <w:sz w:val="22"/>
                <w:szCs w:val="22"/>
                <w:highlight w:val="none"/>
              </w:rPr>
            </w:pPr>
            <w:r>
              <w:rPr>
                <w:rFonts w:hint="eastAsia" w:ascii="宋体" w:hAnsi="宋体" w:cs="宋体"/>
                <w:b/>
                <w:bCs/>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1687" w:type="dxa"/>
            <w:shd w:val="clear" w:color="auto" w:fill="auto"/>
            <w:tcMar>
              <w:top w:w="28" w:type="dxa"/>
              <w:bottom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性能指标</w:t>
            </w:r>
          </w:p>
        </w:tc>
        <w:tc>
          <w:tcPr>
            <w:tcW w:w="7753" w:type="dxa"/>
            <w:shd w:val="clear" w:color="auto" w:fill="auto"/>
            <w:tcMar>
              <w:top w:w="28" w:type="dxa"/>
              <w:bottom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监听面积:10平方米-70平方米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音频传输距离:3000米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频率响应:20Hz ～20KHz / 300Hz-3KHz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灵敏度:-38dB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信噪比:80dB ( 1米40 dB音源),30dB (10米40 dB音源) 1KHz at 1 Pa</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指向特性:全方向性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动态范围:104dB (1KHz at Max dB SPL)</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最大承受音压:120dB SPL (1KHz,THD 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输出阻抗:600欧姆非平衡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输出信号幅度:2.5Vpp/-25db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麦克风:驻极体电容咪头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 xml:space="preserve">信号处理电路:ClearSpeech音频降噪DSP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频响切换:双模式，拾音器具有按压开关，按压和弹起分别对应不同的频响模式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降噪等级:-25dB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状态指示灯:开机运行LED灯常亮，便于设备故障排查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保护电路:雷击保护、电源极性反转保护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适配器:内置前置放大电路，可直连音频输入设备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 xml:space="preserve">连接方式:航空插头，三芯电缆尾线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 xml:space="preserve">ClearSpeech语音处理软件证书原厂公章。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采用国际国内知名品牌产品（类似不低于快鱼丶SNOY丶清音丶铁三角等品牌的产品）投标人应在投标文件中指明拟采购的品牌，招标人保留品牌调整权利。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拾音器接口：2组三芯(电源正极V,音频A,公共地G)</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音频输出端子：4个莲花头,3个两芯端子,3个3.5插孔（其中MIX为混音输出）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 xml:space="preserve">音量调节：-20dB ～ +20dB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频率响应：20Hz ～ 20kHz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 xml:space="preserve">输出电压：12VDC±5%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 xml:space="preserve">输出电流：≤200mA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 xml:space="preserve">纹波：≤20mvrms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输出信号幅度 ：2.5Vpp/-25db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 xml:space="preserve">防水特性：户内防潮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保护电路：雷击保护、电源极性反转保护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拾音器连接方式：电源线V（红色）、音频A（黄色）、公共地G（黑色）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拾音器线缆：3芯0.5mm2 RVVP屏蔽电缆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音频输出线缆：长距离：2芯0.5mm2 RVVP，短距离：视频同轴电缆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电源输入电压：交流电AC200V～250V/直流电DC12V</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工作环境温度：-40℃ ～ 75℃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 xml:space="preserve">颜色：银色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外壳材质：铝合金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 xml:space="preserve">外形尺寸：113mm×88mm×50mm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重量： 454 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符合标准：FCC、ROHS认证、3C等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双路混音器需与拾音器同一品牌，投标需提供对应混音器资料官网截图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2"/>
                <w:szCs w:val="22"/>
                <w:highlight w:val="none"/>
              </w:rPr>
            </w:pPr>
            <w:r>
              <w:rPr>
                <w:rFonts w:hint="eastAsia" w:ascii="宋体" w:hAnsi="宋体" w:cs="宋体"/>
                <w:sz w:val="22"/>
                <w:szCs w:val="22"/>
                <w:highlight w:val="none"/>
              </w:rPr>
              <w:t>采用国际国内知名品牌产品（类似不低于快鱼丶SNOY丶清音丶铁三角等品牌的产品）投标人应在投标文件中指明拟采购的品牌，招标人保留品牌调整权利。</w:t>
            </w:r>
          </w:p>
        </w:tc>
      </w:tr>
    </w:tbl>
    <w:p>
      <w:pPr>
        <w:pStyle w:val="24"/>
        <w:spacing w:line="360" w:lineRule="auto"/>
        <w:ind w:firstLine="0" w:firstLineChars="0"/>
        <w:rPr>
          <w:rFonts w:ascii="宋体" w:hAnsi="宋体" w:cs="Arial"/>
          <w:b/>
          <w:szCs w:val="21"/>
          <w:highlight w:val="none"/>
        </w:rPr>
      </w:pPr>
    </w:p>
    <w:p>
      <w:pPr>
        <w:pStyle w:val="24"/>
        <w:spacing w:line="360" w:lineRule="auto"/>
        <w:ind w:firstLine="0" w:firstLineChars="0"/>
        <w:rPr>
          <w:rFonts w:ascii="宋体" w:hAnsi="宋体" w:cs="Arial"/>
          <w:b/>
          <w:sz w:val="22"/>
          <w:szCs w:val="22"/>
          <w:highlight w:val="none"/>
        </w:rPr>
      </w:pPr>
      <w:r>
        <w:rPr>
          <w:rFonts w:hint="eastAsia" w:ascii="宋体" w:hAnsi="宋体" w:cs="Arial"/>
          <w:b/>
          <w:sz w:val="22"/>
          <w:szCs w:val="22"/>
          <w:highlight w:val="none"/>
          <w:lang w:val="en-US" w:eastAsia="zh-CN"/>
        </w:rPr>
        <w:t>16.</w:t>
      </w:r>
      <w:r>
        <w:rPr>
          <w:rFonts w:hint="eastAsia" w:ascii="宋体" w:hAnsi="宋体" w:cs="Arial"/>
          <w:b/>
          <w:sz w:val="22"/>
          <w:szCs w:val="22"/>
          <w:highlight w:val="none"/>
        </w:rPr>
        <w:t>桌面摄像头</w:t>
      </w:r>
    </w:p>
    <w:tbl>
      <w:tblPr>
        <w:tblStyle w:val="17"/>
        <w:tblW w:w="9468" w:type="dxa"/>
        <w:jc w:val="center"/>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7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652"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kern w:val="0"/>
                <w:sz w:val="22"/>
                <w:szCs w:val="22"/>
                <w:highlight w:val="none"/>
              </w:rPr>
            </w:pPr>
            <w:r>
              <w:rPr>
                <w:rFonts w:hint="eastAsia" w:ascii="宋体" w:hAnsi="宋体" w:cs="宋体"/>
                <w:b/>
                <w:kern w:val="0"/>
                <w:sz w:val="22"/>
                <w:szCs w:val="22"/>
                <w:highlight w:val="none"/>
              </w:rPr>
              <w:t>指标</w:t>
            </w:r>
          </w:p>
        </w:tc>
        <w:tc>
          <w:tcPr>
            <w:tcW w:w="7816"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kern w:val="0"/>
                <w:sz w:val="22"/>
                <w:szCs w:val="22"/>
                <w:highlight w:val="none"/>
              </w:rPr>
            </w:pPr>
            <w:r>
              <w:rPr>
                <w:rFonts w:hint="eastAsia" w:ascii="宋体" w:hAnsi="宋体" w:cs="宋体"/>
                <w:b/>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652"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kern w:val="0"/>
                <w:sz w:val="22"/>
                <w:szCs w:val="22"/>
                <w:highlight w:val="none"/>
              </w:rPr>
            </w:pPr>
            <w:r>
              <w:rPr>
                <w:rFonts w:hint="eastAsia" w:ascii="宋体" w:hAnsi="宋体" w:cs="宋体"/>
                <w:bCs/>
                <w:kern w:val="0"/>
                <w:sz w:val="22"/>
                <w:szCs w:val="22"/>
                <w:highlight w:val="none"/>
              </w:rPr>
              <w:t>性能要求</w:t>
            </w:r>
          </w:p>
        </w:tc>
        <w:tc>
          <w:tcPr>
            <w:tcW w:w="7816"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sz w:val="22"/>
                <w:szCs w:val="22"/>
                <w:highlight w:val="none"/>
              </w:rPr>
            </w:pPr>
            <w:r>
              <w:rPr>
                <w:rFonts w:hint="eastAsia" w:ascii="宋体" w:hAnsi="宋体" w:cs="宋体"/>
                <w:bCs/>
                <w:sz w:val="22"/>
                <w:szCs w:val="22"/>
                <w:highlight w:val="none"/>
                <w:shd w:val="clear" w:color="auto" w:fill="FFFFFF"/>
              </w:rPr>
              <w:t>经过测试微软（Microsoft）梦剧场（精英版）1080P网络高清摄像机满足不见面系统最低标准要求，可投更高型号</w:t>
            </w:r>
          </w:p>
        </w:tc>
      </w:tr>
    </w:tbl>
    <w:p>
      <w:pPr>
        <w:pStyle w:val="24"/>
        <w:spacing w:line="360" w:lineRule="auto"/>
        <w:ind w:firstLine="0" w:firstLineChars="0"/>
        <w:rPr>
          <w:rFonts w:ascii="宋体" w:hAnsi="宋体" w:cs="Arial"/>
          <w:b/>
          <w:szCs w:val="21"/>
          <w:highlight w:val="none"/>
        </w:rPr>
      </w:pPr>
    </w:p>
    <w:p>
      <w:pPr>
        <w:pStyle w:val="24"/>
        <w:spacing w:line="360" w:lineRule="auto"/>
        <w:ind w:firstLine="0" w:firstLineChars="0"/>
        <w:rPr>
          <w:rFonts w:ascii="宋体" w:hAnsi="宋体" w:cs="Arial"/>
          <w:b/>
          <w:sz w:val="22"/>
          <w:szCs w:val="22"/>
          <w:highlight w:val="none"/>
        </w:rPr>
      </w:pPr>
      <w:r>
        <w:rPr>
          <w:rFonts w:hint="eastAsia" w:ascii="宋体" w:hAnsi="宋体" w:cs="Arial"/>
          <w:b/>
          <w:sz w:val="22"/>
          <w:szCs w:val="22"/>
          <w:highlight w:val="none"/>
          <w:lang w:val="en-US" w:eastAsia="zh-CN"/>
        </w:rPr>
        <w:t>17.</w:t>
      </w:r>
      <w:r>
        <w:rPr>
          <w:rFonts w:hint="eastAsia" w:ascii="宋体" w:hAnsi="宋体" w:cs="Arial"/>
          <w:b/>
          <w:sz w:val="22"/>
          <w:szCs w:val="22"/>
          <w:highlight w:val="none"/>
        </w:rPr>
        <w:t>电脑USB调音台</w:t>
      </w:r>
    </w:p>
    <w:tbl>
      <w:tblPr>
        <w:tblStyle w:val="17"/>
        <w:tblW w:w="933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7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572"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kern w:val="0"/>
                <w:sz w:val="22"/>
                <w:szCs w:val="22"/>
                <w:highlight w:val="none"/>
              </w:rPr>
            </w:pPr>
            <w:r>
              <w:rPr>
                <w:rFonts w:hint="eastAsia" w:ascii="宋体" w:hAnsi="宋体" w:cs="宋体"/>
                <w:b/>
                <w:kern w:val="0"/>
                <w:sz w:val="22"/>
                <w:szCs w:val="22"/>
                <w:highlight w:val="none"/>
              </w:rPr>
              <w:t>指标</w:t>
            </w:r>
          </w:p>
        </w:tc>
        <w:tc>
          <w:tcPr>
            <w:tcW w:w="7766"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kern w:val="0"/>
                <w:sz w:val="22"/>
                <w:szCs w:val="22"/>
                <w:highlight w:val="none"/>
              </w:rPr>
            </w:pPr>
            <w:r>
              <w:rPr>
                <w:rFonts w:hint="eastAsia" w:ascii="宋体" w:hAnsi="宋体" w:cs="宋体"/>
                <w:b/>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572"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Cs/>
                <w:kern w:val="0"/>
                <w:sz w:val="22"/>
                <w:szCs w:val="22"/>
                <w:highlight w:val="none"/>
              </w:rPr>
            </w:pPr>
            <w:r>
              <w:rPr>
                <w:rFonts w:hint="eastAsia" w:ascii="宋体" w:hAnsi="宋体" w:cs="宋体"/>
                <w:bCs/>
                <w:kern w:val="0"/>
                <w:sz w:val="22"/>
                <w:szCs w:val="22"/>
                <w:highlight w:val="none"/>
              </w:rPr>
              <w:t>性能要求</w:t>
            </w:r>
          </w:p>
        </w:tc>
        <w:tc>
          <w:tcPr>
            <w:tcW w:w="7766"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Cs/>
                <w:sz w:val="22"/>
                <w:szCs w:val="22"/>
                <w:highlight w:val="none"/>
              </w:rPr>
            </w:pPr>
            <w:r>
              <w:rPr>
                <w:rFonts w:hint="eastAsia" w:ascii="宋体" w:hAnsi="宋体" w:cs="宋体"/>
                <w:bCs/>
                <w:sz w:val="22"/>
                <w:szCs w:val="22"/>
                <w:highlight w:val="none"/>
                <w:shd w:val="clear" w:color="auto" w:fill="FFFFFF"/>
              </w:rPr>
              <w:t>经过测试雅马哈AG03声卡调音台满足不见面系统最低标准要求，可投更高型号</w:t>
            </w:r>
          </w:p>
        </w:tc>
      </w:tr>
    </w:tbl>
    <w:p>
      <w:pPr>
        <w:pStyle w:val="24"/>
        <w:spacing w:line="360" w:lineRule="auto"/>
        <w:ind w:firstLine="0" w:firstLineChars="0"/>
        <w:rPr>
          <w:rFonts w:ascii="宋体" w:hAnsi="宋体" w:cs="Arial"/>
          <w:b/>
          <w:sz w:val="22"/>
          <w:szCs w:val="22"/>
          <w:highlight w:val="none"/>
        </w:rPr>
      </w:pPr>
    </w:p>
    <w:p>
      <w:pPr>
        <w:pStyle w:val="24"/>
        <w:spacing w:line="360" w:lineRule="auto"/>
        <w:ind w:firstLine="0" w:firstLineChars="0"/>
        <w:rPr>
          <w:rFonts w:ascii="宋体" w:hAnsi="宋体" w:cs="Arial"/>
          <w:b/>
          <w:sz w:val="22"/>
          <w:szCs w:val="22"/>
          <w:highlight w:val="none"/>
        </w:rPr>
      </w:pPr>
      <w:r>
        <w:rPr>
          <w:rFonts w:hint="eastAsia" w:ascii="宋体" w:hAnsi="宋体" w:cs="Arial"/>
          <w:b/>
          <w:sz w:val="22"/>
          <w:szCs w:val="22"/>
          <w:highlight w:val="none"/>
          <w:lang w:val="en-US" w:eastAsia="zh-CN"/>
        </w:rPr>
        <w:t>18.</w:t>
      </w:r>
      <w:r>
        <w:rPr>
          <w:rFonts w:hint="eastAsia" w:ascii="宋体" w:hAnsi="宋体" w:cs="Arial"/>
          <w:b/>
          <w:sz w:val="22"/>
          <w:szCs w:val="22"/>
          <w:highlight w:val="none"/>
        </w:rPr>
        <w:t>有线电容麦克风</w:t>
      </w:r>
    </w:p>
    <w:tbl>
      <w:tblPr>
        <w:tblStyle w:val="17"/>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686"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b/>
                <w:kern w:val="0"/>
                <w:sz w:val="22"/>
                <w:szCs w:val="22"/>
                <w:highlight w:val="none"/>
              </w:rPr>
            </w:pPr>
            <w:r>
              <w:rPr>
                <w:rFonts w:hint="eastAsia" w:ascii="宋体" w:hAnsi="宋体" w:cs="Arial"/>
                <w:b/>
                <w:kern w:val="0"/>
                <w:sz w:val="22"/>
                <w:szCs w:val="22"/>
                <w:highlight w:val="none"/>
              </w:rPr>
              <w:t>指标</w:t>
            </w:r>
          </w:p>
        </w:tc>
        <w:tc>
          <w:tcPr>
            <w:tcW w:w="7734"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b/>
                <w:kern w:val="0"/>
                <w:sz w:val="22"/>
                <w:szCs w:val="22"/>
                <w:highlight w:val="none"/>
              </w:rPr>
            </w:pPr>
            <w:r>
              <w:rPr>
                <w:rFonts w:ascii="宋体" w:hAnsi="宋体" w:cs="Arial"/>
                <w:b/>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686"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bCs/>
                <w:kern w:val="0"/>
                <w:sz w:val="22"/>
                <w:szCs w:val="22"/>
                <w:highlight w:val="none"/>
              </w:rPr>
            </w:pPr>
            <w:r>
              <w:rPr>
                <w:rFonts w:hint="eastAsia" w:ascii="宋体" w:hAnsi="宋体" w:cs="Arial"/>
                <w:bCs/>
                <w:kern w:val="0"/>
                <w:sz w:val="22"/>
                <w:szCs w:val="22"/>
                <w:highlight w:val="none"/>
              </w:rPr>
              <w:t>性能要求</w:t>
            </w:r>
          </w:p>
        </w:tc>
        <w:tc>
          <w:tcPr>
            <w:tcW w:w="7734"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Arial"/>
                <w:bCs/>
                <w:sz w:val="22"/>
                <w:szCs w:val="22"/>
                <w:highlight w:val="none"/>
              </w:rPr>
            </w:pPr>
            <w:r>
              <w:rPr>
                <w:rFonts w:hint="eastAsia" w:ascii="宋体" w:hAnsi="宋体" w:cs="Arial"/>
                <w:bCs/>
                <w:sz w:val="22"/>
                <w:szCs w:val="22"/>
                <w:highlight w:val="none"/>
              </w:rPr>
              <w:t>经过测试SHURE MX185声音效果满足不见面开标系统最低标准要求，可投更高型号，需出货证明正品</w:t>
            </w:r>
          </w:p>
        </w:tc>
      </w:tr>
    </w:tbl>
    <w:p>
      <w:pPr>
        <w:pStyle w:val="24"/>
        <w:spacing w:line="360" w:lineRule="auto"/>
        <w:ind w:firstLine="0" w:firstLineChars="0"/>
        <w:rPr>
          <w:rFonts w:ascii="宋体" w:hAnsi="宋体" w:cs="Arial"/>
          <w:b/>
          <w:szCs w:val="21"/>
          <w:highlight w:val="none"/>
        </w:rPr>
      </w:pPr>
    </w:p>
    <w:p>
      <w:pPr>
        <w:pStyle w:val="24"/>
        <w:spacing w:line="360" w:lineRule="auto"/>
        <w:ind w:firstLine="0" w:firstLineChars="0"/>
        <w:rPr>
          <w:rFonts w:ascii="宋体" w:hAnsi="宋体" w:cs="Arial"/>
          <w:b/>
          <w:sz w:val="22"/>
          <w:szCs w:val="22"/>
          <w:highlight w:val="none"/>
        </w:rPr>
      </w:pPr>
      <w:r>
        <w:rPr>
          <w:rFonts w:hint="eastAsia" w:ascii="宋体" w:hAnsi="宋体" w:cs="Arial"/>
          <w:b/>
          <w:sz w:val="22"/>
          <w:szCs w:val="22"/>
          <w:highlight w:val="none"/>
          <w:lang w:val="en-US" w:eastAsia="zh-CN"/>
        </w:rPr>
        <w:t>19.</w:t>
      </w:r>
      <w:r>
        <w:rPr>
          <w:rFonts w:hint="eastAsia" w:ascii="宋体" w:hAnsi="宋体" w:cs="Arial"/>
          <w:b/>
          <w:sz w:val="22"/>
          <w:szCs w:val="22"/>
          <w:highlight w:val="none"/>
        </w:rPr>
        <w:t>台式电脑</w:t>
      </w:r>
    </w:p>
    <w:tbl>
      <w:tblPr>
        <w:tblStyle w:val="17"/>
        <w:tblW w:w="9413" w:type="dxa"/>
        <w:jc w:val="center"/>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815"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b/>
                <w:kern w:val="0"/>
                <w:sz w:val="22"/>
                <w:szCs w:val="22"/>
                <w:highlight w:val="none"/>
              </w:rPr>
            </w:pPr>
            <w:r>
              <w:rPr>
                <w:rFonts w:hint="eastAsia" w:ascii="宋体" w:hAnsi="宋体" w:cs="Arial"/>
                <w:b/>
                <w:kern w:val="0"/>
                <w:sz w:val="22"/>
                <w:szCs w:val="22"/>
                <w:highlight w:val="none"/>
              </w:rPr>
              <w:t>指标</w:t>
            </w:r>
          </w:p>
        </w:tc>
        <w:tc>
          <w:tcPr>
            <w:tcW w:w="7598"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b/>
                <w:kern w:val="0"/>
                <w:sz w:val="22"/>
                <w:szCs w:val="22"/>
                <w:highlight w:val="none"/>
              </w:rPr>
            </w:pPr>
            <w:r>
              <w:rPr>
                <w:rFonts w:ascii="宋体" w:hAnsi="宋体" w:cs="Arial"/>
                <w:b/>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815"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bCs/>
                <w:kern w:val="0"/>
                <w:sz w:val="22"/>
                <w:szCs w:val="22"/>
                <w:highlight w:val="none"/>
              </w:rPr>
            </w:pPr>
            <w:r>
              <w:rPr>
                <w:rFonts w:hint="eastAsia" w:ascii="宋体" w:hAnsi="宋体" w:cs="Arial"/>
                <w:bCs/>
                <w:kern w:val="0"/>
                <w:sz w:val="22"/>
                <w:szCs w:val="22"/>
                <w:highlight w:val="none"/>
              </w:rPr>
              <w:t>品牌及性能要求</w:t>
            </w:r>
          </w:p>
        </w:tc>
        <w:tc>
          <w:tcPr>
            <w:tcW w:w="7598"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Arial"/>
                <w:bCs/>
                <w:sz w:val="22"/>
                <w:szCs w:val="22"/>
                <w:highlight w:val="none"/>
              </w:rPr>
            </w:pPr>
            <w:r>
              <w:rPr>
                <w:rFonts w:hint="eastAsia" w:ascii="宋体" w:hAnsi="宋体" w:cs="Arial"/>
                <w:bCs/>
                <w:sz w:val="22"/>
                <w:szCs w:val="22"/>
                <w:highlight w:val="none"/>
              </w:rPr>
              <w:t>联想，惠普，戴尔品牌整机，配置I3 8100 4G 256G SSD DVDRW 21.5寸显示器</w:t>
            </w:r>
          </w:p>
        </w:tc>
      </w:tr>
    </w:tbl>
    <w:p>
      <w:pPr>
        <w:pStyle w:val="24"/>
        <w:spacing w:line="360" w:lineRule="auto"/>
        <w:ind w:firstLine="0" w:firstLineChars="0"/>
        <w:rPr>
          <w:rFonts w:hint="eastAsia" w:ascii="宋体" w:hAnsi="宋体" w:cs="Arial"/>
          <w:b/>
          <w:sz w:val="22"/>
          <w:szCs w:val="22"/>
          <w:highlight w:val="none"/>
          <w:lang w:val="en-US" w:eastAsia="zh-CN"/>
        </w:rPr>
      </w:pPr>
    </w:p>
    <w:p>
      <w:pPr>
        <w:pStyle w:val="24"/>
        <w:spacing w:line="360" w:lineRule="auto"/>
        <w:ind w:firstLine="0" w:firstLineChars="0"/>
        <w:rPr>
          <w:rFonts w:ascii="宋体" w:hAnsi="宋体" w:cs="Arial"/>
          <w:b/>
          <w:sz w:val="22"/>
          <w:szCs w:val="22"/>
          <w:highlight w:val="none"/>
        </w:rPr>
      </w:pPr>
      <w:r>
        <w:rPr>
          <w:rFonts w:hint="eastAsia" w:ascii="宋体" w:hAnsi="宋体" w:cs="Arial"/>
          <w:b/>
          <w:sz w:val="22"/>
          <w:szCs w:val="22"/>
          <w:highlight w:val="none"/>
          <w:lang w:val="en-US" w:eastAsia="zh-CN"/>
        </w:rPr>
        <w:t>20.</w:t>
      </w:r>
      <w:r>
        <w:rPr>
          <w:rFonts w:hint="eastAsia" w:ascii="宋体" w:hAnsi="宋体" w:cs="Arial"/>
          <w:b/>
          <w:sz w:val="22"/>
          <w:szCs w:val="22"/>
          <w:highlight w:val="none"/>
        </w:rPr>
        <w:t>高保真耳麦</w:t>
      </w:r>
    </w:p>
    <w:tbl>
      <w:tblPr>
        <w:tblStyle w:val="17"/>
        <w:tblW w:w="951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7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14"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kern w:val="0"/>
                <w:sz w:val="22"/>
                <w:szCs w:val="22"/>
                <w:highlight w:val="none"/>
              </w:rPr>
            </w:pPr>
            <w:r>
              <w:rPr>
                <w:rFonts w:hint="eastAsia" w:ascii="宋体" w:hAnsi="宋体" w:cs="宋体"/>
                <w:b/>
                <w:kern w:val="0"/>
                <w:sz w:val="22"/>
                <w:szCs w:val="22"/>
                <w:highlight w:val="none"/>
              </w:rPr>
              <w:t>指标</w:t>
            </w:r>
          </w:p>
        </w:tc>
        <w:tc>
          <w:tcPr>
            <w:tcW w:w="7899"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kern w:val="0"/>
                <w:sz w:val="22"/>
                <w:szCs w:val="22"/>
                <w:highlight w:val="none"/>
              </w:rPr>
            </w:pPr>
            <w:r>
              <w:rPr>
                <w:rFonts w:hint="eastAsia" w:ascii="宋体" w:hAnsi="宋体" w:cs="宋体"/>
                <w:b/>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614"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Cs/>
                <w:kern w:val="0"/>
                <w:sz w:val="22"/>
                <w:szCs w:val="22"/>
                <w:highlight w:val="none"/>
              </w:rPr>
            </w:pPr>
            <w:r>
              <w:rPr>
                <w:rFonts w:hint="eastAsia" w:ascii="宋体" w:hAnsi="宋体" w:cs="宋体"/>
                <w:bCs/>
                <w:kern w:val="0"/>
                <w:sz w:val="22"/>
                <w:szCs w:val="22"/>
                <w:highlight w:val="none"/>
              </w:rPr>
              <w:t>性能要求</w:t>
            </w:r>
          </w:p>
        </w:tc>
        <w:tc>
          <w:tcPr>
            <w:tcW w:w="7899"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Cs/>
                <w:sz w:val="22"/>
                <w:szCs w:val="22"/>
                <w:highlight w:val="none"/>
              </w:rPr>
            </w:pPr>
            <w:r>
              <w:rPr>
                <w:rFonts w:hint="eastAsia" w:ascii="宋体" w:hAnsi="宋体" w:cs="宋体"/>
                <w:bCs/>
                <w:sz w:val="22"/>
                <w:szCs w:val="22"/>
                <w:highlight w:val="none"/>
              </w:rPr>
              <w:t>经过测试</w:t>
            </w:r>
            <w:r>
              <w:rPr>
                <w:rFonts w:hint="eastAsia" w:ascii="宋体" w:hAnsi="宋体" w:cs="宋体"/>
                <w:bCs/>
                <w:sz w:val="22"/>
                <w:szCs w:val="22"/>
                <w:highlight w:val="none"/>
                <w:shd w:val="clear" w:color="auto" w:fill="FFFFFF"/>
              </w:rPr>
              <w:t>北恩（HION）FOR600-USB 呼叫中心话务耳机声音效果符合不见面开标系统最低标准要求，可投更高型号</w:t>
            </w:r>
          </w:p>
        </w:tc>
      </w:tr>
    </w:tbl>
    <w:p>
      <w:pPr>
        <w:pStyle w:val="24"/>
        <w:spacing w:line="360" w:lineRule="auto"/>
        <w:ind w:firstLine="0" w:firstLineChars="0"/>
        <w:rPr>
          <w:rFonts w:ascii="宋体" w:hAnsi="宋体" w:cs="Arial"/>
          <w:b/>
          <w:szCs w:val="21"/>
          <w:highlight w:val="none"/>
        </w:rPr>
      </w:pPr>
    </w:p>
    <w:p>
      <w:pPr>
        <w:pStyle w:val="24"/>
        <w:spacing w:line="360" w:lineRule="auto"/>
        <w:ind w:firstLine="0" w:firstLineChars="0"/>
        <w:rPr>
          <w:rFonts w:ascii="宋体" w:hAnsi="宋体" w:cs="Arial"/>
          <w:b/>
          <w:sz w:val="22"/>
          <w:szCs w:val="22"/>
          <w:highlight w:val="none"/>
        </w:rPr>
      </w:pPr>
      <w:r>
        <w:rPr>
          <w:rFonts w:hint="eastAsia" w:ascii="宋体" w:hAnsi="宋体" w:cs="Arial"/>
          <w:b/>
          <w:sz w:val="22"/>
          <w:szCs w:val="22"/>
          <w:highlight w:val="none"/>
          <w:lang w:val="en-US" w:eastAsia="zh-CN"/>
        </w:rPr>
        <w:t>21.</w:t>
      </w:r>
      <w:r>
        <w:rPr>
          <w:rFonts w:hint="eastAsia" w:ascii="宋体" w:hAnsi="宋体" w:cs="Arial"/>
          <w:b/>
          <w:sz w:val="22"/>
          <w:szCs w:val="22"/>
          <w:highlight w:val="none"/>
        </w:rPr>
        <w:t>中心网络布线一批</w:t>
      </w:r>
    </w:p>
    <w:tbl>
      <w:tblPr>
        <w:tblStyle w:val="17"/>
        <w:tblW w:w="9418" w:type="dxa"/>
        <w:jc w:val="center"/>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7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4"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b/>
                <w:kern w:val="0"/>
                <w:sz w:val="22"/>
                <w:szCs w:val="22"/>
                <w:highlight w:val="none"/>
              </w:rPr>
            </w:pPr>
            <w:r>
              <w:rPr>
                <w:rFonts w:hint="eastAsia" w:ascii="宋体" w:hAnsi="宋体" w:cs="Arial"/>
                <w:b/>
                <w:kern w:val="0"/>
                <w:sz w:val="22"/>
                <w:szCs w:val="22"/>
                <w:highlight w:val="none"/>
              </w:rPr>
              <w:t>指标</w:t>
            </w:r>
          </w:p>
        </w:tc>
        <w:tc>
          <w:tcPr>
            <w:tcW w:w="7784"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b/>
                <w:kern w:val="0"/>
                <w:sz w:val="22"/>
                <w:szCs w:val="22"/>
                <w:highlight w:val="none"/>
              </w:rPr>
            </w:pPr>
            <w:r>
              <w:rPr>
                <w:rFonts w:ascii="宋体" w:hAnsi="宋体" w:cs="Arial"/>
                <w:b/>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1634"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b/>
                <w:kern w:val="0"/>
                <w:sz w:val="22"/>
                <w:szCs w:val="22"/>
                <w:highlight w:val="none"/>
              </w:rPr>
            </w:pPr>
            <w:r>
              <w:rPr>
                <w:rFonts w:hint="eastAsia" w:ascii="宋体" w:hAnsi="宋体" w:cs="Arial"/>
                <w:bCs/>
                <w:kern w:val="0"/>
                <w:sz w:val="22"/>
                <w:szCs w:val="22"/>
                <w:highlight w:val="none"/>
              </w:rPr>
              <w:t>要求</w:t>
            </w:r>
          </w:p>
        </w:tc>
        <w:tc>
          <w:tcPr>
            <w:tcW w:w="7784"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Arial"/>
                <w:b/>
                <w:sz w:val="22"/>
                <w:szCs w:val="22"/>
                <w:highlight w:val="none"/>
              </w:rPr>
            </w:pPr>
            <w:r>
              <w:rPr>
                <w:rFonts w:hint="eastAsia" w:ascii="宋体" w:hAnsi="宋体" w:cs="Arial"/>
                <w:bCs/>
                <w:sz w:val="22"/>
                <w:szCs w:val="22"/>
                <w:highlight w:val="none"/>
              </w:rPr>
              <w:t>中心机房在三楼机房，需要拉线至三楼三个评标监管室一个抽取专家室，四个评标室，二楼四个开标室，走线需要隐蔽走线，套管，实际长度需投标人现场地勘，工程所需材料未包括的，按实际需求免费补足，不做联系单增加，网线材料必须使用名牌全铜。</w:t>
            </w:r>
          </w:p>
        </w:tc>
      </w:tr>
    </w:tbl>
    <w:p>
      <w:pPr>
        <w:pStyle w:val="24"/>
        <w:spacing w:line="360" w:lineRule="auto"/>
        <w:ind w:firstLine="0" w:firstLineChars="0"/>
        <w:rPr>
          <w:rFonts w:hint="eastAsia" w:ascii="宋体" w:hAnsi="宋体" w:cs="Arial"/>
          <w:b/>
          <w:sz w:val="22"/>
          <w:szCs w:val="22"/>
          <w:highlight w:val="none"/>
          <w:lang w:val="en-US" w:eastAsia="zh-CN"/>
        </w:rPr>
      </w:pPr>
    </w:p>
    <w:p>
      <w:pPr>
        <w:pStyle w:val="24"/>
        <w:spacing w:line="360" w:lineRule="auto"/>
        <w:ind w:firstLine="0" w:firstLineChars="0"/>
        <w:rPr>
          <w:rFonts w:ascii="宋体" w:hAnsi="宋体" w:cs="Arial"/>
          <w:b/>
          <w:sz w:val="22"/>
          <w:szCs w:val="22"/>
          <w:highlight w:val="none"/>
        </w:rPr>
      </w:pPr>
      <w:r>
        <w:rPr>
          <w:rFonts w:hint="eastAsia" w:ascii="宋体" w:hAnsi="宋体" w:cs="Arial"/>
          <w:b/>
          <w:sz w:val="22"/>
          <w:szCs w:val="22"/>
          <w:highlight w:val="none"/>
          <w:lang w:val="en-US" w:eastAsia="zh-CN"/>
        </w:rPr>
        <w:t>22.</w:t>
      </w:r>
      <w:r>
        <w:rPr>
          <w:rFonts w:hint="eastAsia" w:ascii="宋体" w:hAnsi="宋体" w:cs="Arial"/>
          <w:b/>
          <w:sz w:val="22"/>
          <w:szCs w:val="22"/>
          <w:highlight w:val="none"/>
        </w:rPr>
        <w:t>乡镇不见面开标室网络布线一批</w:t>
      </w:r>
    </w:p>
    <w:tbl>
      <w:tblPr>
        <w:tblStyle w:val="17"/>
        <w:tblW w:w="9443"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643"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b/>
                <w:kern w:val="0"/>
                <w:sz w:val="22"/>
                <w:szCs w:val="22"/>
                <w:highlight w:val="none"/>
              </w:rPr>
            </w:pPr>
            <w:r>
              <w:rPr>
                <w:rFonts w:hint="eastAsia" w:ascii="宋体" w:hAnsi="宋体" w:cs="Arial"/>
                <w:b/>
                <w:kern w:val="0"/>
                <w:sz w:val="22"/>
                <w:szCs w:val="22"/>
                <w:highlight w:val="none"/>
              </w:rPr>
              <w:t>指标</w:t>
            </w:r>
          </w:p>
        </w:tc>
        <w:tc>
          <w:tcPr>
            <w:tcW w:w="7800"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b/>
                <w:kern w:val="0"/>
                <w:sz w:val="22"/>
                <w:szCs w:val="22"/>
                <w:highlight w:val="none"/>
              </w:rPr>
            </w:pPr>
            <w:r>
              <w:rPr>
                <w:rFonts w:ascii="宋体" w:hAnsi="宋体" w:cs="Arial"/>
                <w:b/>
                <w:sz w:val="22"/>
                <w:szCs w:val="22"/>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643"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Arial"/>
                <w:b/>
                <w:kern w:val="0"/>
                <w:sz w:val="22"/>
                <w:szCs w:val="22"/>
                <w:highlight w:val="none"/>
              </w:rPr>
            </w:pPr>
            <w:r>
              <w:rPr>
                <w:rFonts w:hint="eastAsia" w:ascii="宋体" w:hAnsi="宋体" w:cs="Arial"/>
                <w:bCs/>
                <w:kern w:val="0"/>
                <w:sz w:val="22"/>
                <w:szCs w:val="22"/>
                <w:highlight w:val="none"/>
              </w:rPr>
              <w:t>要求</w:t>
            </w:r>
          </w:p>
        </w:tc>
        <w:tc>
          <w:tcPr>
            <w:tcW w:w="7800" w:type="dxa"/>
            <w:shd w:val="clear" w:color="auto" w:fill="auto"/>
            <w:tcMar>
              <w:top w:w="28" w:type="dxa"/>
              <w:bottom w:w="2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Arial"/>
                <w:b/>
                <w:sz w:val="22"/>
                <w:szCs w:val="22"/>
                <w:highlight w:val="none"/>
              </w:rPr>
            </w:pPr>
            <w:r>
              <w:rPr>
                <w:rFonts w:hint="eastAsia" w:ascii="宋体" w:hAnsi="宋体" w:cs="Arial"/>
                <w:bCs/>
                <w:sz w:val="22"/>
                <w:szCs w:val="22"/>
                <w:highlight w:val="none"/>
              </w:rPr>
              <w:t>走线需要隐蔽走线，线槽，实际长度需投标人现场地勘，工程所需材料未包括的，按实际需求免费补足，不做联系单增加，网线材料必须使用名牌全铜。</w:t>
            </w:r>
          </w:p>
        </w:tc>
      </w:tr>
    </w:tbl>
    <w:p>
      <w:pPr>
        <w:pStyle w:val="24"/>
        <w:spacing w:line="360" w:lineRule="auto"/>
        <w:ind w:firstLine="0" w:firstLineChars="0"/>
        <w:rPr>
          <w:rFonts w:ascii="宋体" w:hAnsi="宋体" w:cs="Arial"/>
          <w:b/>
          <w:szCs w:val="21"/>
          <w:highlight w:val="none"/>
        </w:rPr>
      </w:pPr>
    </w:p>
    <w:p>
      <w:pPr>
        <w:tabs>
          <w:tab w:val="left" w:pos="8280"/>
        </w:tabs>
        <w:autoSpaceDE w:val="0"/>
        <w:autoSpaceDN w:val="0"/>
        <w:adjustRightInd w:val="0"/>
        <w:spacing w:line="360" w:lineRule="auto"/>
        <w:ind w:right="25"/>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三、要求与服务</w:t>
      </w:r>
    </w:p>
    <w:p>
      <w:pPr>
        <w:tabs>
          <w:tab w:val="left" w:pos="8280"/>
        </w:tabs>
        <w:autoSpaceDE w:val="0"/>
        <w:autoSpaceDN w:val="0"/>
        <w:adjustRightInd w:val="0"/>
        <w:spacing w:line="360" w:lineRule="auto"/>
        <w:ind w:right="25"/>
        <w:rPr>
          <w:rFonts w:ascii="宋体" w:hAnsi="宋体" w:cs="Arial"/>
          <w:b/>
          <w:bCs/>
          <w:iCs/>
          <w:kern w:val="0"/>
          <w:sz w:val="24"/>
          <w:highlight w:val="none"/>
          <w:lang w:bidi="en-US"/>
        </w:rPr>
      </w:pPr>
      <w:r>
        <w:rPr>
          <w:rFonts w:hint="eastAsia" w:ascii="宋体" w:hAnsi="宋体" w:cs="Arial"/>
          <w:b/>
          <w:bCs/>
          <w:iCs/>
          <w:kern w:val="0"/>
          <w:sz w:val="24"/>
          <w:highlight w:val="none"/>
          <w:lang w:bidi="en-US"/>
        </w:rPr>
        <w:t>一、设备供货要求</w:t>
      </w:r>
    </w:p>
    <w:p>
      <w:pPr>
        <w:numPr>
          <w:ilvl w:val="0"/>
          <w:numId w:val="7"/>
        </w:numPr>
        <w:spacing w:line="360" w:lineRule="auto"/>
        <w:rPr>
          <w:rFonts w:ascii="宋体" w:hAnsi="宋体"/>
          <w:sz w:val="22"/>
          <w:szCs w:val="22"/>
          <w:highlight w:val="none"/>
        </w:rPr>
      </w:pPr>
      <w:r>
        <w:rPr>
          <w:rFonts w:hint="eastAsia" w:ascii="宋体" w:hAnsi="宋体"/>
          <w:sz w:val="22"/>
          <w:szCs w:val="22"/>
          <w:highlight w:val="none"/>
        </w:rPr>
        <w:t>投标人参加投标，需对本标书中的所有产品报价，只针对单项做投标报价视为废标。</w:t>
      </w:r>
    </w:p>
    <w:p>
      <w:pPr>
        <w:numPr>
          <w:ilvl w:val="0"/>
          <w:numId w:val="7"/>
        </w:numPr>
        <w:spacing w:line="360" w:lineRule="auto"/>
        <w:ind w:right="-315" w:rightChars="-150"/>
        <w:rPr>
          <w:rFonts w:ascii="宋体" w:hAnsi="宋体"/>
          <w:sz w:val="22"/>
          <w:szCs w:val="22"/>
          <w:highlight w:val="none"/>
        </w:rPr>
      </w:pPr>
      <w:r>
        <w:rPr>
          <w:rFonts w:hint="eastAsia" w:ascii="宋体" w:hAnsi="宋体"/>
          <w:sz w:val="22"/>
          <w:szCs w:val="22"/>
          <w:highlight w:val="none"/>
        </w:rPr>
        <w:t>本招标书技术指标中，凡标有“</w:t>
      </w:r>
      <w:r>
        <w:rPr>
          <w:rFonts w:hint="eastAsia" w:ascii="宋体" w:eastAsia="宋体" w:cs="宋体"/>
          <w:b w:val="0"/>
          <w:color w:val="auto"/>
          <w:sz w:val="22"/>
          <w:szCs w:val="22"/>
          <w:highlight w:val="none"/>
        </w:rPr>
        <w:t>★</w:t>
      </w:r>
      <w:r>
        <w:rPr>
          <w:rFonts w:hint="eastAsia" w:ascii="宋体" w:hAnsi="宋体"/>
          <w:sz w:val="22"/>
          <w:szCs w:val="22"/>
          <w:highlight w:val="none"/>
        </w:rPr>
        <w:t>”的地方均被视为重要的技术指标性能要求或质量保证要求，投标方必须对此回答并完全满足这些要求，必须实质性响应，不能有负偏离，否则视为废标。</w:t>
      </w:r>
    </w:p>
    <w:p>
      <w:pPr>
        <w:numPr>
          <w:ilvl w:val="0"/>
          <w:numId w:val="7"/>
        </w:numPr>
        <w:spacing w:line="360" w:lineRule="auto"/>
        <w:ind w:right="-315" w:rightChars="-150"/>
        <w:rPr>
          <w:rFonts w:ascii="宋体" w:hAnsi="宋体"/>
          <w:sz w:val="22"/>
          <w:szCs w:val="22"/>
          <w:highlight w:val="none"/>
        </w:rPr>
      </w:pPr>
      <w:r>
        <w:rPr>
          <w:rFonts w:ascii="宋体" w:hAnsi="宋体" w:cs="Arial"/>
          <w:sz w:val="22"/>
          <w:szCs w:val="22"/>
          <w:highlight w:val="none"/>
        </w:rPr>
        <w:t>供应商如选用采购人参考品牌之外的产品须在技术偏离表中作出详细技术说明，并提供设备材料选择理由</w:t>
      </w:r>
      <w:r>
        <w:rPr>
          <w:rFonts w:hint="eastAsia" w:ascii="宋体" w:hAnsi="宋体" w:cs="Arial"/>
          <w:sz w:val="22"/>
          <w:szCs w:val="22"/>
          <w:highlight w:val="none"/>
        </w:rPr>
        <w:t>，所投产品需要业界公认知名品牌。</w:t>
      </w:r>
    </w:p>
    <w:p>
      <w:pPr>
        <w:numPr>
          <w:ilvl w:val="0"/>
          <w:numId w:val="7"/>
        </w:numPr>
        <w:spacing w:line="360" w:lineRule="auto"/>
        <w:ind w:right="-315" w:rightChars="-150"/>
        <w:rPr>
          <w:rFonts w:ascii="宋体" w:hAnsi="宋体"/>
          <w:sz w:val="22"/>
          <w:szCs w:val="22"/>
          <w:highlight w:val="none"/>
        </w:rPr>
      </w:pPr>
      <w:r>
        <w:rPr>
          <w:rFonts w:ascii="宋体" w:hAnsi="宋体"/>
          <w:sz w:val="22"/>
          <w:szCs w:val="22"/>
          <w:highlight w:val="none"/>
        </w:rPr>
        <w:t>本项目硬件系统须提供三年原厂商质保，软件系统提供原厂商1年免费软件升级服务和1年免费电话技术支持服务。</w:t>
      </w:r>
    </w:p>
    <w:p>
      <w:pPr>
        <w:numPr>
          <w:ilvl w:val="0"/>
          <w:numId w:val="7"/>
        </w:numPr>
        <w:spacing w:line="360" w:lineRule="auto"/>
        <w:ind w:right="-315" w:rightChars="-150"/>
        <w:rPr>
          <w:rFonts w:ascii="宋体" w:hAnsi="宋体"/>
          <w:sz w:val="22"/>
          <w:szCs w:val="22"/>
          <w:highlight w:val="none"/>
        </w:rPr>
      </w:pPr>
      <w:r>
        <w:rPr>
          <w:rFonts w:hint="eastAsia" w:ascii="宋体" w:hAnsi="宋体"/>
          <w:sz w:val="22"/>
          <w:szCs w:val="22"/>
          <w:highlight w:val="none"/>
        </w:rPr>
        <w:t>预中标供应商后承诺可以在预中标结果公示期（10天）结束前，提供投标型号的样机进行功能测试，完全满足才能进入合同签订流程，评审小组应按顺序推荐中标候选人，采购人需按推荐顺序确定中标供应商。若中标供应商中标后无法供货或所提供货物未能通过测试验收，在有效供应商家数充足且采购双方还未签订合同的前提下，可以由评审小组推荐中标候选人的下一位供应商顺位替代成为中标供应商。</w:t>
      </w:r>
    </w:p>
    <w:p>
      <w:pPr>
        <w:numPr>
          <w:ilvl w:val="0"/>
          <w:numId w:val="7"/>
        </w:numPr>
        <w:spacing w:line="360" w:lineRule="auto"/>
        <w:ind w:right="-315" w:rightChars="-150"/>
        <w:rPr>
          <w:rFonts w:ascii="宋体" w:hAnsi="宋体"/>
          <w:sz w:val="22"/>
          <w:szCs w:val="22"/>
          <w:highlight w:val="none"/>
        </w:rPr>
      </w:pPr>
      <w:r>
        <w:rPr>
          <w:rFonts w:ascii="宋体" w:hAnsi="宋体" w:cs="Arial"/>
          <w:sz w:val="22"/>
          <w:szCs w:val="22"/>
          <w:highlight w:val="none"/>
        </w:rPr>
        <w:t>招标文件的配置要求仅是本项目的关键技术要求，投标方需对整体集成方案的可行性负责，如在集成过程中出现无法实施或者缺少相关设备和配件的情况，投标方应免费予以更换或补充同档次或更高档次的相关设备和配件。</w:t>
      </w:r>
    </w:p>
    <w:p>
      <w:pPr>
        <w:numPr>
          <w:ilvl w:val="0"/>
          <w:numId w:val="7"/>
        </w:numPr>
        <w:spacing w:line="360" w:lineRule="auto"/>
        <w:ind w:right="-315" w:rightChars="-150"/>
        <w:rPr>
          <w:rFonts w:ascii="宋体" w:hAnsi="宋体"/>
          <w:sz w:val="22"/>
          <w:szCs w:val="22"/>
          <w:highlight w:val="none"/>
        </w:rPr>
      </w:pPr>
      <w:r>
        <w:rPr>
          <w:rFonts w:ascii="宋体" w:hAnsi="宋体" w:cs="Arial"/>
          <w:sz w:val="22"/>
          <w:szCs w:val="22"/>
          <w:highlight w:val="none"/>
        </w:rPr>
        <w:t>中标供应商需在货物到货时提供货物出厂合格证明，原装正品证明。如果供应商不能提供以上证明及质保函，则采购人可以按验收不予通过处理，并按</w:t>
      </w:r>
      <w:r>
        <w:rPr>
          <w:rFonts w:hint="eastAsia" w:ascii="宋体" w:hAnsi="宋体" w:cs="Arial"/>
          <w:sz w:val="22"/>
          <w:szCs w:val="22"/>
          <w:highlight w:val="none"/>
        </w:rPr>
        <w:t>相关</w:t>
      </w:r>
      <w:r>
        <w:rPr>
          <w:rFonts w:ascii="宋体" w:hAnsi="宋体" w:cs="Arial"/>
          <w:sz w:val="22"/>
          <w:szCs w:val="22"/>
          <w:highlight w:val="none"/>
        </w:rPr>
        <w:t>规定予以处罚。</w:t>
      </w:r>
    </w:p>
    <w:p>
      <w:pPr>
        <w:numPr>
          <w:ilvl w:val="0"/>
          <w:numId w:val="7"/>
        </w:numPr>
        <w:spacing w:line="360" w:lineRule="auto"/>
        <w:ind w:right="-315" w:rightChars="-150"/>
        <w:rPr>
          <w:rFonts w:ascii="宋体" w:hAnsi="宋体"/>
          <w:sz w:val="22"/>
          <w:szCs w:val="22"/>
          <w:highlight w:val="none"/>
        </w:rPr>
      </w:pPr>
      <w:r>
        <w:rPr>
          <w:rFonts w:hint="eastAsia" w:ascii="宋体" w:hAnsi="宋体"/>
          <w:sz w:val="22"/>
          <w:szCs w:val="22"/>
          <w:highlight w:val="none"/>
        </w:rPr>
        <w:t>供货时用户将对以上表格所列全部指标项进行验收，主要指标项必须达到指标要求，否则用户方有权拒签收，由此造成的损失由中标单位承担。</w:t>
      </w:r>
    </w:p>
    <w:p>
      <w:pPr>
        <w:spacing w:line="360" w:lineRule="auto"/>
        <w:rPr>
          <w:rFonts w:ascii="宋体" w:hAnsi="宋体" w:cs="宋体"/>
          <w:b/>
          <w:sz w:val="24"/>
          <w:highlight w:val="none"/>
          <w:u w:val="single"/>
        </w:rPr>
      </w:pPr>
    </w:p>
    <w:p>
      <w:pPr>
        <w:pStyle w:val="4"/>
        <w:keepNext/>
        <w:keepLines/>
        <w:pageBreakBefore w:val="0"/>
        <w:widowControl w:val="0"/>
        <w:numPr>
          <w:ilvl w:val="0"/>
          <w:numId w:val="0"/>
        </w:numPr>
        <w:tabs>
          <w:tab w:val="left" w:pos="540"/>
        </w:tabs>
        <w:kinsoku/>
        <w:wordWrap/>
        <w:overflowPunct/>
        <w:topLinePunct w:val="0"/>
        <w:autoSpaceDE/>
        <w:autoSpaceDN/>
        <w:bidi w:val="0"/>
        <w:adjustRightInd/>
        <w:snapToGrid/>
        <w:spacing w:line="400" w:lineRule="exact"/>
        <w:textAlignment w:val="auto"/>
        <w:rPr>
          <w:rFonts w:cs="Arial"/>
          <w:color w:val="auto"/>
          <w:highlight w:val="none"/>
        </w:rPr>
      </w:pPr>
      <w:r>
        <w:rPr>
          <w:rFonts w:hint="eastAsia" w:cs="Arial"/>
          <w:color w:val="auto"/>
          <w:highlight w:val="none"/>
          <w:lang w:eastAsia="zh-CN"/>
        </w:rPr>
        <w:t>四、</w:t>
      </w:r>
      <w:r>
        <w:rPr>
          <w:rFonts w:cs="Arial"/>
          <w:color w:val="auto"/>
          <w:highlight w:val="none"/>
        </w:rPr>
        <w:t>系统集成服务要求</w:t>
      </w:r>
    </w:p>
    <w:p>
      <w:pPr>
        <w:pStyle w:val="24"/>
        <w:numPr>
          <w:ilvl w:val="0"/>
          <w:numId w:val="8"/>
        </w:numPr>
        <w:spacing w:line="360" w:lineRule="auto"/>
        <w:ind w:firstLineChars="0"/>
        <w:jc w:val="left"/>
        <w:rPr>
          <w:rFonts w:ascii="宋体" w:hAnsi="宋体" w:cs="Arial"/>
          <w:sz w:val="22"/>
          <w:szCs w:val="22"/>
          <w:highlight w:val="none"/>
        </w:rPr>
      </w:pPr>
      <w:r>
        <w:rPr>
          <w:rFonts w:ascii="宋体" w:hAnsi="宋体" w:cs="Arial"/>
          <w:sz w:val="22"/>
          <w:szCs w:val="22"/>
          <w:highlight w:val="none"/>
        </w:rPr>
        <w:t>完整超融合平台的整体部署和调试。</w:t>
      </w:r>
    </w:p>
    <w:p>
      <w:pPr>
        <w:pStyle w:val="24"/>
        <w:numPr>
          <w:ilvl w:val="0"/>
          <w:numId w:val="8"/>
        </w:numPr>
        <w:spacing w:line="360" w:lineRule="auto"/>
        <w:ind w:firstLineChars="0"/>
        <w:jc w:val="left"/>
        <w:rPr>
          <w:rFonts w:ascii="宋体" w:hAnsi="宋体" w:cs="Arial"/>
          <w:sz w:val="22"/>
          <w:szCs w:val="22"/>
          <w:highlight w:val="none"/>
        </w:rPr>
      </w:pPr>
      <w:r>
        <w:rPr>
          <w:rFonts w:hint="eastAsia" w:ascii="宋体" w:hAnsi="宋体" w:cs="Arial"/>
          <w:sz w:val="22"/>
          <w:szCs w:val="22"/>
          <w:highlight w:val="none"/>
        </w:rPr>
        <w:t>虚拟化防护系统的</w:t>
      </w:r>
      <w:r>
        <w:rPr>
          <w:rFonts w:ascii="宋体" w:hAnsi="宋体" w:cs="Arial"/>
          <w:sz w:val="22"/>
          <w:szCs w:val="22"/>
          <w:highlight w:val="none"/>
        </w:rPr>
        <w:t>整体部署和调试</w:t>
      </w:r>
    </w:p>
    <w:p>
      <w:pPr>
        <w:pStyle w:val="24"/>
        <w:numPr>
          <w:ilvl w:val="0"/>
          <w:numId w:val="8"/>
        </w:numPr>
        <w:spacing w:line="360" w:lineRule="auto"/>
        <w:ind w:firstLineChars="0"/>
        <w:jc w:val="left"/>
        <w:rPr>
          <w:rFonts w:ascii="宋体" w:hAnsi="宋体" w:cs="Arial"/>
          <w:sz w:val="22"/>
          <w:szCs w:val="22"/>
          <w:highlight w:val="none"/>
        </w:rPr>
      </w:pPr>
      <w:r>
        <w:rPr>
          <w:rFonts w:ascii="宋体" w:hAnsi="宋体" w:cs="Arial"/>
          <w:sz w:val="22"/>
          <w:szCs w:val="22"/>
          <w:highlight w:val="none"/>
        </w:rPr>
        <w:t>将目前运行在</w:t>
      </w:r>
      <w:r>
        <w:rPr>
          <w:rFonts w:hint="eastAsia" w:ascii="宋体" w:hAnsi="宋体" w:cs="Arial"/>
          <w:sz w:val="22"/>
          <w:szCs w:val="22"/>
          <w:highlight w:val="none"/>
        </w:rPr>
        <w:t>虚拟化服务器</w:t>
      </w:r>
      <w:r>
        <w:rPr>
          <w:rFonts w:ascii="宋体" w:hAnsi="宋体" w:cs="Arial"/>
          <w:sz w:val="22"/>
          <w:szCs w:val="22"/>
          <w:highlight w:val="none"/>
        </w:rPr>
        <w:t>上的业务系统迁移到超融合平台上，并结合各业务系统的需求，按需分配CPU、内存和存储等资源，并进行优化。</w:t>
      </w:r>
    </w:p>
    <w:p>
      <w:pPr>
        <w:pStyle w:val="24"/>
        <w:numPr>
          <w:ilvl w:val="0"/>
          <w:numId w:val="8"/>
        </w:numPr>
        <w:spacing w:line="360" w:lineRule="auto"/>
        <w:ind w:firstLineChars="0"/>
        <w:jc w:val="left"/>
        <w:rPr>
          <w:rFonts w:ascii="宋体" w:hAnsi="宋体" w:cs="Arial"/>
          <w:sz w:val="22"/>
          <w:szCs w:val="22"/>
          <w:highlight w:val="none"/>
        </w:rPr>
      </w:pPr>
      <w:r>
        <w:rPr>
          <w:rFonts w:hint="eastAsia" w:ascii="宋体" w:hAnsi="宋体" w:cs="Arial"/>
          <w:sz w:val="22"/>
          <w:szCs w:val="22"/>
          <w:highlight w:val="none"/>
        </w:rPr>
        <w:t>原</w:t>
      </w:r>
      <w:r>
        <w:rPr>
          <w:rFonts w:ascii="宋体" w:hAnsi="宋体" w:cs="Arial"/>
          <w:sz w:val="22"/>
          <w:szCs w:val="22"/>
          <w:highlight w:val="none"/>
        </w:rPr>
        <w:t>业务系统迁移到超融合平台时，要求按客户指定的时间点进行割接，</w:t>
      </w:r>
      <w:r>
        <w:rPr>
          <w:rFonts w:ascii="宋体" w:hAnsi="宋体" w:cs="Arial"/>
          <w:bCs/>
          <w:sz w:val="22"/>
          <w:szCs w:val="22"/>
          <w:highlight w:val="none"/>
        </w:rPr>
        <w:t>同时系统割接时间&lt;10分钟，确保用户业务运行的持续性。</w:t>
      </w:r>
    </w:p>
    <w:p>
      <w:pPr>
        <w:pStyle w:val="24"/>
        <w:numPr>
          <w:ilvl w:val="0"/>
          <w:numId w:val="8"/>
        </w:numPr>
        <w:spacing w:line="360" w:lineRule="auto"/>
        <w:ind w:firstLineChars="0"/>
        <w:jc w:val="left"/>
        <w:rPr>
          <w:rFonts w:ascii="宋体" w:hAnsi="宋体" w:cs="Arial"/>
          <w:sz w:val="22"/>
          <w:szCs w:val="22"/>
          <w:highlight w:val="none"/>
        </w:rPr>
      </w:pPr>
      <w:r>
        <w:rPr>
          <w:rFonts w:hint="eastAsia" w:ascii="宋体" w:hAnsi="宋体" w:cs="Arial"/>
          <w:bCs/>
          <w:sz w:val="22"/>
          <w:szCs w:val="22"/>
          <w:highlight w:val="none"/>
        </w:rPr>
        <w:t>云对象存储的备份</w:t>
      </w:r>
      <w:r>
        <w:rPr>
          <w:rFonts w:ascii="宋体" w:hAnsi="宋体" w:cs="Arial"/>
          <w:sz w:val="22"/>
          <w:szCs w:val="22"/>
          <w:highlight w:val="none"/>
        </w:rPr>
        <w:t>部署和调试</w:t>
      </w:r>
    </w:p>
    <w:p>
      <w:pPr>
        <w:pStyle w:val="24"/>
        <w:numPr>
          <w:ilvl w:val="0"/>
          <w:numId w:val="8"/>
        </w:numPr>
        <w:spacing w:line="360" w:lineRule="auto"/>
        <w:ind w:firstLineChars="0"/>
        <w:jc w:val="left"/>
        <w:rPr>
          <w:rFonts w:ascii="宋体" w:hAnsi="宋体" w:cs="Arial"/>
          <w:sz w:val="22"/>
          <w:szCs w:val="22"/>
          <w:highlight w:val="none"/>
        </w:rPr>
      </w:pPr>
      <w:r>
        <w:rPr>
          <w:rFonts w:ascii="宋体" w:hAnsi="宋体" w:cs="Arial"/>
          <w:sz w:val="22"/>
          <w:szCs w:val="22"/>
          <w:highlight w:val="none"/>
        </w:rPr>
        <w:t>实现超融合平台上虚拟机与</w:t>
      </w:r>
      <w:r>
        <w:rPr>
          <w:rFonts w:hint="eastAsia" w:ascii="宋体" w:hAnsi="宋体" w:cs="Arial"/>
          <w:sz w:val="22"/>
          <w:szCs w:val="22"/>
          <w:highlight w:val="none"/>
        </w:rPr>
        <w:t>原有虚拟化池</w:t>
      </w:r>
      <w:r>
        <w:rPr>
          <w:rFonts w:ascii="宋体" w:hAnsi="宋体" w:cs="Arial"/>
          <w:sz w:val="22"/>
          <w:szCs w:val="22"/>
          <w:highlight w:val="none"/>
        </w:rPr>
        <w:t>之间的容灾，即当</w:t>
      </w:r>
      <w:r>
        <w:rPr>
          <w:rFonts w:hint="eastAsia" w:ascii="宋体" w:hAnsi="宋体" w:cs="Arial"/>
          <w:sz w:val="22"/>
          <w:szCs w:val="22"/>
          <w:highlight w:val="none"/>
        </w:rPr>
        <w:t>超融合</w:t>
      </w:r>
      <w:r>
        <w:rPr>
          <w:rFonts w:ascii="宋体" w:hAnsi="宋体" w:cs="Arial"/>
          <w:sz w:val="22"/>
          <w:szCs w:val="22"/>
          <w:highlight w:val="none"/>
        </w:rPr>
        <w:t>平台出现故障时，</w:t>
      </w:r>
      <w:r>
        <w:rPr>
          <w:rFonts w:hint="eastAsia" w:ascii="宋体" w:hAnsi="宋体" w:cs="Arial"/>
          <w:sz w:val="22"/>
          <w:szCs w:val="22"/>
          <w:highlight w:val="none"/>
        </w:rPr>
        <w:t>原虚拟化</w:t>
      </w:r>
      <w:r>
        <w:rPr>
          <w:rFonts w:ascii="宋体" w:hAnsi="宋体" w:cs="Arial"/>
          <w:sz w:val="22"/>
          <w:szCs w:val="22"/>
          <w:highlight w:val="none"/>
        </w:rPr>
        <w:t>容灾服务器可以应急接管系统，要求接管切换的时间&lt;10分钟。如服务方没有达到上述要求所造成的业务停顿和数据丢失，招标方有权要求服务方提供赔偿。</w:t>
      </w:r>
    </w:p>
    <w:p>
      <w:pPr>
        <w:pStyle w:val="24"/>
        <w:numPr>
          <w:ilvl w:val="0"/>
          <w:numId w:val="8"/>
        </w:numPr>
        <w:spacing w:line="360" w:lineRule="auto"/>
        <w:ind w:firstLineChars="0"/>
        <w:jc w:val="left"/>
        <w:rPr>
          <w:rFonts w:ascii="宋体" w:hAnsi="宋体" w:cs="Arial"/>
          <w:sz w:val="22"/>
          <w:szCs w:val="22"/>
          <w:highlight w:val="none"/>
        </w:rPr>
      </w:pPr>
      <w:r>
        <w:rPr>
          <w:rFonts w:ascii="宋体" w:hAnsi="宋体" w:cs="Arial"/>
          <w:sz w:val="22"/>
          <w:szCs w:val="22"/>
          <w:highlight w:val="none"/>
        </w:rPr>
        <w:t>凡涉及本项目集成所需的各种配件及软件均包括在系统集成里面，由中标单位负责，要求在用户方不再增加任何费用的情况下，实现系统功能要求。</w:t>
      </w:r>
    </w:p>
    <w:p>
      <w:pPr>
        <w:pStyle w:val="24"/>
        <w:numPr>
          <w:ilvl w:val="0"/>
          <w:numId w:val="8"/>
        </w:numPr>
        <w:spacing w:line="360" w:lineRule="auto"/>
        <w:ind w:firstLineChars="0"/>
        <w:jc w:val="left"/>
        <w:rPr>
          <w:rFonts w:ascii="宋体" w:hAnsi="宋体" w:cs="Arial"/>
          <w:sz w:val="22"/>
          <w:szCs w:val="22"/>
          <w:highlight w:val="none"/>
        </w:rPr>
      </w:pPr>
      <w:r>
        <w:rPr>
          <w:rFonts w:ascii="宋体" w:hAnsi="宋体" w:cs="Arial"/>
          <w:sz w:val="22"/>
          <w:szCs w:val="22"/>
          <w:highlight w:val="none"/>
        </w:rPr>
        <w:t>中标单位在项目实施过程中造成用户生产业务停止，或数据丢失，用户将按业务损失情况向中标单位进行索赔。</w:t>
      </w:r>
    </w:p>
    <w:p>
      <w:pPr>
        <w:pStyle w:val="24"/>
        <w:numPr>
          <w:ilvl w:val="0"/>
          <w:numId w:val="8"/>
        </w:numPr>
        <w:spacing w:line="360" w:lineRule="auto"/>
        <w:ind w:firstLineChars="0"/>
        <w:jc w:val="left"/>
        <w:rPr>
          <w:rFonts w:ascii="宋体" w:hAnsi="宋体" w:cs="Arial"/>
          <w:sz w:val="22"/>
          <w:szCs w:val="22"/>
          <w:highlight w:val="none"/>
        </w:rPr>
      </w:pPr>
      <w:r>
        <w:rPr>
          <w:rFonts w:hint="eastAsia" w:ascii="宋体" w:hAnsi="宋体" w:cs="Arial"/>
          <w:sz w:val="22"/>
          <w:szCs w:val="22"/>
          <w:highlight w:val="none"/>
        </w:rPr>
        <w:t>整套硬件系统必须满足本次不见面开标系统软件及原有公共资源平台的运行，如产生性能不足或不兼容，中标单位无条件更换更高配置，或无条件增加硬件配置。</w:t>
      </w:r>
    </w:p>
    <w:p>
      <w:pPr>
        <w:spacing w:line="360" w:lineRule="auto"/>
        <w:jc w:val="left"/>
        <w:rPr>
          <w:rFonts w:ascii="宋体" w:hAnsi="宋体" w:cs="Arial"/>
          <w:szCs w:val="21"/>
          <w:highlight w:val="none"/>
        </w:rPr>
      </w:pPr>
    </w:p>
    <w:p>
      <w:pPr>
        <w:pStyle w:val="4"/>
        <w:pageBreakBefore w:val="0"/>
        <w:widowControl w:val="0"/>
        <w:numPr>
          <w:ilvl w:val="0"/>
          <w:numId w:val="0"/>
        </w:numPr>
        <w:tabs>
          <w:tab w:val="left" w:pos="540"/>
        </w:tabs>
        <w:kinsoku/>
        <w:wordWrap/>
        <w:overflowPunct/>
        <w:topLinePunct w:val="0"/>
        <w:autoSpaceDE/>
        <w:autoSpaceDN/>
        <w:bidi w:val="0"/>
        <w:adjustRightInd/>
        <w:snapToGrid/>
        <w:spacing w:line="400" w:lineRule="exact"/>
        <w:textAlignment w:val="auto"/>
        <w:rPr>
          <w:rFonts w:cs="Arial"/>
          <w:color w:val="auto"/>
          <w:highlight w:val="none"/>
        </w:rPr>
      </w:pPr>
      <w:r>
        <w:rPr>
          <w:rFonts w:hint="eastAsia" w:cs="Arial"/>
          <w:color w:val="auto"/>
          <w:highlight w:val="none"/>
          <w:lang w:eastAsia="zh-CN"/>
        </w:rPr>
        <w:t>五、</w:t>
      </w:r>
      <w:r>
        <w:rPr>
          <w:rFonts w:cs="Arial"/>
          <w:color w:val="auto"/>
          <w:highlight w:val="none"/>
        </w:rPr>
        <w:t>售后服务要求</w:t>
      </w:r>
    </w:p>
    <w:p>
      <w:pPr>
        <w:pStyle w:val="24"/>
        <w:pageBreakBefore w:val="0"/>
        <w:widowControl w:val="0"/>
        <w:numPr>
          <w:ilvl w:val="0"/>
          <w:numId w:val="9"/>
        </w:numPr>
        <w:kinsoku/>
        <w:wordWrap/>
        <w:overflowPunct/>
        <w:topLinePunct w:val="0"/>
        <w:autoSpaceDE/>
        <w:autoSpaceDN/>
        <w:bidi w:val="0"/>
        <w:adjustRightInd/>
        <w:snapToGrid/>
        <w:spacing w:line="400" w:lineRule="exact"/>
        <w:ind w:firstLineChars="0"/>
        <w:jc w:val="left"/>
        <w:textAlignment w:val="auto"/>
        <w:rPr>
          <w:rFonts w:ascii="宋体" w:hAnsi="宋体" w:cs="Arial"/>
          <w:sz w:val="22"/>
          <w:szCs w:val="22"/>
          <w:highlight w:val="none"/>
        </w:rPr>
      </w:pPr>
      <w:r>
        <w:rPr>
          <w:rFonts w:ascii="宋体" w:hAnsi="宋体" w:cs="Arial"/>
          <w:sz w:val="22"/>
          <w:szCs w:val="22"/>
          <w:highlight w:val="none"/>
        </w:rPr>
        <w:t>核心业务系统全年停机时间&lt;15分钟，停机次数每年不超过1次。</w:t>
      </w:r>
    </w:p>
    <w:p>
      <w:pPr>
        <w:pStyle w:val="24"/>
        <w:numPr>
          <w:ilvl w:val="0"/>
          <w:numId w:val="9"/>
        </w:numPr>
        <w:spacing w:line="360" w:lineRule="auto"/>
        <w:ind w:firstLineChars="0"/>
        <w:jc w:val="left"/>
        <w:rPr>
          <w:rFonts w:ascii="宋体" w:hAnsi="宋体" w:cs="Arial"/>
          <w:sz w:val="22"/>
          <w:szCs w:val="22"/>
          <w:highlight w:val="none"/>
        </w:rPr>
      </w:pPr>
      <w:r>
        <w:rPr>
          <w:rFonts w:ascii="宋体" w:hAnsi="宋体" w:cs="Arial"/>
          <w:sz w:val="22"/>
          <w:szCs w:val="22"/>
          <w:highlight w:val="none"/>
        </w:rPr>
        <w:t>核心业务系统数据库丢失时间</w:t>
      </w:r>
      <w:r>
        <w:rPr>
          <w:rFonts w:hint="eastAsia" w:ascii="宋体" w:hAnsi="宋体" w:cs="Arial"/>
          <w:sz w:val="22"/>
          <w:szCs w:val="22"/>
          <w:highlight w:val="none"/>
        </w:rPr>
        <w:t>=</w:t>
      </w:r>
      <w:r>
        <w:rPr>
          <w:rFonts w:ascii="宋体" w:hAnsi="宋体" w:cs="Arial"/>
          <w:sz w:val="22"/>
          <w:szCs w:val="22"/>
          <w:highlight w:val="none"/>
        </w:rPr>
        <w:t>0。</w:t>
      </w:r>
    </w:p>
    <w:p>
      <w:pPr>
        <w:pStyle w:val="24"/>
        <w:numPr>
          <w:ilvl w:val="0"/>
          <w:numId w:val="9"/>
        </w:numPr>
        <w:spacing w:line="360" w:lineRule="auto"/>
        <w:ind w:firstLineChars="0"/>
        <w:jc w:val="left"/>
        <w:rPr>
          <w:rFonts w:ascii="宋体" w:hAnsi="宋体" w:cs="Arial"/>
          <w:sz w:val="22"/>
          <w:szCs w:val="22"/>
          <w:highlight w:val="none"/>
        </w:rPr>
      </w:pPr>
      <w:r>
        <w:rPr>
          <w:rFonts w:ascii="宋体" w:hAnsi="宋体" w:cs="Arial"/>
          <w:sz w:val="22"/>
          <w:szCs w:val="22"/>
          <w:highlight w:val="none"/>
        </w:rPr>
        <w:t>如服务方没有达到上述要求所造成的业务停顿和数据丢失，招标方有权要求服务方</w:t>
      </w:r>
      <w:r>
        <w:rPr>
          <w:rFonts w:hint="eastAsia" w:ascii="宋体" w:hAnsi="宋体" w:cs="Arial"/>
          <w:sz w:val="22"/>
          <w:szCs w:val="22"/>
          <w:highlight w:val="none"/>
        </w:rPr>
        <w:t>根据损失情况</w:t>
      </w:r>
      <w:r>
        <w:rPr>
          <w:rFonts w:ascii="宋体" w:hAnsi="宋体" w:cs="Arial"/>
          <w:sz w:val="22"/>
          <w:szCs w:val="22"/>
          <w:highlight w:val="none"/>
        </w:rPr>
        <w:t>提供赔偿。</w:t>
      </w:r>
    </w:p>
    <w:p>
      <w:pPr>
        <w:pStyle w:val="24"/>
        <w:numPr>
          <w:ilvl w:val="0"/>
          <w:numId w:val="9"/>
        </w:numPr>
        <w:spacing w:line="360" w:lineRule="auto"/>
        <w:ind w:firstLineChars="0"/>
        <w:jc w:val="left"/>
        <w:rPr>
          <w:rFonts w:ascii="宋体" w:hAnsi="宋体" w:cs="Arial"/>
          <w:sz w:val="22"/>
          <w:szCs w:val="22"/>
          <w:highlight w:val="none"/>
        </w:rPr>
      </w:pPr>
      <w:r>
        <w:rPr>
          <w:rFonts w:ascii="宋体" w:hAnsi="宋体" w:cs="Arial"/>
          <w:sz w:val="22"/>
          <w:szCs w:val="22"/>
          <w:highlight w:val="none"/>
        </w:rPr>
        <w:t xml:space="preserve">电话响应时间&lt;10分钟，现场服务响应时间&lt; </w:t>
      </w:r>
      <w:r>
        <w:rPr>
          <w:rFonts w:hint="eastAsia" w:ascii="宋体" w:hAnsi="宋体" w:cs="Arial"/>
          <w:sz w:val="22"/>
          <w:szCs w:val="22"/>
          <w:highlight w:val="none"/>
        </w:rPr>
        <w:t>1</w:t>
      </w:r>
      <w:r>
        <w:rPr>
          <w:rFonts w:ascii="宋体" w:hAnsi="宋体" w:cs="Arial"/>
          <w:sz w:val="22"/>
          <w:szCs w:val="22"/>
          <w:highlight w:val="none"/>
        </w:rPr>
        <w:t>小时。</w:t>
      </w:r>
    </w:p>
    <w:p>
      <w:pPr>
        <w:pStyle w:val="24"/>
        <w:numPr>
          <w:ilvl w:val="0"/>
          <w:numId w:val="9"/>
        </w:numPr>
        <w:spacing w:line="360" w:lineRule="auto"/>
        <w:ind w:firstLineChars="0"/>
        <w:jc w:val="left"/>
        <w:rPr>
          <w:rFonts w:ascii="宋体" w:hAnsi="宋体" w:cs="Arial"/>
          <w:sz w:val="22"/>
          <w:szCs w:val="22"/>
          <w:highlight w:val="none"/>
        </w:rPr>
      </w:pPr>
      <w:r>
        <w:rPr>
          <w:rFonts w:ascii="宋体" w:hAnsi="宋体" w:cs="Arial"/>
          <w:sz w:val="22"/>
          <w:szCs w:val="22"/>
          <w:highlight w:val="none"/>
        </w:rPr>
        <w:t>结合系统运行情况，提供现场应急备件（如：硬盘、电源、等），备件要求放在用户指定机房中。</w:t>
      </w:r>
    </w:p>
    <w:p>
      <w:pPr>
        <w:pStyle w:val="24"/>
        <w:numPr>
          <w:ilvl w:val="0"/>
          <w:numId w:val="9"/>
        </w:numPr>
        <w:spacing w:line="360" w:lineRule="auto"/>
        <w:ind w:firstLineChars="0"/>
        <w:jc w:val="left"/>
        <w:rPr>
          <w:rFonts w:ascii="宋体" w:hAnsi="宋体" w:cs="Arial"/>
          <w:sz w:val="22"/>
          <w:szCs w:val="22"/>
          <w:highlight w:val="none"/>
        </w:rPr>
      </w:pPr>
      <w:r>
        <w:rPr>
          <w:rFonts w:ascii="宋体" w:hAnsi="宋体" w:cs="Arial"/>
          <w:sz w:val="22"/>
          <w:szCs w:val="22"/>
          <w:highlight w:val="none"/>
        </w:rPr>
        <w:t>每年提供至少2次业务容灾系统演练服务。</w:t>
      </w:r>
    </w:p>
    <w:p>
      <w:pPr>
        <w:pStyle w:val="24"/>
        <w:numPr>
          <w:ilvl w:val="0"/>
          <w:numId w:val="9"/>
        </w:numPr>
        <w:spacing w:line="360" w:lineRule="auto"/>
        <w:ind w:firstLineChars="0"/>
        <w:jc w:val="left"/>
        <w:rPr>
          <w:rFonts w:ascii="宋体" w:hAnsi="宋体" w:cs="Arial"/>
          <w:sz w:val="22"/>
          <w:szCs w:val="22"/>
          <w:highlight w:val="none"/>
        </w:rPr>
      </w:pPr>
      <w:r>
        <w:rPr>
          <w:rFonts w:hint="eastAsia" w:ascii="宋体" w:hAnsi="宋体" w:cs="Arial"/>
          <w:sz w:val="22"/>
          <w:szCs w:val="22"/>
          <w:highlight w:val="none"/>
        </w:rPr>
        <w:t>提供不见面开标系统除软件操作外的整体培训，并提供培训手册。</w:t>
      </w:r>
    </w:p>
    <w:p>
      <w:pPr>
        <w:pStyle w:val="24"/>
        <w:spacing w:line="360" w:lineRule="auto"/>
        <w:ind w:left="360" w:firstLine="0" w:firstLineChars="0"/>
        <w:jc w:val="left"/>
        <w:rPr>
          <w:rFonts w:hint="eastAsia" w:ascii="宋体" w:hAnsi="宋体" w:cs="Arial"/>
          <w:sz w:val="22"/>
          <w:szCs w:val="22"/>
          <w:highlight w:val="none"/>
        </w:rPr>
      </w:pPr>
      <w:r>
        <w:rPr>
          <w:rFonts w:hint="eastAsia" w:ascii="宋体" w:hAnsi="宋体" w:cs="Arial"/>
          <w:sz w:val="22"/>
          <w:szCs w:val="22"/>
          <w:highlight w:val="none"/>
        </w:rPr>
        <w:t>除采购文件已明确的推荐品牌外，欢迎其他能满足本项目技术需求且性能与所明确推荐品牌相当的产品参加。</w:t>
      </w:r>
    </w:p>
    <w:p>
      <w:pPr>
        <w:pStyle w:val="24"/>
        <w:spacing w:line="360" w:lineRule="auto"/>
        <w:ind w:left="360" w:firstLine="0" w:firstLineChars="0"/>
        <w:jc w:val="left"/>
        <w:rPr>
          <w:rFonts w:hint="eastAsia" w:ascii="宋体" w:hAnsi="宋体" w:cs="Arial"/>
          <w:sz w:val="22"/>
          <w:szCs w:val="22"/>
          <w:highlight w:val="none"/>
          <w:lang w:val="zh-CN"/>
        </w:rPr>
      </w:pPr>
    </w:p>
    <w:p>
      <w:p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lang w:eastAsia="zh-CN"/>
        </w:rPr>
        <w:t>六、</w:t>
      </w:r>
      <w:r>
        <w:rPr>
          <w:rFonts w:hint="eastAsia" w:asciiTheme="minorEastAsia" w:hAnsiTheme="minorEastAsia" w:eastAsiaTheme="minorEastAsia"/>
          <w:b/>
          <w:sz w:val="28"/>
          <w:szCs w:val="28"/>
          <w:highlight w:val="none"/>
        </w:rPr>
        <w:t>商务需求</w:t>
      </w:r>
    </w:p>
    <w:p>
      <w:pPr>
        <w:spacing w:line="360" w:lineRule="auto"/>
        <w:ind w:right="-315" w:rightChars="-150"/>
        <w:rPr>
          <w:rFonts w:ascii="宋体" w:hAnsi="宋体"/>
          <w:sz w:val="22"/>
          <w:szCs w:val="22"/>
          <w:highlight w:val="none"/>
        </w:rPr>
      </w:pPr>
      <w:r>
        <w:rPr>
          <w:rFonts w:hint="eastAsia" w:asciiTheme="minorEastAsia" w:hAnsiTheme="minorEastAsia" w:eastAsiaTheme="minorEastAsia"/>
          <w:b/>
          <w:sz w:val="24"/>
          <w:highlight w:val="none"/>
        </w:rPr>
        <w:t>1、质保期：</w:t>
      </w:r>
      <w:r>
        <w:rPr>
          <w:rFonts w:ascii="宋体" w:hAnsi="宋体"/>
          <w:sz w:val="22"/>
          <w:szCs w:val="22"/>
          <w:highlight w:val="none"/>
        </w:rPr>
        <w:t>本项目硬件系统须提供三年原厂商质保，软件系统提供原厂商1年免费软件升级服务和1年免费电话技术支持服务。</w:t>
      </w:r>
    </w:p>
    <w:p>
      <w:pPr>
        <w:pStyle w:val="10"/>
        <w:snapToGrid w:val="0"/>
        <w:spacing w:line="360" w:lineRule="auto"/>
        <w:outlineLvl w:val="0"/>
        <w:rPr>
          <w:rFonts w:asciiTheme="minorEastAsia" w:hAnsiTheme="minorEastAsia" w:eastAsiaTheme="minorEastAsia"/>
          <w:kern w:val="0"/>
          <w:sz w:val="24"/>
          <w:highlight w:val="none"/>
        </w:rPr>
      </w:pPr>
      <w:r>
        <w:rPr>
          <w:rFonts w:hint="eastAsia" w:asciiTheme="minorEastAsia" w:hAnsiTheme="minorEastAsia" w:eastAsiaTheme="minorEastAsia"/>
          <w:b/>
          <w:kern w:val="0"/>
          <w:sz w:val="24"/>
          <w:highlight w:val="none"/>
        </w:rPr>
        <w:t>2、交货时间：</w:t>
      </w:r>
      <w:r>
        <w:rPr>
          <w:rFonts w:hAnsi="宋体" w:cs="Arial"/>
          <w:sz w:val="22"/>
          <w:szCs w:val="22"/>
          <w:highlight w:val="none"/>
        </w:rPr>
        <w:t>合同签订后30个工作日内完成项目安装实施</w:t>
      </w:r>
      <w:r>
        <w:rPr>
          <w:rFonts w:hint="eastAsia" w:asciiTheme="minorEastAsia" w:hAnsiTheme="minorEastAsia" w:eastAsiaTheme="minorEastAsia"/>
          <w:kern w:val="0"/>
          <w:sz w:val="24"/>
          <w:highlight w:val="none"/>
        </w:rPr>
        <w:t>。</w:t>
      </w:r>
    </w:p>
    <w:p>
      <w:pPr>
        <w:pStyle w:val="10"/>
        <w:snapToGrid w:val="0"/>
        <w:spacing w:line="360" w:lineRule="auto"/>
        <w:outlineLvl w:val="0"/>
        <w:rPr>
          <w:rFonts w:hint="eastAsia" w:hAnsi="宋体" w:cs="Arial"/>
          <w:sz w:val="22"/>
          <w:szCs w:val="22"/>
          <w:highlight w:val="none"/>
        </w:rPr>
      </w:pPr>
      <w:r>
        <w:rPr>
          <w:rFonts w:hint="eastAsia" w:asciiTheme="minorEastAsia" w:hAnsiTheme="minorEastAsia" w:eastAsiaTheme="minorEastAsia"/>
          <w:b/>
          <w:kern w:val="0"/>
          <w:sz w:val="24"/>
          <w:highlight w:val="none"/>
        </w:rPr>
        <w:t>3、</w:t>
      </w:r>
      <w:r>
        <w:rPr>
          <w:rFonts w:hint="eastAsia" w:asciiTheme="minorEastAsia" w:hAnsiTheme="minorEastAsia" w:eastAsiaTheme="minorEastAsia"/>
          <w:b/>
          <w:sz w:val="24"/>
          <w:highlight w:val="none"/>
        </w:rPr>
        <w:t>付款条件及履约保证金：</w:t>
      </w:r>
      <w:r>
        <w:rPr>
          <w:rFonts w:hint="eastAsia" w:hAnsi="宋体" w:cs="Arial"/>
          <w:sz w:val="22"/>
          <w:szCs w:val="22"/>
          <w:highlight w:val="none"/>
        </w:rPr>
        <w:t>合同签订前，中标供应商需向采购</w:t>
      </w:r>
      <w:r>
        <w:rPr>
          <w:rFonts w:hint="eastAsia" w:hAnsi="宋体" w:cs="Arial"/>
          <w:sz w:val="22"/>
          <w:szCs w:val="22"/>
          <w:highlight w:val="none"/>
          <w:lang w:val="en-US" w:eastAsia="zh-CN"/>
        </w:rPr>
        <w:t>人</w:t>
      </w:r>
      <w:r>
        <w:rPr>
          <w:rFonts w:hint="eastAsia" w:hAnsi="宋体" w:cs="Arial"/>
          <w:sz w:val="22"/>
          <w:szCs w:val="22"/>
          <w:highlight w:val="none"/>
        </w:rPr>
        <w:t>递交中标金额10%的履约保证金。合同签订后设备到货初验支付货款总价60%，</w:t>
      </w:r>
      <w:r>
        <w:rPr>
          <w:rFonts w:hAnsi="宋体" w:cs="Arial"/>
          <w:sz w:val="22"/>
          <w:szCs w:val="22"/>
          <w:highlight w:val="none"/>
        </w:rPr>
        <w:t>设备安装完毕，并验收合格后，</w:t>
      </w:r>
      <w:r>
        <w:rPr>
          <w:rFonts w:hint="eastAsia" w:hAnsi="宋体" w:cs="Arial"/>
          <w:sz w:val="22"/>
          <w:szCs w:val="22"/>
          <w:highlight w:val="none"/>
          <w:lang w:val="en-US" w:eastAsia="zh-CN"/>
        </w:rPr>
        <w:t>采购人</w:t>
      </w:r>
      <w:r>
        <w:rPr>
          <w:rFonts w:hAnsi="宋体" w:cs="Arial"/>
          <w:sz w:val="22"/>
          <w:szCs w:val="22"/>
          <w:highlight w:val="none"/>
        </w:rPr>
        <w:t>在30日内支付总价的</w:t>
      </w:r>
      <w:r>
        <w:rPr>
          <w:rFonts w:hint="eastAsia" w:hAnsi="宋体" w:cs="Arial"/>
          <w:sz w:val="22"/>
          <w:szCs w:val="22"/>
          <w:highlight w:val="none"/>
        </w:rPr>
        <w:t>20</w:t>
      </w:r>
      <w:r>
        <w:rPr>
          <w:rFonts w:hAnsi="宋体" w:cs="Arial"/>
          <w:sz w:val="22"/>
          <w:szCs w:val="22"/>
          <w:highlight w:val="none"/>
        </w:rPr>
        <w:t>%</w:t>
      </w:r>
      <w:r>
        <w:rPr>
          <w:rFonts w:hint="eastAsia" w:hAnsi="宋体" w:cs="Arial"/>
          <w:sz w:val="22"/>
          <w:szCs w:val="22"/>
          <w:highlight w:val="none"/>
        </w:rPr>
        <w:t>，不见面开标大厅软件系统测试结束后7个工作日支付剩余20%</w:t>
      </w:r>
      <w:r>
        <w:rPr>
          <w:rFonts w:hAnsi="宋体" w:cs="Arial"/>
          <w:sz w:val="22"/>
          <w:szCs w:val="22"/>
          <w:highlight w:val="none"/>
        </w:rPr>
        <w:t>。</w:t>
      </w:r>
      <w:r>
        <w:rPr>
          <w:rFonts w:hint="eastAsia" w:asciiTheme="minorEastAsia" w:hAnsiTheme="minorEastAsia" w:eastAsiaTheme="minorEastAsia"/>
          <w:kern w:val="0"/>
          <w:sz w:val="24"/>
          <w:highlight w:val="none"/>
        </w:rPr>
        <w:t>履约保证金转为质量保证金，10%的</w:t>
      </w:r>
      <w:r>
        <w:rPr>
          <w:rFonts w:hint="eastAsia" w:hAnsi="宋体" w:cs="Arial"/>
          <w:sz w:val="22"/>
          <w:szCs w:val="22"/>
          <w:highlight w:val="none"/>
        </w:rPr>
        <w:t>质量保证金在设备系统正常运行的前提下，以第一年5%，第二年3%，第三年2%的形式支付。</w:t>
      </w:r>
    </w:p>
    <w:p>
      <w:pPr>
        <w:pStyle w:val="10"/>
        <w:snapToGrid w:val="0"/>
        <w:spacing w:line="360" w:lineRule="auto"/>
        <w:outlineLvl w:val="0"/>
        <w:rPr>
          <w:rFonts w:hint="eastAsia" w:hAnsi="宋体" w:cs="Arial"/>
          <w:sz w:val="22"/>
          <w:szCs w:val="22"/>
          <w:highlight w:val="none"/>
        </w:rPr>
      </w:pPr>
    </w:p>
    <w:p>
      <w:pPr>
        <w:pStyle w:val="10"/>
        <w:snapToGrid w:val="0"/>
        <w:spacing w:line="360" w:lineRule="auto"/>
        <w:outlineLvl w:val="0"/>
        <w:rPr>
          <w:rFonts w:hint="eastAsia" w:hAnsi="宋体" w:cs="Arial"/>
          <w:sz w:val="22"/>
          <w:szCs w:val="22"/>
          <w:highlight w:val="none"/>
        </w:rPr>
      </w:pPr>
    </w:p>
    <w:p>
      <w:pPr>
        <w:pStyle w:val="10"/>
        <w:snapToGrid w:val="0"/>
        <w:spacing w:line="360" w:lineRule="auto"/>
        <w:outlineLvl w:val="0"/>
        <w:rPr>
          <w:rFonts w:hint="eastAsia" w:hAnsi="宋体" w:cs="Arial"/>
          <w:sz w:val="22"/>
          <w:szCs w:val="22"/>
          <w:highlight w:val="none"/>
        </w:rPr>
      </w:pPr>
    </w:p>
    <w:p>
      <w:pPr>
        <w:pStyle w:val="10"/>
        <w:snapToGrid w:val="0"/>
        <w:spacing w:line="360" w:lineRule="auto"/>
        <w:outlineLvl w:val="0"/>
        <w:rPr>
          <w:rFonts w:hint="eastAsia" w:hAnsi="宋体" w:cs="Arial"/>
          <w:sz w:val="22"/>
          <w:szCs w:val="22"/>
          <w:highlight w:val="none"/>
        </w:rPr>
      </w:pPr>
    </w:p>
    <w:p>
      <w:pPr>
        <w:pStyle w:val="10"/>
        <w:snapToGrid w:val="0"/>
        <w:spacing w:line="360" w:lineRule="auto"/>
        <w:outlineLvl w:val="0"/>
        <w:rPr>
          <w:rFonts w:hint="eastAsia" w:hAnsi="宋体" w:cs="Arial"/>
          <w:sz w:val="22"/>
          <w:szCs w:val="22"/>
          <w:highlight w:val="none"/>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政府采购合同主要条款指引</w:t>
      </w:r>
    </w:p>
    <w:p>
      <w:pPr>
        <w:widowControl/>
        <w:shd w:val="clear" w:color="auto" w:fill="FFFFFF"/>
        <w:spacing w:after="150" w:line="400" w:lineRule="exact"/>
        <w:ind w:firstLine="480"/>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以下为</w:t>
      </w:r>
      <w:r>
        <w:rPr>
          <w:rFonts w:hint="eastAsia" w:asciiTheme="minorEastAsia" w:hAnsiTheme="minorEastAsia" w:eastAsiaTheme="minorEastAsia"/>
          <w:color w:val="000000" w:themeColor="text1"/>
          <w:sz w:val="24"/>
          <w:highlight w:val="none"/>
          <w14:textFill>
            <w14:solidFill>
              <w14:schemeClr w14:val="tx1"/>
            </w14:solidFill>
          </w14:textFill>
        </w:rPr>
        <w:t>中标</w:t>
      </w:r>
      <w:r>
        <w:rPr>
          <w:rFonts w:asciiTheme="minorEastAsia" w:hAnsiTheme="minorEastAsia" w:eastAsiaTheme="minorEastAsia"/>
          <w:color w:val="000000" w:themeColor="text1"/>
          <w:sz w:val="24"/>
          <w:highlight w:val="none"/>
          <w14:textFill>
            <w14:solidFill>
              <w14:schemeClr w14:val="tx1"/>
            </w14:solidFill>
          </w14:textFill>
        </w:rPr>
        <w:t>后签定本项目合同的通用条款，</w:t>
      </w:r>
      <w:r>
        <w:rPr>
          <w:rFonts w:hint="eastAsia" w:asciiTheme="minorEastAsia" w:hAnsiTheme="minorEastAsia" w:eastAsiaTheme="minorEastAsia"/>
          <w:color w:val="000000" w:themeColor="text1"/>
          <w:sz w:val="24"/>
          <w:highlight w:val="none"/>
          <w14:textFill>
            <w14:solidFill>
              <w14:schemeClr w14:val="tx1"/>
            </w14:solidFill>
          </w14:textFill>
        </w:rPr>
        <w:t>中标供应商</w:t>
      </w:r>
      <w:r>
        <w:rPr>
          <w:rFonts w:asciiTheme="minorEastAsia" w:hAnsiTheme="minorEastAsia" w:eastAsiaTheme="minorEastAsia"/>
          <w:color w:val="000000" w:themeColor="text1"/>
          <w:sz w:val="24"/>
          <w:highlight w:val="none"/>
          <w14:textFill>
            <w14:solidFill>
              <w14:schemeClr w14:val="tx1"/>
            </w14:solidFill>
          </w14:textFill>
        </w:rPr>
        <w:t>不得提出实质性的修改，关于专用条款将由采购人与</w:t>
      </w:r>
      <w:r>
        <w:rPr>
          <w:rFonts w:hint="eastAsia" w:asciiTheme="minorEastAsia" w:hAnsiTheme="minorEastAsia" w:eastAsiaTheme="minorEastAsia"/>
          <w:color w:val="000000" w:themeColor="text1"/>
          <w:sz w:val="24"/>
          <w:highlight w:val="none"/>
          <w14:textFill>
            <w14:solidFill>
              <w14:schemeClr w14:val="tx1"/>
            </w14:solidFill>
          </w14:textFill>
        </w:rPr>
        <w:t>中标供应商</w:t>
      </w:r>
      <w:r>
        <w:rPr>
          <w:rFonts w:asciiTheme="minorEastAsia" w:hAnsiTheme="minorEastAsia" w:eastAsiaTheme="minorEastAsia"/>
          <w:color w:val="000000" w:themeColor="text1"/>
          <w:sz w:val="24"/>
          <w:highlight w:val="none"/>
          <w14:textFill>
            <w14:solidFill>
              <w14:schemeClr w14:val="tx1"/>
            </w14:solidFill>
          </w14:textFill>
        </w:rPr>
        <w:t>结合本项目具体情况协商后签订。</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项目名称：                                       项目编号：</w:t>
      </w:r>
    </w:p>
    <w:p>
      <w:pPr>
        <w:pStyle w:val="10"/>
        <w:snapToGrid w:val="0"/>
        <w:spacing w:before="120" w:after="120" w:line="4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甲方：（</w:t>
      </w:r>
      <w:r>
        <w:rPr>
          <w:rFonts w:hint="eastAsia" w:hAnsi="宋体"/>
          <w:color w:val="000000" w:themeColor="text1"/>
          <w:sz w:val="24"/>
          <w:highlight w:val="none"/>
          <w14:textFill>
            <w14:solidFill>
              <w14:schemeClr w14:val="tx1"/>
            </w14:solidFill>
          </w14:textFill>
        </w:rPr>
        <w:t>采购单位</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                              </w:t>
      </w:r>
    </w:p>
    <w:p>
      <w:pPr>
        <w:pStyle w:val="10"/>
        <w:snapToGrid w:val="0"/>
        <w:spacing w:before="120" w:after="120" w:line="4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w:t>
      </w:r>
      <w:r>
        <w:rPr>
          <w:rFonts w:hint="eastAsia" w:hAnsi="宋体"/>
          <w:color w:val="000000" w:themeColor="text1"/>
          <w:sz w:val="24"/>
          <w:highlight w:val="none"/>
          <w14:textFill>
            <w14:solidFill>
              <w14:schemeClr w14:val="tx1"/>
            </w14:solidFill>
          </w14:textFill>
        </w:rPr>
        <w:t>中标供应商</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甲、乙双方根据</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(采购组织机构名称）</w:t>
      </w:r>
      <w:r>
        <w:rPr>
          <w:rFonts w:asciiTheme="minorEastAsia" w:hAnsiTheme="minorEastAsia" w:eastAsiaTheme="minorEastAsia"/>
          <w:color w:val="000000" w:themeColor="text1"/>
          <w:sz w:val="24"/>
          <w:highlight w:val="none"/>
          <w14:textFill>
            <w14:solidFill>
              <w14:schemeClr w14:val="tx1"/>
            </w14:solidFill>
          </w14:textFill>
        </w:rPr>
        <w:t>关于</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单位</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项目公开招标的结果，签署本合同。</w:t>
      </w:r>
    </w:p>
    <w:p>
      <w:pPr>
        <w:spacing w:line="400" w:lineRule="exact"/>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 xml:space="preserve">一、合同文件： </w:t>
      </w:r>
    </w:p>
    <w:p>
      <w:pPr>
        <w:spacing w:line="400" w:lineRule="exact"/>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1.合同条款。</w:t>
      </w:r>
    </w:p>
    <w:p>
      <w:pPr>
        <w:spacing w:line="400" w:lineRule="exact"/>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2.中标通知书。</w:t>
      </w:r>
    </w:p>
    <w:p>
      <w:pPr>
        <w:spacing w:line="400" w:lineRule="exact"/>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3.更正补充文件。</w:t>
      </w:r>
    </w:p>
    <w:p>
      <w:pPr>
        <w:spacing w:line="400" w:lineRule="exact"/>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4.招标文件。</w:t>
      </w:r>
    </w:p>
    <w:p>
      <w:pPr>
        <w:spacing w:line="400" w:lineRule="exact"/>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5.中标供应商投标文件。</w:t>
      </w:r>
    </w:p>
    <w:p>
      <w:pPr>
        <w:spacing w:line="400" w:lineRule="exact"/>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6.其他。</w:t>
      </w:r>
    </w:p>
    <w:p>
      <w:pPr>
        <w:pStyle w:val="10"/>
        <w:snapToGrid w:val="0"/>
        <w:spacing w:line="400" w:lineRule="exact"/>
        <w:ind w:firstLine="480" w:firstLineChars="200"/>
        <w:rPr>
          <w:rFonts w:hAnsi="Times New Roman"/>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w:t>
      </w:r>
      <w:r>
        <w:rPr>
          <w:rFonts w:asciiTheme="minorEastAsia" w:hAnsiTheme="minorEastAsia" w:eastAsiaTheme="minorEastAsia"/>
          <w:b/>
          <w:color w:val="000000" w:themeColor="text1"/>
          <w:sz w:val="24"/>
          <w:highlight w:val="none"/>
          <w14:textFill>
            <w14:solidFill>
              <w14:schemeClr w14:val="tx1"/>
            </w14:solidFill>
          </w14:textFill>
        </w:rPr>
        <w:t>、货物内容</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 货物名称：</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 型号规格：</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 技术参数：</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数量（单位）：</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w:t>
      </w:r>
      <w:r>
        <w:rPr>
          <w:rFonts w:asciiTheme="minorEastAsia" w:hAnsiTheme="minorEastAsia" w:eastAsiaTheme="minorEastAsia"/>
          <w:b/>
          <w:color w:val="000000" w:themeColor="text1"/>
          <w:sz w:val="24"/>
          <w:highlight w:val="none"/>
          <w14:textFill>
            <w14:solidFill>
              <w14:schemeClr w14:val="tx1"/>
            </w14:solidFill>
          </w14:textFill>
        </w:rPr>
        <w:t>、合同金额</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 本合同金额为（大写）：____________________________________元（￥_______________元）人民币。</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w:t>
      </w:r>
      <w:r>
        <w:rPr>
          <w:rFonts w:asciiTheme="minorEastAsia" w:hAnsiTheme="minorEastAsia" w:eastAsiaTheme="minorEastAsia"/>
          <w:b/>
          <w:color w:val="000000" w:themeColor="text1"/>
          <w:sz w:val="24"/>
          <w:highlight w:val="none"/>
          <w14:textFill>
            <w14:solidFill>
              <w14:schemeClr w14:val="tx1"/>
            </w14:solidFill>
          </w14:textFill>
        </w:rPr>
        <w:t>、技术资料</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乙方应按招标文件规定的时间向甲方提供使用货物的有关技术资料。</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spacing w:before="120" w:after="120" w:line="400" w:lineRule="exact"/>
        <w:ind w:left="412" w:hanging="412" w:hangingChars="17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五</w:t>
      </w:r>
      <w:r>
        <w:rPr>
          <w:rFonts w:asciiTheme="minorEastAsia" w:hAnsiTheme="minorEastAsia" w:eastAsiaTheme="minorEastAsia"/>
          <w:b/>
          <w:color w:val="000000" w:themeColor="text1"/>
          <w:sz w:val="24"/>
          <w:highlight w:val="none"/>
          <w14:textFill>
            <w14:solidFill>
              <w14:schemeClr w14:val="tx1"/>
            </w14:solidFill>
          </w14:textFill>
        </w:rPr>
        <w:t>、知识产权</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乙方应保证所提供的货物或其任何一部分均不会侵犯任何第三方的知识产权。</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2.若侵犯,由乙方赔偿甲方因此遭受的损失（包括但不限于应对及追偿过程中所支付的律师费、差旅费、诉讼费、保全费、鉴定费、评估费等）。</w:t>
      </w:r>
    </w:p>
    <w:p>
      <w:pPr>
        <w:pStyle w:val="10"/>
        <w:snapToGrid w:val="0"/>
        <w:spacing w:before="120" w:after="120" w:line="400" w:lineRule="exact"/>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六</w:t>
      </w:r>
      <w:r>
        <w:rPr>
          <w:rFonts w:asciiTheme="minorEastAsia" w:hAnsiTheme="minorEastAsia" w:eastAsiaTheme="minorEastAsia"/>
          <w:b/>
          <w:color w:val="000000" w:themeColor="text1"/>
          <w:sz w:val="24"/>
          <w:highlight w:val="none"/>
          <w14:textFill>
            <w14:solidFill>
              <w14:schemeClr w14:val="tx1"/>
            </w14:solidFill>
          </w14:textFill>
        </w:rPr>
        <w:t>、产权担保</w:t>
      </w:r>
    </w:p>
    <w:p>
      <w:pPr>
        <w:pStyle w:val="10"/>
        <w:snapToGrid w:val="0"/>
        <w:spacing w:before="120" w:after="120" w:line="400" w:lineRule="exact"/>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乙方保证所交付的货物的所有权完全属于乙方且无任何抵押、查封等产权瑕疵。</w:t>
      </w:r>
    </w:p>
    <w:p>
      <w:pPr>
        <w:pStyle w:val="10"/>
        <w:snapToGrid w:val="0"/>
        <w:spacing w:before="120" w:after="120" w:line="400" w:lineRule="exact"/>
        <w:ind w:left="410" w:hanging="410" w:hangingChars="17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、履约保证金</w:t>
      </w:r>
    </w:p>
    <w:p>
      <w:pPr>
        <w:tabs>
          <w:tab w:val="left" w:pos="1418"/>
        </w:tabs>
        <w:autoSpaceDE w:val="0"/>
        <w:autoSpaceDN w:val="0"/>
        <w:adjustRightInd w:val="0"/>
        <w:spacing w:line="400" w:lineRule="exact"/>
        <w:ind w:firstLine="480" w:firstLineChars="20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本项目履约保证金为合同金额的</w:t>
      </w:r>
      <w:r>
        <w:rPr>
          <w:rFonts w:asciiTheme="minorEastAsia" w:hAnsiTheme="minorEastAsia" w:eastAsiaTheme="minorEastAsia" w:cstheme="minorBidi"/>
          <w:color w:val="000000" w:themeColor="text1"/>
          <w:sz w:val="24"/>
          <w:highlight w:val="none"/>
          <w14:textFill>
            <w14:solidFill>
              <w14:schemeClr w14:val="tx1"/>
            </w14:solidFill>
          </w14:textFill>
        </w:rPr>
        <w:t>____</w:t>
      </w:r>
      <w:r>
        <w:rPr>
          <w:rFonts w:hint="eastAsia" w:asciiTheme="minorEastAsia" w:hAnsiTheme="minorEastAsia" w:eastAsiaTheme="minorEastAsia" w:cstheme="minorBidi"/>
          <w:color w:val="000000" w:themeColor="text1"/>
          <w:sz w:val="24"/>
          <w:highlight w:val="none"/>
          <w14:textFill>
            <w14:solidFill>
              <w14:schemeClr w14:val="tx1"/>
            </w14:solidFill>
          </w14:textFill>
        </w:rPr>
        <w:t>%。</w:t>
      </w:r>
      <w:r>
        <w:rPr>
          <w:rFonts w:hint="eastAsia" w:asciiTheme="minorEastAsia" w:hAnsiTheme="minorEastAsia" w:eastAsiaTheme="minorEastAsia" w:cstheme="minorBidi"/>
          <w:color w:val="000000" w:themeColor="text1"/>
          <w:sz w:val="24"/>
          <w:highlight w:val="none"/>
          <w:lang w:val="zh-CN"/>
          <w14:textFill>
            <w14:solidFill>
              <w14:schemeClr w14:val="tx1"/>
            </w14:solidFill>
          </w14:textFill>
        </w:rPr>
        <w:t>[履约保证金交至采购人处，在合同约定交货验收合格满（</w:t>
      </w:r>
      <w:r>
        <w:rPr>
          <w:rFonts w:hint="eastAsia" w:asciiTheme="minorEastAsia" w:hAnsiTheme="minorEastAsia" w:eastAsiaTheme="minorEastAsia" w:cstheme="minorBidi"/>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Bidi"/>
          <w:color w:val="000000" w:themeColor="text1"/>
          <w:sz w:val="24"/>
          <w:highlight w:val="none"/>
          <w:lang w:val="zh-CN"/>
          <w14:textFill>
            <w14:solidFill>
              <w14:schemeClr w14:val="tx1"/>
            </w14:solidFill>
          </w14:textFill>
        </w:rPr>
        <w:t>）个月之日起5个工作日内无息退还]</w:t>
      </w:r>
    </w:p>
    <w:p>
      <w:pPr>
        <w:pStyle w:val="10"/>
        <w:snapToGrid w:val="0"/>
        <w:spacing w:before="120" w:after="120" w:line="400" w:lineRule="exact"/>
        <w:ind w:left="410" w:hanging="410" w:hangingChars="17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八、转包或分包</w:t>
      </w:r>
    </w:p>
    <w:p>
      <w:pPr>
        <w:snapToGrid w:val="0"/>
        <w:spacing w:before="156" w:beforeLines="50" w:after="156" w:afterLines="5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.本合同范围的货物，应由</w:t>
      </w:r>
      <w:r>
        <w:rPr>
          <w:rFonts w:asciiTheme="minorEastAsia" w:hAnsiTheme="minorEastAsia" w:eastAsiaTheme="minorEastAsia"/>
          <w:color w:val="000000" w:themeColor="text1"/>
          <w:sz w:val="24"/>
          <w:highlight w:val="none"/>
          <w14:textFill>
            <w14:solidFill>
              <w14:schemeClr w14:val="tx1"/>
            </w14:solidFill>
          </w14:textFill>
        </w:rPr>
        <w:t>乙</w:t>
      </w:r>
      <w:r>
        <w:rPr>
          <w:rFonts w:hint="eastAsia" w:asciiTheme="minorEastAsia" w:hAnsiTheme="minorEastAsia" w:eastAsiaTheme="minorEastAsia"/>
          <w:color w:val="000000" w:themeColor="text1"/>
          <w:sz w:val="24"/>
          <w:highlight w:val="none"/>
          <w14:textFill>
            <w14:solidFill>
              <w14:schemeClr w14:val="tx1"/>
            </w14:solidFill>
          </w14:textFill>
        </w:rPr>
        <w:t>方直接供应，不得转让他人供应；</w:t>
      </w:r>
    </w:p>
    <w:p>
      <w:pPr>
        <w:snapToGrid w:val="0"/>
        <w:spacing w:before="156" w:beforeLines="50" w:after="156" w:afterLines="5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.除非得到</w:t>
      </w:r>
      <w:r>
        <w:rPr>
          <w:rFonts w:asciiTheme="minorEastAsia" w:hAnsiTheme="minorEastAsia" w:eastAsiaTheme="minorEastAsia"/>
          <w:color w:val="000000" w:themeColor="text1"/>
          <w:sz w:val="24"/>
          <w:highlight w:val="none"/>
          <w14:textFill>
            <w14:solidFill>
              <w14:schemeClr w14:val="tx1"/>
            </w14:solidFill>
          </w14:textFill>
        </w:rPr>
        <w:t>甲</w:t>
      </w:r>
      <w:r>
        <w:rPr>
          <w:rFonts w:hint="eastAsia" w:asciiTheme="minorEastAsia" w:hAnsiTheme="minorEastAsia" w:eastAsiaTheme="minorEastAsia"/>
          <w:color w:val="000000" w:themeColor="text1"/>
          <w:sz w:val="24"/>
          <w:highlight w:val="none"/>
          <w14:textFill>
            <w14:solidFill>
              <w14:schemeClr w14:val="tx1"/>
            </w14:solidFill>
          </w14:textFill>
        </w:rPr>
        <w:t>方的书面同意，</w:t>
      </w:r>
      <w:r>
        <w:rPr>
          <w:rFonts w:asciiTheme="minorEastAsia" w:hAnsiTheme="minorEastAsia" w:eastAsiaTheme="minorEastAsia"/>
          <w:color w:val="000000" w:themeColor="text1"/>
          <w:sz w:val="24"/>
          <w:highlight w:val="none"/>
          <w14:textFill>
            <w14:solidFill>
              <w14:schemeClr w14:val="tx1"/>
            </w14:solidFill>
          </w14:textFill>
        </w:rPr>
        <w:t>乙</w:t>
      </w:r>
      <w:r>
        <w:rPr>
          <w:rFonts w:hint="eastAsia" w:asciiTheme="minorEastAsia" w:hAnsiTheme="minorEastAsia" w:eastAsiaTheme="minorEastAsia"/>
          <w:color w:val="000000" w:themeColor="text1"/>
          <w:sz w:val="24"/>
          <w:highlight w:val="none"/>
          <w14:textFill>
            <w14:solidFill>
              <w14:schemeClr w14:val="tx1"/>
            </w14:solidFill>
          </w14:textFill>
        </w:rPr>
        <w:t>方不得将本合同范围的货物全部或部分分包给他人供应；</w:t>
      </w:r>
    </w:p>
    <w:p>
      <w:pPr>
        <w:snapToGrid w:val="0"/>
        <w:spacing w:before="156" w:beforeLines="50" w:after="156" w:afterLines="5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.如有转让和未经</w:t>
      </w:r>
      <w:r>
        <w:rPr>
          <w:rFonts w:asciiTheme="minorEastAsia" w:hAnsiTheme="minorEastAsia" w:eastAsiaTheme="minorEastAsia"/>
          <w:color w:val="000000" w:themeColor="text1"/>
          <w:sz w:val="24"/>
          <w:highlight w:val="none"/>
          <w14:textFill>
            <w14:solidFill>
              <w14:schemeClr w14:val="tx1"/>
            </w14:solidFill>
          </w14:textFill>
        </w:rPr>
        <w:t>甲</w:t>
      </w:r>
      <w:r>
        <w:rPr>
          <w:rFonts w:hint="eastAsia" w:asciiTheme="minorEastAsia" w:hAnsiTheme="minorEastAsia" w:eastAsiaTheme="minorEastAsia"/>
          <w:color w:val="000000" w:themeColor="text1"/>
          <w:sz w:val="24"/>
          <w:highlight w:val="none"/>
          <w14:textFill>
            <w14:solidFill>
              <w14:schemeClr w14:val="tx1"/>
            </w14:solidFill>
          </w14:textFill>
        </w:rPr>
        <w:t>方同意的分包行为，</w:t>
      </w:r>
      <w:r>
        <w:rPr>
          <w:rFonts w:asciiTheme="minorEastAsia" w:hAnsiTheme="minorEastAsia" w:eastAsiaTheme="minorEastAsia"/>
          <w:color w:val="000000" w:themeColor="text1"/>
          <w:sz w:val="24"/>
          <w:highlight w:val="none"/>
          <w14:textFill>
            <w14:solidFill>
              <w14:schemeClr w14:val="tx1"/>
            </w14:solidFill>
          </w14:textFill>
        </w:rPr>
        <w:t>甲</w:t>
      </w:r>
      <w:r>
        <w:rPr>
          <w:rFonts w:hint="eastAsia" w:asciiTheme="minorEastAsia" w:hAnsiTheme="minorEastAsia" w:eastAsiaTheme="minorEastAsia"/>
          <w:color w:val="000000" w:themeColor="text1"/>
          <w:sz w:val="24"/>
          <w:highlight w:val="none"/>
          <w14:textFill>
            <w14:solidFill>
              <w14:schemeClr w14:val="tx1"/>
            </w14:solidFill>
          </w14:textFill>
        </w:rPr>
        <w:t>方有权解除合同，没收履约保证金并追究乙方的违约责任。</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九</w:t>
      </w:r>
      <w:r>
        <w:rPr>
          <w:rFonts w:asciiTheme="minorEastAsia" w:hAnsiTheme="minorEastAsia" w:eastAsiaTheme="minorEastAsia"/>
          <w:b/>
          <w:color w:val="000000" w:themeColor="text1"/>
          <w:sz w:val="24"/>
          <w:highlight w:val="none"/>
          <w14:textFill>
            <w14:solidFill>
              <w14:schemeClr w14:val="tx1"/>
            </w14:solidFill>
          </w14:textFill>
        </w:rPr>
        <w:t>、质保期</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质保期</w:t>
      </w:r>
      <w:r>
        <w:rPr>
          <w:rFonts w:hAnsi="宋体" w:cs="Times New Roman"/>
          <w:color w:val="000000" w:themeColor="text1"/>
          <w:sz w:val="24"/>
          <w:highlight w:val="none"/>
          <w14:textFill>
            <w14:solidFill>
              <w14:schemeClr w14:val="tx1"/>
            </w14:solidFill>
          </w14:textFill>
        </w:rPr>
        <w:t>___</w:t>
      </w:r>
      <w:r>
        <w:rPr>
          <w:rFonts w:asciiTheme="minorEastAsia" w:hAnsiTheme="minorEastAsia" w:eastAsiaTheme="minorEastAsia"/>
          <w:color w:val="000000" w:themeColor="text1"/>
          <w:sz w:val="24"/>
          <w:highlight w:val="none"/>
          <w14:textFill>
            <w14:solidFill>
              <w14:schemeClr w14:val="tx1"/>
            </w14:solidFill>
          </w14:textFill>
        </w:rPr>
        <w:t>年。（自交货验收合格之日起计）</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十</w:t>
      </w:r>
      <w:r>
        <w:rPr>
          <w:rFonts w:asciiTheme="minorEastAsia" w:hAnsiTheme="minorEastAsia" w:eastAsiaTheme="minorEastAsia"/>
          <w:b/>
          <w:color w:val="000000" w:themeColor="text1"/>
          <w:sz w:val="24"/>
          <w:highlight w:val="none"/>
          <w14:textFill>
            <w14:solidFill>
              <w14:schemeClr w14:val="tx1"/>
            </w14:solidFill>
          </w14:textFill>
        </w:rPr>
        <w:t>、交货期、交货方式及交货地点</w:t>
      </w:r>
    </w:p>
    <w:p>
      <w:pPr>
        <w:pStyle w:val="10"/>
        <w:snapToGrid w:val="0"/>
        <w:spacing w:before="120" w:after="120" w:line="400" w:lineRule="exact"/>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w:t>
      </w:r>
      <w:r>
        <w:rPr>
          <w:rFonts w:hint="eastAsia" w:asciiTheme="minorEastAsia" w:hAnsiTheme="minorEastAsia" w:eastAsiaTheme="minorEastAsia"/>
          <w:bCs/>
          <w:color w:val="000000" w:themeColor="text1"/>
          <w:sz w:val="24"/>
          <w:highlight w:val="none"/>
          <w14:textFill>
            <w14:solidFill>
              <w14:schemeClr w14:val="tx1"/>
            </w14:solidFill>
          </w14:textFill>
        </w:rPr>
        <w:t>.</w:t>
      </w:r>
      <w:r>
        <w:rPr>
          <w:rFonts w:asciiTheme="minorEastAsia" w:hAnsiTheme="minorEastAsia" w:eastAsiaTheme="minorEastAsia"/>
          <w:bCs/>
          <w:color w:val="000000" w:themeColor="text1"/>
          <w:sz w:val="24"/>
          <w:highlight w:val="none"/>
          <w14:textFill>
            <w14:solidFill>
              <w14:schemeClr w14:val="tx1"/>
            </w14:solidFill>
          </w14:textFill>
        </w:rPr>
        <w:t xml:space="preserve"> 交货期：</w:t>
      </w:r>
    </w:p>
    <w:p>
      <w:pPr>
        <w:pStyle w:val="10"/>
        <w:snapToGrid w:val="0"/>
        <w:spacing w:before="120" w:after="120" w:line="400" w:lineRule="exact"/>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2</w:t>
      </w:r>
      <w:r>
        <w:rPr>
          <w:rFonts w:hint="eastAsia" w:asciiTheme="minorEastAsia" w:hAnsiTheme="minorEastAsia" w:eastAsiaTheme="minorEastAsia"/>
          <w:bCs/>
          <w:color w:val="000000" w:themeColor="text1"/>
          <w:sz w:val="24"/>
          <w:highlight w:val="none"/>
          <w14:textFill>
            <w14:solidFill>
              <w14:schemeClr w14:val="tx1"/>
            </w14:solidFill>
          </w14:textFill>
        </w:rPr>
        <w:t>.</w:t>
      </w:r>
      <w:r>
        <w:rPr>
          <w:rFonts w:asciiTheme="minorEastAsia" w:hAnsiTheme="minorEastAsia" w:eastAsiaTheme="minorEastAsia"/>
          <w:bCs/>
          <w:color w:val="000000" w:themeColor="text1"/>
          <w:sz w:val="24"/>
          <w:highlight w:val="none"/>
          <w14:textFill>
            <w14:solidFill>
              <w14:schemeClr w14:val="tx1"/>
            </w14:solidFill>
          </w14:textFill>
        </w:rPr>
        <w:t xml:space="preserve"> 交货方式：</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3</w:t>
      </w:r>
      <w:r>
        <w:rPr>
          <w:rFonts w:hint="eastAsia" w:asciiTheme="minorEastAsia" w:hAnsiTheme="minorEastAsia" w:eastAsiaTheme="minorEastAsia"/>
          <w:bCs/>
          <w:color w:val="000000" w:themeColor="text1"/>
          <w:sz w:val="24"/>
          <w:highlight w:val="none"/>
          <w14:textFill>
            <w14:solidFill>
              <w14:schemeClr w14:val="tx1"/>
            </w14:solidFill>
          </w14:textFill>
        </w:rPr>
        <w:t>.</w:t>
      </w:r>
      <w:r>
        <w:rPr>
          <w:rFonts w:asciiTheme="minorEastAsia" w:hAnsiTheme="minorEastAsia" w:eastAsiaTheme="minorEastAsia"/>
          <w:bCs/>
          <w:color w:val="000000" w:themeColor="text1"/>
          <w:sz w:val="24"/>
          <w:highlight w:val="none"/>
          <w14:textFill>
            <w14:solidFill>
              <w14:schemeClr w14:val="tx1"/>
            </w14:solidFill>
          </w14:textFill>
        </w:rPr>
        <w:t xml:space="preserve"> 交货地点：</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十</w:t>
      </w:r>
      <w:r>
        <w:rPr>
          <w:rFonts w:hint="eastAsia" w:asciiTheme="minorEastAsia" w:hAnsiTheme="minorEastAsia" w:eastAsiaTheme="minorEastAsia"/>
          <w:b/>
          <w:color w:val="000000" w:themeColor="text1"/>
          <w:sz w:val="24"/>
          <w:highlight w:val="none"/>
          <w14:textFill>
            <w14:solidFill>
              <w14:schemeClr w14:val="tx1"/>
            </w14:solidFill>
          </w14:textFill>
        </w:rPr>
        <w:t>一</w:t>
      </w:r>
      <w:r>
        <w:rPr>
          <w:rFonts w:asciiTheme="minorEastAsia" w:hAnsiTheme="minorEastAsia" w:eastAsiaTheme="minorEastAsia"/>
          <w:b/>
          <w:color w:val="000000" w:themeColor="text1"/>
          <w:sz w:val="24"/>
          <w:highlight w:val="none"/>
          <w14:textFill>
            <w14:solidFill>
              <w14:schemeClr w14:val="tx1"/>
            </w14:solidFill>
          </w14:textFill>
        </w:rPr>
        <w:t>、货款支付</w:t>
      </w:r>
    </w:p>
    <w:p>
      <w:pPr>
        <w:pStyle w:val="10"/>
        <w:snapToGrid w:val="0"/>
        <w:spacing w:before="120" w:after="120" w:line="400" w:lineRule="exact"/>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w:t>
      </w:r>
      <w:r>
        <w:rPr>
          <w:rFonts w:hint="eastAsia" w:asciiTheme="minorEastAsia" w:hAnsiTheme="minorEastAsia" w:eastAsiaTheme="minorEastAsia"/>
          <w:bCs/>
          <w:color w:val="000000" w:themeColor="text1"/>
          <w:sz w:val="24"/>
          <w:highlight w:val="none"/>
          <w14:textFill>
            <w14:solidFill>
              <w14:schemeClr w14:val="tx1"/>
            </w14:solidFill>
          </w14:textFill>
        </w:rPr>
        <w:t>.</w:t>
      </w:r>
      <w:r>
        <w:rPr>
          <w:rFonts w:asciiTheme="minorEastAsia" w:hAnsiTheme="minorEastAsia" w:eastAsiaTheme="minorEastAsia"/>
          <w:bCs/>
          <w:color w:val="000000" w:themeColor="text1"/>
          <w:sz w:val="24"/>
          <w:highlight w:val="none"/>
          <w14:textFill>
            <w14:solidFill>
              <w14:schemeClr w14:val="tx1"/>
            </w14:solidFill>
          </w14:textFill>
        </w:rPr>
        <w:t xml:space="preserve"> 付款方式：</w:t>
      </w:r>
    </w:p>
    <w:p>
      <w:pPr>
        <w:pStyle w:val="10"/>
        <w:snapToGrid w:val="0"/>
        <w:spacing w:line="400" w:lineRule="exact"/>
        <w:rPr>
          <w:rFonts w:asciiTheme="minorEastAsia" w:hAnsiTheme="minorEastAsia" w:eastAsiaTheme="minorEastAsia"/>
          <w:bCs/>
          <w:color w:val="000000" w:themeColor="text1"/>
          <w:sz w:val="24"/>
          <w:highlight w:val="none"/>
          <w14:textFill>
            <w14:solidFill>
              <w14:schemeClr w14:val="tx1"/>
            </w14:solidFill>
          </w14:textFill>
        </w:rPr>
      </w:pPr>
      <w:r>
        <w:rPr>
          <w:rFonts w:hint="eastAsia" w:hAnsi="Times New Roman"/>
          <w:color w:val="000000" w:themeColor="text1"/>
          <w:sz w:val="24"/>
          <w:highlight w:val="none"/>
          <w:lang w:val="zh-CN"/>
          <w14:textFill>
            <w14:solidFill>
              <w14:schemeClr w14:val="tx1"/>
            </w14:solidFill>
          </w14:textFill>
        </w:rPr>
        <w:t>2.当采购数量与实际使用数量不一致时，由采购单位向同级财政部门申请并经批准后，可以由乙方根据实际使用量供货，合同的最终结算金额按实际使用量乘以中标单价进行计算。</w:t>
      </w:r>
    </w:p>
    <w:p>
      <w:pPr>
        <w:snapToGrid w:val="0"/>
        <w:spacing w:before="156" w:beforeLines="50" w:after="156" w:afterLines="5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十二、税费</w:t>
      </w:r>
    </w:p>
    <w:p>
      <w:pPr>
        <w:snapToGrid w:val="0"/>
        <w:spacing w:before="156" w:beforeLines="50" w:after="156" w:afterLines="5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本合同执行中相关的一切税费均由</w:t>
      </w:r>
      <w:r>
        <w:rPr>
          <w:rFonts w:asciiTheme="minorEastAsia" w:hAnsiTheme="minorEastAsia" w:eastAsiaTheme="minorEastAsia"/>
          <w:color w:val="000000" w:themeColor="text1"/>
          <w:sz w:val="24"/>
          <w:highlight w:val="none"/>
          <w14:textFill>
            <w14:solidFill>
              <w14:schemeClr w14:val="tx1"/>
            </w14:solidFill>
          </w14:textFill>
        </w:rPr>
        <w:t>乙</w:t>
      </w:r>
      <w:r>
        <w:rPr>
          <w:rFonts w:hint="eastAsia" w:asciiTheme="minorEastAsia" w:hAnsiTheme="minorEastAsia" w:eastAsiaTheme="minorEastAsia"/>
          <w:color w:val="000000" w:themeColor="text1"/>
          <w:sz w:val="24"/>
          <w:highlight w:val="none"/>
          <w14:textFill>
            <w14:solidFill>
              <w14:schemeClr w14:val="tx1"/>
            </w14:solidFill>
          </w14:textFill>
        </w:rPr>
        <w:t>方负担。</w:t>
      </w:r>
    </w:p>
    <w:p>
      <w:pPr>
        <w:pStyle w:val="10"/>
        <w:snapToGrid w:val="0"/>
        <w:spacing w:before="120" w:after="120" w:line="400" w:lineRule="exact"/>
        <w:ind w:left="412" w:hanging="412"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十</w:t>
      </w:r>
      <w:r>
        <w:rPr>
          <w:rFonts w:hint="eastAsia" w:asciiTheme="minorEastAsia" w:hAnsiTheme="minorEastAsia" w:eastAsiaTheme="minorEastAsia"/>
          <w:b/>
          <w:color w:val="000000" w:themeColor="text1"/>
          <w:sz w:val="24"/>
          <w:highlight w:val="none"/>
          <w14:textFill>
            <w14:solidFill>
              <w14:schemeClr w14:val="tx1"/>
            </w14:solidFill>
          </w14:textFill>
        </w:rPr>
        <w:t>三</w:t>
      </w:r>
      <w:r>
        <w:rPr>
          <w:rFonts w:asciiTheme="minorEastAsia" w:hAnsiTheme="minorEastAsia" w:eastAsiaTheme="minorEastAsia"/>
          <w:b/>
          <w:color w:val="000000" w:themeColor="text1"/>
          <w:sz w:val="24"/>
          <w:highlight w:val="none"/>
          <w14:textFill>
            <w14:solidFill>
              <w14:schemeClr w14:val="tx1"/>
            </w14:solidFill>
          </w14:textFill>
        </w:rPr>
        <w:t>、质量保证及售后服务</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乙方应按招标文件规定的货物性能、技术要求、质量标准向甲方提供未经使用的全新产品。</w:t>
      </w:r>
    </w:p>
    <w:p>
      <w:pPr>
        <w:pStyle w:val="10"/>
        <w:snapToGrid w:val="0"/>
        <w:spacing w:before="120" w:after="120" w:line="400" w:lineRule="exact"/>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乙方提供的货物在质</w:t>
      </w:r>
      <w:r>
        <w:rPr>
          <w:rFonts w:hint="eastAsia" w:asciiTheme="minorEastAsia" w:hAnsiTheme="minorEastAsia" w:eastAsiaTheme="minorEastAsia"/>
          <w:color w:val="000000" w:themeColor="text1"/>
          <w:sz w:val="24"/>
          <w:highlight w:val="none"/>
          <w14:textFill>
            <w14:solidFill>
              <w14:schemeClr w14:val="tx1"/>
            </w14:solidFill>
          </w14:textFill>
        </w:rPr>
        <w:t>保</w:t>
      </w:r>
      <w:r>
        <w:rPr>
          <w:rFonts w:asciiTheme="minorEastAsia" w:hAnsiTheme="minorEastAsia" w:eastAsiaTheme="minorEastAsia"/>
          <w:color w:val="000000" w:themeColor="text1"/>
          <w:sz w:val="24"/>
          <w:highlight w:val="none"/>
          <w14:textFill>
            <w14:solidFill>
              <w14:schemeClr w14:val="tx1"/>
            </w14:solidFill>
          </w14:textFill>
        </w:rPr>
        <w:t>期内因货物本身的质量问题发生故障，乙方应负责免费更换。对达不到技术要求者，根据实际情况，经双方协商，可按以下办法处理：</w:t>
      </w:r>
    </w:p>
    <w:p>
      <w:pPr>
        <w:pStyle w:val="10"/>
        <w:snapToGrid w:val="0"/>
        <w:spacing w:before="120" w:after="120" w:line="400" w:lineRule="exact"/>
        <w:ind w:firstLine="42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⑴更换：由乙方承担所发生的全部费用。</w:t>
      </w:r>
    </w:p>
    <w:p>
      <w:pPr>
        <w:pStyle w:val="10"/>
        <w:snapToGrid w:val="0"/>
        <w:spacing w:before="120" w:after="120" w:line="400" w:lineRule="exact"/>
        <w:ind w:firstLine="42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⑵贬值处理：由甲乙双方合议定价。</w:t>
      </w:r>
    </w:p>
    <w:p>
      <w:pPr>
        <w:pStyle w:val="10"/>
        <w:snapToGrid w:val="0"/>
        <w:spacing w:before="120" w:after="120" w:line="400" w:lineRule="exact"/>
        <w:ind w:left="420" w:left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⑶退货处理：乙方应退还甲方支付的合同款，同时应承担该货物的直接费用（运输、保险、检验、货款利息及银行手续费等）。</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如在使用过程中发生质量问题，乙方在接到甲方通知后在</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小时内到达甲方</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现场。</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在质保期内，乙方应对货物出现的质量及安全问题负责处理解决并承担一切</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费用。</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上述的货物免费保修期为年，因人为因素出现的故障不在免费保修范围</w:t>
      </w:r>
    </w:p>
    <w:p>
      <w:pPr>
        <w:pStyle w:val="10"/>
        <w:snapToGrid w:val="0"/>
        <w:spacing w:before="120" w:after="120" w:line="400" w:lineRule="exact"/>
        <w:ind w:firstLine="240" w:firstLineChars="1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内。超过保修期的机器设备，终生维修，维修时只收部件成本费。</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十</w:t>
      </w:r>
      <w:r>
        <w:rPr>
          <w:rFonts w:hint="eastAsia" w:asciiTheme="minorEastAsia" w:hAnsiTheme="minorEastAsia" w:eastAsiaTheme="minorEastAsia"/>
          <w:b/>
          <w:color w:val="000000" w:themeColor="text1"/>
          <w:sz w:val="24"/>
          <w:highlight w:val="none"/>
          <w14:textFill>
            <w14:solidFill>
              <w14:schemeClr w14:val="tx1"/>
            </w14:solidFill>
          </w14:textFill>
        </w:rPr>
        <w:t>四</w:t>
      </w:r>
      <w:r>
        <w:rPr>
          <w:rFonts w:asciiTheme="minorEastAsia" w:hAnsiTheme="minorEastAsia" w:eastAsiaTheme="minorEastAsia"/>
          <w:b/>
          <w:color w:val="000000" w:themeColor="text1"/>
          <w:sz w:val="24"/>
          <w:highlight w:val="none"/>
          <w14:textFill>
            <w14:solidFill>
              <w14:schemeClr w14:val="tx1"/>
            </w14:solidFill>
          </w14:textFill>
        </w:rPr>
        <w:t>、调试和验收</w:t>
      </w:r>
    </w:p>
    <w:p>
      <w:pPr>
        <w:pStyle w:val="10"/>
        <w:snapToGrid w:val="0"/>
        <w:spacing w:before="120" w:after="120" w:line="400" w:lineRule="exact"/>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甲方对乙方提交的货物依据招标文件上的技术规格要求和国家有关质量标准</w:t>
      </w:r>
    </w:p>
    <w:p>
      <w:pPr>
        <w:pStyle w:val="10"/>
        <w:snapToGrid w:val="0"/>
        <w:spacing w:before="120" w:after="120" w:line="400" w:lineRule="exact"/>
        <w:ind w:firstLine="360" w:firstLineChars="150"/>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进行现场初步验收，外观、说明书符合招标文件技术要求的，给予签收，初</w:t>
      </w:r>
    </w:p>
    <w:p>
      <w:pPr>
        <w:pStyle w:val="10"/>
        <w:snapToGrid w:val="0"/>
        <w:spacing w:before="120" w:after="120" w:line="400" w:lineRule="exact"/>
        <w:ind w:firstLine="360" w:firstLineChars="150"/>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步验收不合格的不予签收。货到后，甲方需在</w:t>
      </w:r>
      <w:r>
        <w:rPr>
          <w:rFonts w:hint="eastAsia" w:asciiTheme="minorEastAsia" w:hAnsiTheme="minorEastAsia" w:eastAsiaTheme="minorEastAsia"/>
          <w:color w:val="000000" w:themeColor="text1"/>
          <w:sz w:val="24"/>
          <w:highlight w:val="none"/>
          <w:u w:val="single"/>
          <w14:textFill>
            <w14:solidFill>
              <w14:schemeClr w14:val="tx1"/>
            </w14:solidFill>
          </w14:textFill>
        </w:rPr>
        <w:t>五</w:t>
      </w:r>
      <w:r>
        <w:rPr>
          <w:rFonts w:hint="eastAsia" w:asciiTheme="minorEastAsia" w:hAnsiTheme="minorEastAsia" w:eastAsiaTheme="minorEastAsia"/>
          <w:color w:val="000000" w:themeColor="text1"/>
          <w:sz w:val="24"/>
          <w:highlight w:val="none"/>
          <w14:textFill>
            <w14:solidFill>
              <w14:schemeClr w14:val="tx1"/>
            </w14:solidFill>
          </w14:textFill>
        </w:rPr>
        <w:t>个</w:t>
      </w:r>
      <w:r>
        <w:rPr>
          <w:rFonts w:asciiTheme="minorEastAsia" w:hAnsiTheme="minorEastAsia" w:eastAsiaTheme="minorEastAsia"/>
          <w:color w:val="000000" w:themeColor="text1"/>
          <w:sz w:val="24"/>
          <w:highlight w:val="none"/>
          <w14:textFill>
            <w14:solidFill>
              <w14:schemeClr w14:val="tx1"/>
            </w14:solidFill>
          </w14:textFill>
        </w:rPr>
        <w:t>工作日内验收。</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乙方交货前应对产品作出全面检查和对验收文件进行整理，并列出清单，作</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为甲方收货验收和使用的技术条件依据，检验的结果应随货物交甲方。</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甲方对乙方提供的货物在使用前进行调试时，乙方需负责安装并培训甲方的</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使用操作人员，并协助甲方一起调试，直到符合技术要求，甲方才做最终验</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收。</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对技术复杂的货物，甲方应请国家认可的专业检测机构参与初步验收及最终</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验收，并由其出具质量检测报告。</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验收时乙方必须在现场，验收完毕后作出验收结果报告；验收费用由</w:t>
      </w:r>
      <w:r>
        <w:rPr>
          <w:rFonts w:hint="eastAsia" w:asciiTheme="minorEastAsia" w:hAnsiTheme="minorEastAsia" w:eastAsiaTheme="minorEastAsia"/>
          <w:color w:val="000000" w:themeColor="text1"/>
          <w:sz w:val="24"/>
          <w:highlight w:val="none"/>
          <w14:textFill>
            <w14:solidFill>
              <w14:schemeClr w14:val="tx1"/>
            </w14:solidFill>
          </w14:textFill>
        </w:rPr>
        <w:t>甲</w:t>
      </w:r>
      <w:r>
        <w:rPr>
          <w:rFonts w:asciiTheme="minorEastAsia" w:hAnsiTheme="minorEastAsia" w:eastAsiaTheme="minorEastAsia"/>
          <w:color w:val="000000" w:themeColor="text1"/>
          <w:sz w:val="24"/>
          <w:highlight w:val="none"/>
          <w14:textFill>
            <w14:solidFill>
              <w14:schemeClr w14:val="tx1"/>
            </w14:solidFill>
          </w14:textFill>
        </w:rPr>
        <w:t>方负</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责。</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十</w:t>
      </w:r>
      <w:r>
        <w:rPr>
          <w:rFonts w:hint="eastAsia" w:asciiTheme="minorEastAsia" w:hAnsiTheme="minorEastAsia" w:eastAsiaTheme="minorEastAsia"/>
          <w:b/>
          <w:color w:val="000000" w:themeColor="text1"/>
          <w:sz w:val="24"/>
          <w:highlight w:val="none"/>
          <w14:textFill>
            <w14:solidFill>
              <w14:schemeClr w14:val="tx1"/>
            </w14:solidFill>
          </w14:textFill>
        </w:rPr>
        <w:t>五</w:t>
      </w:r>
      <w:r>
        <w:rPr>
          <w:rFonts w:asciiTheme="minorEastAsia" w:hAnsiTheme="minorEastAsia" w:eastAsiaTheme="minorEastAsia"/>
          <w:b/>
          <w:color w:val="000000" w:themeColor="text1"/>
          <w:sz w:val="24"/>
          <w:highlight w:val="none"/>
          <w14:textFill>
            <w14:solidFill>
              <w14:schemeClr w14:val="tx1"/>
            </w14:solidFill>
          </w14:textFill>
        </w:rPr>
        <w:t>、货物包装、发运及运输</w:t>
      </w:r>
    </w:p>
    <w:p>
      <w:pPr>
        <w:pStyle w:val="10"/>
        <w:snapToGrid w:val="0"/>
        <w:spacing w:before="120" w:after="120" w:line="400" w:lineRule="exact"/>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乙方应在货物发运前对其进行满足运输距离、防潮、防震、防锈和防破损装卸等要求包装，以保证货物安全运达甲方指定地点。</w:t>
      </w:r>
    </w:p>
    <w:p>
      <w:pPr>
        <w:pStyle w:val="10"/>
        <w:snapToGrid w:val="0"/>
        <w:spacing w:before="120" w:after="120" w:line="400" w:lineRule="exact"/>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使用说明书、质量检验证明书、随配附件和工具以及清单一并附于货物内。</w:t>
      </w:r>
    </w:p>
    <w:p>
      <w:pPr>
        <w:pStyle w:val="10"/>
        <w:snapToGrid w:val="0"/>
        <w:spacing w:before="120" w:after="120" w:line="400" w:lineRule="exact"/>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乙方在货物发运手续办理完毕后24小时内或货到甲方48小时前通知甲方，以准备接货。</w:t>
      </w:r>
    </w:p>
    <w:p>
      <w:pPr>
        <w:pStyle w:val="10"/>
        <w:snapToGrid w:val="0"/>
        <w:spacing w:before="120" w:after="120" w:line="400" w:lineRule="exact"/>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货物在交付甲方前发生的风险均由乙方负责。</w:t>
      </w:r>
    </w:p>
    <w:p>
      <w:pPr>
        <w:pStyle w:val="10"/>
        <w:snapToGrid w:val="0"/>
        <w:spacing w:line="400" w:lineRule="exact"/>
        <w:ind w:left="480" w:right="26"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货物在规定的交付期限内由乙方送达甲方指定的地点视为交付，乙方同时需</w:t>
      </w:r>
    </w:p>
    <w:p>
      <w:pPr>
        <w:pStyle w:val="10"/>
        <w:snapToGrid w:val="0"/>
        <w:spacing w:line="400" w:lineRule="exact"/>
        <w:ind w:left="479" w:leftChars="171" w:right="26" w:hanging="120" w:hangingChars="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通知甲方货物已送达。</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十</w:t>
      </w:r>
      <w:r>
        <w:rPr>
          <w:rFonts w:hint="eastAsia" w:asciiTheme="minorEastAsia" w:hAnsiTheme="minorEastAsia" w:eastAsiaTheme="minorEastAsia"/>
          <w:b/>
          <w:color w:val="000000" w:themeColor="text1"/>
          <w:sz w:val="24"/>
          <w:highlight w:val="none"/>
          <w14:textFill>
            <w14:solidFill>
              <w14:schemeClr w14:val="tx1"/>
            </w14:solidFill>
          </w14:textFill>
        </w:rPr>
        <w:t>六</w:t>
      </w:r>
      <w:r>
        <w:rPr>
          <w:rFonts w:asciiTheme="minorEastAsia" w:hAnsiTheme="minorEastAsia" w:eastAsiaTheme="minorEastAsia"/>
          <w:b/>
          <w:color w:val="000000" w:themeColor="text1"/>
          <w:sz w:val="24"/>
          <w:highlight w:val="none"/>
          <w14:textFill>
            <w14:solidFill>
              <w14:schemeClr w14:val="tx1"/>
            </w14:solidFill>
          </w14:textFill>
        </w:rPr>
        <w:t>、违约责任</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甲方无正当理由拒收货物的，甲方向乙方偿付拒收货款总值的</w:t>
      </w:r>
      <w:r>
        <w:rPr>
          <w:rFonts w:asciiTheme="minorEastAsia" w:hAnsiTheme="minorEastAsia" w:eastAsiaTheme="minorEastAsia"/>
          <w:color w:val="000000" w:themeColor="text1"/>
          <w:sz w:val="24"/>
          <w:highlight w:val="none"/>
          <w:u w:val="single"/>
          <w14:textFill>
            <w14:solidFill>
              <w14:schemeClr w14:val="tx1"/>
            </w14:solidFill>
          </w14:textFill>
        </w:rPr>
        <w:t>百分之五</w:t>
      </w:r>
      <w:r>
        <w:rPr>
          <w:rFonts w:asciiTheme="minorEastAsia" w:hAnsiTheme="minorEastAsia" w:eastAsiaTheme="minorEastAsia"/>
          <w:color w:val="000000" w:themeColor="text1"/>
          <w:sz w:val="24"/>
          <w:highlight w:val="none"/>
          <w14:textFill>
            <w14:solidFill>
              <w14:schemeClr w14:val="tx1"/>
            </w14:solidFill>
          </w14:textFill>
        </w:rPr>
        <w:t>违约金。</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甲方无故逾期验收和办理货款支付手续的,甲方应按逾期付款总额每日</w:t>
      </w:r>
      <w:r>
        <w:rPr>
          <w:rFonts w:asciiTheme="minorEastAsia" w:hAnsiTheme="minorEastAsia" w:eastAsiaTheme="minorEastAsia"/>
          <w:color w:val="000000" w:themeColor="text1"/>
          <w:sz w:val="24"/>
          <w:highlight w:val="none"/>
          <w:u w:val="single"/>
          <w14:textFill>
            <w14:solidFill>
              <w14:schemeClr w14:val="tx1"/>
            </w14:solidFill>
          </w14:textFill>
        </w:rPr>
        <w:t>万分之五</w:t>
      </w:r>
      <w:r>
        <w:rPr>
          <w:rFonts w:asciiTheme="minorEastAsia" w:hAnsiTheme="minorEastAsia" w:eastAsiaTheme="minorEastAsia"/>
          <w:color w:val="000000" w:themeColor="text1"/>
          <w:sz w:val="24"/>
          <w:highlight w:val="none"/>
          <w14:textFill>
            <w14:solidFill>
              <w14:schemeClr w14:val="tx1"/>
            </w14:solidFill>
          </w14:textFill>
        </w:rPr>
        <w:t>向乙方支付违约金。</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乙方逾期交付货物的，乙方应按逾期交货总额每日</w:t>
      </w:r>
      <w:r>
        <w:rPr>
          <w:rFonts w:asciiTheme="minorEastAsia" w:hAnsiTheme="minorEastAsia" w:eastAsiaTheme="minorEastAsia"/>
          <w:color w:val="000000" w:themeColor="text1"/>
          <w:sz w:val="24"/>
          <w:highlight w:val="none"/>
          <w:u w:val="single"/>
          <w14:textFill>
            <w14:solidFill>
              <w14:schemeClr w14:val="tx1"/>
            </w14:solidFill>
          </w14:textFill>
        </w:rPr>
        <w:t>千分之六</w:t>
      </w:r>
      <w:r>
        <w:rPr>
          <w:rFonts w:asciiTheme="minorEastAsia" w:hAnsiTheme="minorEastAsia" w:eastAsiaTheme="minorEastAsia"/>
          <w:color w:val="000000" w:themeColor="text1"/>
          <w:sz w:val="24"/>
          <w:highlight w:val="none"/>
          <w14:textFill>
            <w14:solidFill>
              <w14:schemeClr w14:val="tx1"/>
            </w14:solidFill>
          </w14:textFill>
        </w:rPr>
        <w:t>向甲方支付违约金，由甲方从待付货款中扣除。逾期超过约定日期</w:t>
      </w:r>
      <w:r>
        <w:rPr>
          <w:rFonts w:asciiTheme="minorEastAsia" w:hAnsiTheme="minorEastAsia" w:eastAsiaTheme="minorEastAsia"/>
          <w:color w:val="000000" w:themeColor="text1"/>
          <w:sz w:val="24"/>
          <w:highlight w:val="none"/>
          <w:u w:val="single"/>
          <w14:textFill>
            <w14:solidFill>
              <w14:schemeClr w14:val="tx1"/>
            </w14:solidFill>
          </w14:textFill>
        </w:rPr>
        <w:t>10</w:t>
      </w:r>
      <w:r>
        <w:rPr>
          <w:rFonts w:asciiTheme="minorEastAsia" w:hAnsiTheme="minorEastAsia" w:eastAsiaTheme="minorEastAsia"/>
          <w:color w:val="000000" w:themeColor="text1"/>
          <w:sz w:val="24"/>
          <w:highlight w:val="none"/>
          <w14:textFill>
            <w14:solidFill>
              <w14:schemeClr w14:val="tx1"/>
            </w14:solidFill>
          </w14:textFill>
        </w:rPr>
        <w:t>个工作日不能交货的，甲方可解除本合同。乙方因逾期交货或因其他违约行为导致甲方解除合同的，乙方应向甲方支付合同总值</w:t>
      </w:r>
      <w:r>
        <w:rPr>
          <w:rFonts w:asciiTheme="minorEastAsia" w:hAnsiTheme="minorEastAsia" w:eastAsiaTheme="minorEastAsia"/>
          <w:color w:val="000000" w:themeColor="text1"/>
          <w:sz w:val="24"/>
          <w:highlight w:val="none"/>
          <w:u w:val="singl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 xml:space="preserve">的违约金，如造成甲方损失超过违约金的，超出部分由乙方继续承担赔偿责任。 </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5.若发生纠纷，由违约方赔偿守约方因纠纷所支付的费用（包括但不限于律师费、差旅费、诉讼费、保全费、鉴定费、评估费等）</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十</w:t>
      </w: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、不可抗力事件处理</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在合同有效期内，任何一方因不可抗力事件导致不能履行合同，则合同履行</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期可延长，其延长期与不可抗力影响期相同。</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不可抗力事件发生后，应立即通知对方，并寄送有关权威机构出具的证明。</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不可抗力事件延续120天以上，双方应通过友好协商，确定是否继续履行合</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同。</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十</w:t>
      </w:r>
      <w:r>
        <w:rPr>
          <w:rFonts w:hint="eastAsia" w:asciiTheme="minorEastAsia" w:hAnsiTheme="minorEastAsia" w:eastAsiaTheme="minorEastAsia"/>
          <w:b/>
          <w:color w:val="000000" w:themeColor="text1"/>
          <w:sz w:val="24"/>
          <w:highlight w:val="none"/>
          <w14:textFill>
            <w14:solidFill>
              <w14:schemeClr w14:val="tx1"/>
            </w14:solidFill>
          </w14:textFill>
        </w:rPr>
        <w:t>八</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解决争议的方法</w:t>
      </w:r>
    </w:p>
    <w:p>
      <w:pPr>
        <w:widowControl/>
        <w:spacing w:line="400" w:lineRule="exact"/>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 </w:t>
      </w:r>
      <w:r>
        <w:rPr>
          <w:rFonts w:ascii="宋体" w:hAnsi="宋体" w:cs="宋体"/>
          <w:color w:val="000000" w:themeColor="text1"/>
          <w:kern w:val="0"/>
          <w:sz w:val="24"/>
          <w:highlight w:val="none"/>
          <w14:textFill>
            <w14:solidFill>
              <w14:schemeClr w14:val="tx1"/>
            </w14:solidFill>
          </w14:textFill>
        </w:rPr>
        <w:t>如双方在履行合同时发生纠纷，应协商解决；协商不成时，可提请政府采购管理部门调解；调解不成的</w:t>
      </w:r>
      <w:r>
        <w:rPr>
          <w:rFonts w:hint="eastAsia" w:ascii="宋体" w:hAnsi="宋体" w:cs="宋体"/>
          <w:color w:val="000000" w:themeColor="text1"/>
          <w:kern w:val="0"/>
          <w:sz w:val="24"/>
          <w:highlight w:val="none"/>
          <w:lang w:eastAsia="zh-CN"/>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 xml:space="preserve"> 依法向</w:t>
      </w:r>
      <w:r>
        <w:rPr>
          <w:rFonts w:hint="eastAsia" w:ascii="宋体" w:hAnsi="宋体" w:cs="宋体"/>
          <w:color w:val="000000" w:themeColor="text1"/>
          <w:kern w:val="0"/>
          <w:sz w:val="24"/>
          <w:highlight w:val="none"/>
          <w:lang w:val="en-US" w:eastAsia="zh-CN"/>
          <w14:textFill>
            <w14:solidFill>
              <w14:schemeClr w14:val="tx1"/>
            </w14:solidFill>
          </w14:textFill>
        </w:rPr>
        <w:t>玉环市</w:t>
      </w:r>
      <w:r>
        <w:rPr>
          <w:rFonts w:ascii="宋体" w:hAnsi="宋体" w:cs="宋体"/>
          <w:color w:val="000000" w:themeColor="text1"/>
          <w:kern w:val="0"/>
          <w:sz w:val="24"/>
          <w:highlight w:val="none"/>
          <w14:textFill>
            <w14:solidFill>
              <w14:schemeClr w14:val="tx1"/>
            </w14:solidFill>
          </w14:textFill>
        </w:rPr>
        <w:t xml:space="preserve">人民法院提起诉讼。 </w:t>
      </w:r>
    </w:p>
    <w:p>
      <w:pPr>
        <w:pStyle w:val="10"/>
        <w:tabs>
          <w:tab w:val="left" w:pos="5790"/>
        </w:tabs>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十</w:t>
      </w:r>
      <w:r>
        <w:rPr>
          <w:rFonts w:hint="eastAsia" w:asciiTheme="minorEastAsia" w:hAnsiTheme="minorEastAsia" w:eastAsiaTheme="minorEastAsia"/>
          <w:b/>
          <w:color w:val="000000" w:themeColor="text1"/>
          <w:sz w:val="24"/>
          <w:highlight w:val="none"/>
          <w14:textFill>
            <w14:solidFill>
              <w14:schemeClr w14:val="tx1"/>
            </w14:solidFill>
          </w14:textFill>
        </w:rPr>
        <w:t>九</w:t>
      </w:r>
      <w:r>
        <w:rPr>
          <w:rFonts w:asciiTheme="minorEastAsia" w:hAnsiTheme="minorEastAsia" w:eastAsiaTheme="minorEastAsia"/>
          <w:b/>
          <w:color w:val="000000" w:themeColor="text1"/>
          <w:sz w:val="24"/>
          <w:highlight w:val="none"/>
          <w14:textFill>
            <w14:solidFill>
              <w14:schemeClr w14:val="tx1"/>
            </w14:solidFill>
          </w14:textFill>
        </w:rPr>
        <w:t>、合同生效及其它</w:t>
      </w:r>
      <w:r>
        <w:rPr>
          <w:rFonts w:asciiTheme="minorEastAsia" w:hAnsiTheme="minorEastAsia" w:eastAsiaTheme="minorEastAsia"/>
          <w:b/>
          <w:color w:val="000000" w:themeColor="text1"/>
          <w:sz w:val="24"/>
          <w:highlight w:val="none"/>
          <w14:textFill>
            <w14:solidFill>
              <w14:schemeClr w14:val="tx1"/>
            </w14:solidFill>
          </w14:textFill>
        </w:rPr>
        <w:tab/>
      </w:r>
    </w:p>
    <w:p>
      <w:pPr>
        <w:pStyle w:val="3"/>
        <w:widowControl/>
        <w:spacing w:line="400" w:lineRule="exact"/>
        <w:ind w:right="-88"/>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r>
        <w:rPr>
          <w:rFonts w:hint="eastAsia"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 xml:space="preserve"> 合同经双方法定代表人或授权代表</w:t>
      </w:r>
      <w:r>
        <w:rPr>
          <w:rFonts w:hint="eastAsia" w:asciiTheme="minorEastAsia" w:hAnsiTheme="minorEastAsia" w:eastAsiaTheme="minorEastAsia"/>
          <w:color w:val="000000" w:themeColor="text1"/>
          <w:highlight w:val="none"/>
          <w14:textFill>
            <w14:solidFill>
              <w14:schemeClr w14:val="tx1"/>
            </w14:solidFill>
          </w14:textFill>
        </w:rPr>
        <w:t>签字</w:t>
      </w:r>
      <w:r>
        <w:rPr>
          <w:rFonts w:asciiTheme="minorEastAsia" w:hAnsiTheme="minorEastAsia" w:eastAsiaTheme="minorEastAsia"/>
          <w:color w:val="000000" w:themeColor="text1"/>
          <w:highlight w:val="none"/>
          <w14:textFill>
            <w14:solidFill>
              <w14:schemeClr w14:val="tx1"/>
            </w14:solidFill>
          </w14:textFill>
        </w:rPr>
        <w:t>并加盖单位公章后生效。</w:t>
      </w:r>
    </w:p>
    <w:p>
      <w:pPr>
        <w:pStyle w:val="3"/>
        <w:widowControl/>
        <w:spacing w:line="400" w:lineRule="exact"/>
        <w:ind w:right="-88"/>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2. </w:t>
      </w:r>
      <w:r>
        <w:rPr>
          <w:rFonts w:asciiTheme="minorEastAsia" w:hAnsiTheme="minorEastAsia" w:eastAsiaTheme="minorEastAsia"/>
          <w:color w:val="000000" w:themeColor="text1"/>
          <w:highlight w:val="none"/>
          <w14:textFill>
            <w14:solidFill>
              <w14:schemeClr w14:val="tx1"/>
            </w14:solidFill>
          </w14:textFill>
        </w:rPr>
        <w:t>本合同未尽事宜，遵照《合同法》有关条文执行。</w:t>
      </w:r>
    </w:p>
    <w:p>
      <w:pPr>
        <w:pStyle w:val="3"/>
        <w:widowControl/>
        <w:spacing w:line="400" w:lineRule="exact"/>
        <w:ind w:right="-88"/>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 本合同一式四份。甲、乙双方各执一份，</w:t>
      </w:r>
      <w:r>
        <w:rPr>
          <w:rFonts w:hint="eastAsia" w:ascii="宋体" w:hAnsi="宋体"/>
          <w:color w:val="000000" w:themeColor="text1"/>
          <w:highlight w:val="none"/>
          <w14:textFill>
            <w14:solidFill>
              <w14:schemeClr w14:val="tx1"/>
            </w14:solidFill>
          </w14:textFill>
        </w:rPr>
        <w:t>采购组织机构及同级人民政府财政部门各执一份</w:t>
      </w:r>
      <w:r>
        <w:rPr>
          <w:rFonts w:hint="eastAsia" w:asciiTheme="minorEastAsia" w:hAnsiTheme="minorEastAsia" w:eastAsiaTheme="minorEastAsia"/>
          <w:color w:val="000000" w:themeColor="text1"/>
          <w:highlight w:val="none"/>
          <w14:textFill>
            <w14:solidFill>
              <w14:schemeClr w14:val="tx1"/>
            </w14:solidFill>
          </w14:textFill>
        </w:rPr>
        <w:t>。本项目未尽事宜以招标文件、投标文件及澄清文件等为准。</w:t>
      </w:r>
    </w:p>
    <w:p>
      <w:pPr>
        <w:widowControl/>
        <w:spacing w:line="400" w:lineRule="exact"/>
        <w:rPr>
          <w:rFonts w:asciiTheme="minorEastAsia" w:hAnsiTheme="minorEastAsia" w:eastAsiaTheme="minorEastAsia"/>
          <w:b/>
          <w:color w:val="000000" w:themeColor="text1"/>
          <w:sz w:val="24"/>
          <w:highlight w:val="none"/>
          <w14:textFill>
            <w14:solidFill>
              <w14:schemeClr w14:val="tx1"/>
            </w14:solidFill>
          </w14:textFill>
        </w:rPr>
      </w:pPr>
    </w:p>
    <w:p>
      <w:pPr>
        <w:widowControl/>
        <w:spacing w:line="400" w:lineRule="exact"/>
        <w:rPr>
          <w:rFonts w:asciiTheme="minorEastAsia" w:hAnsiTheme="minorEastAsia" w:eastAsiaTheme="minorEastAsia"/>
          <w:b/>
          <w:color w:val="000000" w:themeColor="text1"/>
          <w:sz w:val="24"/>
          <w:highlight w:val="none"/>
          <w14:textFill>
            <w14:solidFill>
              <w14:schemeClr w14:val="tx1"/>
            </w14:solidFill>
          </w14:textFill>
        </w:rPr>
      </w:pPr>
    </w:p>
    <w:p>
      <w:pPr>
        <w:spacing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甲方（公章）                                     乙方（公章）</w:t>
      </w:r>
    </w:p>
    <w:p>
      <w:pPr>
        <w:spacing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法定代表人：                                     法定代表人：</w:t>
      </w:r>
    </w:p>
    <w:p>
      <w:pPr>
        <w:spacing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委托代理人：                                     委托代理人：</w:t>
      </w:r>
    </w:p>
    <w:p>
      <w:pPr>
        <w:spacing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联系电话：                                       联系电话：</w:t>
      </w:r>
    </w:p>
    <w:p>
      <w:pPr>
        <w:spacing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开户银行：                                       开户银行：</w:t>
      </w:r>
    </w:p>
    <w:p>
      <w:pPr>
        <w:spacing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帐号：                                           帐号：</w:t>
      </w:r>
    </w:p>
    <w:p>
      <w:pPr>
        <w:spacing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地址及邮编：                                     地址及邮编：</w:t>
      </w:r>
    </w:p>
    <w:p>
      <w:pPr>
        <w:spacing w:line="400" w:lineRule="exact"/>
        <w:rPr>
          <w:rFonts w:asciiTheme="minorEastAsia" w:hAnsiTheme="minorEastAsia" w:eastAsiaTheme="minorEastAsia"/>
          <w:color w:val="000000" w:themeColor="text1"/>
          <w:sz w:val="24"/>
          <w:highlight w:val="none"/>
          <w14:textFill>
            <w14:solidFill>
              <w14:schemeClr w14:val="tx1"/>
            </w14:solidFill>
          </w14:textFill>
        </w:rPr>
      </w:pPr>
    </w:p>
    <w:p>
      <w:pPr>
        <w:spacing w:line="400" w:lineRule="exact"/>
        <w:ind w:firstLine="4920" w:firstLineChars="20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签订时间：    年   月    日</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jc w:val="left"/>
        <w:rPr>
          <w:rFonts w:asciiTheme="majorEastAsia" w:hAnsiTheme="majorEastAsia" w:eastAsiaTheme="majorEastAsia"/>
          <w:color w:val="000000" w:themeColor="text1"/>
          <w:sz w:val="28"/>
          <w:szCs w:val="28"/>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投标文件格式附件</w:t>
      </w: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附件1</w:t>
      </w: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highlight w:val="none"/>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玉环市公共资源交易中心不见面开标大厅硬件采购</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lang w:eastAsia="zh-CN"/>
          <w14:textFill>
            <w14:solidFill>
              <w14:schemeClr w14:val="tx1"/>
            </w14:solidFill>
          </w14:textFill>
        </w:rPr>
        <w:t>HQ-YHZFCG-2019-40</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highlight w:val="none"/>
          <w14:textFill>
            <w14:solidFill>
              <w14:schemeClr w14:val="tx1"/>
            </w14:solidFill>
          </w14:textFill>
        </w:rPr>
      </w:pPr>
    </w:p>
    <w:p>
      <w:pPr>
        <w:numPr>
          <w:ilvl w:val="0"/>
          <w:numId w:val="10"/>
        </w:numPr>
        <w:snapToGrid w:val="0"/>
        <w:spacing w:line="360" w:lineRule="auto"/>
        <w:ind w:firstLine="548" w:firstLineChars="196"/>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声明书（附件2）</w:t>
      </w:r>
    </w:p>
    <w:p>
      <w:pPr>
        <w:numPr>
          <w:ilvl w:val="0"/>
          <w:numId w:val="10"/>
        </w:num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授权</w:t>
      </w:r>
      <w:r>
        <w:rPr>
          <w:rFonts w:hint="eastAsia"/>
          <w:bCs/>
          <w:color w:val="000000" w:themeColor="text1"/>
          <w:sz w:val="28"/>
          <w:szCs w:val="28"/>
          <w:highlight w:val="none"/>
          <w14:textFill>
            <w14:solidFill>
              <w14:schemeClr w14:val="tx1"/>
            </w14:solidFill>
          </w14:textFill>
        </w:rPr>
        <w:t>委托</w:t>
      </w:r>
      <w:r>
        <w:rPr>
          <w:bCs/>
          <w:color w:val="000000" w:themeColor="text1"/>
          <w:sz w:val="28"/>
          <w:szCs w:val="28"/>
          <w:highlight w:val="none"/>
          <w14:textFill>
            <w14:solidFill>
              <w14:schemeClr w14:val="tx1"/>
            </w14:solidFill>
          </w14:textFill>
        </w:rPr>
        <w:t>书</w:t>
      </w:r>
      <w:r>
        <w:rPr>
          <w:rFonts w:hint="eastAsia" w:ascii="宋体" w:hAnsi="宋体"/>
          <w:bCs/>
          <w:color w:val="000000" w:themeColor="text1"/>
          <w:sz w:val="28"/>
          <w:szCs w:val="28"/>
          <w:highlight w:val="none"/>
          <w14:textFill>
            <w14:solidFill>
              <w14:schemeClr w14:val="tx1"/>
            </w14:solidFill>
          </w14:textFill>
        </w:rPr>
        <w:t>（附件3）</w:t>
      </w:r>
    </w:p>
    <w:p>
      <w:pPr>
        <w:numPr>
          <w:ilvl w:val="0"/>
          <w:numId w:val="10"/>
        </w:numPr>
        <w:snapToGrid w:val="0"/>
        <w:spacing w:line="360" w:lineRule="auto"/>
        <w:ind w:left="1050" w:leftChars="259" w:hanging="506" w:hangingChars="181"/>
        <w:rPr>
          <w:rFonts w:ascii="宋体" w:hAnsi="宋体"/>
          <w:color w:val="000000" w:themeColor="text1"/>
          <w:kern w:val="0"/>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6、</w:t>
      </w:r>
      <w:r>
        <w:rPr>
          <w:rFonts w:hint="eastAsia" w:ascii="宋体" w:hAnsi="宋体"/>
          <w:color w:val="000000" w:themeColor="text1"/>
          <w:kern w:val="0"/>
          <w:sz w:val="28"/>
          <w:szCs w:val="28"/>
          <w:highlight w:val="none"/>
          <w14:textFill>
            <w14:solidFill>
              <w14:schemeClr w14:val="tx1"/>
            </w14:solidFill>
          </w14:textFill>
        </w:rPr>
        <w:t>本项目要求的特定资质证书</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80" w:lineRule="exact"/>
        <w:ind w:left="42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pPr>
        <w:adjustRightInd w:val="0"/>
        <w:snapToGrid w:val="0"/>
        <w:spacing w:line="380" w:lineRule="exact"/>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玉环市公共资源交易中心不见面开标大厅硬件采购</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HQ-YHZFCG-2019-40</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pPr>
        <w:snapToGrid w:val="0"/>
        <w:spacing w:before="156" w:beforeLines="50" w:after="50" w:line="38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numPr>
          <w:ilvl w:val="255"/>
          <w:numId w:val="0"/>
        </w:num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highlight w:val="none"/>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月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400" w:lineRule="atLeast"/>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pPr>
        <w:spacing w:line="400" w:lineRule="atLeast"/>
        <w:ind w:firstLine="321" w:firstLineChars="100"/>
        <w:jc w:val="center"/>
        <w:rPr>
          <w:rFonts w:hAnsi="宋体"/>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pPr>
        <w:snapToGrid w:val="0"/>
        <w:spacing w:before="156" w:beforeLines="50" w:after="50" w:line="400" w:lineRule="atLeas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pStyle w:val="10"/>
        <w:spacing w:line="400" w:lineRule="atLeast"/>
        <w:ind w:left="240" w:hanging="240" w:hanging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（投标人全称）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highlight w:val="none"/>
          <w14:textFill>
            <w14:solidFill>
              <w14:schemeClr w14:val="tx1"/>
            </w14:solidFill>
          </w14:textFill>
        </w:rPr>
        <w:t>我方对全权代表的签字事项负全部责任。</w:t>
      </w:r>
    </w:p>
    <w:p>
      <w:pPr>
        <w:pStyle w:val="10"/>
        <w:spacing w:line="400" w:lineRule="atLeas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0"/>
        <w:spacing w:line="400" w:lineRule="atLeas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400" w:lineRule="atLeast"/>
        <w:rPr>
          <w:color w:val="000000" w:themeColor="text1"/>
          <w:sz w:val="24"/>
          <w:highlight w:val="none"/>
          <w14:textFill>
            <w14:solidFill>
              <w14:schemeClr w14:val="tx1"/>
            </w14:solidFill>
          </w14:textFill>
        </w:rPr>
      </w:pP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pPr>
        <w:spacing w:line="400" w:lineRule="atLeast"/>
        <w:rPr>
          <w:color w:val="000000" w:themeColor="text1"/>
          <w:sz w:val="24"/>
          <w:highlight w:val="none"/>
          <w14:textFill>
            <w14:solidFill>
              <w14:schemeClr w14:val="tx1"/>
            </w14:solidFill>
          </w14:textFill>
        </w:rPr>
      </w:pP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投标人全称（公章）：                              日期：</w:t>
      </w:r>
    </w:p>
    <w:p>
      <w:pPr>
        <w:spacing w:line="400" w:lineRule="atLeast"/>
        <w:rPr>
          <w:color w:val="000000" w:themeColor="text1"/>
          <w:sz w:val="24"/>
          <w:highlight w:val="none"/>
          <w14:textFill>
            <w14:solidFill>
              <w14:schemeClr w14:val="tx1"/>
            </w14:solidFill>
          </w14:textFill>
        </w:rPr>
      </w:pPr>
    </w:p>
    <w:p>
      <w:pPr>
        <w:spacing w:line="400" w:lineRule="atLeast"/>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1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highlight w:val="none"/>
                <w14:textFill>
                  <w14:solidFill>
                    <w14:schemeClr w14:val="tx1"/>
                  </w14:solidFill>
                </w14:textFill>
              </w:rPr>
            </w:pPr>
          </w:p>
          <w:p>
            <w:pPr>
              <w:spacing w:line="400" w:lineRule="atLeast"/>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pacing w:line="400" w:lineRule="atLeast"/>
        <w:rPr>
          <w:b/>
          <w:color w:val="000000" w:themeColor="text1"/>
          <w:sz w:val="24"/>
          <w:highlight w:val="none"/>
          <w14:textFill>
            <w14:solidFill>
              <w14:schemeClr w14:val="tx1"/>
            </w14:solidFill>
          </w14:textFill>
        </w:rPr>
      </w:pPr>
    </w:p>
    <w:tbl>
      <w:tblPr>
        <w:tblStyle w:val="1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highlight w:val="none"/>
                <w14:textFill>
                  <w14:solidFill>
                    <w14:schemeClr w14:val="tx1"/>
                  </w14:solidFill>
                </w14:textFill>
              </w:rPr>
            </w:pPr>
          </w:p>
          <w:p>
            <w:pPr>
              <w:spacing w:line="400" w:lineRule="atLeast"/>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napToGrid w:val="0"/>
        <w:spacing w:before="156"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ascii="宋体" w:hAnsi="宋体"/>
          <w:b/>
          <w:color w:val="000000" w:themeColor="text1"/>
          <w:sz w:val="28"/>
          <w:highlight w:val="none"/>
          <w14:textFill>
            <w14:solidFill>
              <w14:schemeClr w14:val="tx1"/>
            </w14:solidFill>
          </w14:textFill>
        </w:rPr>
      </w:pPr>
    </w:p>
    <w:p>
      <w:pPr>
        <w:pStyle w:val="3"/>
        <w:rPr>
          <w:rFonts w:hint="eastAsia" w:eastAsia="宋体"/>
          <w:highlight w:val="none"/>
          <w:lang w:val="en-US" w:eastAsia="zh-CN"/>
        </w:rPr>
      </w:pPr>
    </w:p>
    <w:p>
      <w:pPr>
        <w:pStyle w:val="3"/>
        <w:rPr>
          <w:rFonts w:hint="eastAsia" w:eastAsia="宋体"/>
          <w:highlight w:val="none"/>
          <w:lang w:val="en-US" w:eastAsia="zh-CN"/>
        </w:rPr>
      </w:pPr>
    </w:p>
    <w:p>
      <w:pPr>
        <w:snapToGrid w:val="0"/>
        <w:spacing w:before="156" w:beforeLines="50" w:after="50" w:line="380" w:lineRule="atLeast"/>
        <w:rPr>
          <w:rFonts w:ascii="仿宋_GB2312" w:hAnsi="宋体" w:eastAsia="仿宋_GB2312"/>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附件4：</w:t>
      </w:r>
    </w:p>
    <w:p>
      <w:pPr>
        <w:snapToGrid w:val="0"/>
        <w:spacing w:before="156" w:beforeLines="50" w:after="50" w:line="360" w:lineRule="auto"/>
        <w:jc w:val="right"/>
        <w:rPr>
          <w:rFonts w:ascii="仿宋_GB2312" w:hAnsi="宋体" w:eastAsia="仿宋_GB2312"/>
          <w:bCs/>
          <w:color w:val="000000" w:themeColor="text1"/>
          <w:sz w:val="30"/>
          <w:szCs w:val="30"/>
          <w:highlight w:val="none"/>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不见面开标大厅硬件采购</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HQ-YHZFCG-2019-40</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宋体" w:hAnsi="宋体"/>
          <w:b/>
          <w:color w:val="000000" w:themeColor="text1"/>
          <w:spacing w:val="40"/>
          <w:sz w:val="28"/>
          <w:szCs w:val="28"/>
          <w:highlight w:val="none"/>
          <w14:textFill>
            <w14:solidFill>
              <w14:schemeClr w14:val="tx1"/>
            </w14:solidFill>
          </w14:textFill>
        </w:rPr>
        <w:t>）</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p>
    <w:p>
      <w:pPr>
        <w:pStyle w:val="3"/>
        <w:rPr>
          <w:highlight w:val="none"/>
        </w:rPr>
      </w:pPr>
    </w:p>
    <w:p>
      <w:pPr>
        <w:snapToGrid w:val="0"/>
        <w:spacing w:before="50" w:after="50" w:line="360" w:lineRule="auto"/>
        <w:jc w:val="center"/>
        <w:rPr>
          <w:rFonts w:hint="eastAsia" w:ascii="宋体" w:hAnsi="宋体"/>
          <w:b/>
          <w:bCs/>
          <w:color w:val="000000" w:themeColor="text1"/>
          <w:sz w:val="32"/>
          <w:szCs w:val="32"/>
          <w:highlight w:val="none"/>
          <w:lang w:val="zh-CN"/>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val="zh-CN"/>
          <w14:textFill>
            <w14:solidFill>
              <w14:schemeClr w14:val="tx1"/>
            </w14:solidFill>
          </w14:textFill>
        </w:rPr>
        <w:t>商务与技术文件</w:t>
      </w:r>
      <w:r>
        <w:rPr>
          <w:rFonts w:hint="eastAsia" w:ascii="宋体" w:hAnsi="宋体"/>
          <w:b/>
          <w:bCs/>
          <w:color w:val="000000" w:themeColor="text1"/>
          <w:sz w:val="32"/>
          <w:szCs w:val="32"/>
          <w:highlight w:val="none"/>
          <w14:textFill>
            <w14:solidFill>
              <w14:schemeClr w14:val="tx1"/>
            </w14:solidFill>
          </w14:textFill>
        </w:rPr>
        <w:t>目录</w:t>
      </w:r>
    </w:p>
    <w:p>
      <w:pPr>
        <w:snapToGrid w:val="0"/>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投标人情况介绍</w:t>
      </w:r>
      <w:r>
        <w:rPr>
          <w:rFonts w:hint="eastAsia" w:ascii="宋体" w:hAnsi="宋体"/>
          <w:color w:val="000000" w:themeColor="text1"/>
          <w:sz w:val="28"/>
          <w:szCs w:val="28"/>
          <w:highlight w:val="none"/>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项目需求的理解与分析</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项目组织实施方案(附件6、附件7)</w:t>
      </w:r>
      <w:r>
        <w:rPr>
          <w:rFonts w:ascii="宋体" w:hAnsi="宋体"/>
          <w:color w:val="000000" w:themeColor="text1"/>
          <w:sz w:val="28"/>
          <w:szCs w:val="28"/>
          <w:highlight w:val="none"/>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4、</w:t>
      </w:r>
      <w:r>
        <w:rPr>
          <w:rFonts w:asciiTheme="minorEastAsia" w:hAnsiTheme="minorEastAsia" w:eastAsiaTheme="minorEastAsia"/>
          <w:color w:val="000000" w:themeColor="text1"/>
          <w:kern w:val="0"/>
          <w:sz w:val="28"/>
          <w:szCs w:val="28"/>
          <w:highlight w:val="none"/>
          <w14:textFill>
            <w14:solidFill>
              <w14:schemeClr w14:val="tx1"/>
            </w14:solidFill>
          </w14:textFill>
        </w:rPr>
        <w:t>安装、调试及验收方案</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kern w:val="0"/>
          <w:sz w:val="28"/>
          <w:szCs w:val="28"/>
          <w:highlight w:val="none"/>
          <w14:textFill>
            <w14:solidFill>
              <w14:schemeClr w14:val="tx1"/>
            </w14:solidFill>
          </w14:textFill>
        </w:rPr>
        <w:t>投标产品描述及相关资料（</w:t>
      </w:r>
      <w:r>
        <w:rPr>
          <w:rFonts w:hint="eastAsia" w:ascii="宋体" w:hAnsi="宋体" w:cs="宋体"/>
          <w:color w:val="000000" w:themeColor="text1"/>
          <w:sz w:val="28"/>
          <w:szCs w:val="28"/>
          <w:highlight w:val="none"/>
          <w14:textFill>
            <w14:solidFill>
              <w14:schemeClr w14:val="tx1"/>
            </w14:solidFill>
          </w14:textFill>
        </w:rPr>
        <w:t>附件8、附件9</w:t>
      </w:r>
      <w:r>
        <w:rPr>
          <w:rFonts w:hint="eastAsia" w:ascii="宋体" w:hAnsi="宋体"/>
          <w:color w:val="000000" w:themeColor="text1"/>
          <w:kern w:val="0"/>
          <w:sz w:val="28"/>
          <w:szCs w:val="28"/>
          <w:highlight w:val="none"/>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投标人</w:t>
      </w:r>
      <w:r>
        <w:rPr>
          <w:rFonts w:ascii="宋体" w:hAnsi="宋体"/>
          <w:color w:val="000000" w:themeColor="text1"/>
          <w:sz w:val="28"/>
          <w:szCs w:val="28"/>
          <w:highlight w:val="none"/>
          <w14:textFill>
            <w14:solidFill>
              <w14:schemeClr w14:val="tx1"/>
            </w14:solidFill>
          </w14:textFill>
        </w:rPr>
        <w:t>需要说明的其他</w:t>
      </w:r>
      <w:r>
        <w:rPr>
          <w:rFonts w:hint="eastAsia" w:ascii="宋体" w:hAnsi="宋体"/>
          <w:color w:val="000000" w:themeColor="text1"/>
          <w:sz w:val="28"/>
          <w:szCs w:val="28"/>
          <w:highlight w:val="none"/>
          <w14:textFill>
            <w14:solidFill>
              <w14:schemeClr w14:val="tx1"/>
            </w14:solidFill>
          </w14:textFill>
        </w:rPr>
        <w:t>内容；（</w:t>
      </w:r>
      <w:r>
        <w:rPr>
          <w:rFonts w:hint="eastAsia" w:ascii="宋体" w:hAnsi="宋体" w:cs="宋体"/>
          <w:color w:val="000000" w:themeColor="text1"/>
          <w:sz w:val="28"/>
          <w:szCs w:val="28"/>
          <w:highlight w:val="none"/>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3、售后服务描述及承诺（附件12，附件13）；</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1、主要货物用材响应表(附件14)</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（以上内容具体描述详见“第三部分投标人须知”中“三、投标文件”的组成说明）</w:t>
      </w:r>
    </w:p>
    <w:p>
      <w:pPr>
        <w:pStyle w:val="26"/>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26"/>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26"/>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26"/>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附件5</w:t>
      </w:r>
    </w:p>
    <w:p>
      <w:pPr>
        <w:pStyle w:val="26"/>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tbl>
      <w:tblPr>
        <w:tblStyle w:val="17"/>
        <w:tblW w:w="8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82" w:type="dxa"/>
          </w:tcPr>
          <w:p>
            <w:pPr>
              <w:pStyle w:val="26"/>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pPr>
              <w:pStyle w:val="26"/>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pPr>
              <w:pStyle w:val="26"/>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pPr>
              <w:pStyle w:val="26"/>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82" w:type="dxa"/>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pPr>
              <w:pStyle w:val="26"/>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82" w:type="dxa"/>
            <w:tcBorders>
              <w:bottom w:val="single" w:color="auto" w:sz="4" w:space="0"/>
            </w:tcBorders>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pPr>
              <w:pStyle w:val="26"/>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26"/>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pPr>
              <w:pStyle w:val="26"/>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82" w:type="dxa"/>
            <w:vMerge w:val="restart"/>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pPr>
              <w:pStyle w:val="26"/>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pPr>
              <w:pStyle w:val="26"/>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682" w:type="dxa"/>
            <w:vMerge w:val="continue"/>
            <w:tcBorders>
              <w:bottom w:val="single" w:color="auto" w:sz="4" w:space="0"/>
            </w:tcBorders>
          </w:tcPr>
          <w:p>
            <w:pPr>
              <w:pStyle w:val="26"/>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Pr>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Pr>
          <w:p>
            <w:pPr>
              <w:pStyle w:val="26"/>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82" w:type="dxa"/>
            <w:vMerge w:val="restart"/>
          </w:tcPr>
          <w:p>
            <w:pPr>
              <w:pStyle w:val="26"/>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26"/>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26"/>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26"/>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26"/>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nil"/>
            </w:tcBorders>
          </w:tcPr>
          <w:p>
            <w:pPr>
              <w:pStyle w:val="26"/>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6"/>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682" w:type="dxa"/>
            <w:vMerge w:val="continue"/>
          </w:tcPr>
          <w:p>
            <w:pPr>
              <w:pStyle w:val="26"/>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26"/>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pPr>
              <w:pStyle w:val="26"/>
              <w:shd w:val="clear" w:color="auto" w:fill="FFFFFF"/>
              <w:spacing w:line="360" w:lineRule="auto"/>
              <w:rPr>
                <w:bCs/>
                <w:color w:val="000000" w:themeColor="text1"/>
                <w:highlight w:val="none"/>
                <w14:textFill>
                  <w14:solidFill>
                    <w14:schemeClr w14:val="tx1"/>
                  </w14:solidFill>
                </w14:textFill>
              </w:rPr>
            </w:pPr>
          </w:p>
        </w:tc>
        <w:tc>
          <w:tcPr>
            <w:tcW w:w="1163" w:type="dxa"/>
          </w:tcPr>
          <w:p>
            <w:pPr>
              <w:pStyle w:val="26"/>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pPr>
              <w:pStyle w:val="26"/>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26"/>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pPr>
              <w:pStyle w:val="26"/>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pPr>
              <w:pStyle w:val="26"/>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682" w:type="dxa"/>
            <w:vMerge w:val="continue"/>
          </w:tcPr>
          <w:p>
            <w:pPr>
              <w:pStyle w:val="26"/>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26"/>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pPr>
              <w:pStyle w:val="26"/>
              <w:shd w:val="clear" w:color="auto" w:fill="FFFFFF"/>
              <w:spacing w:line="360" w:lineRule="auto"/>
              <w:ind w:left="2"/>
              <w:rPr>
                <w:bCs/>
                <w:color w:val="000000" w:themeColor="text1"/>
                <w:highlight w:val="none"/>
                <w14:textFill>
                  <w14:solidFill>
                    <w14:schemeClr w14:val="tx1"/>
                  </w14:solidFill>
                </w14:textFill>
              </w:rPr>
            </w:pPr>
          </w:p>
        </w:tc>
        <w:tc>
          <w:tcPr>
            <w:tcW w:w="1163" w:type="dxa"/>
          </w:tcPr>
          <w:p>
            <w:pPr>
              <w:pStyle w:val="26"/>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26"/>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pPr>
              <w:pStyle w:val="26"/>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pPr>
              <w:pStyle w:val="26"/>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682" w:type="dxa"/>
            <w:vMerge w:val="continue"/>
          </w:tcPr>
          <w:p>
            <w:pPr>
              <w:pStyle w:val="26"/>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26"/>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pPr>
              <w:pStyle w:val="26"/>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682" w:type="dxa"/>
            <w:vMerge w:val="continue"/>
          </w:tcPr>
          <w:p>
            <w:pPr>
              <w:pStyle w:val="26"/>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pPr>
              <w:pStyle w:val="26"/>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682" w:type="dxa"/>
            <w:vMerge w:val="restart"/>
          </w:tcPr>
          <w:p>
            <w:pPr>
              <w:pStyle w:val="26"/>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26"/>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pPr>
              <w:pStyle w:val="26"/>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pPr>
              <w:pStyle w:val="26"/>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pPr>
              <w:pStyle w:val="26"/>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pPr>
              <w:pStyle w:val="26"/>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pPr>
              <w:pStyle w:val="26"/>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pPr>
              <w:pStyle w:val="26"/>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682" w:type="dxa"/>
            <w:vMerge w:val="continue"/>
          </w:tcPr>
          <w:p>
            <w:pPr>
              <w:pStyle w:val="26"/>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pPr>
              <w:pStyle w:val="26"/>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pPr>
              <w:pStyle w:val="26"/>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pPr>
              <w:pStyle w:val="26"/>
              <w:shd w:val="clear" w:color="auto" w:fill="FFFFFF"/>
              <w:spacing w:line="360" w:lineRule="auto"/>
              <w:rPr>
                <w:bCs/>
                <w:color w:val="000000" w:themeColor="text1"/>
                <w:highlight w:val="none"/>
                <w14:textFill>
                  <w14:solidFill>
                    <w14:schemeClr w14:val="tx1"/>
                  </w14:solidFill>
                </w14:textFill>
              </w:rPr>
            </w:pPr>
          </w:p>
        </w:tc>
        <w:tc>
          <w:tcPr>
            <w:tcW w:w="1276" w:type="dxa"/>
          </w:tcPr>
          <w:p>
            <w:pPr>
              <w:pStyle w:val="26"/>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pPr>
              <w:pStyle w:val="26"/>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682" w:type="dxa"/>
            <w:vMerge w:val="continue"/>
          </w:tcPr>
          <w:p>
            <w:pPr>
              <w:pStyle w:val="26"/>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pPr>
              <w:pStyle w:val="26"/>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pPr>
              <w:pStyle w:val="26"/>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682" w:type="dxa"/>
            <w:vMerge w:val="continue"/>
          </w:tcPr>
          <w:p>
            <w:pPr>
              <w:pStyle w:val="26"/>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pPr>
              <w:pStyle w:val="26"/>
              <w:shd w:val="clear" w:color="auto" w:fill="FFFFFF"/>
              <w:spacing w:line="360" w:lineRule="auto"/>
              <w:rPr>
                <w:bCs/>
                <w:color w:val="000000" w:themeColor="text1"/>
                <w:spacing w:val="16"/>
                <w:highlight w:val="none"/>
                <w14:textFill>
                  <w14:solidFill>
                    <w14:schemeClr w14:val="tx1"/>
                  </w14:solidFill>
                </w14:textFill>
              </w:rPr>
            </w:pPr>
          </w:p>
        </w:tc>
      </w:tr>
    </w:tbl>
    <w:p>
      <w:pPr>
        <w:pStyle w:val="26"/>
        <w:shd w:val="clear" w:color="auto" w:fill="FFFFFF"/>
        <w:spacing w:before="0" w:beforeAutospacing="0" w:after="0" w:afterAutospacing="0" w:line="360" w:lineRule="auto"/>
        <w:rPr>
          <w:rFonts w:ascii="仿宋_GB2312" w:eastAsia="仿宋_GB2312"/>
          <w:color w:val="000000" w:themeColor="text1"/>
          <w:highlight w:val="none"/>
          <w14:textFill>
            <w14:solidFill>
              <w14:schemeClr w14:val="tx1"/>
            </w14:solidFill>
          </w14:textFill>
        </w:rPr>
      </w:pPr>
    </w:p>
    <w:p>
      <w:pPr>
        <w:pStyle w:val="26"/>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26"/>
        <w:shd w:val="clear" w:color="auto" w:fill="FFFFFF"/>
        <w:spacing w:before="0" w:beforeAutospacing="0" w:after="0" w:afterAutospacing="0" w:line="360" w:lineRule="auto"/>
        <w:ind w:firstLine="424" w:firstLineChars="202"/>
        <w:rPr>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pStyle w:val="26"/>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4"/>
          <w:highlight w:val="none"/>
          <w14:textFill>
            <w14:solidFill>
              <w14:schemeClr w14:val="tx1"/>
            </w14:solidFill>
          </w14:textFill>
        </w:rPr>
      </w:pPr>
    </w:p>
    <w:p>
      <w:pPr>
        <w:pStyle w:val="3"/>
        <w:rPr>
          <w:highlight w:val="none"/>
        </w:rPr>
      </w:pPr>
    </w:p>
    <w:p>
      <w:pPr>
        <w:pStyle w:val="3"/>
        <w:rPr>
          <w:highlight w:val="none"/>
        </w:rPr>
      </w:pPr>
    </w:p>
    <w:p>
      <w:pPr>
        <w:pStyle w:val="3"/>
        <w:rPr>
          <w:highlight w:val="none"/>
        </w:rPr>
      </w:pPr>
    </w:p>
    <w:p>
      <w:pPr>
        <w:pStyle w:val="3"/>
        <w:rPr>
          <w:highlight w:val="none"/>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附件6</w:t>
      </w:r>
    </w:p>
    <w:p>
      <w:pPr>
        <w:snapToGrid w:val="0"/>
        <w:spacing w:before="156" w:beforeLines="50" w:after="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p>
    <w:p>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17"/>
        <w:tblW w:w="8898" w:type="dxa"/>
        <w:jc w:val="center"/>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1"/>
              <w:spacing w:line="360" w:lineRule="auto"/>
              <w:ind w:left="5250"/>
              <w:rPr>
                <w:rFonts w:ascii="宋体" w:hAnsi="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在填写时，如本表格不适合投标单位的实际情况，可根据本表格式自行划表填写。</w:t>
      </w:r>
    </w:p>
    <w:p>
      <w:pPr>
        <w:pStyle w:val="27"/>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27"/>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w:t>
      </w:r>
      <w:r>
        <w:rPr>
          <w:rFonts w:ascii="宋体" w:hAnsi="宋体"/>
          <w:color w:val="000000" w:themeColor="text1"/>
          <w:szCs w:val="21"/>
          <w:highlight w:val="none"/>
          <w14:textFill>
            <w14:solidFill>
              <w14:schemeClr w14:val="tx1"/>
            </w14:solidFill>
          </w14:textFill>
        </w:rPr>
        <w:t>投标截止日之前六个月以内的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hint="eastAsia" w:ascii="宋体" w:hAnsi="宋体"/>
          <w:b/>
          <w:color w:val="000000" w:themeColor="text1"/>
          <w:sz w:val="28"/>
          <w:highlight w:val="none"/>
          <w14:textFill>
            <w14:solidFill>
              <w14:schemeClr w14:val="tx1"/>
            </w14:solidFill>
          </w14:textFill>
        </w:rPr>
      </w:pPr>
    </w:p>
    <w:p>
      <w:pPr>
        <w:spacing w:line="360" w:lineRule="auto"/>
        <w:ind w:firstLine="435"/>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附件7</w:t>
      </w:r>
    </w:p>
    <w:p>
      <w:pPr>
        <w:spacing w:before="156" w:beforeLines="50" w:after="156"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17"/>
        <w:tblW w:w="8626" w:type="dxa"/>
        <w:jc w:val="center"/>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供货</w:t>
      </w:r>
      <w:r>
        <w:rPr>
          <w:rFonts w:ascii="宋体" w:hAnsi="宋体"/>
          <w:b/>
          <w:color w:val="000000" w:themeColor="text1"/>
          <w:sz w:val="32"/>
          <w:szCs w:val="32"/>
          <w:highlight w:val="none"/>
          <w14:textFill>
            <w14:solidFill>
              <w14:schemeClr w14:val="tx1"/>
            </w14:solidFill>
          </w14:textFill>
        </w:rPr>
        <w:t>清单</w:t>
      </w:r>
    </w:p>
    <w:p>
      <w:pPr>
        <w:spacing w:line="360" w:lineRule="auto"/>
        <w:ind w:left="480"/>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p>
    <w:p>
      <w:pPr>
        <w:spacing w:line="360" w:lineRule="auto"/>
        <w:ind w:left="420"/>
        <w:rPr>
          <w:rFonts w:ascii="宋体" w:hAnsi="宋体"/>
          <w:color w:val="000000" w:themeColor="text1"/>
          <w:sz w:val="24"/>
          <w:highlight w:val="none"/>
          <w14:textFill>
            <w14:solidFill>
              <w14:schemeClr w14:val="tx1"/>
            </w14:solidFill>
          </w14:textFill>
        </w:rPr>
      </w:pPr>
    </w:p>
    <w:tbl>
      <w:tblPr>
        <w:tblStyle w:val="17"/>
        <w:tblW w:w="822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3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firstLine="571" w:firstLineChars="238"/>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kern w:val="0"/>
          <w:sz w:val="32"/>
          <w:szCs w:val="32"/>
          <w:highlight w:val="none"/>
          <w14:textFill>
            <w14:solidFill>
              <w14:schemeClr w14:val="tx1"/>
            </w14:solidFill>
          </w14:textFill>
        </w:rPr>
        <w:t>技术</w:t>
      </w:r>
      <w:r>
        <w:rPr>
          <w:rFonts w:hint="eastAsia" w:ascii="宋体" w:hAnsi="宋体"/>
          <w:color w:val="000000" w:themeColor="text1"/>
          <w:kern w:val="0"/>
          <w:sz w:val="32"/>
          <w:szCs w:val="32"/>
          <w:highlight w:val="none"/>
          <w14:textFill>
            <w14:solidFill>
              <w14:schemeClr w14:val="tx1"/>
            </w14:solidFill>
          </w14:textFill>
        </w:rPr>
        <w:t>需求</w:t>
      </w:r>
      <w:r>
        <w:rPr>
          <w:rFonts w:ascii="宋体" w:hAnsi="宋体"/>
          <w:color w:val="000000" w:themeColor="text1"/>
          <w:kern w:val="0"/>
          <w:sz w:val="32"/>
          <w:szCs w:val="32"/>
          <w:highlight w:val="none"/>
          <w14:textFill>
            <w14:solidFill>
              <w14:schemeClr w14:val="tx1"/>
            </w14:solidFill>
          </w14:textFill>
        </w:rPr>
        <w:t>响应表</w:t>
      </w:r>
    </w:p>
    <w:p>
      <w:pPr>
        <w:spacing w:line="360" w:lineRule="auto"/>
        <w:rPr>
          <w:rFonts w:ascii="宋体" w:hAnsi="宋体"/>
          <w:color w:val="000000" w:themeColor="text1"/>
          <w:sz w:val="24"/>
          <w:highlight w:val="none"/>
          <w14:textFill>
            <w14:solidFill>
              <w14:schemeClr w14:val="tx1"/>
            </w14:solidFill>
          </w14:textFill>
        </w:rPr>
      </w:pPr>
    </w:p>
    <w:tbl>
      <w:tblPr>
        <w:tblStyle w:val="17"/>
        <w:tblW w:w="8295"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3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1560" w:type="dxa"/>
            <w:vAlign w:val="center"/>
          </w:tcPr>
          <w:p>
            <w:pPr>
              <w:spacing w:line="360" w:lineRule="auto"/>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投标参数</w:t>
            </w:r>
          </w:p>
        </w:tc>
        <w:tc>
          <w:tcPr>
            <w:tcW w:w="136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pStyle w:val="28"/>
        <w:tabs>
          <w:tab w:val="left" w:pos="360"/>
        </w:tabs>
        <w:spacing w:line="360" w:lineRule="auto"/>
        <w:ind w:right="84" w:rightChars="40"/>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要求：</w:t>
      </w:r>
    </w:p>
    <w:p>
      <w:pPr>
        <w:pStyle w:val="28"/>
        <w:tabs>
          <w:tab w:val="left" w:pos="360"/>
        </w:tabs>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 本表的名称须与《报价明细表》一致。</w:t>
      </w:r>
    </w:p>
    <w:p>
      <w:pPr>
        <w:pStyle w:val="28"/>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2.本表参照本招标文件第二部分“招标需求”内第二条“具体技术需求”填制，投标人应根据投标设备的性能指标、服务指标，对照招标文件要求在“偏离情况”栏注明“正偏离”、“负偏离”或“无偏离”。</w:t>
      </w:r>
    </w:p>
    <w:p>
      <w:pPr>
        <w:pStyle w:val="28"/>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pStyle w:val="29"/>
        <w:spacing w:line="360" w:lineRule="auto"/>
        <w:jc w:val="left"/>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pPr>
        <w:pStyle w:val="30"/>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30"/>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17"/>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pPr>
              <w:pStyle w:val="3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pPr>
              <w:pStyle w:val="3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30"/>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30"/>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0"/>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1.填写投标人获得资质、认证或企业信誉证书；</w:t>
      </w:r>
    </w:p>
    <w:p>
      <w:pPr>
        <w:pStyle w:val="30"/>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30"/>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0"/>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0"/>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pStyle w:val="26"/>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pStyle w:val="3"/>
        <w:rPr>
          <w:highlight w:val="none"/>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附件11</w:t>
      </w:r>
    </w:p>
    <w:p>
      <w:pPr>
        <w:pStyle w:val="29"/>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投标人类似项目实施情况一览表</w:t>
      </w:r>
    </w:p>
    <w:p>
      <w:pPr>
        <w:pStyle w:val="29"/>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17"/>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复印件可只提供首页、含金额页、盖章页并加盖投标人公章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.报价供应商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jc w:val="center"/>
        <w:rPr>
          <w:rFonts w:ascii="仿宋" w:hAnsi="仿宋" w:eastAsia="仿宋"/>
          <w:snapToGrid w:val="0"/>
          <w:color w:val="000000" w:themeColor="text1"/>
          <w:kern w:val="0"/>
          <w:sz w:val="24"/>
          <w:highlight w:val="none"/>
          <w14:textFill>
            <w14:solidFill>
              <w14:schemeClr w14:val="tx1"/>
            </w14:solidFill>
          </w14:textFill>
        </w:rPr>
      </w:pPr>
    </w:p>
    <w:p>
      <w:pPr>
        <w:pStyle w:val="30"/>
        <w:tabs>
          <w:tab w:val="left" w:pos="1050"/>
        </w:tabs>
        <w:spacing w:line="360" w:lineRule="auto"/>
        <w:rPr>
          <w:rFonts w:hint="eastAsia" w:ascii="宋体" w:hAnsi="宋体"/>
          <w:b/>
          <w:color w:val="000000" w:themeColor="text1"/>
          <w:sz w:val="28"/>
          <w:highlight w:val="none"/>
          <w14:textFill>
            <w14:solidFill>
              <w14:schemeClr w14:val="tx1"/>
            </w14:solidFill>
          </w14:textFill>
        </w:rPr>
      </w:pPr>
    </w:p>
    <w:p>
      <w:pPr>
        <w:pStyle w:val="30"/>
        <w:tabs>
          <w:tab w:val="left" w:pos="1050"/>
        </w:tabs>
        <w:spacing w:line="360" w:lineRule="auto"/>
        <w:rPr>
          <w:rFonts w:hint="eastAsia" w:ascii="宋体" w:hAnsi="宋体"/>
          <w:b/>
          <w:color w:val="000000" w:themeColor="text1"/>
          <w:sz w:val="28"/>
          <w:highlight w:val="none"/>
          <w14:textFill>
            <w14:solidFill>
              <w14:schemeClr w14:val="tx1"/>
            </w14:solidFill>
          </w14:textFill>
        </w:rPr>
      </w:pPr>
    </w:p>
    <w:p>
      <w:pPr>
        <w:pStyle w:val="30"/>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资信及商务需求响应表(第 标)</w:t>
      </w:r>
    </w:p>
    <w:p>
      <w:pPr>
        <w:spacing w:line="360" w:lineRule="auto"/>
        <w:ind w:left="481" w:leftChars="229" w:firstLine="813" w:firstLineChars="450"/>
        <w:rPr>
          <w:rFonts w:ascii="宋体" w:hAnsi="宋体"/>
          <w:b/>
          <w:color w:val="000000" w:themeColor="text1"/>
          <w:sz w:val="18"/>
          <w:szCs w:val="18"/>
          <w:highlight w:val="none"/>
          <w14:textFill>
            <w14:solidFill>
              <w14:schemeClr w14:val="tx1"/>
            </w14:solidFill>
          </w14:textFill>
        </w:rPr>
      </w:pPr>
    </w:p>
    <w:tbl>
      <w:tblPr>
        <w:tblStyle w:val="17"/>
        <w:tblW w:w="8295"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jc w:val="center"/>
        </w:trPr>
        <w:tc>
          <w:tcPr>
            <w:tcW w:w="73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招标需求</w:t>
            </w:r>
          </w:p>
        </w:tc>
        <w:tc>
          <w:tcPr>
            <w:tcW w:w="1365" w:type="dxa"/>
            <w:vAlign w:val="center"/>
          </w:tcPr>
          <w:p>
            <w:pPr>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是否响应</w:t>
            </w:r>
          </w:p>
        </w:tc>
        <w:tc>
          <w:tcPr>
            <w:tcW w:w="2625"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售后服务保障要求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备品备件及耗材等要求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质保期</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交货和服务</w:t>
            </w:r>
          </w:p>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时间及地点</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付款条件</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pStyle w:val="3"/>
        <w:rPr>
          <w:highlight w:val="none"/>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17"/>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3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3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投标人情况</w:t>
            </w:r>
          </w:p>
        </w:tc>
        <w:tc>
          <w:tcPr>
            <w:tcW w:w="1373" w:type="dxa"/>
            <w:vAlign w:val="center"/>
          </w:tcPr>
          <w:p>
            <w:pPr>
              <w:pStyle w:val="3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1"/>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tcPr>
          <w:p>
            <w:pPr>
              <w:pStyle w:val="31"/>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生产厂商售后服务情况：</w:t>
            </w:r>
          </w:p>
        </w:tc>
        <w:tc>
          <w:tcPr>
            <w:tcW w:w="1373" w:type="dxa"/>
          </w:tcPr>
          <w:p>
            <w:pPr>
              <w:pStyle w:val="31"/>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2355" w:type="dxa"/>
            <w:vMerge w:val="continue"/>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tcPr>
          <w:p>
            <w:pPr>
              <w:pStyle w:val="31"/>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投标人售后服务情况：</w:t>
            </w:r>
          </w:p>
        </w:tc>
        <w:tc>
          <w:tcPr>
            <w:tcW w:w="1373" w:type="dxa"/>
          </w:tcPr>
          <w:p>
            <w:pPr>
              <w:pStyle w:val="31"/>
              <w:spacing w:line="360" w:lineRule="auto"/>
              <w:jc w:val="left"/>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1"/>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31"/>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1"/>
              <w:spacing w:line="360" w:lineRule="auto"/>
              <w:rPr>
                <w:rFonts w:ascii="宋体" w:hAnsi="宋体" w:cs="Arial"/>
                <w:bCs/>
                <w:color w:val="000000" w:themeColor="text1"/>
                <w:sz w:val="24"/>
                <w:highlight w:val="none"/>
                <w14:textFill>
                  <w14:solidFill>
                    <w14:schemeClr w14:val="tx1"/>
                  </w14:solidFill>
                </w14:textFill>
              </w:rPr>
            </w:pPr>
          </w:p>
        </w:tc>
        <w:tc>
          <w:tcPr>
            <w:tcW w:w="1373" w:type="dxa"/>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1"/>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tcPr>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tcPr>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u w:val="single"/>
          <w14:textFill>
            <w14:solidFill>
              <w14:schemeClr w14:val="tx1"/>
            </w14:solidFill>
          </w14:textFill>
        </w:rPr>
      </w:pPr>
    </w:p>
    <w:p>
      <w:pPr>
        <w:pStyle w:val="32"/>
        <w:spacing w:line="360" w:lineRule="auto"/>
        <w:rPr>
          <w:rFonts w:hint="eastAsia" w:hAnsi="宋体"/>
          <w:b/>
          <w:color w:val="000000" w:themeColor="text1"/>
          <w:sz w:val="28"/>
          <w:szCs w:val="28"/>
          <w:highlight w:val="none"/>
          <w14:textFill>
            <w14:solidFill>
              <w14:schemeClr w14:val="tx1"/>
            </w14:solidFill>
          </w14:textFill>
        </w:rPr>
      </w:pPr>
    </w:p>
    <w:p>
      <w:pPr>
        <w:pStyle w:val="32"/>
        <w:spacing w:line="360" w:lineRule="auto"/>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附件14</w:t>
      </w:r>
    </w:p>
    <w:p>
      <w:pPr>
        <w:pStyle w:val="32"/>
        <w:spacing w:line="360" w:lineRule="auto"/>
        <w:jc w:val="center"/>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主要货物用材响应表（如有则提供）</w:t>
      </w:r>
    </w:p>
    <w:tbl>
      <w:tblPr>
        <w:tblStyle w:val="17"/>
        <w:tblW w:w="9270"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32"/>
        <w:gridCol w:w="1432"/>
        <w:gridCol w:w="1260"/>
        <w:gridCol w:w="900"/>
        <w:gridCol w:w="781"/>
        <w:gridCol w:w="900"/>
        <w:gridCol w:w="91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序号</w:t>
            </w: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货物名称</w:t>
            </w: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产品配置</w:t>
            </w:r>
          </w:p>
        </w:tc>
        <w:tc>
          <w:tcPr>
            <w:tcW w:w="5686" w:type="dxa"/>
            <w:gridSpan w:val="6"/>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材料规格及参数</w:t>
            </w:r>
          </w:p>
        </w:tc>
        <w:tc>
          <w:tcPr>
            <w:tcW w:w="900"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品牌</w:t>
            </w:r>
          </w:p>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商标</w:t>
            </w:r>
          </w:p>
        </w:tc>
        <w:tc>
          <w:tcPr>
            <w:tcW w:w="781"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生产厂家</w:t>
            </w:r>
          </w:p>
        </w:tc>
        <w:tc>
          <w:tcPr>
            <w:tcW w:w="900"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符合标准</w:t>
            </w:r>
          </w:p>
        </w:tc>
        <w:tc>
          <w:tcPr>
            <w:tcW w:w="915"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性能说明</w:t>
            </w:r>
          </w:p>
        </w:tc>
        <w:tc>
          <w:tcPr>
            <w:tcW w:w="930"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1"/>
        <w:spacing w:line="360" w:lineRule="auto"/>
        <w:ind w:left="699" w:leftChars="228" w:hanging="220" w:hanging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1.请列出以上产品的各项主要用材、辅料、油漆、五金件等。</w:t>
      </w:r>
    </w:p>
    <w:p>
      <w:pPr>
        <w:pStyle w:val="31"/>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2.本表所列产品主要用材均为采购人抽样送检的范围。</w:t>
      </w:r>
    </w:p>
    <w:p>
      <w:pPr>
        <w:spacing w:line="360" w:lineRule="auto"/>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color w:val="000000" w:themeColor="text1"/>
          <w:spacing w:val="40"/>
          <w:sz w:val="52"/>
          <w:szCs w:val="5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附件15</w:t>
      </w: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不见面开标大厅硬件采购</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HQ-YHZFCG-2019-40</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1、开标一览表（附件16）；</w:t>
      </w:r>
    </w:p>
    <w:p>
      <w:pPr>
        <w:pStyle w:val="11"/>
        <w:snapToGrid w:val="0"/>
        <w:spacing w:line="360" w:lineRule="auto"/>
        <w:ind w:left="0" w:left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2、报价明细表</w:t>
      </w:r>
      <w:r>
        <w:rPr>
          <w:rFonts w:hint="eastAsia" w:ascii="宋体" w:hAnsi="宋体"/>
          <w:color w:val="000000" w:themeColor="text1"/>
          <w:sz w:val="24"/>
          <w:highlight w:val="none"/>
          <w14:textFill>
            <w14:solidFill>
              <w14:schemeClr w14:val="tx1"/>
            </w14:solidFill>
          </w14:textFill>
        </w:rPr>
        <w:t>（附件17）</w:t>
      </w:r>
      <w:r>
        <w:rPr>
          <w:rFonts w:hint="eastAsia" w:ascii="宋体" w:hAnsi="宋体" w:eastAsia="宋体"/>
          <w:color w:val="000000" w:themeColor="text1"/>
          <w:sz w:val="24"/>
          <w:szCs w:val="24"/>
          <w:highlight w:val="none"/>
          <w14:textFill>
            <w14:solidFill>
              <w14:schemeClr w14:val="tx1"/>
            </w14:solidFill>
          </w14:textFill>
        </w:rPr>
        <w:t>；</w:t>
      </w:r>
    </w:p>
    <w:p>
      <w:pPr>
        <w:snapToGrid w:val="0"/>
        <w:spacing w:line="360" w:lineRule="auto"/>
        <w:rPr>
          <w:rFonts w:ascii="宋体"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针对报价投标人认为其他需要说明的；</w:t>
      </w:r>
    </w:p>
    <w:p>
      <w:pPr>
        <w:pStyle w:val="33"/>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4、</w:t>
      </w:r>
      <w:r>
        <w:rPr>
          <w:rFonts w:hAnsi="宋体"/>
          <w:color w:val="000000" w:themeColor="text1"/>
          <w:sz w:val="24"/>
          <w:highlight w:val="none"/>
          <w14:textFill>
            <w14:solidFill>
              <w14:schemeClr w14:val="tx1"/>
            </w14:solidFill>
          </w14:textFill>
        </w:rPr>
        <w:t>小微企业</w:t>
      </w:r>
      <w:r>
        <w:rPr>
          <w:rFonts w:hint="eastAsia" w:hAnsi="宋体"/>
          <w:color w:val="000000" w:themeColor="text1"/>
          <w:sz w:val="24"/>
          <w:highlight w:val="none"/>
          <w14:textFill>
            <w14:solidFill>
              <w14:schemeClr w14:val="tx1"/>
            </w14:solidFill>
          </w14:textFill>
        </w:rPr>
        <w:t>等</w:t>
      </w:r>
      <w:r>
        <w:rPr>
          <w:rFonts w:hAnsi="宋体"/>
          <w:color w:val="000000" w:themeColor="text1"/>
          <w:sz w:val="24"/>
          <w:highlight w:val="none"/>
          <w14:textFill>
            <w14:solidFill>
              <w14:schemeClr w14:val="tx1"/>
            </w14:solidFill>
          </w14:textFill>
        </w:rPr>
        <w:t>声明函</w:t>
      </w:r>
      <w:r>
        <w:rPr>
          <w:rFonts w:hint="eastAsia" w:hAnsi="宋体"/>
          <w:color w:val="000000" w:themeColor="text1"/>
          <w:sz w:val="24"/>
          <w:highlight w:val="none"/>
          <w14:textFill>
            <w14:solidFill>
              <w14:schemeClr w14:val="tx1"/>
            </w14:solidFill>
          </w14:textFill>
        </w:rPr>
        <w:t>（附件18）；</w:t>
      </w:r>
    </w:p>
    <w:p>
      <w:pPr>
        <w:pStyle w:val="34"/>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5、产品适用政府采购政策情况表</w:t>
      </w:r>
      <w:r>
        <w:rPr>
          <w:rFonts w:hint="eastAsia" w:ascii="宋体" w:hAnsi="宋体"/>
          <w:color w:val="000000" w:themeColor="text1"/>
          <w:sz w:val="24"/>
          <w:highlight w:val="none"/>
          <w14:textFill>
            <w14:solidFill>
              <w14:schemeClr w14:val="tx1"/>
            </w14:solidFill>
          </w14:textFill>
        </w:rPr>
        <w:t>（附件19）</w:t>
      </w:r>
      <w:r>
        <w:rPr>
          <w:rFonts w:hint="eastAsia" w:ascii="宋体" w:hAnsi="宋体"/>
          <w:color w:val="000000" w:themeColor="text1"/>
          <w:kern w:val="0"/>
          <w:sz w:val="24"/>
          <w:highlight w:val="none"/>
          <w14:textFill>
            <w14:solidFill>
              <w14:schemeClr w14:val="tx1"/>
            </w14:solidFill>
          </w14:textFill>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附件16</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pPr>
        <w:pStyle w:val="10"/>
        <w:spacing w:line="320" w:lineRule="exact"/>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pPr>
        <w:pStyle w:val="35"/>
        <w:spacing w:line="360" w:lineRule="auto"/>
        <w:ind w:right="48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17"/>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pPr>
        <w:spacing w:line="360" w:lineRule="auto"/>
        <w:ind w:left="480"/>
        <w:rPr>
          <w:rFonts w:ascii="宋体" w:hAnsi="宋体"/>
          <w:b/>
          <w:color w:val="000000" w:themeColor="text1"/>
          <w:sz w:val="30"/>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填报要求：</w:t>
      </w:r>
    </w:p>
    <w:p>
      <w:pPr>
        <w:pStyle w:val="7"/>
        <w:spacing w:line="360" w:lineRule="auto"/>
        <w:ind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2.报价一经涂改，应在涂改处加盖单位公章，或者由法定代表人或全权代表签字或盖章，否则其投标作无效标处理。</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附件17</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报价明细表 </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                                    [货币单位：人民币元]</w:t>
      </w:r>
    </w:p>
    <w:tbl>
      <w:tblPr>
        <w:tblStyle w:val="17"/>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460" w:type="dxa"/>
            <w:vAlign w:val="center"/>
          </w:tcPr>
          <w:p>
            <w:pPr>
              <w:tabs>
                <w:tab w:val="left" w:pos="8280"/>
              </w:tabs>
              <w:autoSpaceDE w:val="0"/>
              <w:autoSpaceDN w:val="0"/>
              <w:adjustRightInd w:val="0"/>
              <w:spacing w:line="360" w:lineRule="auto"/>
              <w:ind w:right="2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品牌、产地</w:t>
            </w:r>
          </w:p>
        </w:tc>
        <w:tc>
          <w:tcPr>
            <w:tcW w:w="1559"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型号规格</w:t>
            </w:r>
          </w:p>
        </w:tc>
        <w:tc>
          <w:tcPr>
            <w:tcW w:w="851"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992"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单价</w:t>
            </w:r>
          </w:p>
        </w:tc>
        <w:tc>
          <w:tcPr>
            <w:tcW w:w="992"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小计</w:t>
            </w:r>
          </w:p>
        </w:tc>
        <w:tc>
          <w:tcPr>
            <w:tcW w:w="709"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合计人民币：大写                               小写</w:t>
            </w: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本表为《开标一览表》的报价明细表，如有缺项、漏项，视为投标报价中已包含相关费用，采购人无需另外支付任何费用。</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“报价明细表”中的报价合计应与“开标一览表”中的投标总报价相一致，不一致时，以开标一览表为准。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本表中的型号规格必须明确，招标文件中明确要求定制的除外。</w:t>
      </w: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ascii="仿宋_GB2312" w:hAnsi="宋体" w:eastAsia="仿宋_GB2312"/>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附件18</w:t>
      </w:r>
    </w:p>
    <w:p>
      <w:pPr>
        <w:spacing w:line="360" w:lineRule="auto"/>
        <w:ind w:right="-110"/>
        <w:jc w:val="center"/>
        <w:rPr>
          <w:rFonts w:ascii="宋体"/>
          <w:b/>
          <w:color w:val="000000"/>
          <w:sz w:val="32"/>
          <w:szCs w:val="32"/>
          <w:highlight w:val="none"/>
        </w:rPr>
      </w:pPr>
      <w:r>
        <w:rPr>
          <w:rFonts w:hint="eastAsia" w:ascii="宋体" w:hAnsi="宋体"/>
          <w:b/>
          <w:color w:val="000000"/>
          <w:sz w:val="32"/>
          <w:szCs w:val="32"/>
          <w:highlight w:val="none"/>
        </w:rPr>
        <w:t>小</w:t>
      </w:r>
      <w:r>
        <w:rPr>
          <w:rFonts w:hint="eastAsia" w:ascii="宋体" w:hAnsi="宋体"/>
          <w:b/>
          <w:color w:val="000000"/>
          <w:sz w:val="32"/>
          <w:szCs w:val="32"/>
          <w:highlight w:val="none"/>
          <w:lang w:val="en-GB"/>
        </w:rPr>
        <w:t>微</w:t>
      </w:r>
      <w:r>
        <w:rPr>
          <w:rFonts w:hint="eastAsia" w:ascii="宋体" w:hAnsi="宋体"/>
          <w:b/>
          <w:color w:val="000000"/>
          <w:sz w:val="32"/>
          <w:szCs w:val="32"/>
          <w:highlight w:val="none"/>
        </w:rPr>
        <w:t>企业声明函</w:t>
      </w:r>
    </w:p>
    <w:p>
      <w:pPr>
        <w:pStyle w:val="36"/>
        <w:spacing w:line="360" w:lineRule="auto"/>
        <w:ind w:firstLine="504" w:firstLineChars="200"/>
        <w:rPr>
          <w:rFonts w:ascii="宋体"/>
          <w:color w:val="000000"/>
          <w:spacing w:val="6"/>
          <w:sz w:val="24"/>
          <w:highlight w:val="none"/>
        </w:rPr>
      </w:pPr>
      <w:r>
        <w:rPr>
          <w:rFonts w:hint="eastAsia" w:ascii="宋体" w:hAnsi="宋体"/>
          <w:color w:val="000000"/>
          <w:spacing w:val="6"/>
          <w:sz w:val="24"/>
          <w:highlight w:val="none"/>
        </w:rPr>
        <w:t>本公司郑重声明，根据《政府采购促进中小企业发展暂行办法》（财库</w:t>
      </w:r>
      <w:r>
        <w:rPr>
          <w:rFonts w:ascii="宋体" w:hAnsi="宋体"/>
          <w:color w:val="000000"/>
          <w:spacing w:val="6"/>
          <w:sz w:val="24"/>
          <w:highlight w:val="none"/>
        </w:rPr>
        <w:t>[2011]181</w:t>
      </w:r>
      <w:r>
        <w:rPr>
          <w:rFonts w:hint="eastAsia" w:ascii="宋体" w:hAnsi="宋体"/>
          <w:color w:val="000000"/>
          <w:spacing w:val="6"/>
          <w:sz w:val="24"/>
          <w:highlight w:val="none"/>
        </w:rPr>
        <w:t>号）的规定，本公司为</w:t>
      </w:r>
      <w:r>
        <w:rPr>
          <w:rFonts w:ascii="宋体" w:hAnsi="宋体"/>
          <w:color w:val="000000"/>
          <w:spacing w:val="6"/>
          <w:sz w:val="24"/>
          <w:highlight w:val="none"/>
        </w:rPr>
        <w:t>______</w:t>
      </w:r>
      <w:r>
        <w:rPr>
          <w:rFonts w:hint="eastAsia" w:ascii="宋体" w:hAnsi="宋体"/>
          <w:color w:val="000000"/>
          <w:spacing w:val="6"/>
          <w:sz w:val="24"/>
          <w:highlight w:val="none"/>
        </w:rPr>
        <w:t>（请填写：小型、微型）企业。即，本公司同时满足以下条件：</w:t>
      </w:r>
    </w:p>
    <w:p>
      <w:pPr>
        <w:pStyle w:val="36"/>
        <w:spacing w:line="360" w:lineRule="auto"/>
        <w:ind w:firstLine="504" w:firstLineChars="200"/>
        <w:rPr>
          <w:rFonts w:ascii="宋体"/>
          <w:color w:val="000000"/>
          <w:spacing w:val="6"/>
          <w:sz w:val="24"/>
          <w:highlight w:val="none"/>
        </w:rPr>
      </w:pPr>
      <w:r>
        <w:rPr>
          <w:rFonts w:ascii="宋体" w:hAnsi="宋体"/>
          <w:color w:val="000000"/>
          <w:spacing w:val="6"/>
          <w:sz w:val="24"/>
          <w:highlight w:val="none"/>
        </w:rPr>
        <w:t>1.</w:t>
      </w:r>
      <w:r>
        <w:rPr>
          <w:rFonts w:hint="eastAsia" w:ascii="宋体" w:hAnsi="宋体"/>
          <w:color w:val="000000"/>
          <w:spacing w:val="6"/>
          <w:sz w:val="24"/>
          <w:highlight w:val="none"/>
        </w:rPr>
        <w:t>根据《工业和信息化部、国家统计局、国家发展和改革委员会、财政部关于印发中小企业划型标准规定的通知》（工信部联企业</w:t>
      </w:r>
      <w:r>
        <w:rPr>
          <w:rFonts w:ascii="宋体" w:hAnsi="宋体"/>
          <w:color w:val="000000"/>
          <w:spacing w:val="6"/>
          <w:sz w:val="24"/>
          <w:highlight w:val="none"/>
        </w:rPr>
        <w:t>[2011]300</w:t>
      </w:r>
      <w:r>
        <w:rPr>
          <w:rFonts w:hint="eastAsia" w:ascii="宋体" w:hAnsi="宋体"/>
          <w:color w:val="000000"/>
          <w:spacing w:val="6"/>
          <w:sz w:val="24"/>
          <w:highlight w:val="none"/>
        </w:rPr>
        <w:t>号）规定的划分标准：第四条第</w:t>
      </w:r>
      <w:r>
        <w:rPr>
          <w:rFonts w:ascii="宋体" w:hAnsi="宋体"/>
          <w:color w:val="000000"/>
          <w:spacing w:val="6"/>
          <w:sz w:val="24"/>
          <w:highlight w:val="none"/>
        </w:rPr>
        <w:t>______</w:t>
      </w:r>
      <w:r>
        <w:rPr>
          <w:rFonts w:hint="eastAsia" w:ascii="宋体" w:hAnsi="宋体"/>
          <w:color w:val="000000"/>
          <w:spacing w:val="6"/>
          <w:sz w:val="24"/>
          <w:highlight w:val="none"/>
        </w:rPr>
        <w:t>项</w:t>
      </w:r>
      <w:r>
        <w:rPr>
          <w:rFonts w:ascii="宋体" w:hAnsi="宋体"/>
          <w:color w:val="000000"/>
          <w:spacing w:val="6"/>
          <w:sz w:val="24"/>
          <w:highlight w:val="none"/>
        </w:rPr>
        <w:t>______</w:t>
      </w:r>
      <w:r>
        <w:rPr>
          <w:rFonts w:hint="eastAsia" w:ascii="宋体" w:hAnsi="宋体"/>
          <w:color w:val="000000"/>
          <w:spacing w:val="6"/>
          <w:sz w:val="24"/>
          <w:highlight w:val="none"/>
        </w:rPr>
        <w:t>行业，本公司</w:t>
      </w:r>
      <w:r>
        <w:rPr>
          <w:rFonts w:hint="eastAsia" w:ascii="宋体" w:hAnsi="宋体"/>
          <w:i/>
          <w:color w:val="000000"/>
          <w:spacing w:val="6"/>
          <w:sz w:val="24"/>
          <w:highlight w:val="none"/>
          <w:u w:val="dash"/>
        </w:rPr>
        <w:t>（此处填写从业人员和营业收入的具体数据）</w:t>
      </w:r>
      <w:r>
        <w:rPr>
          <w:rFonts w:hint="eastAsia" w:ascii="宋体" w:hAnsi="宋体"/>
          <w:color w:val="000000"/>
          <w:spacing w:val="6"/>
          <w:sz w:val="24"/>
          <w:highlight w:val="none"/>
        </w:rPr>
        <w:t>，为</w:t>
      </w:r>
      <w:r>
        <w:rPr>
          <w:rFonts w:ascii="宋体" w:hAnsi="宋体"/>
          <w:color w:val="000000"/>
          <w:spacing w:val="6"/>
          <w:sz w:val="24"/>
          <w:highlight w:val="none"/>
        </w:rPr>
        <w:t>______</w:t>
      </w:r>
      <w:r>
        <w:rPr>
          <w:rFonts w:hint="eastAsia" w:ascii="宋体" w:hAnsi="宋体"/>
          <w:color w:val="000000"/>
          <w:spacing w:val="6"/>
          <w:sz w:val="24"/>
          <w:highlight w:val="none"/>
        </w:rPr>
        <w:t>（请填写：小型、微型）企业。</w:t>
      </w:r>
    </w:p>
    <w:p>
      <w:pPr>
        <w:pStyle w:val="36"/>
        <w:spacing w:line="360" w:lineRule="auto"/>
        <w:ind w:firstLine="504" w:firstLineChars="200"/>
        <w:rPr>
          <w:rFonts w:ascii="宋体"/>
          <w:color w:val="000000"/>
          <w:spacing w:val="6"/>
          <w:sz w:val="24"/>
          <w:highlight w:val="none"/>
        </w:rPr>
      </w:pPr>
      <w:r>
        <w:rPr>
          <w:rFonts w:ascii="宋体" w:hAnsi="宋体"/>
          <w:color w:val="000000"/>
          <w:spacing w:val="6"/>
          <w:sz w:val="24"/>
          <w:highlight w:val="none"/>
        </w:rPr>
        <w:t>2.</w:t>
      </w:r>
      <w:r>
        <w:rPr>
          <w:rFonts w:hint="eastAsia" w:ascii="宋体" w:hAnsi="宋体"/>
          <w:color w:val="000000"/>
          <w:spacing w:val="6"/>
          <w:sz w:val="24"/>
          <w:highlight w:val="none"/>
        </w:rPr>
        <w:t>本公司参加</w:t>
      </w:r>
      <w:r>
        <w:rPr>
          <w:rFonts w:hint="eastAsia" w:ascii="宋体" w:hAnsi="宋体"/>
          <w:color w:val="000000"/>
          <w:sz w:val="24"/>
          <w:highlight w:val="none"/>
        </w:rPr>
        <w:t>×××政府采购中心组织</w:t>
      </w:r>
      <w:r>
        <w:rPr>
          <w:rFonts w:hint="eastAsia" w:ascii="宋体" w:hAnsi="宋体"/>
          <w:color w:val="000000"/>
          <w:spacing w:val="6"/>
          <w:sz w:val="24"/>
          <w:highlight w:val="none"/>
        </w:rPr>
        <w:t>的采购项目（项目编号：</w:t>
      </w:r>
      <w:r>
        <w:rPr>
          <w:rFonts w:ascii="宋体" w:hAnsi="宋体"/>
          <w:color w:val="000000"/>
          <w:spacing w:val="6"/>
          <w:sz w:val="24"/>
          <w:highlight w:val="none"/>
        </w:rPr>
        <w:t xml:space="preserve"> </w:t>
      </w:r>
      <w:r>
        <w:rPr>
          <w:rFonts w:hint="eastAsia" w:ascii="宋体" w:hAnsi="宋体"/>
          <w:color w:val="000000"/>
          <w:spacing w:val="6"/>
          <w:sz w:val="24"/>
          <w:highlight w:val="none"/>
        </w:rPr>
        <w:t>）采购活动提供本企业制造的货物，由本企业承担工程、提供服务，或者提供其他</w:t>
      </w:r>
      <w:r>
        <w:rPr>
          <w:rFonts w:ascii="宋体" w:hAnsi="宋体"/>
          <w:color w:val="000000"/>
          <w:spacing w:val="6"/>
          <w:sz w:val="24"/>
          <w:highlight w:val="none"/>
        </w:rPr>
        <w:t>______</w:t>
      </w:r>
      <w:r>
        <w:rPr>
          <w:rFonts w:hint="eastAsia" w:ascii="宋体" w:hAnsi="宋体"/>
          <w:color w:val="000000"/>
          <w:spacing w:val="6"/>
          <w:sz w:val="24"/>
          <w:highlight w:val="none"/>
        </w:rPr>
        <w:t>（请填写：小型、微型）企业制造的货物。本条所称货物不包括使用大型企业注册商标的货物。</w:t>
      </w:r>
    </w:p>
    <w:p>
      <w:pPr>
        <w:pStyle w:val="36"/>
        <w:spacing w:line="360" w:lineRule="auto"/>
        <w:ind w:firstLine="504" w:firstLineChars="200"/>
        <w:rPr>
          <w:rFonts w:ascii="宋体"/>
          <w:color w:val="000000"/>
          <w:spacing w:val="6"/>
          <w:sz w:val="24"/>
          <w:highlight w:val="none"/>
        </w:rPr>
      </w:pPr>
      <w:r>
        <w:rPr>
          <w:rFonts w:hint="eastAsia" w:ascii="宋体" w:hAnsi="宋体"/>
          <w:color w:val="000000"/>
          <w:spacing w:val="6"/>
          <w:sz w:val="24"/>
          <w:highlight w:val="none"/>
        </w:rPr>
        <w:t>本公司对上述声明的真实性负责。如有虚假，将依法承担相应责任。</w:t>
      </w:r>
    </w:p>
    <w:p>
      <w:pPr>
        <w:pStyle w:val="36"/>
        <w:spacing w:line="360" w:lineRule="auto"/>
        <w:ind w:left="4253" w:leftChars="2025"/>
        <w:rPr>
          <w:rFonts w:ascii="宋体"/>
          <w:color w:val="000000"/>
          <w:sz w:val="24"/>
          <w:highlight w:val="none"/>
        </w:rPr>
      </w:pPr>
      <w:r>
        <w:rPr>
          <w:rFonts w:hint="eastAsia" w:ascii="宋体" w:hAnsi="宋体"/>
          <w:color w:val="000000"/>
          <w:sz w:val="24"/>
          <w:highlight w:val="none"/>
        </w:rPr>
        <w:t>投</w:t>
      </w:r>
      <w:r>
        <w:rPr>
          <w:rFonts w:ascii="宋体" w:hAnsi="宋体"/>
          <w:color w:val="000000"/>
          <w:sz w:val="24"/>
          <w:highlight w:val="none"/>
        </w:rPr>
        <w:t xml:space="preserve"> </w:t>
      </w:r>
      <w:r>
        <w:rPr>
          <w:rFonts w:hint="eastAsia" w:ascii="宋体" w:hAnsi="宋体"/>
          <w:color w:val="000000"/>
          <w:sz w:val="24"/>
          <w:highlight w:val="none"/>
        </w:rPr>
        <w:t>标</w:t>
      </w:r>
      <w:r>
        <w:rPr>
          <w:rFonts w:ascii="宋体" w:hAnsi="宋体"/>
          <w:color w:val="000000"/>
          <w:sz w:val="24"/>
          <w:highlight w:val="none"/>
        </w:rPr>
        <w:t xml:space="preserve"> </w:t>
      </w:r>
      <w:r>
        <w:rPr>
          <w:rFonts w:hint="eastAsia" w:ascii="宋体" w:hAnsi="宋体"/>
          <w:color w:val="000000"/>
          <w:sz w:val="24"/>
          <w:highlight w:val="none"/>
        </w:rPr>
        <w:t>人（单位公章）：</w:t>
      </w:r>
    </w:p>
    <w:p>
      <w:pPr>
        <w:pStyle w:val="36"/>
        <w:spacing w:line="360" w:lineRule="auto"/>
        <w:ind w:left="4253" w:leftChars="2025" w:right="360"/>
        <w:jc w:val="right"/>
        <w:rPr>
          <w:rFonts w:ascii="宋体"/>
          <w:color w:val="000000"/>
          <w:spacing w:val="6"/>
          <w:sz w:val="24"/>
          <w:highlight w:val="none"/>
        </w:rPr>
      </w:pPr>
      <w:r>
        <w:rPr>
          <w:rFonts w:hint="eastAsia" w:ascii="宋体" w:hAnsi="宋体"/>
          <w:color w:val="000000"/>
          <w:sz w:val="24"/>
          <w:highlight w:val="none"/>
        </w:rPr>
        <w:t>日期：××</w:t>
      </w:r>
      <w:r>
        <w:rPr>
          <w:rFonts w:hint="eastAsia" w:ascii="宋体" w:hAnsi="宋体" w:cs="Arial"/>
          <w:color w:val="000000"/>
          <w:sz w:val="24"/>
          <w:highlight w:val="none"/>
        </w:rPr>
        <w:t>年</w:t>
      </w:r>
      <w:r>
        <w:rPr>
          <w:rFonts w:hint="eastAsia" w:ascii="宋体" w:hAnsi="宋体"/>
          <w:color w:val="000000"/>
          <w:sz w:val="24"/>
          <w:highlight w:val="none"/>
        </w:rPr>
        <w:t>××</w:t>
      </w:r>
      <w:r>
        <w:rPr>
          <w:rFonts w:hint="eastAsia" w:ascii="宋体" w:hAnsi="宋体" w:cs="Arial"/>
          <w:color w:val="000000"/>
          <w:sz w:val="24"/>
          <w:highlight w:val="none"/>
        </w:rPr>
        <w:t>月</w:t>
      </w:r>
      <w:r>
        <w:rPr>
          <w:rFonts w:hint="eastAsia" w:ascii="宋体" w:hAnsi="宋体"/>
          <w:color w:val="000000"/>
          <w:sz w:val="24"/>
          <w:highlight w:val="none"/>
        </w:rPr>
        <w:t>××</w:t>
      </w:r>
      <w:r>
        <w:rPr>
          <w:rFonts w:hint="eastAsia" w:ascii="宋体" w:hAnsi="宋体" w:cs="Arial"/>
          <w:color w:val="000000"/>
          <w:sz w:val="24"/>
          <w:highlight w:val="none"/>
        </w:rPr>
        <w:t>日</w:t>
      </w:r>
    </w:p>
    <w:p>
      <w:pPr>
        <w:pStyle w:val="36"/>
        <w:spacing w:line="360" w:lineRule="auto"/>
        <w:rPr>
          <w:rFonts w:ascii="宋体"/>
          <w:color w:val="000000"/>
          <w:sz w:val="24"/>
          <w:highlight w:val="none"/>
        </w:rPr>
      </w:pPr>
    </w:p>
    <w:p>
      <w:pPr>
        <w:spacing w:line="360" w:lineRule="auto"/>
        <w:ind w:right="-110"/>
        <w:jc w:val="center"/>
        <w:rPr>
          <w:rFonts w:hint="eastAsia" w:ascii="宋体" w:hAnsi="宋体"/>
          <w:b/>
          <w:color w:val="000000"/>
          <w:sz w:val="32"/>
          <w:szCs w:val="32"/>
          <w:highlight w:val="none"/>
        </w:rPr>
      </w:pPr>
      <w:r>
        <w:rPr>
          <w:rFonts w:hint="eastAsia" w:ascii="宋体" w:hAnsi="宋体"/>
          <w:b/>
          <w:color w:val="000000"/>
          <w:sz w:val="32"/>
          <w:szCs w:val="32"/>
          <w:highlight w:val="none"/>
        </w:rPr>
        <w:t>“国家企业信用信息公示系统---小微企业名录”页面查询结果参考格式</w:t>
      </w:r>
    </w:p>
    <w:p>
      <w:pPr>
        <w:spacing w:before="312" w:beforeLines="100" w:line="440" w:lineRule="atLeast"/>
        <w:ind w:firstLine="440" w:firstLineChars="200"/>
        <w:rPr>
          <w:rFonts w:hint="eastAsia" w:ascii="宋体" w:cs="宋体"/>
          <w:sz w:val="22"/>
          <w:szCs w:val="22"/>
          <w:highlight w:val="none"/>
        </w:rPr>
      </w:pPr>
      <w:r>
        <w:rPr>
          <w:rFonts w:hint="eastAsia" w:ascii="宋体" w:cs="宋体"/>
          <w:sz w:val="22"/>
          <w:szCs w:val="22"/>
          <w:highlight w:val="none"/>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hint="eastAsia" w:ascii="宋体" w:cs="宋体"/>
          <w:sz w:val="22"/>
          <w:szCs w:val="22"/>
          <w:highlight w:val="none"/>
        </w:rPr>
      </w:pPr>
      <w:r>
        <w:rPr>
          <w:rFonts w:hint="eastAsia" w:ascii="宋体" w:cs="宋体"/>
          <w:sz w:val="22"/>
          <w:szCs w:val="22"/>
          <w:highlight w:val="none"/>
        </w:rPr>
        <w:t>投标供应商全称（盖章）：</w:t>
      </w:r>
    </w:p>
    <w:p>
      <w:pPr>
        <w:spacing w:line="440" w:lineRule="atLeast"/>
        <w:rPr>
          <w:rFonts w:hint="eastAsia" w:ascii="宋体" w:cs="宋体"/>
          <w:sz w:val="22"/>
          <w:szCs w:val="22"/>
          <w:highlight w:val="none"/>
        </w:rPr>
      </w:pPr>
      <w:r>
        <w:rPr>
          <w:rFonts w:hint="eastAsia" w:ascii="宋体" w:cs="宋体"/>
          <w:sz w:val="22"/>
          <w:szCs w:val="22"/>
          <w:highlight w:val="none"/>
        </w:rPr>
        <w:t>日期</w:t>
      </w:r>
    </w:p>
    <w:p>
      <w:pPr>
        <w:pStyle w:val="10"/>
        <w:spacing w:line="360" w:lineRule="auto"/>
        <w:jc w:val="center"/>
        <w:outlineLvl w:val="1"/>
        <w:rPr>
          <w:rFonts w:hAnsi="宋体"/>
          <w:b/>
          <w:color w:val="000000"/>
          <w:sz w:val="32"/>
          <w:szCs w:val="32"/>
          <w:highlight w:val="none"/>
          <w:lang w:val="en-GB"/>
        </w:rPr>
      </w:pPr>
    </w:p>
    <w:p>
      <w:pPr>
        <w:pStyle w:val="10"/>
        <w:spacing w:line="360" w:lineRule="auto"/>
        <w:jc w:val="center"/>
        <w:outlineLvl w:val="1"/>
        <w:rPr>
          <w:rFonts w:hint="eastAsia" w:hAnsi="宋体"/>
          <w:b/>
          <w:color w:val="000000"/>
          <w:sz w:val="32"/>
          <w:szCs w:val="32"/>
          <w:highlight w:val="none"/>
          <w:lang w:val="en-GB"/>
        </w:rPr>
      </w:pPr>
    </w:p>
    <w:p>
      <w:pPr>
        <w:pStyle w:val="10"/>
        <w:spacing w:line="360" w:lineRule="auto"/>
        <w:jc w:val="center"/>
        <w:outlineLvl w:val="1"/>
        <w:rPr>
          <w:rFonts w:hAnsi="宋体"/>
          <w:b/>
          <w:color w:val="000000"/>
          <w:sz w:val="32"/>
          <w:szCs w:val="32"/>
          <w:highlight w:val="none"/>
          <w:lang w:val="en-GB"/>
        </w:rPr>
      </w:pPr>
      <w:r>
        <w:rPr>
          <w:rFonts w:hint="eastAsia" w:hAnsi="宋体"/>
          <w:b/>
          <w:color w:val="000000"/>
          <w:sz w:val="32"/>
          <w:szCs w:val="32"/>
          <w:highlight w:val="none"/>
          <w:lang w:val="en-GB"/>
        </w:rPr>
        <w:t>残疾人福利性单位声明函</w:t>
      </w:r>
    </w:p>
    <w:p>
      <w:pPr>
        <w:spacing w:line="588" w:lineRule="exact"/>
        <w:ind w:firstLine="504" w:firstLineChars="200"/>
        <w:rPr>
          <w:rFonts w:ascii="宋体"/>
          <w:color w:val="000000"/>
          <w:spacing w:val="6"/>
          <w:sz w:val="24"/>
          <w:highlight w:val="none"/>
        </w:rPr>
      </w:pPr>
      <w:r>
        <w:rPr>
          <w:rFonts w:hint="eastAsia" w:ascii="宋体" w:hAnsi="宋体"/>
          <w:color w:val="000000"/>
          <w:spacing w:val="6"/>
          <w:sz w:val="24"/>
          <w:highlight w:val="none"/>
        </w:rPr>
        <w:t>本单位郑重声明，根据《财政部</w:t>
      </w:r>
      <w:r>
        <w:rPr>
          <w:rFonts w:ascii="宋体" w:hAnsi="宋体"/>
          <w:color w:val="000000"/>
          <w:spacing w:val="6"/>
          <w:sz w:val="24"/>
          <w:highlight w:val="none"/>
        </w:rPr>
        <w:t xml:space="preserve"> </w:t>
      </w:r>
      <w:r>
        <w:rPr>
          <w:rFonts w:hint="eastAsia" w:ascii="宋体" w:hAnsi="宋体"/>
          <w:color w:val="000000"/>
          <w:spacing w:val="6"/>
          <w:sz w:val="24"/>
          <w:highlight w:val="none"/>
        </w:rPr>
        <w:t>民政部</w:t>
      </w:r>
      <w:r>
        <w:rPr>
          <w:rFonts w:ascii="宋体" w:hAnsi="宋体"/>
          <w:color w:val="000000"/>
          <w:spacing w:val="6"/>
          <w:sz w:val="24"/>
          <w:highlight w:val="none"/>
        </w:rPr>
        <w:t xml:space="preserve"> </w:t>
      </w:r>
      <w:r>
        <w:rPr>
          <w:rFonts w:hint="eastAsia" w:ascii="宋体" w:hAnsi="宋体"/>
          <w:color w:val="000000"/>
          <w:spacing w:val="6"/>
          <w:sz w:val="24"/>
          <w:highlight w:val="none"/>
        </w:rPr>
        <w:t>中国残疾人联合会关于促进残疾人就业政府采购政策的通知》（财库〔</w:t>
      </w:r>
      <w:r>
        <w:rPr>
          <w:rFonts w:ascii="宋体" w:hAnsi="宋体"/>
          <w:color w:val="000000"/>
          <w:spacing w:val="6"/>
          <w:sz w:val="24"/>
          <w:highlight w:val="none"/>
        </w:rPr>
        <w:t>2017</w:t>
      </w:r>
      <w:r>
        <w:rPr>
          <w:rFonts w:hint="eastAsia" w:ascii="宋体" w:hAnsi="宋体"/>
          <w:color w:val="000000"/>
          <w:spacing w:val="6"/>
          <w:sz w:val="24"/>
          <w:highlight w:val="none"/>
        </w:rPr>
        <w:t>〕</w:t>
      </w:r>
      <w:r>
        <w:rPr>
          <w:rFonts w:ascii="宋体" w:hAnsi="宋体"/>
          <w:color w:val="000000"/>
          <w:spacing w:val="6"/>
          <w:sz w:val="24"/>
          <w:highlight w:val="none"/>
        </w:rPr>
        <w:t xml:space="preserve"> 141</w:t>
      </w:r>
      <w:r>
        <w:rPr>
          <w:rFonts w:hint="eastAsia" w:ascii="宋体" w:hAnsi="宋体"/>
          <w:color w:val="000000"/>
          <w:spacing w:val="6"/>
          <w:sz w:val="24"/>
          <w:highlight w:val="none"/>
        </w:rPr>
        <w:t>号）的规定，本单位为符合条件的残疾人福利性单位，且本单位参加单位的项目采购活动提供本单位制造的货物（由本单位承担工程</w:t>
      </w:r>
      <w:r>
        <w:rPr>
          <w:rFonts w:ascii="宋体" w:hAnsi="宋体"/>
          <w:color w:val="000000"/>
          <w:spacing w:val="6"/>
          <w:sz w:val="24"/>
          <w:highlight w:val="none"/>
        </w:rPr>
        <w:t>/</w:t>
      </w:r>
      <w:r>
        <w:rPr>
          <w:rFonts w:hint="eastAsia" w:ascii="宋体" w:hAnsi="宋体"/>
          <w:color w:val="000000"/>
          <w:spacing w:val="6"/>
          <w:sz w:val="24"/>
          <w:highlight w:val="none"/>
        </w:rPr>
        <w:t>提供服务），或者提供其他残疾人福利性单位制造的货物（不包括使用非残疾人福利性单位注册商标的货物）。</w:t>
      </w:r>
    </w:p>
    <w:p>
      <w:pPr>
        <w:spacing w:line="588" w:lineRule="exact"/>
        <w:ind w:firstLine="504" w:firstLineChars="200"/>
        <w:rPr>
          <w:rFonts w:ascii="宋体"/>
          <w:color w:val="000000"/>
          <w:spacing w:val="6"/>
          <w:sz w:val="24"/>
          <w:highlight w:val="none"/>
        </w:rPr>
      </w:pPr>
      <w:r>
        <w:rPr>
          <w:rFonts w:hint="eastAsia" w:ascii="宋体" w:hAnsi="宋体"/>
          <w:color w:val="000000"/>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color w:val="000000"/>
          <w:spacing w:val="6"/>
          <w:sz w:val="24"/>
          <w:highlight w:val="none"/>
        </w:rPr>
      </w:pPr>
    </w:p>
    <w:p>
      <w:pPr>
        <w:tabs>
          <w:tab w:val="left" w:pos="4860"/>
        </w:tabs>
        <w:spacing w:line="588" w:lineRule="exact"/>
        <w:ind w:right="1560" w:firstLine="504" w:firstLineChars="200"/>
        <w:jc w:val="center"/>
        <w:rPr>
          <w:rFonts w:ascii="宋体"/>
          <w:color w:val="000000"/>
          <w:spacing w:val="6"/>
          <w:sz w:val="24"/>
          <w:highlight w:val="none"/>
        </w:rPr>
      </w:pPr>
      <w:r>
        <w:rPr>
          <w:rFonts w:ascii="宋体" w:hAnsi="宋体"/>
          <w:color w:val="000000"/>
          <w:spacing w:val="6"/>
          <w:sz w:val="24"/>
          <w:highlight w:val="none"/>
        </w:rPr>
        <w:t xml:space="preserve">             </w:t>
      </w:r>
      <w:r>
        <w:rPr>
          <w:rFonts w:hint="eastAsia" w:ascii="宋体" w:hAnsi="宋体"/>
          <w:color w:val="000000"/>
          <w:spacing w:val="6"/>
          <w:sz w:val="24"/>
          <w:highlight w:val="none"/>
        </w:rPr>
        <w:t>单位名称（盖章）：</w:t>
      </w:r>
    </w:p>
    <w:p>
      <w:pPr>
        <w:tabs>
          <w:tab w:val="left" w:pos="4860"/>
        </w:tabs>
        <w:spacing w:line="588" w:lineRule="exact"/>
        <w:ind w:right="1560" w:firstLine="504" w:firstLineChars="200"/>
        <w:jc w:val="center"/>
        <w:rPr>
          <w:rFonts w:ascii="宋体"/>
          <w:color w:val="000000"/>
          <w:sz w:val="24"/>
          <w:highlight w:val="none"/>
        </w:rPr>
      </w:pPr>
      <w:r>
        <w:rPr>
          <w:rFonts w:ascii="宋体" w:hAnsi="宋体"/>
          <w:color w:val="000000"/>
          <w:spacing w:val="6"/>
          <w:sz w:val="24"/>
          <w:highlight w:val="none"/>
        </w:rPr>
        <w:t xml:space="preserve">       </w:t>
      </w:r>
      <w:r>
        <w:rPr>
          <w:rFonts w:hint="eastAsia" w:ascii="宋体" w:hAnsi="宋体"/>
          <w:color w:val="000000"/>
          <w:spacing w:val="6"/>
          <w:sz w:val="24"/>
          <w:highlight w:val="none"/>
        </w:rPr>
        <w:t>日</w:t>
      </w:r>
      <w:r>
        <w:rPr>
          <w:rFonts w:ascii="宋体" w:hAnsi="宋体"/>
          <w:color w:val="000000"/>
          <w:spacing w:val="6"/>
          <w:sz w:val="24"/>
          <w:highlight w:val="none"/>
        </w:rPr>
        <w:t xml:space="preserve">  </w:t>
      </w:r>
      <w:r>
        <w:rPr>
          <w:rFonts w:hint="eastAsia" w:ascii="宋体" w:hAnsi="宋体"/>
          <w:color w:val="000000"/>
          <w:spacing w:val="6"/>
          <w:sz w:val="24"/>
          <w:highlight w:val="none"/>
        </w:rPr>
        <w:t>期：</w:t>
      </w:r>
    </w:p>
    <w:p>
      <w:pPr>
        <w:pStyle w:val="36"/>
        <w:spacing w:line="360" w:lineRule="auto"/>
        <w:rPr>
          <w:rFonts w:ascii="宋体" w:hAnsi="宋体"/>
          <w:b/>
          <w:color w:val="000000" w:themeColor="text1"/>
          <w:sz w:val="28"/>
          <w:szCs w:val="28"/>
          <w:highlight w:val="none"/>
          <w14:textFill>
            <w14:solidFill>
              <w14:schemeClr w14:val="tx1"/>
            </w14:solidFill>
          </w14:textFill>
        </w:rPr>
      </w:pPr>
    </w:p>
    <w:p>
      <w:pPr>
        <w:pStyle w:val="36"/>
        <w:spacing w:line="360" w:lineRule="auto"/>
        <w:rPr>
          <w:rFonts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附件19</w:t>
      </w:r>
    </w:p>
    <w:p>
      <w:pPr>
        <w:pStyle w:val="37"/>
        <w:spacing w:line="360" w:lineRule="auto"/>
        <w:rPr>
          <w:color w:val="000000" w:themeColor="text1"/>
          <w:highlight w:val="none"/>
          <w14:textFill>
            <w14:solidFill>
              <w14:schemeClr w14:val="tx1"/>
            </w14:solidFill>
          </w14:textFill>
        </w:rPr>
      </w:pPr>
    </w:p>
    <w:p>
      <w:pPr>
        <w:pStyle w:val="34"/>
        <w:spacing w:line="360" w:lineRule="auto"/>
        <w:jc w:val="center"/>
        <w:rPr>
          <w:rFonts w:ascii="宋体" w:hAnsi="宋体"/>
          <w:b/>
          <w:color w:val="000000" w:themeColor="text1"/>
          <w:sz w:val="32"/>
          <w:szCs w:val="32"/>
          <w:highlight w:val="none"/>
          <w:lang w:val="en-GB"/>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产品适用政府采购政策情况表</w:t>
      </w:r>
    </w:p>
    <w:p>
      <w:pPr>
        <w:pStyle w:val="34"/>
        <w:spacing w:line="360" w:lineRule="auto"/>
        <w:jc w:val="center"/>
        <w:rPr>
          <w:rFonts w:ascii="宋体" w:hAnsi="宋体"/>
          <w:b/>
          <w:color w:val="000000" w:themeColor="text1"/>
          <w:sz w:val="32"/>
          <w:szCs w:val="32"/>
          <w:highlight w:val="none"/>
          <w:lang w:val="en-GB"/>
          <w14:textFill>
            <w14:solidFill>
              <w14:schemeClr w14:val="tx1"/>
            </w14:solidFill>
          </w14:textFill>
        </w:rPr>
      </w:pPr>
    </w:p>
    <w:tbl>
      <w:tblPr>
        <w:tblStyle w:val="1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小微企业扶持政策</w:t>
            </w:r>
          </w:p>
        </w:tc>
        <w:tc>
          <w:tcPr>
            <w:tcW w:w="8111" w:type="dxa"/>
            <w:gridSpan w:val="3"/>
            <w:vAlign w:val="center"/>
          </w:tcPr>
          <w:tbl>
            <w:tblPr>
              <w:tblStyle w:val="17"/>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34"/>
                    <w:tabs>
                      <w:tab w:val="left" w:pos="126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highlight w:val="none"/>
                      <w:lang w:val="en-GB"/>
                      <w14:textFill>
                        <w14:solidFill>
                          <w14:schemeClr w14:val="tx1"/>
                        </w14:solidFill>
                      </w14:textFill>
                    </w:rPr>
                    <w:t>按要求列出具体产品与金额。</w:t>
                  </w:r>
                </w:p>
              </w:tc>
            </w:tr>
          </w:tbl>
          <w:p>
            <w:pPr>
              <w:pStyle w:val="34"/>
              <w:tabs>
                <w:tab w:val="left" w:pos="1260"/>
              </w:tabs>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产品名称（品牌、型号）</w:t>
            </w:r>
          </w:p>
        </w:tc>
        <w:tc>
          <w:tcPr>
            <w:tcW w:w="381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制造企业名称</w:t>
            </w:r>
          </w:p>
        </w:tc>
        <w:tc>
          <w:tcPr>
            <w:tcW w:w="162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6490" w:type="dxa"/>
            <w:gridSpan w:val="2"/>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小型、微型企业产品</w:t>
            </w:r>
            <w:r>
              <w:rPr>
                <w:rFonts w:hint="eastAsia" w:ascii="宋体" w:hAnsi="宋体"/>
                <w:color w:val="000000" w:themeColor="text1"/>
                <w:sz w:val="24"/>
                <w:highlight w:val="none"/>
                <w:lang w:val="en-GB"/>
                <w14:textFill>
                  <w14:solidFill>
                    <w14:schemeClr w14:val="tx1"/>
                  </w14:solidFill>
                </w14:textFill>
              </w:rPr>
              <w:t>金额合计（元）</w:t>
            </w:r>
          </w:p>
          <w:p>
            <w:pPr>
              <w:rPr>
                <w:color w:val="000000" w:themeColor="text1"/>
                <w:highlight w:val="none"/>
                <w14:textFill>
                  <w14:solidFill>
                    <w14:schemeClr w14:val="tx1"/>
                  </w14:solidFill>
                </w14:textFill>
              </w:rPr>
            </w:pPr>
          </w:p>
        </w:tc>
        <w:tc>
          <w:tcPr>
            <w:tcW w:w="162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r>
    </w:tbl>
    <w:p>
      <w:pPr>
        <w:pStyle w:val="34"/>
        <w:spacing w:line="360" w:lineRule="auto"/>
        <w:rPr>
          <w:rFonts w:ascii="宋体" w:hAnsi="宋体"/>
          <w:color w:val="000000" w:themeColor="text1"/>
          <w:szCs w:val="21"/>
          <w:highlight w:val="none"/>
          <w:lang w:val="en-GB"/>
          <w14:textFill>
            <w14:solidFill>
              <w14:schemeClr w14:val="tx1"/>
            </w14:solidFill>
          </w14:textFill>
        </w:rPr>
      </w:pPr>
    </w:p>
    <w:p>
      <w:pPr>
        <w:pStyle w:val="34"/>
        <w:spacing w:line="360" w:lineRule="auto"/>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填报要求：</w:t>
      </w:r>
    </w:p>
    <w:p>
      <w:pPr>
        <w:pStyle w:val="34"/>
        <w:widowControl/>
        <w:numPr>
          <w:ilvl w:val="0"/>
          <w:numId w:val="11"/>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本表的产品名称、规格型号和注册商标、金额要与《报价明细表》一致。</w:t>
      </w:r>
    </w:p>
    <w:p>
      <w:pPr>
        <w:pStyle w:val="34"/>
        <w:widowControl/>
        <w:numPr>
          <w:ilvl w:val="0"/>
          <w:numId w:val="11"/>
        </w:numPr>
        <w:tabs>
          <w:tab w:val="left" w:pos="360"/>
        </w:tabs>
        <w:spacing w:line="360" w:lineRule="auto"/>
        <w:ind w:left="360" w:right="84" w:rightChars="40" w:hanging="36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制造商为小型或微型企业时才需要填“制造商企业类型”栏，填写内容为“小型”或“微型”。</w:t>
      </w:r>
    </w:p>
    <w:p>
      <w:pPr>
        <w:pStyle w:val="34"/>
        <w:widowControl/>
        <w:numPr>
          <w:ilvl w:val="0"/>
          <w:numId w:val="11"/>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color w:val="000000" w:themeColor="text1"/>
          <w:kern w:val="0"/>
          <w:sz w:val="24"/>
          <w:highlight w:val="none"/>
          <w:lang w:val="en-GB"/>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bookmarkEnd w:id="5"/>
    <w:sectPr>
      <w:headerReference r:id="rId3" w:type="default"/>
      <w:footerReference r:id="rId4" w:type="default"/>
      <w:pgSz w:w="11906" w:h="16838"/>
      <w:pgMar w:top="1134" w:right="1134" w:bottom="1134" w:left="1417" w:header="851" w:footer="992" w:gutter="0"/>
      <w:pgBorders>
        <w:top w:val="none" w:sz="0" w:space="0"/>
        <w:left w:val="none" w:sz="0" w:space="0"/>
        <w:bottom w:val="none" w:sz="0" w:space="0"/>
        <w:right w:val="none" w:sz="0" w:space="0"/>
      </w:pgBorders>
      <w:pgNumType w:fmt="decimal" w:start="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魏碑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34C47EE1"/>
    <w:multiLevelType w:val="multilevel"/>
    <w:tmpl w:val="34C47EE1"/>
    <w:lvl w:ilvl="0" w:tentative="0">
      <w:start w:val="1"/>
      <w:numFmt w:val="chineseCountingThousand"/>
      <w:lvlText w:val="%1、"/>
      <w:lvlJc w:val="left"/>
      <w:pPr>
        <w:ind w:left="360" w:hanging="360"/>
      </w:pPr>
      <w:rPr>
        <w:rFonts w:hint="default"/>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704"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55CC3289"/>
    <w:multiLevelType w:val="multilevel"/>
    <w:tmpl w:val="55CC32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9">
    <w:nsid w:val="76AF5CEE"/>
    <w:multiLevelType w:val="multilevel"/>
    <w:tmpl w:val="76AF5C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E955F34"/>
    <w:multiLevelType w:val="multilevel"/>
    <w:tmpl w:val="7E955F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7"/>
  </w:num>
  <w:num w:numId="8">
    <w:abstractNumId w:val="10"/>
  </w:num>
  <w:num w:numId="9">
    <w:abstractNumId w:val="9"/>
  </w:num>
  <w:num w:numId="10">
    <w:abstractNumId w:val="0"/>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arlie Cai">
    <w15:presenceInfo w15:providerId="None" w15:userId="Charlie C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20CF4"/>
    <w:rsid w:val="0006294D"/>
    <w:rsid w:val="00062AB3"/>
    <w:rsid w:val="00107BF6"/>
    <w:rsid w:val="00165F2A"/>
    <w:rsid w:val="00201D62"/>
    <w:rsid w:val="0021318F"/>
    <w:rsid w:val="002701A5"/>
    <w:rsid w:val="002A1620"/>
    <w:rsid w:val="00302FF0"/>
    <w:rsid w:val="003102FB"/>
    <w:rsid w:val="00332E30"/>
    <w:rsid w:val="0033650E"/>
    <w:rsid w:val="003C5E00"/>
    <w:rsid w:val="003F595C"/>
    <w:rsid w:val="003F78E0"/>
    <w:rsid w:val="00402DCB"/>
    <w:rsid w:val="00441FAE"/>
    <w:rsid w:val="00446CEF"/>
    <w:rsid w:val="00491BDF"/>
    <w:rsid w:val="004B4165"/>
    <w:rsid w:val="00616E31"/>
    <w:rsid w:val="00655E3C"/>
    <w:rsid w:val="00674C42"/>
    <w:rsid w:val="006F4DFE"/>
    <w:rsid w:val="00766F25"/>
    <w:rsid w:val="007A2629"/>
    <w:rsid w:val="007C1005"/>
    <w:rsid w:val="00802325"/>
    <w:rsid w:val="00847BE5"/>
    <w:rsid w:val="0088066B"/>
    <w:rsid w:val="00912983"/>
    <w:rsid w:val="00990D80"/>
    <w:rsid w:val="009B3E22"/>
    <w:rsid w:val="009F3459"/>
    <w:rsid w:val="00A30B75"/>
    <w:rsid w:val="00A730CA"/>
    <w:rsid w:val="00B42F4C"/>
    <w:rsid w:val="00BF5473"/>
    <w:rsid w:val="00C05497"/>
    <w:rsid w:val="00C52E14"/>
    <w:rsid w:val="00C767D4"/>
    <w:rsid w:val="00CC232E"/>
    <w:rsid w:val="00CD1804"/>
    <w:rsid w:val="00E319E7"/>
    <w:rsid w:val="00EF2797"/>
    <w:rsid w:val="00F127FF"/>
    <w:rsid w:val="00F145C4"/>
    <w:rsid w:val="00F508A1"/>
    <w:rsid w:val="00F75D85"/>
    <w:rsid w:val="01935887"/>
    <w:rsid w:val="04CC341D"/>
    <w:rsid w:val="05137CD7"/>
    <w:rsid w:val="060B26E0"/>
    <w:rsid w:val="06180769"/>
    <w:rsid w:val="09FD456F"/>
    <w:rsid w:val="0C1E2BA0"/>
    <w:rsid w:val="0C765CB2"/>
    <w:rsid w:val="0E970358"/>
    <w:rsid w:val="10392EAE"/>
    <w:rsid w:val="10706EC2"/>
    <w:rsid w:val="12807280"/>
    <w:rsid w:val="13A74261"/>
    <w:rsid w:val="148463E6"/>
    <w:rsid w:val="14D20D9B"/>
    <w:rsid w:val="15A72BED"/>
    <w:rsid w:val="1621170E"/>
    <w:rsid w:val="16903399"/>
    <w:rsid w:val="18B91D2B"/>
    <w:rsid w:val="18C40414"/>
    <w:rsid w:val="1A6A6D44"/>
    <w:rsid w:val="1A817123"/>
    <w:rsid w:val="1A8E3A4E"/>
    <w:rsid w:val="1AF736A3"/>
    <w:rsid w:val="1C093ECB"/>
    <w:rsid w:val="1CE4433A"/>
    <w:rsid w:val="1EE84AA8"/>
    <w:rsid w:val="228447E5"/>
    <w:rsid w:val="23424F53"/>
    <w:rsid w:val="236E14E2"/>
    <w:rsid w:val="2751323E"/>
    <w:rsid w:val="29D148D0"/>
    <w:rsid w:val="2AC803DC"/>
    <w:rsid w:val="30143D85"/>
    <w:rsid w:val="31752B09"/>
    <w:rsid w:val="33D3510B"/>
    <w:rsid w:val="341548E3"/>
    <w:rsid w:val="374B7290"/>
    <w:rsid w:val="37712A39"/>
    <w:rsid w:val="39380477"/>
    <w:rsid w:val="395862BB"/>
    <w:rsid w:val="3992672C"/>
    <w:rsid w:val="3AE50133"/>
    <w:rsid w:val="3B345EA5"/>
    <w:rsid w:val="3C6278F9"/>
    <w:rsid w:val="3DB531EC"/>
    <w:rsid w:val="3F6B3E70"/>
    <w:rsid w:val="3FCA700F"/>
    <w:rsid w:val="405A1654"/>
    <w:rsid w:val="43036342"/>
    <w:rsid w:val="44113009"/>
    <w:rsid w:val="4563730C"/>
    <w:rsid w:val="45953AB9"/>
    <w:rsid w:val="47AF47A3"/>
    <w:rsid w:val="48694FA0"/>
    <w:rsid w:val="488E768B"/>
    <w:rsid w:val="49F41D5E"/>
    <w:rsid w:val="4B1E31F7"/>
    <w:rsid w:val="4B816B47"/>
    <w:rsid w:val="4BCB3573"/>
    <w:rsid w:val="4CE75373"/>
    <w:rsid w:val="4EAA1CE9"/>
    <w:rsid w:val="4FD0460B"/>
    <w:rsid w:val="519F0EDF"/>
    <w:rsid w:val="534F6B27"/>
    <w:rsid w:val="53837659"/>
    <w:rsid w:val="566D4B95"/>
    <w:rsid w:val="572656D4"/>
    <w:rsid w:val="5727721E"/>
    <w:rsid w:val="59AD06A4"/>
    <w:rsid w:val="5A4D586D"/>
    <w:rsid w:val="5A6249B0"/>
    <w:rsid w:val="5EE84C68"/>
    <w:rsid w:val="621D5BA4"/>
    <w:rsid w:val="62D4544E"/>
    <w:rsid w:val="635B6748"/>
    <w:rsid w:val="63947A95"/>
    <w:rsid w:val="67B167D1"/>
    <w:rsid w:val="685F1C50"/>
    <w:rsid w:val="692444CB"/>
    <w:rsid w:val="699022E9"/>
    <w:rsid w:val="6A714498"/>
    <w:rsid w:val="6FAC1718"/>
    <w:rsid w:val="737A32A0"/>
    <w:rsid w:val="745919C6"/>
    <w:rsid w:val="74702A9A"/>
    <w:rsid w:val="761C2BBB"/>
    <w:rsid w:val="769C75C3"/>
    <w:rsid w:val="776A1DE8"/>
    <w:rsid w:val="785D00CA"/>
    <w:rsid w:val="7A72468A"/>
    <w:rsid w:val="7D7D7EB6"/>
    <w:rsid w:val="7D7F697F"/>
    <w:rsid w:val="7DDD6CEA"/>
    <w:rsid w:val="7E63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Times New Roman" w:hAnsi="Times New Roman" w:cs="Times New Roman"/>
      <w:kern w:val="0"/>
      <w:szCs w:val="24"/>
    </w:rPr>
  </w:style>
  <w:style w:type="paragraph" w:styleId="3">
    <w:name w:val="Body Text"/>
    <w:basedOn w:val="1"/>
    <w:qFormat/>
    <w:uiPriority w:val="0"/>
    <w:pPr>
      <w:spacing w:line="360" w:lineRule="exact"/>
    </w:pPr>
    <w:rPr>
      <w:sz w:val="24"/>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38"/>
    <w:qFormat/>
    <w:uiPriority w:val="0"/>
    <w:pPr>
      <w:jc w:val="left"/>
    </w:pPr>
  </w:style>
  <w:style w:type="paragraph" w:styleId="9">
    <w:name w:val="Body Text Indent"/>
    <w:basedOn w:val="1"/>
    <w:link w:val="41"/>
    <w:qFormat/>
    <w:uiPriority w:val="0"/>
    <w:pPr>
      <w:spacing w:after="120"/>
      <w:ind w:left="420" w:leftChars="200"/>
    </w:pPr>
  </w:style>
  <w:style w:type="paragraph" w:styleId="10">
    <w:name w:val="Plain Text"/>
    <w:basedOn w:val="1"/>
    <w:qFormat/>
    <w:uiPriority w:val="0"/>
    <w:rPr>
      <w:rFonts w:ascii="宋体" w:hAnsi="Courier New" w:cstheme="minorBidi"/>
    </w:rPr>
  </w:style>
  <w:style w:type="paragraph" w:styleId="11">
    <w:name w:val="Date"/>
    <w:basedOn w:val="1"/>
    <w:next w:val="1"/>
    <w:qFormat/>
    <w:uiPriority w:val="0"/>
    <w:pPr>
      <w:ind w:left="2500" w:leftChars="2500"/>
    </w:pPr>
    <w:rPr>
      <w:rFonts w:eastAsia="楷体_GB2312" w:asciiTheme="minorHAnsi" w:hAnsiTheme="minorHAnsi" w:cstheme="minorBidi"/>
      <w:sz w:val="32"/>
      <w:szCs w:val="22"/>
    </w:rPr>
  </w:style>
  <w:style w:type="paragraph" w:styleId="12">
    <w:name w:val="Balloon Text"/>
    <w:basedOn w:val="1"/>
    <w:link w:val="4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6">
    <w:name w:val="annotation subject"/>
    <w:basedOn w:val="8"/>
    <w:next w:val="8"/>
    <w:link w:val="39"/>
    <w:qFormat/>
    <w:uiPriority w:val="0"/>
    <w:rPr>
      <w:b/>
      <w:bCs/>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annotation reference"/>
    <w:basedOn w:val="19"/>
    <w:qFormat/>
    <w:uiPriority w:val="0"/>
    <w:rPr>
      <w:sz w:val="21"/>
      <w:szCs w:val="21"/>
    </w:rPr>
  </w:style>
  <w:style w:type="paragraph" w:customStyle="1" w:styleId="2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4">
    <w:name w:val="列出段落1"/>
    <w:basedOn w:val="1"/>
    <w:qFormat/>
    <w:uiPriority w:val="0"/>
    <w:pPr>
      <w:ind w:firstLine="420" w:firstLineChars="200"/>
    </w:pPr>
    <w:rPr>
      <w:rFonts w:ascii="Calibri" w:hAnsi="Calibri"/>
      <w:kern w:val="0"/>
      <w:szCs w:val="20"/>
    </w:rPr>
  </w:style>
  <w:style w:type="paragraph" w:customStyle="1" w:styleId="2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14"/>
    <w:qFormat/>
    <w:uiPriority w:val="0"/>
    <w:rPr>
      <w:rFonts w:ascii="Times New Roman" w:hAnsi="Times New Roman" w:eastAsia="宋体" w:cs="Times New Roman"/>
      <w:sz w:val="21"/>
      <w:szCs w:val="22"/>
      <w:lang w:val="en-US" w:eastAsia="zh-CN" w:bidi="ar-SA"/>
    </w:rPr>
  </w:style>
  <w:style w:type="paragraph" w:customStyle="1" w:styleId="2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纯文本_3"/>
    <w:basedOn w:val="31"/>
    <w:qFormat/>
    <w:uiPriority w:val="0"/>
    <w:pPr>
      <w:widowControl/>
      <w:jc w:val="left"/>
    </w:pPr>
    <w:rPr>
      <w:rFonts w:ascii="宋体" w:hAnsi="Courier New" w:eastAsiaTheme="minorEastAsia" w:cstheme="minorBidi"/>
      <w:szCs w:val="21"/>
    </w:rPr>
  </w:style>
  <w:style w:type="paragraph" w:customStyle="1" w:styleId="33">
    <w:name w:val="纯文本_0_1"/>
    <w:basedOn w:val="1"/>
    <w:qFormat/>
    <w:uiPriority w:val="0"/>
    <w:pPr>
      <w:widowControl/>
      <w:jc w:val="left"/>
    </w:pPr>
    <w:rPr>
      <w:rFonts w:ascii="宋体" w:hAnsi="Courier New" w:eastAsiaTheme="minorEastAsia" w:cstheme="minorBidi"/>
      <w:szCs w:val="21"/>
    </w:rPr>
  </w:style>
  <w:style w:type="paragraph" w:customStyle="1" w:styleId="3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批注文字 Char"/>
    <w:basedOn w:val="19"/>
    <w:link w:val="8"/>
    <w:qFormat/>
    <w:uiPriority w:val="0"/>
    <w:rPr>
      <w:rFonts w:ascii="Times New Roman" w:hAnsi="Times New Roman" w:eastAsia="宋体" w:cs="Times New Roman"/>
      <w:kern w:val="2"/>
      <w:sz w:val="21"/>
      <w:szCs w:val="24"/>
    </w:rPr>
  </w:style>
  <w:style w:type="character" w:customStyle="1" w:styleId="39">
    <w:name w:val="批注主题 Char"/>
    <w:basedOn w:val="38"/>
    <w:link w:val="16"/>
    <w:qFormat/>
    <w:uiPriority w:val="0"/>
    <w:rPr>
      <w:rFonts w:ascii="Times New Roman" w:hAnsi="Times New Roman" w:eastAsia="宋体" w:cs="Times New Roman"/>
      <w:b/>
      <w:bCs/>
      <w:kern w:val="2"/>
      <w:sz w:val="21"/>
      <w:szCs w:val="24"/>
    </w:rPr>
  </w:style>
  <w:style w:type="character" w:customStyle="1" w:styleId="40">
    <w:name w:val="批注框文本 Char"/>
    <w:basedOn w:val="19"/>
    <w:link w:val="12"/>
    <w:qFormat/>
    <w:uiPriority w:val="0"/>
    <w:rPr>
      <w:rFonts w:ascii="Times New Roman" w:hAnsi="Times New Roman" w:eastAsia="宋体" w:cs="Times New Roman"/>
      <w:kern w:val="2"/>
      <w:sz w:val="18"/>
      <w:szCs w:val="18"/>
    </w:rPr>
  </w:style>
  <w:style w:type="character" w:customStyle="1" w:styleId="41">
    <w:name w:val="正文文本缩进 Char"/>
    <w:basedOn w:val="19"/>
    <w:link w:val="9"/>
    <w:qFormat/>
    <w:uiPriority w:val="0"/>
    <w:rPr>
      <w:kern w:val="2"/>
      <w:sz w:val="21"/>
      <w:szCs w:val="24"/>
    </w:rPr>
  </w:style>
  <w:style w:type="paragraph" w:customStyle="1" w:styleId="42">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3">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4418</Words>
  <Characters>25183</Characters>
  <Lines>209</Lines>
  <Paragraphs>59</Paragraphs>
  <TotalTime>10</TotalTime>
  <ScaleCrop>false</ScaleCrop>
  <LinksUpToDate>false</LinksUpToDate>
  <CharactersWithSpaces>29542</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123</cp:lastModifiedBy>
  <dcterms:modified xsi:type="dcterms:W3CDTF">2019-06-27T02:45:36Z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