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32"/>
          <w:highlight w:val="none"/>
          <w:lang w:eastAsia="zh-CN"/>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HQ-YHZFCG-2019-55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数据平台硬件与安全防护业务容灾系统</w:t>
      </w:r>
    </w:p>
    <w:p>
      <w:pPr>
        <w:autoSpaceDE w:val="0"/>
        <w:autoSpaceDN w:val="0"/>
        <w:adjustRightInd w:val="0"/>
        <w:spacing w:line="360" w:lineRule="auto"/>
        <w:ind w:left="1441" w:firstLine="28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玉环市人民医院</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7月19日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hint="eastAsia"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312" w:beforeLines="100" w:line="400" w:lineRule="exact"/>
        <w:ind w:right="23" w:firstLine="539"/>
        <w:jc w:val="left"/>
        <w:textAlignment w:val="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玉环市人民医院</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数据平台硬件与安全防护业务容灾系统</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HQ-YHZFCG-2019-55</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17"/>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17"/>
        <w:gridCol w:w="1763"/>
        <w:gridCol w:w="909"/>
        <w:gridCol w:w="871"/>
        <w:gridCol w:w="135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14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1717"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76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90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87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35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c>
          <w:tcPr>
            <w:tcW w:w="171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firstLine="240"/>
              <w:jc w:val="center"/>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114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717"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数据平台硬件与安全防护业务容灾系统</w:t>
            </w:r>
          </w:p>
        </w:tc>
        <w:tc>
          <w:tcPr>
            <w:tcW w:w="1763"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具体要求见</w:t>
            </w:r>
            <w:r>
              <w:rPr>
                <w:rFonts w:hint="eastAsia" w:ascii="宋体" w:hAnsi="宋体"/>
                <w:color w:val="000000" w:themeColor="text1"/>
                <w:sz w:val="24"/>
                <w:highlight w:val="none"/>
                <w:lang w:val="en-US" w:eastAsia="zh-CN"/>
                <w14:textFill>
                  <w14:solidFill>
                    <w14:schemeClr w14:val="tx1"/>
                  </w14:solidFill>
                </w14:textFill>
              </w:rPr>
              <w:t>公开招标</w:t>
            </w:r>
            <w:r>
              <w:rPr>
                <w:rFonts w:hint="eastAsia" w:ascii="宋体" w:hAnsi="宋体"/>
                <w:color w:val="000000" w:themeColor="text1"/>
                <w:sz w:val="24"/>
                <w:highlight w:val="none"/>
                <w14:textFill>
                  <w14:solidFill>
                    <w14:schemeClr w14:val="tx1"/>
                  </w14:solidFill>
                </w14:textFill>
              </w:rPr>
              <w:t>采购文件。</w:t>
            </w:r>
          </w:p>
        </w:tc>
        <w:tc>
          <w:tcPr>
            <w:tcW w:w="909" w:type="dxa"/>
            <w:vAlign w:val="center"/>
          </w:tcPr>
          <w:p>
            <w:pPr>
              <w:keepNext w:val="0"/>
              <w:keepLines w:val="0"/>
              <w:pageBreakBefore w:val="0"/>
              <w:widowControl/>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7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批</w:t>
            </w:r>
          </w:p>
        </w:tc>
        <w:tc>
          <w:tcPr>
            <w:tcW w:w="135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180万</w:t>
            </w:r>
            <w:r>
              <w:rPr>
                <w:rFonts w:hint="eastAsia" w:ascii="宋体" w:hAnsi="宋体"/>
                <w:color w:val="000000" w:themeColor="text1"/>
                <w:sz w:val="24"/>
                <w:highlight w:val="none"/>
                <w14:textFill>
                  <w14:solidFill>
                    <w14:schemeClr w14:val="tx1"/>
                  </w14:solidFill>
                </w14:textFill>
              </w:rPr>
              <w:t>元</w:t>
            </w:r>
          </w:p>
        </w:tc>
        <w:tc>
          <w:tcPr>
            <w:tcW w:w="1713" w:type="dxa"/>
            <w:vAlign w:val="center"/>
          </w:tcPr>
          <w:p>
            <w:pPr>
              <w:keepNext w:val="0"/>
              <w:keepLines w:val="0"/>
              <w:pageBreakBefore w:val="0"/>
              <w:widowControl/>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合同签订后30</w:t>
            </w:r>
            <w:r>
              <w:rPr>
                <w:rFonts w:hint="eastAsia" w:ascii="宋体" w:hAnsi="宋体"/>
                <w:color w:val="000000" w:themeColor="text1"/>
                <w:sz w:val="24"/>
                <w:highlight w:val="none"/>
                <w:lang w:val="en-US" w:eastAsia="zh-CN"/>
                <w14:textFill>
                  <w14:solidFill>
                    <w14:schemeClr w14:val="tx1"/>
                  </w14:solidFill>
                </w14:textFill>
              </w:rPr>
              <w:t>个工作日</w:t>
            </w:r>
            <w:r>
              <w:rPr>
                <w:rFonts w:hint="eastAsia" w:ascii="宋体" w:hAnsi="宋体"/>
                <w:color w:val="000000" w:themeColor="text1"/>
                <w:sz w:val="24"/>
                <w:highlight w:val="none"/>
                <w14:textFill>
                  <w14:solidFill>
                    <w14:schemeClr w14:val="tx1"/>
                  </w14:solidFill>
                </w14:textFill>
              </w:rPr>
              <w:t>内</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1"/>
        <w:keepNext w:val="0"/>
        <w:keepLines w:val="0"/>
        <w:pageBreakBefore w:val="0"/>
        <w:kinsoku/>
        <w:wordWrap/>
        <w:overflowPunct/>
        <w:topLinePunct w:val="0"/>
        <w:bidi w:val="0"/>
        <w:adjustRightInd w:val="0"/>
        <w:snapToGrid w:val="0"/>
        <w:spacing w:before="0" w:line="400" w:lineRule="exact"/>
        <w:ind w:right="102" w:firstLine="480" w:firstLineChars="200"/>
        <w:textAlignment w:val="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21"/>
        <w:keepNext w:val="0"/>
        <w:keepLines w:val="0"/>
        <w:pageBreakBefore w:val="0"/>
        <w:kinsoku/>
        <w:wordWrap/>
        <w:overflowPunct/>
        <w:topLinePunct w:val="0"/>
        <w:bidi w:val="0"/>
        <w:adjustRightInd w:val="0"/>
        <w:snapToGrid w:val="0"/>
        <w:spacing w:before="0" w:line="400" w:lineRule="exact"/>
        <w:ind w:right="102" w:firstLine="480" w:firstLineChars="200"/>
        <w:textAlignment w:val="auto"/>
        <w:rPr>
          <w:rFonts w:ascii="宋体" w:hAnsi="宋体"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hint="eastAsia" w:ascii="宋体" w:hAnsi="宋体" w:cs="Arial"/>
          <w:color w:val="000000" w:themeColor="text1"/>
          <w:sz w:val="24"/>
          <w:highlight w:val="none"/>
          <w:lang w:val="en-US" w:eastAsia="zh-CN"/>
          <w14:textFill>
            <w14:solidFill>
              <w14:schemeClr w14:val="tx1"/>
            </w14:solidFill>
          </w14:textFill>
        </w:rPr>
        <w:t>7月19日</w:t>
      </w:r>
      <w:r>
        <w:rPr>
          <w:rFonts w:hint="eastAsia" w:ascii="宋体" w:hAnsi="宋体" w:cs="Arial"/>
          <w:color w:val="000000" w:themeColor="text1"/>
          <w:sz w:val="24"/>
          <w:highlight w:val="none"/>
          <w14:textFill>
            <w14:solidFill>
              <w14:schemeClr w14:val="tx1"/>
            </w14:solidFill>
          </w14:textFill>
        </w:rPr>
        <w:t>至2019年</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26</w:t>
      </w:r>
      <w:r>
        <w:rPr>
          <w:rFonts w:hint="eastAsia" w:ascii="宋体" w:hAnsi="宋体" w:cs="Arial"/>
          <w:color w:val="000000" w:themeColor="text1"/>
          <w:sz w:val="24"/>
          <w:highlight w:val="none"/>
          <w14:textFill>
            <w14:solidFill>
              <w14:schemeClr w14:val="tx1"/>
            </w14:solidFill>
          </w14:textFill>
        </w:rPr>
        <w:t>日</w:t>
      </w:r>
    </w:p>
    <w:p>
      <w:pPr>
        <w:keepNext w:val="0"/>
        <w:keepLines w:val="0"/>
        <w:pageBreakBefore w:val="0"/>
        <w:kinsoku/>
        <w:wordWrap/>
        <w:overflowPunct/>
        <w:topLinePunct w:val="0"/>
        <w:bidi w:val="0"/>
        <w:spacing w:line="400" w:lineRule="exact"/>
        <w:ind w:firstLine="1800" w:firstLineChars="7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4.报名地点：玉环市李家小区二期3号楼1502室；</w:t>
      </w:r>
    </w:p>
    <w:p>
      <w:pPr>
        <w:keepNext w:val="0"/>
        <w:keepLines w:val="0"/>
        <w:pageBreakBefore w:val="0"/>
        <w:kinsoku/>
        <w:wordWrap/>
        <w:overflowPunct/>
        <w:topLinePunct w:val="0"/>
        <w:bidi w:val="0"/>
        <w:spacing w:line="400" w:lineRule="exact"/>
        <w:ind w:firstLine="960" w:firstLineChars="4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keepNext w:val="0"/>
        <w:keepLines w:val="0"/>
        <w:pageBreakBefore w:val="0"/>
        <w:kinsoku/>
        <w:wordWrap/>
        <w:overflowPunct/>
        <w:topLinePunct w:val="0"/>
        <w:bidi w:val="0"/>
        <w:spacing w:line="400" w:lineRule="exact"/>
        <w:ind w:firstLine="960" w:firstLineChars="4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keepNext w:val="0"/>
        <w:keepLines w:val="0"/>
        <w:pageBreakBefore w:val="0"/>
        <w:kinsoku/>
        <w:wordWrap/>
        <w:overflowPunct/>
        <w:topLinePunct w:val="0"/>
        <w:bidi w:val="0"/>
        <w:spacing w:line="400" w:lineRule="exact"/>
        <w:ind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5、购买标书时应提交的资料：</w:t>
      </w:r>
    </w:p>
    <w:p>
      <w:pPr>
        <w:keepNext w:val="0"/>
        <w:keepLines w:val="0"/>
        <w:pageBreakBefore w:val="0"/>
        <w:kinsoku/>
        <w:wordWrap/>
        <w:overflowPunct/>
        <w:topLinePunct w:val="0"/>
        <w:bidi w:val="0"/>
        <w:spacing w:line="400" w:lineRule="exact"/>
        <w:ind w:firstLine="720" w:firstLineChars="3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keepNext w:val="0"/>
        <w:keepLines w:val="0"/>
        <w:pageBreakBefore w:val="0"/>
        <w:kinsoku/>
        <w:wordWrap/>
        <w:overflowPunct/>
        <w:topLinePunct w:val="0"/>
        <w:bidi w:val="0"/>
        <w:spacing w:line="400" w:lineRule="exact"/>
        <w:ind w:firstLine="720" w:firstLineChars="3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left"/>
        <w:textAlignment w:val="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lang w:val="en-US" w:eastAsia="zh-CN"/>
          <w14:textFill>
            <w14:solidFill>
              <w14:schemeClr w14:val="tx1"/>
            </w14:solidFill>
          </w14:textFill>
        </w:rPr>
        <w:t>五</w:t>
      </w:r>
      <w:r>
        <w:rPr>
          <w:rFonts w:hint="eastAsia" w:cs="Arial"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2019年</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8月8日</w:t>
      </w:r>
      <w:r>
        <w:rPr>
          <w:rFonts w:hint="eastAsia" w:cs="Arial" w:asciiTheme="minorEastAsia" w:hAnsiTheme="minorEastAsia" w:eastAsiaTheme="minorEastAsia"/>
          <w:color w:val="000000" w:themeColor="text1"/>
          <w:sz w:val="24"/>
          <w:highlight w:val="none"/>
          <w14:textFill>
            <w14:solidFill>
              <w14:schemeClr w14:val="tx1"/>
            </w14:solidFill>
          </w14:textFill>
        </w:rPr>
        <w:t>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四</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上午09点</w:t>
      </w:r>
      <w:r>
        <w:rPr>
          <w:rFonts w:hint="eastAsia" w:cs="Arial" w:asciiTheme="minorEastAsia" w:hAnsiTheme="minorEastAsia" w:eastAsiaTheme="minorEastAsia"/>
          <w:color w:val="000000" w:themeColor="text1"/>
          <w:sz w:val="24"/>
          <w:highlight w:val="none"/>
          <w14:textFill>
            <w14:solidFill>
              <w14:schemeClr w14:val="tx1"/>
            </w14:solidFill>
          </w14:textFill>
        </w:rPr>
        <w:t>30整在</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玉环市公共资源交易中心</w:t>
      </w:r>
      <w:r>
        <w:rPr>
          <w:rFonts w:hint="eastAsia" w:cs="Arial" w:asciiTheme="minorEastAsia" w:hAnsiTheme="minorEastAsia" w:eastAsiaTheme="minorEastAsia"/>
          <w:color w:val="000000" w:themeColor="text1"/>
          <w:sz w:val="24"/>
          <w:highlight w:val="none"/>
          <w14:textFill>
            <w14:solidFill>
              <w14:schemeClr w14:val="tx1"/>
            </w14:solidFill>
          </w14:textFill>
        </w:rPr>
        <w:t>二楼</w:t>
      </w:r>
      <w:bookmarkStart w:id="1" w:name="_GoBack"/>
      <w:r>
        <w:rPr>
          <w:rFonts w:hint="eastAsia" w:cs="Arial" w:asciiTheme="minorEastAsia" w:hAnsiTheme="minorEastAsia" w:eastAsiaTheme="minorEastAsia"/>
          <w:color w:val="000000" w:themeColor="text1"/>
          <w:sz w:val="24"/>
          <w:highlight w:val="none"/>
          <w14:textFill>
            <w14:solidFill>
              <w14:schemeClr w14:val="tx1"/>
            </w14:solidFill>
          </w14:textFill>
        </w:rPr>
        <w:t>开标室（</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Arial" w:asciiTheme="minorEastAsia" w:hAnsiTheme="minorEastAsia" w:eastAsiaTheme="minorEastAsia"/>
          <w:color w:val="000000" w:themeColor="text1"/>
          <w:sz w:val="24"/>
          <w:highlight w:val="none"/>
          <w14:textFill>
            <w14:solidFill>
              <w14:schemeClr w14:val="tx1"/>
            </w14:solidFill>
          </w14:textFill>
        </w:rPr>
        <w:t>）</w:t>
      </w:r>
      <w:bookmarkEnd w:id="1"/>
      <w:r>
        <w:rPr>
          <w:rFonts w:hint="eastAsia" w:cs="Arial" w:asciiTheme="minorEastAsia" w:hAnsiTheme="minorEastAsia" w:eastAsiaTheme="minorEastAsia"/>
          <w:color w:val="000000" w:themeColor="text1"/>
          <w:sz w:val="24"/>
          <w:highlight w:val="none"/>
          <w14:textFill>
            <w14:solidFill>
              <w14:schemeClr w14:val="tx1"/>
            </w14:solidFill>
          </w14:textFill>
        </w:rPr>
        <w:t>（玉环市新城中路与长治路（南一路）交叉路口）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keepNext w:val="0"/>
        <w:keepLines w:val="0"/>
        <w:pageBreakBefore w:val="0"/>
        <w:kinsoku/>
        <w:wordWrap/>
        <w:overflowPunct/>
        <w:topLinePunct w:val="0"/>
        <w:bidi w:val="0"/>
        <w:snapToGrid w:val="0"/>
        <w:spacing w:line="400" w:lineRule="exact"/>
        <w:ind w:firstLine="482" w:firstLineChars="200"/>
        <w:textAlignment w:val="auto"/>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七</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pacing w:line="400" w:lineRule="exact"/>
        <w:ind w:firstLine="588" w:firstLineChars="245"/>
        <w:textAlignment w:val="auto"/>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shd w:val="clear" w:color="auto" w:fill="auto"/>
          <w14:textFill>
            <w14:solidFill>
              <w14:schemeClr w14:val="tx1"/>
            </w14:solidFill>
          </w14:textFill>
        </w:rPr>
        <w:t>国家企业信用信息公示系统（http://www.gsxt.gov.cn/index.html）</w:t>
      </w:r>
      <w:r>
        <w:rPr>
          <w:rFonts w:hint="eastAsia" w:ascii="宋体" w:hAnsi="宋体" w:cs="Arial"/>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keepNext w:val="0"/>
        <w:keepLines w:val="0"/>
        <w:pageBreakBefore w:val="0"/>
        <w:kinsoku/>
        <w:wordWrap/>
        <w:overflowPunct/>
        <w:topLinePunct w:val="0"/>
        <w:bidi w:val="0"/>
        <w:snapToGrid w:val="0"/>
        <w:spacing w:line="400" w:lineRule="exact"/>
        <w:ind w:firstLine="482" w:firstLineChars="200"/>
        <w:textAlignment w:val="auto"/>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九</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投标</w:t>
      </w:r>
      <w:r>
        <w:rPr>
          <w:rFonts w:hint="eastAsia" w:asciiTheme="minorEastAsia" w:hAnsiTheme="minorEastAsia" w:eastAsiaTheme="minorEastAsia"/>
          <w:bCs/>
          <w:color w:val="000000" w:themeColor="text1"/>
          <w:sz w:val="24"/>
          <w:highlight w:val="none"/>
          <w14:textFill>
            <w14:solidFill>
              <w14:schemeClr w14:val="tx1"/>
            </w14:solidFill>
          </w14:textFill>
        </w:rPr>
        <w:t>响应供应商及时办理浙江政府采购网“政府采购供应商注册”手续。</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w:t>
      </w:r>
      <w:r>
        <w:rPr>
          <w:rFonts w:hint="eastAsia" w:asciiTheme="minorEastAsia" w:hAnsiTheme="minorEastAsia" w:eastAsiaTheme="minorEastAsia"/>
          <w:bCs/>
          <w:color w:val="000000" w:themeColor="text1"/>
          <w:sz w:val="24"/>
          <w:highlight w:val="none"/>
          <w:lang w:val="en-US" w:eastAsia="zh-CN"/>
          <w14:textFill>
            <w14:solidFill>
              <w14:schemeClr w14:val="tx1"/>
            </w14:solidFill>
          </w14:textFill>
        </w:rPr>
        <w:t>公开招标</w:t>
      </w:r>
      <w:r>
        <w:rPr>
          <w:rFonts w:hint="eastAsia" w:asciiTheme="minorEastAsia" w:hAnsiTheme="minorEastAsia" w:eastAsiaTheme="minorEastAsia"/>
          <w:bCs/>
          <w:color w:val="000000" w:themeColor="text1"/>
          <w:sz w:val="24"/>
          <w:highlight w:val="none"/>
          <w14:textFill>
            <w14:solidFill>
              <w14:schemeClr w14:val="tx1"/>
            </w14:solidFill>
          </w14:textFill>
        </w:rPr>
        <w:t>采购文件可从网上直接下载。</w:t>
      </w:r>
    </w:p>
    <w:p>
      <w:pPr>
        <w:keepNext w:val="0"/>
        <w:keepLines w:val="0"/>
        <w:pageBreakBefore w:val="0"/>
        <w:kinsoku/>
        <w:wordWrap/>
        <w:overflowPunct/>
        <w:topLinePunct w:val="0"/>
        <w:bidi w:val="0"/>
        <w:spacing w:line="400" w:lineRule="exact"/>
        <w:ind w:firstLine="588" w:firstLineChars="245"/>
        <w:textAlignment w:val="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w:t>
      </w:r>
      <w:r>
        <w:rPr>
          <w:rFonts w:hint="eastAsia" w:asciiTheme="minorEastAsia" w:hAnsiTheme="minorEastAsia" w:eastAsiaTheme="minorEastAsia"/>
          <w:bCs/>
          <w:color w:val="000000" w:themeColor="text1"/>
          <w:sz w:val="24"/>
          <w:highlight w:val="none"/>
          <w:lang w:eastAsia="zh-CN"/>
          <w14:textFill>
            <w14:solidFill>
              <w14:schemeClr w14:val="tx1"/>
            </w14:solidFill>
          </w14:textFill>
        </w:rPr>
        <w:t>玉环市公共资源交易中心</w:t>
      </w:r>
      <w:r>
        <w:rPr>
          <w:rFonts w:hint="eastAsia" w:asciiTheme="minorEastAsia" w:hAnsiTheme="minorEastAsia" w:eastAsiaTheme="minorEastAsia"/>
          <w:bCs/>
          <w:color w:val="000000" w:themeColor="text1"/>
          <w:sz w:val="24"/>
          <w:highlight w:val="none"/>
          <w14:textFill>
            <w14:solidFill>
              <w14:schemeClr w14:val="tx1"/>
            </w14:solidFill>
          </w14:textFill>
        </w:rPr>
        <w:t>”（ https://www.yhjyzx.com/News/zcfg/zfcg）。</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十、联系方式：</w:t>
      </w:r>
    </w:p>
    <w:p>
      <w:pPr>
        <w:keepNext w:val="0"/>
        <w:keepLines w:val="0"/>
        <w:pageBreakBefore w:val="0"/>
        <w:kinsoku/>
        <w:wordWrap/>
        <w:overflowPunct/>
        <w:topLinePunct w:val="0"/>
        <w:bidi w:val="0"/>
        <w:spacing w:line="400" w:lineRule="exac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napToGrid w:val="0"/>
        <w:spacing w:line="400" w:lineRule="exact"/>
        <w:ind w:firstLine="602" w:firstLineChars="250"/>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400" w:lineRule="exact"/>
        <w:ind w:firstLine="600" w:firstLineChars="250"/>
        <w:textAlignment w:val="auto"/>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lang w:eastAsia="zh-CN"/>
          <w14:textFill>
            <w14:solidFill>
              <w14:schemeClr w14:val="tx1"/>
            </w14:solidFill>
          </w14:textFill>
        </w:rPr>
        <w:t>玉环市人民医院</w:t>
      </w:r>
    </w:p>
    <w:p>
      <w:pPr>
        <w:keepNext w:val="0"/>
        <w:keepLines w:val="0"/>
        <w:pageBreakBefore w:val="0"/>
        <w:kinsoku/>
        <w:wordWrap/>
        <w:overflowPunct/>
        <w:topLinePunct w:val="0"/>
        <w:bidi w:val="0"/>
        <w:snapToGrid w:val="0"/>
        <w:spacing w:line="400" w:lineRule="exact"/>
        <w:ind w:firstLine="600" w:firstLineChars="250"/>
        <w:textAlignment w:val="auto"/>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lang w:eastAsia="zh-CN"/>
          <w14:textFill>
            <w14:solidFill>
              <w14:schemeClr w14:val="tx1"/>
            </w14:solidFill>
          </w14:textFill>
        </w:rPr>
        <w:t>潘先生</w:t>
      </w:r>
      <w:r>
        <w:rPr>
          <w:rFonts w:hint="eastAsia" w:ascii="宋体" w:hAnsi="宋体" w:cs="Arial"/>
          <w:color w:val="000000" w:themeColor="text1"/>
          <w:sz w:val="24"/>
          <w:highlight w:val="none"/>
          <w14:textFill>
            <w14:solidFill>
              <w14:schemeClr w14:val="tx1"/>
            </w14:solidFill>
          </w14:textFill>
        </w:rPr>
        <w:t xml:space="preserve">       联系电话：</w:t>
      </w:r>
      <w:r>
        <w:rPr>
          <w:rFonts w:hint="eastAsia" w:ascii="宋体" w:hAnsi="宋体" w:cs="Arial"/>
          <w:color w:val="000000" w:themeColor="text1"/>
          <w:sz w:val="24"/>
          <w:highlight w:val="none"/>
          <w:lang w:eastAsia="zh-CN"/>
          <w14:textFill>
            <w14:solidFill>
              <w14:schemeClr w14:val="tx1"/>
            </w14:solidFill>
          </w14:textFill>
        </w:rPr>
        <w:t>0576-87236016</w:t>
      </w:r>
    </w:p>
    <w:p>
      <w:pPr>
        <w:keepNext w:val="0"/>
        <w:keepLines w:val="0"/>
        <w:pageBreakBefore w:val="0"/>
        <w:kinsoku/>
        <w:wordWrap/>
        <w:overflowPunct/>
        <w:topLinePunct w:val="0"/>
        <w:bidi w:val="0"/>
        <w:spacing w:line="400" w:lineRule="exact"/>
        <w:ind w:firstLine="472" w:firstLineChars="196"/>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400" w:lineRule="exact"/>
        <w:ind w:left="525" w:left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400" w:lineRule="exact"/>
        <w:ind w:firstLine="600" w:firstLineChars="25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keepNext w:val="0"/>
        <w:keepLines w:val="0"/>
        <w:pageBreakBefore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pacing w:line="400" w:lineRule="exact"/>
        <w:ind w:left="1440" w:right="-94"/>
        <w:textAlignment w:val="auto"/>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center"/>
        <w:textAlignment w:val="auto"/>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7月19日</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7"/>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7"/>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16"/>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供应商特定资格要求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答疑会或</w:t>
            </w:r>
            <w:r>
              <w:rPr>
                <w:rFonts w:hint="eastAsia" w:ascii="宋体" w:hAnsi="宋体" w:eastAsia="宋体" w:cs="宋体"/>
                <w:color w:val="000000" w:themeColor="text1"/>
                <w:sz w:val="24"/>
                <w:szCs w:val="24"/>
                <w:highlight w:val="none"/>
                <w14:textFill>
                  <w14:solidFill>
                    <w14:schemeClr w14:val="tx1"/>
                  </w14:solidFill>
                </w14:textFill>
              </w:rPr>
              <w:t>现场踏勘</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领取</w:t>
            </w:r>
            <w:r>
              <w:rPr>
                <w:rFonts w:hint="eastAsia" w:ascii="宋体" w:hAnsi="宋体" w:eastAsia="宋体" w:cs="宋体"/>
                <w:color w:val="000000" w:themeColor="text1"/>
                <w:sz w:val="24"/>
                <w:szCs w:val="24"/>
                <w:highlight w:val="none"/>
                <w14:textFill>
                  <w14:solidFill>
                    <w14:schemeClr w14:val="tx1"/>
                  </w14:solidFill>
                </w14:textFill>
              </w:rPr>
              <w:t>采购文件</w:t>
            </w:r>
            <w:r>
              <w:rPr>
                <w:rFonts w:hint="eastAsia" w:ascii="宋体" w:hAnsi="宋体" w:eastAsia="宋体" w:cs="宋体"/>
                <w:color w:val="000000" w:themeColor="text1"/>
                <w:kern w:val="0"/>
                <w:sz w:val="24"/>
                <w:szCs w:val="24"/>
                <w:highlight w:val="none"/>
                <w14:textFill>
                  <w14:solidFill>
                    <w14:schemeClr w14:val="tx1"/>
                  </w14:solidFill>
                </w14:textFill>
              </w:rPr>
              <w:t>后，各供应商请自行踏勘。</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cs="宋体"/>
                <w:color w:val="000000" w:themeColor="text1"/>
                <w:kern w:val="0"/>
                <w:sz w:val="24"/>
                <w:szCs w:val="24"/>
                <w:highlight w:val="none"/>
                <w:lang w:eastAsia="zh-CN"/>
                <w14:textFill>
                  <w14:solidFill>
                    <w14:schemeClr w14:val="tx1"/>
                  </w14:solidFill>
                </w14:textFill>
              </w:rPr>
              <w:t>潘先生</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eastAsia="zh-CN"/>
                <w14:textFill>
                  <w14:solidFill>
                    <w14:schemeClr w14:val="tx1"/>
                  </w14:solidFill>
                </w14:textFill>
              </w:rPr>
              <w:t>0576-87236016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投标文件包装要求</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投标文件中的报价文件必须与其他文件分开各自密封包装。</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szCs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截止时间：北京时间</w:t>
            </w:r>
            <w:r>
              <w:rPr>
                <w:rFonts w:hint="eastAsia" w:ascii="宋体" w:hAnsi="宋体" w:eastAsia="宋体" w:cs="宋体"/>
                <w:color w:val="000000" w:themeColor="text1"/>
                <w:sz w:val="24"/>
                <w:szCs w:val="24"/>
                <w:highlight w:val="none"/>
                <w:lang w:eastAsia="zh-CN"/>
                <w14:textFill>
                  <w14:solidFill>
                    <w14:schemeClr w14:val="tx1"/>
                  </w14:solidFill>
                </w14:textFill>
              </w:rPr>
              <w:t>2019年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递交地点：</w:t>
            </w:r>
            <w:r>
              <w:rPr>
                <w:rFonts w:hint="eastAsia" w:ascii="宋体" w:hAnsi="宋体" w:cs="宋体"/>
                <w:color w:val="000000" w:themeColor="text1"/>
                <w:sz w:val="24"/>
                <w:szCs w:val="24"/>
                <w:highlight w:val="none"/>
                <w:lang w:eastAsia="zh-CN"/>
                <w14:textFill>
                  <w14:solidFill>
                    <w14:schemeClr w14:val="tx1"/>
                  </w14:solidFill>
                </w14:textFill>
              </w:rPr>
              <w:t>玉环市公共资源交易中心</w:t>
            </w:r>
            <w:r>
              <w:rPr>
                <w:rFonts w:hint="eastAsia" w:ascii="宋体" w:hAnsi="宋体" w:eastAsia="宋体" w:cs="宋体"/>
                <w:color w:val="000000" w:themeColor="text1"/>
                <w:sz w:val="24"/>
                <w:szCs w:val="24"/>
                <w:highlight w:val="none"/>
                <w14:textFill>
                  <w14:solidFill>
                    <w14:schemeClr w14:val="tx1"/>
                  </w14:solidFill>
                </w14:textFill>
              </w:rPr>
              <w:t>二楼</w:t>
            </w:r>
            <w:r>
              <w:rPr>
                <w:rFonts w:hint="eastAsia" w:ascii="宋体" w:hAnsi="宋体" w:cs="宋体"/>
                <w:color w:val="000000" w:themeColor="text1"/>
                <w:sz w:val="24"/>
                <w:szCs w:val="24"/>
                <w:highlight w:val="none"/>
                <w:lang w:eastAsia="zh-CN"/>
                <w14:textFill>
                  <w14:solidFill>
                    <w14:schemeClr w14:val="tx1"/>
                  </w14:solidFill>
                </w14:textFill>
              </w:rPr>
              <w:t>开标室（三）</w:t>
            </w:r>
            <w:r>
              <w:rPr>
                <w:rFonts w:hint="eastAsia" w:ascii="宋体" w:hAnsi="宋体" w:eastAsia="宋体" w:cs="宋体"/>
                <w:color w:val="000000" w:themeColor="text1"/>
                <w:sz w:val="24"/>
                <w:szCs w:val="24"/>
                <w:highlight w:val="none"/>
                <w14:textFill>
                  <w14:solidFill>
                    <w14:schemeClr w14:val="tx1"/>
                  </w14:solidFill>
                </w14:textFill>
              </w:rPr>
              <w:t>（玉环市新城中路与长治路（南一路）交叉路口）</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p>
        </w:tc>
        <w:tc>
          <w:tcPr>
            <w:tcW w:w="6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时间：北京时间</w:t>
            </w:r>
            <w:r>
              <w:rPr>
                <w:rFonts w:hint="eastAsia" w:ascii="宋体" w:hAnsi="宋体" w:eastAsia="宋体" w:cs="宋体"/>
                <w:color w:val="000000" w:themeColor="text1"/>
                <w:sz w:val="24"/>
                <w:szCs w:val="24"/>
                <w:highlight w:val="none"/>
                <w:lang w:eastAsia="zh-CN"/>
                <w14:textFill>
                  <w14:solidFill>
                    <w14:schemeClr w14:val="tx1"/>
                  </w14:solidFill>
                </w14:textFill>
              </w:rPr>
              <w:t>2019年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玉环市公共资源交易中心</w:t>
            </w:r>
            <w:r>
              <w:rPr>
                <w:rFonts w:hint="eastAsia" w:ascii="宋体" w:hAnsi="宋体" w:eastAsia="宋体" w:cs="宋体"/>
                <w:color w:val="000000" w:themeColor="text1"/>
                <w:sz w:val="24"/>
                <w:szCs w:val="24"/>
                <w:highlight w:val="none"/>
                <w14:textFill>
                  <w14:solidFill>
                    <w14:schemeClr w14:val="tx1"/>
                  </w14:solidFill>
                </w14:textFill>
              </w:rPr>
              <w:t>二楼</w:t>
            </w:r>
            <w:r>
              <w:rPr>
                <w:rFonts w:hint="eastAsia" w:ascii="宋体" w:hAnsi="宋体" w:cs="宋体"/>
                <w:color w:val="000000" w:themeColor="text1"/>
                <w:sz w:val="24"/>
                <w:szCs w:val="24"/>
                <w:highlight w:val="none"/>
                <w:lang w:eastAsia="zh-CN"/>
                <w14:textFill>
                  <w14:solidFill>
                    <w14:schemeClr w14:val="tx1"/>
                  </w14:solidFill>
                </w14:textFill>
              </w:rPr>
              <w:t>开标室（三）</w:t>
            </w:r>
            <w:r>
              <w:rPr>
                <w:rFonts w:hint="eastAsia" w:ascii="宋体" w:hAnsi="宋体" w:eastAsia="宋体" w:cs="宋体"/>
                <w:color w:val="000000" w:themeColor="text1"/>
                <w:sz w:val="24"/>
                <w:szCs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65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供应商在签订合同前须交纳本项目履约保证金为合同金额的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10  </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实质性条款</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leftChars="0" w:hanging="10" w:firstLineChars="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带“</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本招标文件解释权属于采购人和集中采构机构/采购代理机构</w:t>
            </w:r>
          </w:p>
        </w:tc>
      </w:tr>
    </w:tbl>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0"/>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2"/>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asciiTheme="minorEastAsia" w:hAnsiTheme="minorEastAsia" w:eastAsiaTheme="minorEastAsia"/>
          <w:color w:val="000000" w:themeColor="text1"/>
          <w:kern w:val="0"/>
          <w:sz w:val="24"/>
          <w:szCs w:val="24"/>
          <w:highlight w:val="none"/>
          <w14:textFill>
            <w14:solidFill>
              <w14:schemeClr w14:val="tx1"/>
            </w14:solidFill>
          </w14:textFill>
        </w:rPr>
        <w:t>安装、调试及验收方案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四</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5"/>
        </w:numPr>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0"/>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0"/>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5"/>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14:textFill>
            <w14:solidFill>
              <w14:schemeClr w14:val="tx1"/>
            </w14:solidFill>
          </w14:textFill>
        </w:rPr>
        <w:t>、投标参数未如实填写，完全复制粘贴招标参数的。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9</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kern w:val="0"/>
          <w:sz w:val="24"/>
          <w:highlight w:val="none"/>
          <w14:textFill>
            <w14:solidFill>
              <w14:schemeClr w14:val="tx1"/>
            </w14:solidFill>
          </w14:textFill>
        </w:rPr>
        <w:t>、不符合法律、法规和招标文件中规定的其他实质性要求的（招标文件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中打“</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5"/>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0"/>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26</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总计100分。商务报价评分</w:t>
      </w:r>
      <w:r>
        <w:rPr>
          <w:rFonts w:hint="eastAsia" w:ascii="宋体" w:hAnsi="宋体"/>
          <w:color w:val="000000" w:themeColor="text1"/>
          <w:kern w:val="0"/>
          <w:sz w:val="24"/>
          <w:highlight w:val="none"/>
          <w:lang w:val="en-US" w:eastAsia="zh-CN"/>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 xml:space="preserve">0分，技术、服务、资信综合评分 </w:t>
      </w:r>
      <w:r>
        <w:rPr>
          <w:rFonts w:hint="eastAsia" w:ascii="宋体" w:hAnsi="宋体"/>
          <w:color w:val="000000" w:themeColor="text1"/>
          <w:kern w:val="0"/>
          <w:sz w:val="24"/>
          <w:highlight w:val="none"/>
          <w:lang w:val="en-US" w:eastAsia="zh-CN"/>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30</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7"/>
        <w:tblW w:w="965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08"/>
        <w:gridCol w:w="7026"/>
        <w:gridCol w:w="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trPr>
        <w:tc>
          <w:tcPr>
            <w:tcW w:w="1808" w:type="dxa"/>
            <w:noWrap w:val="0"/>
            <w:tcMar>
              <w:top w:w="28" w:type="dxa"/>
              <w:bottom w:w="28" w:type="dxa"/>
            </w:tcMar>
            <w:vAlign w:val="center"/>
          </w:tcPr>
          <w:p>
            <w:pPr>
              <w:widowControl/>
              <w:jc w:val="center"/>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评标项</w:t>
            </w:r>
          </w:p>
        </w:tc>
        <w:tc>
          <w:tcPr>
            <w:tcW w:w="7026" w:type="dxa"/>
            <w:noWrap w:val="0"/>
            <w:tcMar>
              <w:top w:w="28" w:type="dxa"/>
              <w:bottom w:w="28" w:type="dxa"/>
            </w:tcMar>
            <w:vAlign w:val="center"/>
          </w:tcPr>
          <w:p>
            <w:pPr>
              <w:widowControl/>
              <w:jc w:val="center"/>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细则内容</w:t>
            </w:r>
          </w:p>
        </w:tc>
        <w:tc>
          <w:tcPr>
            <w:tcW w:w="825" w:type="dxa"/>
            <w:noWrap w:val="0"/>
            <w:tcMar>
              <w:top w:w="28" w:type="dxa"/>
              <w:bottom w:w="28" w:type="dxa"/>
            </w:tcMar>
            <w:vAlign w:val="center"/>
          </w:tcPr>
          <w:p>
            <w:pPr>
              <w:widowControl/>
              <w:jc w:val="center"/>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分值（分）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trPr>
        <w:tc>
          <w:tcPr>
            <w:tcW w:w="1808" w:type="dxa"/>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GB"/>
                <w14:textFill>
                  <w14:solidFill>
                    <w14:schemeClr w14:val="tx1"/>
                  </w14:solidFill>
                </w14:textFill>
              </w:rPr>
              <w:t>案例</w:t>
            </w:r>
            <w:r>
              <w:rPr>
                <w:rFonts w:hint="eastAsia" w:ascii="宋体" w:hAnsi="宋体"/>
                <w:color w:val="000000" w:themeColor="text1"/>
                <w:kern w:val="0"/>
                <w:sz w:val="24"/>
                <w:szCs w:val="24"/>
                <w:highlight w:val="none"/>
                <w14:textFill>
                  <w14:solidFill>
                    <w14:schemeClr w14:val="tx1"/>
                  </w14:solidFill>
                </w14:textFill>
              </w:rPr>
              <w:t>业绩</w:t>
            </w:r>
          </w:p>
        </w:tc>
        <w:tc>
          <w:tcPr>
            <w:tcW w:w="7026" w:type="dxa"/>
            <w:noWrap w:val="0"/>
            <w:tcMar>
              <w:top w:w="28" w:type="dxa"/>
              <w:bottom w:w="28" w:type="dxa"/>
            </w:tcMar>
            <w:vAlign w:val="center"/>
          </w:tcPr>
          <w:p>
            <w:pPr>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提供近四年来</w:t>
            </w:r>
            <w:r>
              <w:rPr>
                <w:rFonts w:ascii="宋体" w:hAnsi="宋体"/>
                <w:color w:val="000000" w:themeColor="text1"/>
                <w:kern w:val="0"/>
                <w:sz w:val="24"/>
                <w:szCs w:val="24"/>
                <w:highlight w:val="none"/>
                <w14:textFill>
                  <w14:solidFill>
                    <w14:schemeClr w14:val="tx1"/>
                  </w14:solidFill>
                </w14:textFill>
              </w:rPr>
              <w:t>100</w:t>
            </w:r>
            <w:r>
              <w:rPr>
                <w:rFonts w:hint="eastAsia" w:ascii="宋体" w:hAnsi="宋体"/>
                <w:color w:val="000000" w:themeColor="text1"/>
                <w:kern w:val="0"/>
                <w:sz w:val="24"/>
                <w:szCs w:val="24"/>
                <w:highlight w:val="none"/>
                <w14:textFill>
                  <w14:solidFill>
                    <w14:schemeClr w14:val="tx1"/>
                  </w14:solidFill>
                </w14:textFill>
              </w:rPr>
              <w:t>万以上数据中心设备政府采购合同案列，每一个得</w:t>
            </w:r>
            <w:r>
              <w:rPr>
                <w:rFonts w:ascii="宋体" w:hAnsi="宋体"/>
                <w:color w:val="000000" w:themeColor="text1"/>
                <w:kern w:val="0"/>
                <w:sz w:val="24"/>
                <w:szCs w:val="24"/>
                <w:highlight w:val="none"/>
                <w14:textFill>
                  <w14:solidFill>
                    <w14:schemeClr w14:val="tx1"/>
                  </w14:solidFill>
                </w14:textFill>
              </w:rPr>
              <w:t>1</w:t>
            </w:r>
            <w:r>
              <w:rPr>
                <w:rFonts w:hint="eastAsia" w:ascii="宋体" w:hAnsi="宋体"/>
                <w:color w:val="000000" w:themeColor="text1"/>
                <w:kern w:val="0"/>
                <w:sz w:val="24"/>
                <w:szCs w:val="24"/>
                <w:highlight w:val="none"/>
                <w14:textFill>
                  <w14:solidFill>
                    <w14:schemeClr w14:val="tx1"/>
                  </w14:solidFill>
                </w14:textFill>
              </w:rPr>
              <w:t>分累计不超过</w:t>
            </w:r>
            <w:r>
              <w:rPr>
                <w:rFonts w:ascii="宋体" w:hAnsi="宋体"/>
                <w:color w:val="000000" w:themeColor="text1"/>
                <w:kern w:val="0"/>
                <w:sz w:val="24"/>
                <w:szCs w:val="24"/>
                <w:highlight w:val="none"/>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分，原件备查</w:t>
            </w:r>
            <w:r>
              <w:rPr>
                <w:rFonts w:ascii="宋体" w:hAnsi="宋体" w:cs="宋体"/>
                <w:color w:val="000000" w:themeColor="text1"/>
                <w:kern w:val="0"/>
                <w:sz w:val="24"/>
                <w:szCs w:val="24"/>
                <w:highlight w:val="none"/>
                <w14:textFill>
                  <w14:solidFill>
                    <w14:schemeClr w14:val="tx1"/>
                  </w14:solidFill>
                </w14:textFill>
              </w:rPr>
              <w:t xml:space="preserve"> </w:t>
            </w:r>
          </w:p>
        </w:tc>
        <w:tc>
          <w:tcPr>
            <w:tcW w:w="825" w:type="dxa"/>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ascii="宋体" w:hAnsi="宋体" w:cs="Arial"/>
                <w:color w:val="000000" w:themeColor="text1"/>
                <w:sz w:val="24"/>
                <w:szCs w:val="24"/>
                <w:highlight w:val="none"/>
                <w14:textFill>
                  <w14:solidFill>
                    <w14:schemeClr w14:val="tx1"/>
                  </w14:solidFill>
                </w14:textFill>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trPr>
        <w:tc>
          <w:tcPr>
            <w:tcW w:w="1808" w:type="dxa"/>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投标人技术实力及服务</w:t>
            </w:r>
          </w:p>
        </w:tc>
        <w:tc>
          <w:tcPr>
            <w:tcW w:w="7026" w:type="dxa"/>
            <w:noWrap w:val="0"/>
            <w:tcMar>
              <w:top w:w="28" w:type="dxa"/>
              <w:bottom w:w="28" w:type="dxa"/>
            </w:tcMar>
            <w:vAlign w:val="center"/>
          </w:tcPr>
          <w:p>
            <w:pPr>
              <w:spacing w:line="40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投标人或本地签约服务商技术实力：CISP证书，HCSA证书得4分，重合同守信用企业连续三年以上得1分。复印件盖公章，原件备查。</w:t>
            </w:r>
          </w:p>
          <w:p>
            <w:pPr>
              <w:rPr>
                <w:rFonts w:ascii="宋体" w:hAnsi="宋体" w:cs="Arial"/>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总公司或分公司设立在玉环，本地化服务得3分；承诺中标后30日内在玉环本地维护点（需要办理营业执照及驻点人员证书验证，系统维护需持CISP证书，HCSA证书证书人员）得2分；承诺中标后30日内与具备维护能力的玉环本地供应商签订合作协议，为采购单位提供运维服务得1分（签约本地供应商需CISP证书，HCSA证书）。</w:t>
            </w:r>
          </w:p>
        </w:tc>
        <w:tc>
          <w:tcPr>
            <w:tcW w:w="825" w:type="dxa"/>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trPr>
        <w:tc>
          <w:tcPr>
            <w:tcW w:w="1808" w:type="dxa"/>
            <w:tcBorders>
              <w:top w:val="single" w:color="auto" w:sz="2" w:space="0"/>
              <w:left w:val="single" w:color="auto" w:sz="2" w:space="0"/>
              <w:bottom w:val="single" w:color="auto" w:sz="2" w:space="0"/>
              <w:right w:val="single" w:color="auto" w:sz="2" w:space="0"/>
            </w:tcBorders>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虚拟化服务器</w:t>
            </w:r>
          </w:p>
        </w:tc>
        <w:tc>
          <w:tcPr>
            <w:tcW w:w="7026" w:type="dxa"/>
            <w:tcBorders>
              <w:top w:val="single" w:color="auto" w:sz="2" w:space="0"/>
              <w:left w:val="single" w:color="auto" w:sz="2" w:space="0"/>
              <w:bottom w:val="single" w:color="auto" w:sz="2" w:space="0"/>
              <w:right w:val="single" w:color="auto" w:sz="2" w:space="0"/>
            </w:tcBorders>
            <w:noWrap w:val="0"/>
            <w:tcMar>
              <w:top w:w="28" w:type="dxa"/>
              <w:bottom w:w="28" w:type="dxa"/>
            </w:tcMar>
            <w:vAlign w:val="center"/>
          </w:tcPr>
          <w:p>
            <w:pPr>
              <w:rPr>
                <w:rFonts w:ascii="宋体" w:hAnsi="宋体" w:cs="Arial"/>
                <w:color w:val="000000" w:themeColor="text1"/>
                <w:kern w:val="0"/>
                <w:sz w:val="24"/>
                <w:szCs w:val="24"/>
                <w:highlight w:val="none"/>
                <w14:textFill>
                  <w14:solidFill>
                    <w14:schemeClr w14:val="tx1"/>
                  </w14:solidFill>
                </w14:textFill>
              </w:rPr>
            </w:pPr>
            <w:r>
              <w:rPr>
                <w:rFonts w:hint="eastAsia" w:ascii="宋体" w:hAnsi="宋体" w:cs="Arial"/>
                <w:color w:val="000000" w:themeColor="text1"/>
                <w:kern w:val="0"/>
                <w:sz w:val="24"/>
                <w:szCs w:val="24"/>
                <w:highlight w:val="none"/>
                <w14:textFill>
                  <w14:solidFill>
                    <w14:schemeClr w14:val="tx1"/>
                  </w14:solidFill>
                </w14:textFill>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号的技术以及参数指标要求在投标产品厂商中英文网站产品白皮书中有清晰描述，否则视为不满足。对性能指标及技术参数属负偏离或缺漏项的每项扣1分，扣完为止。</w:t>
            </w:r>
          </w:p>
        </w:tc>
        <w:tc>
          <w:tcPr>
            <w:tcW w:w="825" w:type="dxa"/>
            <w:tcBorders>
              <w:top w:val="single" w:color="auto" w:sz="2" w:space="0"/>
              <w:left w:val="single" w:color="auto" w:sz="2" w:space="0"/>
              <w:bottom w:val="single" w:color="auto" w:sz="2" w:space="0"/>
              <w:right w:val="single" w:color="auto" w:sz="2" w:space="0"/>
            </w:tcBorders>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3" w:hRule="atLeast"/>
        </w:trPr>
        <w:tc>
          <w:tcPr>
            <w:tcW w:w="1808"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服务器内存扩容</w:t>
            </w:r>
          </w:p>
        </w:tc>
        <w:tc>
          <w:tcPr>
            <w:tcW w:w="7026"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kern w:val="0"/>
                <w:sz w:val="24"/>
                <w:szCs w:val="24"/>
                <w:highlight w:val="none"/>
                <w14:textFill>
                  <w14:solidFill>
                    <w14:schemeClr w14:val="tx1"/>
                  </w14:solidFill>
                </w14:textFill>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号的技术以及参数指标要求在投标产品厂商中英文网站产品白皮书中有清晰描述，否则视为不满足，</w:t>
            </w:r>
            <w:r>
              <w:rPr>
                <w:rFonts w:hint="eastAsia" w:ascii="宋体" w:hAnsi="宋体" w:cs="宋体"/>
                <w:color w:val="000000" w:themeColor="text1"/>
                <w:sz w:val="24"/>
                <w:szCs w:val="24"/>
                <w:highlight w:val="none"/>
                <w14:textFill>
                  <w14:solidFill>
                    <w14:schemeClr w14:val="tx1"/>
                  </w14:solidFill>
                </w14:textFill>
              </w:rPr>
              <w:t>提供原服务器厂家项目授权函。</w:t>
            </w:r>
          </w:p>
        </w:tc>
        <w:tc>
          <w:tcPr>
            <w:tcW w:w="825" w:type="dxa"/>
            <w:noWrap w:val="0"/>
            <w:tcMar>
              <w:top w:w="28" w:type="dxa"/>
              <w:bottom w:w="28" w:type="dxa"/>
            </w:tcMar>
            <w:vAlign w:val="center"/>
          </w:tcPr>
          <w:p>
            <w:pPr>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3" w:hRule="atLeast"/>
        </w:trPr>
        <w:tc>
          <w:tcPr>
            <w:tcW w:w="1808"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数据平台硬件</w:t>
            </w:r>
          </w:p>
        </w:tc>
        <w:tc>
          <w:tcPr>
            <w:tcW w:w="7026"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kern w:val="0"/>
                <w:sz w:val="24"/>
                <w:szCs w:val="24"/>
                <w:highlight w:val="none"/>
                <w14:textFill>
                  <w14:solidFill>
                    <w14:schemeClr w14:val="tx1"/>
                  </w14:solidFill>
                </w14:textFill>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号的技术以及参数指标要求在投标产品厂商中英文网站产品白皮书中有清晰描述，否则视为不满足。对性能指标及技术参数属负偏离或缺漏项的每项扣1分，扣完为止。</w:t>
            </w:r>
          </w:p>
        </w:tc>
        <w:tc>
          <w:tcPr>
            <w:tcW w:w="825" w:type="dxa"/>
            <w:noWrap w:val="0"/>
            <w:tcMar>
              <w:top w:w="28" w:type="dxa"/>
              <w:bottom w:w="28" w:type="dxa"/>
            </w:tcMar>
            <w:vAlign w:val="center"/>
          </w:tcPr>
          <w:p>
            <w:pPr>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6" w:hRule="atLeast"/>
        </w:trPr>
        <w:tc>
          <w:tcPr>
            <w:tcW w:w="1808" w:type="dxa"/>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虚拟化防护（扩容）</w:t>
            </w:r>
          </w:p>
        </w:tc>
        <w:tc>
          <w:tcPr>
            <w:tcW w:w="7026"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kern w:val="0"/>
                <w:sz w:val="24"/>
                <w:szCs w:val="24"/>
                <w:highlight w:val="none"/>
                <w14:textFill>
                  <w14:solidFill>
                    <w14:schemeClr w14:val="tx1"/>
                  </w14:solidFill>
                </w14:textFill>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号的技术以及参数指标要求在投标产品厂商中英文网站产品白皮书中有清晰描述，否则视为不满足。对性能指标及技术参数属负偏离或缺漏项的每项扣1分，扣完为止。</w:t>
            </w:r>
          </w:p>
        </w:tc>
        <w:tc>
          <w:tcPr>
            <w:tcW w:w="825" w:type="dxa"/>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1808" w:type="dxa"/>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虚拟化容灾系统</w:t>
            </w:r>
          </w:p>
        </w:tc>
        <w:tc>
          <w:tcPr>
            <w:tcW w:w="7026"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kern w:val="0"/>
                <w:sz w:val="24"/>
                <w:szCs w:val="24"/>
                <w:highlight w:val="none"/>
                <w14:textFill>
                  <w14:solidFill>
                    <w14:schemeClr w14:val="tx1"/>
                  </w14:solidFill>
                </w14:textFill>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w:t>
            </w:r>
            <w:r>
              <w:rPr>
                <w:rFonts w:ascii="宋体" w:hAnsi="宋体" w:cs="Arial"/>
                <w:color w:val="000000" w:themeColor="text1"/>
                <w:kern w:val="0"/>
                <w:sz w:val="24"/>
                <w:szCs w:val="24"/>
                <w:highlight w:val="none"/>
                <w14:textFill>
                  <w14:solidFill>
                    <w14:schemeClr w14:val="tx1"/>
                  </w14:solidFill>
                </w14:textFill>
              </w:rPr>
              <w:t>▲</w:t>
            </w:r>
            <w:r>
              <w:rPr>
                <w:rFonts w:hint="eastAsia" w:ascii="宋体" w:hAnsi="宋体" w:cs="Arial"/>
                <w:color w:val="000000" w:themeColor="text1"/>
                <w:kern w:val="0"/>
                <w:sz w:val="24"/>
                <w:szCs w:val="24"/>
                <w:highlight w:val="none"/>
                <w14:textFill>
                  <w14:solidFill>
                    <w14:schemeClr w14:val="tx1"/>
                  </w14:solidFill>
                </w14:textFill>
              </w:rPr>
              <w:t>号的技术以及参数指标要求在投标产品厂商中英文网站产品白皮书中有清晰描述，否则视为不满足。对性能指标及技术参数属负偏离或缺漏项的每项扣1分，扣完为止。</w:t>
            </w:r>
          </w:p>
        </w:tc>
        <w:tc>
          <w:tcPr>
            <w:tcW w:w="825" w:type="dxa"/>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ascii="宋体" w:hAnsi="宋体" w:cs="Arial"/>
                <w:color w:val="000000" w:themeColor="text1"/>
                <w:sz w:val="24"/>
                <w:szCs w:val="24"/>
                <w:highlight w:val="none"/>
                <w14:textFill>
                  <w14:solidFill>
                    <w14:schemeClr w14:val="tx1"/>
                  </w14:solidFill>
                </w14:textFill>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4" w:hRule="atLeast"/>
        </w:trPr>
        <w:tc>
          <w:tcPr>
            <w:tcW w:w="1808" w:type="dxa"/>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数据库调优及数据平台应用部署，安全防护与集成</w:t>
            </w:r>
          </w:p>
        </w:tc>
        <w:tc>
          <w:tcPr>
            <w:tcW w:w="7026" w:type="dxa"/>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画出客户原有设备拓扑图，描述客户原有硬件设备架构及清单，画出客户原有应用系统拓扑图，描述客户原有应用系统架构，描述新增硬件如何在不停机业务下切换应用，画出改造好的设备拓扑图，及新旧业务系统拓扑图，实现最佳硬件设计方案及集成和迁移部署方案。</w:t>
            </w:r>
            <w:r>
              <w:rPr>
                <w:rFonts w:hint="eastAsia" w:ascii="宋体" w:hAnsi="宋体" w:cs="宋体"/>
                <w:color w:val="000000" w:themeColor="text1"/>
                <w:sz w:val="24"/>
                <w:szCs w:val="24"/>
                <w:highlight w:val="none"/>
                <w14:textFill>
                  <w14:solidFill>
                    <w14:schemeClr w14:val="tx1"/>
                  </w14:solidFill>
                </w14:textFill>
              </w:rPr>
              <w:t>优得15-11分；良得10-6分；一般得 5-0 分。根据实际情况酌情给分。</w:t>
            </w:r>
          </w:p>
        </w:tc>
        <w:tc>
          <w:tcPr>
            <w:tcW w:w="825" w:type="dxa"/>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808" w:type="dxa"/>
            <w:tcBorders>
              <w:left w:val="single" w:color="auto" w:sz="2" w:space="0"/>
              <w:bottom w:val="single" w:color="auto" w:sz="2" w:space="0"/>
              <w:right w:val="single" w:color="auto" w:sz="2" w:space="0"/>
            </w:tcBorders>
            <w:noWrap w:val="0"/>
            <w:tcMar>
              <w:top w:w="28" w:type="dxa"/>
              <w:bottom w:w="28" w:type="dxa"/>
            </w:tcMar>
            <w:vAlign w:val="center"/>
          </w:tcPr>
          <w:p>
            <w:pPr>
              <w:widowControl/>
              <w:jc w:val="left"/>
              <w:rPr>
                <w:rFonts w:ascii="宋体" w:hAnsi="宋体" w:cs="Arial"/>
                <w:color w:val="000000" w:themeColor="text1"/>
                <w:sz w:val="24"/>
                <w:szCs w:val="24"/>
                <w:highlight w:val="none"/>
                <w14:textFill>
                  <w14:solidFill>
                    <w14:schemeClr w14:val="tx1"/>
                  </w14:solidFill>
                </w14:textFill>
              </w:rPr>
            </w:pPr>
            <w:r>
              <w:rPr>
                <w:rFonts w:ascii="宋体" w:hAnsi="宋体" w:cs="Arial"/>
                <w:color w:val="000000" w:themeColor="text1"/>
                <w:sz w:val="24"/>
                <w:szCs w:val="24"/>
                <w:highlight w:val="none"/>
                <w14:textFill>
                  <w14:solidFill>
                    <w14:schemeClr w14:val="tx1"/>
                  </w14:solidFill>
                </w14:textFill>
              </w:rPr>
              <w:t>优惠承诺</w:t>
            </w:r>
          </w:p>
        </w:tc>
        <w:tc>
          <w:tcPr>
            <w:tcW w:w="7026" w:type="dxa"/>
            <w:tcBorders>
              <w:top w:val="single" w:color="auto" w:sz="2" w:space="0"/>
              <w:left w:val="single" w:color="auto" w:sz="2" w:space="0"/>
              <w:bottom w:val="single" w:color="auto" w:sz="2" w:space="0"/>
              <w:right w:val="single" w:color="auto" w:sz="2" w:space="0"/>
            </w:tcBorders>
            <w:noWrap w:val="0"/>
            <w:tcMar>
              <w:top w:w="28" w:type="dxa"/>
              <w:bottom w:w="28" w:type="dxa"/>
            </w:tcMar>
            <w:vAlign w:val="center"/>
          </w:tcPr>
          <w:p>
            <w:pPr>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根据投标人针对本项目的相关优惠承诺酌情给分</w:t>
            </w:r>
          </w:p>
        </w:tc>
        <w:tc>
          <w:tcPr>
            <w:tcW w:w="825" w:type="dxa"/>
            <w:tcBorders>
              <w:top w:val="single" w:color="auto" w:sz="2" w:space="0"/>
              <w:left w:val="single" w:color="auto" w:sz="2" w:space="0"/>
              <w:bottom w:val="single" w:color="auto" w:sz="2" w:space="0"/>
              <w:right w:val="single" w:color="auto" w:sz="2" w:space="0"/>
            </w:tcBorders>
            <w:noWrap w:val="0"/>
            <w:tcMar>
              <w:top w:w="28" w:type="dxa"/>
              <w:bottom w:w="28" w:type="dxa"/>
            </w:tcMar>
            <w:vAlign w:val="center"/>
          </w:tcPr>
          <w:p>
            <w:pPr>
              <w:widowControl/>
              <w:jc w:val="center"/>
              <w:rPr>
                <w:rFonts w:ascii="宋体" w:hAnsi="宋体" w:cs="Arial"/>
                <w:color w:val="000000" w:themeColor="text1"/>
                <w:sz w:val="24"/>
                <w:szCs w:val="24"/>
                <w:highlight w:val="none"/>
                <w14:textFill>
                  <w14:solidFill>
                    <w14:schemeClr w14:val="tx1"/>
                  </w14:solidFill>
                </w14:textFill>
              </w:rPr>
            </w:pPr>
            <w:r>
              <w:rPr>
                <w:rFonts w:ascii="宋体" w:hAnsi="宋体" w:cs="Arial"/>
                <w:color w:val="000000" w:themeColor="text1"/>
                <w:sz w:val="24"/>
                <w:szCs w:val="24"/>
                <w:highlight w:val="none"/>
                <w14:textFill>
                  <w14:solidFill>
                    <w14:schemeClr w14:val="tx1"/>
                  </w14:solidFill>
                </w14:textFill>
              </w:rPr>
              <w:t>2</w:t>
            </w:r>
          </w:p>
        </w:tc>
      </w:tr>
    </w:tbl>
    <w:p>
      <w:pPr>
        <w:autoSpaceDE w:val="0"/>
        <w:autoSpaceDN w:val="0"/>
        <w:adjustRightInd w:val="0"/>
        <w:spacing w:line="360" w:lineRule="auto"/>
        <w:ind w:firstLine="1308"/>
        <w:rPr>
          <w:rFonts w:asciiTheme="majorEastAsia" w:hAnsiTheme="majorEastAsia" w:eastAsiaTheme="majorEastAsia"/>
          <w:b/>
          <w:color w:val="000000" w:themeColor="text1"/>
          <w:kern w:val="0"/>
          <w:sz w:val="36"/>
          <w:highlight w:val="none"/>
          <w14:textFill>
            <w14:solidFill>
              <w14:schemeClr w14:val="tx1"/>
            </w14:solidFill>
          </w14:textFill>
        </w:rPr>
      </w:pPr>
    </w:p>
    <w:p>
      <w:pPr>
        <w:spacing w:line="360" w:lineRule="auto"/>
        <w:jc w:val="center"/>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pStyle w:val="4"/>
        <w:pageBreakBefore w:val="0"/>
        <w:tabs>
          <w:tab w:val="left" w:pos="540"/>
        </w:tabs>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采购设备清单</w:t>
      </w:r>
    </w:p>
    <w:tbl>
      <w:tblPr>
        <w:tblStyle w:val="17"/>
        <w:tblW w:w="9168" w:type="dxa"/>
        <w:tblInd w:w="0" w:type="dxa"/>
        <w:tblLayout w:type="fixed"/>
        <w:tblCellMar>
          <w:top w:w="0" w:type="dxa"/>
          <w:left w:w="108" w:type="dxa"/>
          <w:bottom w:w="0" w:type="dxa"/>
          <w:right w:w="108" w:type="dxa"/>
        </w:tblCellMar>
      </w:tblPr>
      <w:tblGrid>
        <w:gridCol w:w="960"/>
        <w:gridCol w:w="5684"/>
        <w:gridCol w:w="1261"/>
        <w:gridCol w:w="1263"/>
      </w:tblGrid>
      <w:tr>
        <w:tblPrEx>
          <w:tblLayout w:type="fixed"/>
          <w:tblCellMar>
            <w:top w:w="0" w:type="dxa"/>
            <w:left w:w="108" w:type="dxa"/>
            <w:bottom w:w="0" w:type="dxa"/>
            <w:right w:w="108" w:type="dxa"/>
          </w:tblCellMar>
        </w:tblPrEx>
        <w:trPr>
          <w:trHeight w:val="497" w:hRule="atLeast"/>
        </w:trPr>
        <w:tc>
          <w:tcPr>
            <w:tcW w:w="960" w:type="dxa"/>
            <w:tcBorders>
              <w:top w:val="single" w:color="auto" w:sz="4" w:space="0"/>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5684" w:type="dxa"/>
            <w:tcBorders>
              <w:top w:val="single" w:color="auto" w:sz="4" w:space="0"/>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设备</w:t>
            </w:r>
          </w:p>
        </w:tc>
        <w:tc>
          <w:tcPr>
            <w:tcW w:w="1261" w:type="dxa"/>
            <w:tcBorders>
              <w:top w:val="single" w:color="auto" w:sz="4" w:space="0"/>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263" w:type="dxa"/>
            <w:tcBorders>
              <w:top w:val="single" w:color="auto" w:sz="4" w:space="0"/>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虚拟化服务器</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服务器内存扩容</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2 </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数据平台存储</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2 </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虚拟化防护（扩容）</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虚拟化容灾（扩容）</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r>
        <w:tblPrEx>
          <w:tblLayout w:type="fixed"/>
          <w:tblCellMar>
            <w:top w:w="0" w:type="dxa"/>
            <w:left w:w="108" w:type="dxa"/>
            <w:bottom w:w="0" w:type="dxa"/>
            <w:right w:w="108" w:type="dxa"/>
          </w:tblCellMar>
        </w:tblPrEx>
        <w:tc>
          <w:tcPr>
            <w:tcW w:w="960" w:type="dxa"/>
            <w:tcBorders>
              <w:top w:val="nil"/>
              <w:left w:val="single" w:color="auto" w:sz="4" w:space="0"/>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5684"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数据库调优及数据平台应用部署，安全防护与集成</w:t>
            </w:r>
          </w:p>
        </w:tc>
        <w:tc>
          <w:tcPr>
            <w:tcW w:w="1261"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p>
        </w:tc>
        <w:tc>
          <w:tcPr>
            <w:tcW w:w="1263" w:type="dxa"/>
            <w:tcBorders>
              <w:top w:val="nil"/>
              <w:left w:val="nil"/>
              <w:bottom w:val="single" w:color="auto" w:sz="4" w:space="0"/>
              <w:right w:val="single" w:color="auto" w:sz="4" w:space="0"/>
            </w:tcBorders>
            <w:noWrap w:val="0"/>
            <w:tcMar>
              <w:top w:w="28" w:type="dxa"/>
              <w:bottom w:w="28" w:type="dxa"/>
            </w:tcMar>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r>
    </w:tbl>
    <w:p>
      <w:pPr>
        <w:pageBreakBefore w:val="0"/>
        <w:widowControl/>
        <w:kinsoku/>
        <w:wordWrap/>
        <w:overflowPunct/>
        <w:topLinePunct w:val="0"/>
        <w:bidi w:val="0"/>
        <w:snapToGrid w:val="0"/>
        <w:spacing w:line="400" w:lineRule="exact"/>
        <w:textAlignment w:val="auto"/>
        <w:rPr>
          <w:rFonts w:hint="eastAsia" w:ascii="宋体" w:hAnsi="宋体" w:eastAsia="宋体" w:cs="宋体"/>
          <w:b/>
          <w:color w:val="000000" w:themeColor="text1"/>
          <w:sz w:val="24"/>
          <w:szCs w:val="24"/>
          <w:highlight w:val="none"/>
          <w:lang w:val="zh-CN"/>
          <w14:textFill>
            <w14:solidFill>
              <w14:schemeClr w14:val="tx1"/>
            </w14:solidFill>
          </w14:textFill>
        </w:rPr>
      </w:pPr>
    </w:p>
    <w:p>
      <w:pPr>
        <w:pStyle w:val="4"/>
        <w:pageBreakBefore w:val="0"/>
        <w:tabs>
          <w:tab w:val="left" w:pos="540"/>
        </w:tabs>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采购设备技术要求</w:t>
      </w: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虚拟化服务器</w:t>
      </w:r>
    </w:p>
    <w:tbl>
      <w:tblPr>
        <w:tblStyle w:val="17"/>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95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指标项</w:t>
            </w:r>
          </w:p>
        </w:tc>
        <w:tc>
          <w:tcPr>
            <w:tcW w:w="721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品牌</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著名厂商(IDC报告2017中国X86机架式服务器市场出货量排名前3)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外形</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4U 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CPU</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支持≥4颗英特尔至强处理器SP产品系列CPU</w:t>
            </w:r>
          </w:p>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本次配置4颗英特尔至强金牌5117 2.0G, 14C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内存</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支持48个DIMM插槽，最高支持6TB DDR4内存，支持12个NVDIMM内存</w:t>
            </w:r>
          </w:p>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本次配置≥512G DDR4 2666MT/s内存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RAID卡</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支持RAID 0,1,5,6,10, 50，最大可选8G Cache；可选配置2块板载RAID卡,本次配置1块2G Cache Raid卡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PCIe SSD</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支持PCI-e SSD高性能硬盘功能，最少支持4个2.5英寸热插拔NVME PCI-e硬盘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52" w:type="dxa"/>
            <w:vMerge w:val="restart"/>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硬盘</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最高支持32颗 2.5英寸硬盘,本次配置≥8个2.5英寸盘位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52" w:type="dxa"/>
            <w:vMerge w:val="continue"/>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本次配置≥2*480GB SSD 2.5英寸热插拔硬盘，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网卡</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本次配置≥2端口千兆网卡+2端口万兆以太网卡含SFP+模块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GPU支持</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支持≥4个双宽全高GPU或者8个FPGA加速卡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HBA卡</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本次配置≥2块单端口16Gb HBA卡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952" w:type="dxa"/>
            <w:vMerge w:val="restart"/>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管理功能</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支持硬件故障检测，电源、电压、风扇监控,温度监控,远程开关机,报错日志管理。 支持CPU,内存，硬盘，电源，风扇故障前预告警功能。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vMerge w:val="continue"/>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vMerge w:val="continue"/>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主板内部可提供冗余SSD卡槽位,用户可选择增配2块120G 以上容量SSD,配置成冗余方式,用来安装操作系统或者虚拟化系统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vMerge w:val="continue"/>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主板内部集成可管理存储空间，集成管理软件及驱动, 可实现在线升级，可实现无需安装软件直接管理服务器,提供快速无盘布署和管理功能。 提供单界面即可完成所有管理服务的管理软件,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vMerge w:val="continue"/>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前面板上配备有液晶屏，可显示默认或定制信息，包括IP地址、服务器名称、支持服务编号等。如果系统发生故障，该液晶屏上将显示关于故障的具体信息，可以通过无线方式查询服务器状态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导轨</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通用滑动机架式导轨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电源</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本次配置≥4只热插拔冗余电源,功率≥1100w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▲售后服务</w:t>
            </w:r>
          </w:p>
        </w:tc>
        <w:tc>
          <w:tcPr>
            <w:tcW w:w="7212" w:type="dxa"/>
            <w:noWrap w:val="0"/>
            <w:tcMar>
              <w:top w:w="28" w:type="dxa"/>
              <w:bottom w:w="28" w:type="dxa"/>
            </w:tcMar>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原厂5年免费人工、部件，7x24小时响应，4小时带备件上门服务；配置5年硬盘不返还服务；为保证原厂服务的有效执行，要求所有硬件设备保修信息均为使用单位，可以从原厂得到查询验证，提供所购产品原厂授权。</w:t>
            </w:r>
          </w:p>
        </w:tc>
      </w:tr>
    </w:tbl>
    <w:p>
      <w:pPr>
        <w:pStyle w:val="24"/>
        <w:pageBreakBefore w:val="0"/>
        <w:kinsoku/>
        <w:wordWrap/>
        <w:overflowPunct/>
        <w:topLinePunct w:val="0"/>
        <w:bidi w:val="0"/>
        <w:spacing w:line="400" w:lineRule="exact"/>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服务器内</w:t>
      </w:r>
      <w:r>
        <w:rPr>
          <w:rFonts w:hint="eastAsia" w:ascii="宋体" w:hAnsi="宋体" w:cs="宋体"/>
          <w:b/>
          <w:color w:val="000000" w:themeColor="text1"/>
          <w:sz w:val="24"/>
          <w:szCs w:val="24"/>
          <w:highlight w:val="none"/>
          <w:lang w:val="en-US" w:eastAsia="zh-CN"/>
          <w14:textFill>
            <w14:solidFill>
              <w14:schemeClr w14:val="tx1"/>
            </w14:solidFill>
          </w14:textFill>
        </w:rPr>
        <w:t>存</w:t>
      </w:r>
      <w:r>
        <w:rPr>
          <w:rFonts w:hint="eastAsia" w:ascii="宋体" w:hAnsi="宋体" w:eastAsia="宋体" w:cs="宋体"/>
          <w:b/>
          <w:color w:val="000000" w:themeColor="text1"/>
          <w:sz w:val="24"/>
          <w:szCs w:val="24"/>
          <w:highlight w:val="none"/>
          <w14:textFill>
            <w14:solidFill>
              <w14:schemeClr w14:val="tx1"/>
            </w14:solidFill>
          </w14:textFill>
        </w:rPr>
        <w:t>扩容</w:t>
      </w:r>
    </w:p>
    <w:tbl>
      <w:tblPr>
        <w:tblStyle w:val="17"/>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95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指标项</w:t>
            </w:r>
          </w:p>
        </w:tc>
        <w:tc>
          <w:tcPr>
            <w:tcW w:w="724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95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w:t>
            </w:r>
          </w:p>
        </w:tc>
        <w:tc>
          <w:tcPr>
            <w:tcW w:w="724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原DELL R930 256G 内存扩容到512G内存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952" w:type="dxa"/>
            <w:noWrap w:val="0"/>
            <w:tcMar>
              <w:top w:w="28" w:type="dxa"/>
              <w:bottom w:w="28" w:type="dxa"/>
            </w:tcMar>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原厂质量保证</w:t>
            </w:r>
          </w:p>
        </w:tc>
        <w:tc>
          <w:tcPr>
            <w:tcW w:w="7242" w:type="dxa"/>
            <w:noWrap w:val="0"/>
            <w:tcMar>
              <w:top w:w="28" w:type="dxa"/>
              <w:bottom w:w="28" w:type="dxa"/>
            </w:tcMar>
            <w:vAlign w:val="center"/>
          </w:tcPr>
          <w:p>
            <w:pPr>
              <w:pageBreakBefore w:val="0"/>
              <w:kinsoku/>
              <w:wordWrap/>
              <w:overflowPunct/>
              <w:topLinePunct w:val="0"/>
              <w:bidi w:val="0"/>
              <w:spacing w:line="400" w:lineRule="exact"/>
              <w:ind w:firstLine="960" w:firstLineChars="4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提供原服务器厂家项目授权函</w:t>
            </w:r>
          </w:p>
        </w:tc>
      </w:tr>
    </w:tbl>
    <w:p>
      <w:pPr>
        <w:pStyle w:val="24"/>
        <w:pageBreakBefore w:val="0"/>
        <w:kinsoku/>
        <w:wordWrap/>
        <w:overflowPunct/>
        <w:topLinePunct w:val="0"/>
        <w:bidi w:val="0"/>
        <w:spacing w:line="400" w:lineRule="exact"/>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数据平台存储</w:t>
      </w:r>
    </w:p>
    <w:tbl>
      <w:tblPr>
        <w:tblStyle w:val="17"/>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shd w:val="clear" w:color="auto" w:fill="C3BD96"/>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指标项</w:t>
            </w:r>
          </w:p>
        </w:tc>
        <w:tc>
          <w:tcPr>
            <w:tcW w:w="7566" w:type="dxa"/>
            <w:shd w:val="clear" w:color="auto" w:fill="C3BD96"/>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协议支持</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支持统一存储体系结构，支持FC、ISCSI协议。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控制器</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要求存储设备为全冗余控制器结构</w:t>
            </w:r>
          </w:p>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本次配置≥2个控制器；控制器操作系统可在线升级，不停机不中断业务运行。集群模式下可横向扩展≥8控制器</w:t>
            </w:r>
          </w:p>
        </w:tc>
      </w:tr>
      <w:tr>
        <w:tblPrEx>
          <w:tblLayout w:type="fixed"/>
          <w:tblCellMar>
            <w:top w:w="0" w:type="dxa"/>
            <w:left w:w="108" w:type="dxa"/>
            <w:bottom w:w="0" w:type="dxa"/>
            <w:right w:w="108" w:type="dxa"/>
          </w:tblCellMar>
        </w:tblPrEx>
        <w:trPr>
          <w:trHeight w:val="255" w:hRule="atLeast"/>
        </w:trPr>
        <w:tc>
          <w:tcPr>
            <w:tcW w:w="1668" w:type="dxa"/>
            <w:vMerge w:val="restart"/>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▲控制器CPU</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每个控制器配置≥1个Intel至强CPU；每个CPU不少于8核；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CPU的主频≥2.3GHz.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restart"/>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▲一级缓存配置</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本次缓存配置≥128GB(非二级缓存, 不接受SSD硬盘作为缓存,非FLASH)；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要求写缓存镜像,提供Cache缓存保护措施，支持停电数据保护。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前端端口数</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最大端口数支持≥16个，本次配置4个16Gb FC 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后端端口数</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最大端口数支持≥4个,本次配置4个12Gb/s SAS 后端接口,用来连接扩展柜</w:t>
            </w:r>
          </w:p>
        </w:tc>
      </w:tr>
      <w:tr>
        <w:tblPrEx>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磁盘驱动器数量</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要求存储系统能提供不少于220块磁盘的扩充能力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68" w:type="dxa"/>
            <w:vMerge w:val="restart"/>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支持磁盘类型</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要求存储系统可同时支持固态硬盘（SSD）、SAS硬盘，SATA硬盘，至少支持以下磁盘类型：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400GB、480GB、960GB、1.92TB、3.84TB固态硬盘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300G、600G  15000转SAS 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900G、1.2TB 、1.8TB 10000转SAS 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4TB、6TB、8TB 7200转 NL-SAS动器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▲本次项目配置容量</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配置≥6块1.92T SSD</w:t>
            </w:r>
          </w:p>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≥24块2.4T 10Krpm SAS 2.5英寸热插拔硬盘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RAID方式</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支持多种RAID存储方式，包括RAID1，RAID0，RAID10，RAID5，RAID6。支持不同RAID级别并存。支持同一卷存在不同的RAID 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HDD优化</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可将最常访问的数据移动到外侧磁道上，以加快响应速度，要求提供官方截图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高可靠性</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磁盘阵列系统具有高可靠性，达到99.999%可用性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硬件冗余性</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硬件冗余：处理器、缓存、电源、风扇、适配卡、总线、背板等都提供冗余，并保证在某硬件出问题时，能够进行自动切换，不出现单点故障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存储管理软件</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需提供图形化存储管理软件，支持带外管理, 并能在同一管理界面管理多台存储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虚拟资源调配</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虚拟资源调配功能。虚拟资源调配功能统一整合整个存储后端磁盘的容量和性能。按照前端业务实际需要的存储容量和性能分配存资源。在不需要为单个逻辑卷预留空闲磁盘资源的前提下实现大于实际磁盘空间的服务器可见逻辑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LUN容量可以在线调整</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LUN容量可以在线调整。包括扩大和缩小，完全配合前端应用的需求，且性能和容量不受单个Raid Group限制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自动存储分层功能</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本次项目要求配置数据自动分层功能;根据数据的活动状况，自动将活动数据调整到高速磁盘上，将非活动数据放置到大容量低速磁盘上。须支持 SSD/SAS/SATA 3种硬盘类型之间实现自动双向调度。可设置迁移策略和迁移时间。保证迁移过程多主机透明，无需停机，数据块颗粒度1MB，需要提供截图证明。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快照功能</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本次项目要求配置无需预留空间的数据快照功能许可,且数据快照无数量限制,且快照功能不能使用copy to write的低效率方式.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数据就地升级选项（兼容性）</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将驱动器从SC4020主控单元和/或扩展盘柜转移到本次存储（提供证明材料）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restart"/>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▲持续数据保护功能(CDP)</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本次项目要求配置CDP 持续数据保护功能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1）一旦出现系统逻辑错误，保证一星期内的数据可以随时恢复到任意时刻故障前1分钟的正常状态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2）能防止包括误更改、误删除等故障造成的数据丢失或损毁，不需要额外克隆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3）提供无容量限制的持续数据保护功能, 需要在此次项目中配置, 且后续增加任何硬盘,都无需再增加许可,也无需收费.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多路径冗余软件</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本次提供不限操作系统平台、不限数量的存储多路径冗余软件；保证每台主机均有冗余链路与存储相连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存储联邦功能</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支持与现有DELL SC4020存储统一管理功能，实现在阵列之间数据卷进行无缝工作负载迁移，从而高效使用其组合容量和性能，支持统一监控功能，以提供理想数据放置和负载平衡建议，数据卷移动不会影响快照或复制数据保护，要求提供官方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数据复制功能</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实现与医院现有DELL SC4020存储底层数据块复制功能，要求支持FC/ISCSI方式，数据复制功能支持同步/异步模式,支持一对多或者多对一的复制模式。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68" w:type="dxa"/>
            <w:vMerge w:val="restart"/>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▲存储双活功能</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本次存储设备需要与医院现有DELL SC4020存储设备实现双活功能，以提供高可用性和对数据的持续访问并且实现存储系统的负载均衡；</w:t>
            </w:r>
            <w:r>
              <w:rPr>
                <w:rFonts w:hint="eastAsia" w:ascii="宋体" w:hAnsi="宋体" w:eastAsia="宋体" w:cs="宋体"/>
                <w:color w:val="000000" w:themeColor="text1"/>
                <w:sz w:val="24"/>
                <w:szCs w:val="24"/>
                <w:highlight w:val="none"/>
                <w14:textFill>
                  <w14:solidFill>
                    <w14:schemeClr w14:val="tx1"/>
                  </w14:solidFill>
                </w14:textFill>
              </w:rPr>
              <w:t>2台存储设备的数据完全同步，即使1台存储设备故障，也不会影响信息系统的使用，对前台服务器完全没有影响。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1）允许将位于两个存储节点中的逻辑卷关联为单一的虚拟卷，虚拟卷可以作为正常逻辑卷提供给前端应用使用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2）任意单个关联卷计划内下线都不得影响或中断前端应用正常工作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3）任意单个关联卷计划内下线过程对前端的应用是透明的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3:要求两台存储之间的数据复制通道可以采用FC 以及iscsi 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4:针对两台存储之间的数据复制,要求指定时间规划,并且复制数据所用的带宽可以按需根据不同的时间,调整数据复制用的带宽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vMerge w:val="continue"/>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5:支持二地三中心的容灾架构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异构阵列的数据迁移</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支持将存储系统中的数据在不同厂商的磁盘阵列中进行数据迁移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支持操作系统</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磁盘阵列能提供对主流操作系统的支持：能够同时支持SUN Solaris，HP-UX，IBM AIX，Linux，Windows操作系统，支持服务器集群功能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虚拟化支持</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要求能够对VMware进行涉及到存储的管理和监控；提供对VMWare vSphere的管理插件，可以在存储管理界面，VMware图形界面中查看存储空间使用率和性能，查看虚机到存储的链接特全球性，以及规划存储空间。要求此次投标的存储品牌为Vmware 全球合作伙伴联盟, 要求支持VAAI,提供vmware 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告警提示</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支持SNMP，Email等方式的错误，警告告警方式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性能优化</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性能优化服务：要求配置存储性能优化服务一年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数据保护</w:t>
            </w:r>
          </w:p>
        </w:tc>
        <w:tc>
          <w:tcPr>
            <w:tcW w:w="7566"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要求配置同品牌的企业级备份软件，支持D2D2T备份，支持Lan-free,支持光纤或者后端以太网，支持增量、差量、全备等多种备份策略，支持重复数据山删除和压缩，支持物理机应用和虚拟化应用；</w:t>
            </w:r>
          </w:p>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配置备份许可，Windows/Linux文件客户端100个，数据库备份许可20个，虚拟化客户端100个，Lanfree模块许可及相应介质备份许可，企业版容量许可50TB，原厂上门安装服务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安装服务</w:t>
            </w:r>
          </w:p>
        </w:tc>
        <w:tc>
          <w:tcPr>
            <w:tcW w:w="7566" w:type="dxa"/>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原厂工程师上门安装调试，必须出示工牌，并配备一名指定技术客户经理，作为客户的顾问及技术支持人员，定期巡查，并定期提供报告和个性化性能建议，健康检查和系统维护，提供远程监控，帮助加速解决问题的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668" w:type="dxa"/>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▲售后服务</w:t>
            </w:r>
          </w:p>
        </w:tc>
        <w:tc>
          <w:tcPr>
            <w:tcW w:w="7566" w:type="dxa"/>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原厂5年免费人工、部件，7x24小时响应，4小时带备件上门服务；提供5年硬盘维修不返还服务。为保证原厂服务的有效执行，要求所有硬件设备保修信息均为招标单位，可以从原厂得到查询验证，提供所购产品原厂授权。</w:t>
            </w:r>
          </w:p>
        </w:tc>
      </w:tr>
    </w:tbl>
    <w:p>
      <w:pPr>
        <w:pStyle w:val="24"/>
        <w:pageBreakBefore w:val="0"/>
        <w:kinsoku/>
        <w:wordWrap/>
        <w:overflowPunct/>
        <w:topLinePunct w:val="0"/>
        <w:bidi w:val="0"/>
        <w:spacing w:line="400" w:lineRule="exact"/>
        <w:ind w:left="284"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ageBreakBefore w:val="0"/>
        <w:widowControl/>
        <w:kinsoku/>
        <w:wordWrap/>
        <w:overflowPunct/>
        <w:topLinePunct w:val="0"/>
        <w:bidi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虚拟化防护扩容</w:t>
      </w:r>
    </w:p>
    <w:tbl>
      <w:tblPr>
        <w:tblStyle w:val="17"/>
        <w:tblW w:w="8972"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1"/>
        <w:gridCol w:w="8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w:t>
            </w:r>
          </w:p>
        </w:tc>
        <w:tc>
          <w:tcPr>
            <w:tcW w:w="800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已有环境</w:t>
            </w:r>
          </w:p>
        </w:tc>
        <w:tc>
          <w:tcPr>
            <w:tcW w:w="800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已有虚拟化防护CPU授权12个CPU，因本次数据平台虚拟化服务器扩容两台增加8个CPU，所本次扩容8个CPU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管理架构要求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采用B/S架构设计，管理控制中心高度集成化，无需额外安装或外接数据库即可实现日志存储和分析展示，无需额外安装或对接升级服务器即可实现文件、特征库的升级和分发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管理控制中心要求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提供已加固的操作系统作为管理控制中心寄宿环境，保证管理控制中心自身安全；支持从老旧控制中心平滑迁移至新控制中心；提供控制中心多升级负载均衡，保证控制中心在集中升级时不会出性能瓶颈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restart"/>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客户端要求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轻量级Agent部署，无需依赖虚拟化平台API即可实现安全防护；客户端支持手动从控制中心获取安装，也可通过管理控制中心批量远程安装；客户端对windows类、linux类；物理服务器、虚拟服务器、桌面云具备相同的防护和部署模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产品支持对已防护的主机统计在线率，对虚拟机是否安装客户端统计整体部署率，提供截图证明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虚拟化平台支持</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▲产品应至少支持VMware 、Ctrix、Microsoft、Huawei、H3C、浪潮等国内外主流虚拟化厂商平台，并能够采用一个管理控制中心进行统一管理，提供截图证明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restart"/>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操作系统支持</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产品应至少支持Windows 7/8/10等云桌面常见操作系统类型，Windows Server2003/2008/2012/2016等虚拟化环境常见基于Windows NT的服务器操作系统；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产品应至少支持SuSE、Red Hat、Ubuntu、Debian、CentOS、Asianux、NeoKylinLinux等虚拟化环境常见基于Linux内核的操作系统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License许可</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▲此次要求提供8颗CPU三年授权，包含防病毒+防火墙+入侵防御+防暴力破解+webshell检测+安全基线+虚拟化加固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29" w:hRule="atLeast"/>
          <w:jc w:val="center"/>
        </w:trPr>
        <w:tc>
          <w:tcPr>
            <w:tcW w:w="971" w:type="dxa"/>
            <w:vMerge w:val="restart"/>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文件防护要求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除支持一般性病毒木马查杀外，还应支持例如：宏病毒、敲诈勒索软件、注册表病毒、间谍软件、僵尸远程软件等特定恶意文件的查杀；除落地在本地文件系统中的文件外，对网络映射驱动器、移动存储路径、共享目录、局域网路径等扩展路径也能够进行扫描查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▲产品提供不少于3种病毒查杀引擎，可根据不同虚拟化环境和查杀要求灵活开启与关闭；同时产品应支持利用CPU虚拟化技术提升系统的安全防护能力，提供截图证明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▲产品应内置webshell扫描引擎，针对网站系统恶意webshell、后门等文件进行扫描防护；能够针对webshell文件设定白名单，对文件进行加白处理，避免对核心网站系统文件造成影响，提供截图证明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提供快速扫描、全盘扫描、指定扫描等多种扫描防护模式，支持自定义路径、指定引擎、自定义处理动作的个性化扫描防护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提供主动防御保护，智能监控系统文件操作行为，利用文件审计关联技术，实时对病毒木马及恶意相关文件进行拦截和防护，特别是针对近期流行的敲诈者木马能够进行有效拦截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产品应提供对不同压缩包类型文件的监控防护，压缩包监控防护层级不小于10层，压缩包格式支持不少于30种，支持略过特定大小和特定层数的压缩包文件，并可以自定义添加或删除压缩包格式类型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产品应支持对病毒文件进行手动加白置黑操作，对目录、文件、扩展名进行信任操作，以提升查杀效率和降低误杀率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产品应支持对病毒扫描查杀进行资源占用限制和任务并发控制，防止引发启动风暴、扫描风暴，修改资源利用方式无需重启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6" w:hRule="atLeast"/>
          <w:jc w:val="center"/>
        </w:trPr>
        <w:tc>
          <w:tcPr>
            <w:tcW w:w="971" w:type="dxa"/>
            <w:vMerge w:val="restart"/>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网络隔离和防护要求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产品应支持双向状态防火墙，提供对出入主机流量进行访问控制与隔离；防火墙支持从IP、端口、方向、协议、优先级方面进行策略控制；支持防火墙策略的批量复制、删除、修改、停用等操作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29"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入侵防御，可对来自网络层的拒绝服务、缓冲区溢出、木马后门、web攻击、恶意网络扫描、恶意入侵提权等各类威胁流量的检测与防护。入侵防御规则应不少于11000条，并支持按照攻击类型进行分组分类，支持对每一类攻击类型单独开启或关闭防护，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▲产品应支持防暴力破解，可对来自网络的暴力破解行为进行拦截，支持配置时间、破解次数等阈值，并提供暴力破解IP或IP段的黑白名单设置，提供截图证明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针对近期爆发流行的永恒之蓝等勒索病毒攻击，能够进行有效防护，提供截图证明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40"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系统加固要求</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对主机安全缺陷、配置进行扫描评估，通过打分形式展现不合规和风险程度。能够对window操作系统上的策略、服务、组件等进行扫描凭，对linux操作系统上的账号、服务、安全参数、进程、配置等进行扫描评估，并给出修复建议，修复建议包括自动修复和手动提示修复</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产品应支持对主机的安全加固，针对利用虚拟化漏洞的恶意软件、程序进行拦截并阻止其在主机上运行，提供软件、程序的黑白名单，以减少对系统程序的误拦截风险，提供截图证明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自动化运维</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产品应支持自动化安全运维：</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支持自定义安全策略的定时、指定范围执行；</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支持对策略、主机组织结构、日志的手动或自动备份</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支持手动或自定同步虚拟化平台组织结构</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▲支持手动、自动升级系统文件、引擎版本、特征库信息，能够基于分组、时间设定灰度升级策略，提供截图证明</w:t>
            </w:r>
          </w:p>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支持基于时间动态进行调整带宽和网络并发连接，减少控制中心升级对业务网络产生的影响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Syslog支持</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支持syslog协议，将安全日志发送到第三方syslog服务器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离线升级</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提供在线或者离线升级方式，隔离网情况下能够采用离线工具进行更新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LDAP支持</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支持LDAP，将LDAP组织结构导入到本地用于本地系统管理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展示与告警</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支持动态展示安全事件并能够进行邮件告警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多账号</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支持不同账号设定不同的组织结构权限和策略使用权限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71" w:type="dxa"/>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报表订阅</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支持报表订阅，能够对报表时间、内容定制、订阅信息等进行自定义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restart"/>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计量计费</w:t>
            </w: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产品应支持按照物理CPU、虚机数、CPU+虚机数混合计费模式，以满足不同的虚拟化环境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2" w:hRule="atLeast"/>
          <w:jc w:val="center"/>
        </w:trPr>
        <w:tc>
          <w:tcPr>
            <w:tcW w:w="971" w:type="dxa"/>
            <w:vMerge w:val="continue"/>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8001" w:type="dxa"/>
            <w:shd w:val="clear" w:color="auto" w:fill="FFFFFF"/>
            <w:noWrap w:val="0"/>
            <w:vAlign w:val="center"/>
          </w:tcPr>
          <w:p>
            <w:pPr>
              <w:pageBreakBefore w:val="0"/>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产品控制中心一次授权永久有效，当虚拟化平台扩容或新增虚拟化平台时，无需额外购买控制中心扩展升级授权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8972" w:type="dxa"/>
            <w:gridSpan w:val="2"/>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产品应具备由公安部颁发的“虚拟化安全防护”类产品销售许可证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8972" w:type="dxa"/>
            <w:gridSpan w:val="2"/>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产品应具备由VMware颁发的VMware Ready兼容性认证，提供官方网站截图或证明材料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8972" w:type="dxa"/>
            <w:gridSpan w:val="2"/>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产品应具备军用信息安全产品认证资质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3" w:hRule="atLeast"/>
          <w:jc w:val="center"/>
        </w:trPr>
        <w:tc>
          <w:tcPr>
            <w:tcW w:w="8972" w:type="dxa"/>
            <w:gridSpan w:val="2"/>
            <w:shd w:val="clear" w:color="auto" w:fill="FFFFFF"/>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生产厂家要求为CNVD国家信息安全漏洞共享平台技术组成员</w:t>
            </w:r>
          </w:p>
        </w:tc>
      </w:tr>
    </w:tbl>
    <w:p>
      <w:pPr>
        <w:pageBreakBefore w:val="0"/>
        <w:widowControl/>
        <w:kinsoku/>
        <w:wordWrap/>
        <w:overflowPunct/>
        <w:topLinePunct w:val="0"/>
        <w:bidi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虚拟化容灾（扩容）</w:t>
      </w:r>
    </w:p>
    <w:tbl>
      <w:tblPr>
        <w:tblStyle w:val="17"/>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技术指标项目</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总体要求</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按照CPU数量授权许可，本次扩容8CPU许可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存储软件市场排名</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全球前三名的数据保护软件厂商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支持多种操作系统备份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支持备份通用操作系统平台，包括：AIX、HP-UX、Solaris， Windows、Linux等等。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支持多种网络环境备份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支持TCP/IP网络环境的数据备份，可以升级到SAN环境下的LANFree备份，并支持升级到ServerFree备份。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支持多种数据库系统备份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支持各种数据库平台（包括DB2、SQL Server、Oracle、Informix、Sybase、Mysql等）的在线备份。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支持多种存储备份设备</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支持各种类型的磁盘阵列（SAN，iSCSI，NAS等）、磁带机、磁带库、虚拟带库，支持OST设备。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支持可视化人机界面</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支持以图形或WEB方式进行管理，包括在管理范围内设备的状态和性能信息、各种数据保护参数、各种备份作业的设置信息、各种备份/恢复作业的执行状态统计信息、各种备份业务数据的相关信息等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备份管理平台</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备份管理平台可支持自由选择安装，可以部署在虚拟机、桌面机、台式机、移动终端（如平板电脑、智能手机等），采用独立的APP，而不是Web版本进行管理和控制。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支持用户审计管理</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支持对备份系统的用户的分级管理，如：系统管理员、维护员、操作员等不同的角色，并且可以纪录所有的用户的操作情况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支持云备份管理组件</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支持基于共有云、私有云、混合云的备份解决方案，可以自由选择将备份数据备份到云端，必要时可以从云端将数据进行恢复。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支持桌面机备份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支持通过局域网或VPN进行桌面机备份，个人用户实现自助式文件备份和恢复。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494" w:type="dxa"/>
            <w:vMerge w:val="restart"/>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全面支持VMware备份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a、深度集成VMware，支持将VMware自带的VDP之间容灾复制；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b、能自动发现VMware拓扑结构，方便管理；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c、支持源端消重方式备份VMware；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d、支持与vSphere web client界面集成，即可以在vSphere web client中直接操作备份恢复；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e、支持在VM中自助恢复丢失的单个文件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f、支持Instant Access功能，无需恢复，直接访问备份的VM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bottom"/>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g、支持对单个VMDK文件的备份/恢复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h、当vCenter完全损坏的时候可以快速恢复虚拟机，而不需要重新部署vCenter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i、软件能够部署在VMWARE环境中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94" w:type="dxa"/>
            <w:vMerge w:val="restart"/>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VMware连续数据保护</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a、支持任意时间点恢复数据，可以捕获并记录VM虚机每一个写I/O操作，当虚拟机需要恢复时，用户可从任意时间点中选择，使虚拟机能够基于以前的事务快速地从任一时间点恢复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b、可以实现对物理和数据逻辑故障的恢复，逻辑故障包括：逻辑错误、人为误操作和病毒等引起的数据库数据丢失、人为或病毒引起的数据库崩溃等故障。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c、与VMware深度整合，可通过vSphere client发起对任意虚机的保护，通过vCenter管理所有保护虚机，策略及恢复，无需额外界面及软件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4" w:type="dxa"/>
            <w:vMerge w:val="continue"/>
            <w:tcBorders>
              <w:tl2br w:val="nil"/>
              <w:tr2bl w:val="nil"/>
            </w:tcBorders>
            <w:noWrap w:val="0"/>
            <w:vAlign w:val="center"/>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d、本次配置支持对50台虚拟机提供本地连续数据保护许可，对50台虚拟机提供远程连续数据保护许可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支持虚拟合成全备份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支持把一个全备份和多个增量备份合成一个新的全备份，且合成过程在备份设备底层完成，不占用介质服务器的资源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支持高密度文件系统快照备份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通过快照提高对大量小文件系统的备份性能，同时支持文件级别的恢复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备份数据容灾复制</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备份系统要支持对备份后数据的远程复制功能，并且能够支持基于广域网的低带宽传输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高效的恢复能力</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恢复数据时不需采用全备份叠加增量备份来恢复至指定的时间点，而是采用任意时间点恢复的方式直接恢复到客户所要求时间点的数据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数据切分比对技术</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备份方案需采用高效率的重复数据删除技术，能够对不同的文件采用变长而非定长的数据段进行分割。无论文件更改了那部分都能够智能的找到未发生变化的部分，而不会增加需要传输的备份数据量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源端重复数据删除技术</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份方案要支持在数据源进行的重复数据的删除功能，避免大量数据通过网络传输时带来的带宽的占用和过长的备份窗口，将客户端上需要备份的数据中的重复部分在传输之前就进行甄别和筛选，只将唯一的数据段写入后端备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494" w:type="dxa"/>
            <w:tcBorders>
              <w:tl2br w:val="nil"/>
              <w:tr2bl w:val="nil"/>
            </w:tcBorders>
            <w:noWrap w:val="0"/>
            <w:vAlign w:val="top"/>
          </w:tcPr>
          <w:p>
            <w:pPr>
              <w:pageBreakBefore w:val="0"/>
              <w:widowControl/>
              <w:kinsoku/>
              <w:wordWrap/>
              <w:overflowPunct/>
              <w:topLinePunct w:val="0"/>
              <w:bidi w:val="0"/>
              <w:spacing w:line="40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全局消重</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采用单一消重池，没有消重池容量大小限制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提供统一监控软件</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整个数据灾备流程和系统进行监控/报告/告警/预测/分析，支持客户现有存储及网络环境，支持多操作系统，支持主流的数据保护系统及备份系统，支持对连续性数据复制的监控和报告。能够提供清晰、详细的图示和报表，清晰显示生产端到容灾端数据保护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支持监控的操作系统</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IBM AIX， HPUX，Windows，SUN Solaris，Linux等操作系统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容量分析预警功能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支持对容量的全面监控和预测，通过预警功能更好的计划购买或部署新的容量，防止容量耗尽影响应用程序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监控平台统一管理</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整合跨多个系统和域收集的信息，通过单一窗口实现监控，分析和报告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分析功能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当对本地生产端和远程端的数据保护进行监控时，可以监控到以下内容：远程站点的配置信息，包括服务器和存储拓扑关系，数据复制映射关系，数据复制带宽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监控功能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对远程端被复制的数据进行可恢复性分析，比对主机，存储，数据库结构等信息，给出分析诊断结论或报表以确定远端数据是否可恢复，支持对数据库关联结构进行分析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告警功能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对数据保护过程进行全程实时监控可以通过e-mail, SNMP, or external scripts来实现告警功能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支持SLA目标监控</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支持用户指定的SLA，即服务级别目标监控，即当用户指定数据保护在一定的时间或其他条件内没有完成，系统给于自动告警和分析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搜索功能</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自动对备份的文件进行全文索引，通过关键字实现搜索，并直接恢复搜索到的文件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494"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服务及软件版本升级要求</w:t>
            </w:r>
          </w:p>
        </w:tc>
        <w:tc>
          <w:tcPr>
            <w:tcW w:w="7626" w:type="dxa"/>
            <w:tcBorders>
              <w:tl2br w:val="nil"/>
              <w:tr2bl w:val="nil"/>
            </w:tcBorders>
            <w:noWrap w:val="0"/>
            <w:vAlign w:val="center"/>
          </w:tcPr>
          <w:p>
            <w:pPr>
              <w:pageBreakBefore w:val="0"/>
              <w:widowControl/>
              <w:kinsoku/>
              <w:wordWrap/>
              <w:overflowPunct/>
              <w:topLinePunct w:val="0"/>
              <w:bidi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签合同时候要求提供原厂三年质保函</w:t>
            </w:r>
          </w:p>
        </w:tc>
      </w:tr>
    </w:tbl>
    <w:p>
      <w:pPr>
        <w:pageBreakBefore w:val="0"/>
        <w:widowControl/>
        <w:kinsoku/>
        <w:wordWrap/>
        <w:overflowPunct/>
        <w:topLinePunct w:val="0"/>
        <w:bidi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4"/>
        <w:pageBreakBefore w:val="0"/>
        <w:numPr>
          <w:ilvl w:val="3"/>
          <w:numId w:val="6"/>
        </w:numPr>
        <w:kinsoku/>
        <w:wordWrap/>
        <w:overflowPunct/>
        <w:topLinePunct w:val="0"/>
        <w:bidi w:val="0"/>
        <w:spacing w:line="400" w:lineRule="exact"/>
        <w:ind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数据迁移与容灾实施服务</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新购的2台数据服务器搭建成新HIS数据平台数据库及系统，并进行调优和可靠性测试，需和旧HIS厂商及新HIS厂家做好紧密配合。</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实现现有业务系统（HIS、EMR、LIS）数据库到新建数据平台的数据无缝迁移，要求业务停机时间&lt;10分钟。</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要求提供数据库平台详细的数据迁移方案。</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现物理服务器和现有虚拟化平台之间的业务容灾，即当物理服务器平台出现故障时，虚拟化平台可以应急接管系统，要求接管切换的时间&lt;5分钟。要求提供详细的业务容灾实施方案(需要原有数据库容灾DBRA实现，需要派遣原厂工程师）。</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完成新购存储和现有存储的业务割接。 </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按网络安全等保要求，完成虚拟化防护及容灾的虚拟化实施部署，要求实施工程师具备CISP注册信息安全认证证书。</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中标单位须驻点一名高级数据库工程师及一名CISP工程师，预计驻点时间3-6个月，配合数据平台上线的工作配合，除数据平台应用外，其它集成调试均由驻点工程师完成。</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记录旧HIS系统的配置参数，为新旧系统切换做好配置准备；</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根据硬件资源环境，优化操作系统参数,满足数据库和业务运行需求；</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优化数据库参数，满足信息系统运行的需求；</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数据库双机高可用测试(双机切换等)；</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提供详细的安装配置文档；</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凡涉及本项目集成所需的各种配件及软件均包括在系统集成里面，由中标单位负责，要求在用户方不再增加任何费用的情况下，实现系统功能要求。</w:t>
      </w:r>
    </w:p>
    <w:p>
      <w:pPr>
        <w:pStyle w:val="24"/>
        <w:pageBreakBefore w:val="0"/>
        <w:numPr>
          <w:ilvl w:val="0"/>
          <w:numId w:val="7"/>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中标单位在项目实施过程中造成用户生产业务停止，或数据丢失，用户将按业务损失情况向中标单位进行索赔。</w:t>
      </w:r>
    </w:p>
    <w:p>
      <w:pPr>
        <w:pageBreakBefore w:val="0"/>
        <w:widowControl/>
        <w:kinsoku/>
        <w:wordWrap/>
        <w:overflowPunct/>
        <w:topLinePunct w:val="0"/>
        <w:bidi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pStyle w:val="2"/>
        <w:rPr>
          <w:rFonts w:hint="default"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三、商务条款：</w:t>
      </w:r>
    </w:p>
    <w:p>
      <w:pPr>
        <w:pStyle w:val="4"/>
        <w:pageBreakBefore w:val="0"/>
        <w:tabs>
          <w:tab w:val="left" w:pos="540"/>
        </w:tabs>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设备供货要求</w:t>
      </w:r>
    </w:p>
    <w:p>
      <w:pPr>
        <w:pageBreakBefore w:val="0"/>
        <w:numPr>
          <w:ilvl w:val="0"/>
          <w:numId w:val="8"/>
        </w:numPr>
        <w:kinsoku/>
        <w:wordWrap/>
        <w:overflowPunct/>
        <w:topLinePunct w:val="0"/>
        <w:bidi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投标人参加投标，需对本标书中的所有产品报价，只针对单项做投标报价视为废标。</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本招标书技术指标中，凡标有“▲”的地方均被视为重要的技术指标性能要求或质量保证要求，投标方必须对此回答并完全满足这些要求，必须实质性响应，不能有负偏离，否则视为废标。</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供应商如选用采购人推荐品牌之外的产品，须在技术偏离表中作出详细技术说明，并提供设备材料选择理由。</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本项目硬件系统须提供五年质保，软件系统提供原厂商3年免费软件升级服务和3年免费电话技术支持服务。</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中标供应商后承诺可以在预中标结果公示期（10天）结束前，提供投标型号的样机进行功能测试，完全满足才能进入合同签订流程，评审小组应按顺序推荐中标候选人，采购人需按推荐顺序确定中标供应商。若中标供应商中标后无法供货或所提供货物未能通过测试验收，在有效供应商家数充足且采购双方还未签订合同的前提下，可以由评审小组推荐中标候选人的下一位供应商顺位替代成为中标供应商。</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配置要求仅是本项目的关键技术要求，投标方需对整体集成方案的可行性负责，如在集成过程中出现无法实施或者缺少相关设备和配件的情况，投标方应免费予以更换或补充同档次或更高档次的相关设备和配件。</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供应商需在货物到货时提供货物出厂合格证明，原装正品证明（本标段中供货的服务器，其设备序列号要求在原厂商网站上可查询，并且服务器配置、质保年限与投标承诺一致）。如果供应商不能提供以上证明及质保函，则采购人可以按验收不予通过处理，并按招标文件规定予以处罚。</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供货时用户将对以上表格所列全部指标项进行验收，主要指标项必须达到指标要求，否则用户方有权拒签收，由此造成的损失由中标单位承担。</w:t>
      </w:r>
    </w:p>
    <w:p>
      <w:pPr>
        <w:pageBreakBefore w:val="0"/>
        <w:numPr>
          <w:ilvl w:val="0"/>
          <w:numId w:val="8"/>
        </w:numPr>
        <w:kinsoku/>
        <w:wordWrap/>
        <w:overflowPunct/>
        <w:topLinePunct w:val="0"/>
        <w:bidi w:val="0"/>
        <w:spacing w:line="400" w:lineRule="exact"/>
        <w:ind w:right="-315" w:right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要求投标商在招标公示期内，到用户现场进行业务容灾系统的技术兼容性测试。未进行现场测试的容灾产品，用户有权进行拒绝。</w:t>
      </w:r>
    </w:p>
    <w:p>
      <w:pPr>
        <w:pageBreakBefore w:val="0"/>
        <w:kinsoku/>
        <w:wordWrap/>
        <w:overflowPunct/>
        <w:topLinePunct w:val="0"/>
        <w:bidi w:val="0"/>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pageBreakBefore w:val="0"/>
        <w:tabs>
          <w:tab w:val="left" w:pos="540"/>
        </w:tabs>
        <w:kinsoku/>
        <w:wordWrap/>
        <w:overflowPunct/>
        <w:topLinePunct w:val="0"/>
        <w:bidi w:val="0"/>
        <w:spacing w:line="400" w:lineRule="exact"/>
        <w:ind w:left="42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售后服务要求</w:t>
      </w:r>
    </w:p>
    <w:p>
      <w:pPr>
        <w:pStyle w:val="24"/>
        <w:pageBreakBefore w:val="0"/>
        <w:numPr>
          <w:ilvl w:val="0"/>
          <w:numId w:val="9"/>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电话响应时间&lt;10分钟，现场服务响应时间&lt; 2小时。</w:t>
      </w:r>
    </w:p>
    <w:p>
      <w:pPr>
        <w:pStyle w:val="24"/>
        <w:pageBreakBefore w:val="0"/>
        <w:numPr>
          <w:ilvl w:val="0"/>
          <w:numId w:val="9"/>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每年提供至少2次业务容灾系统演练服务。</w:t>
      </w:r>
    </w:p>
    <w:p>
      <w:pPr>
        <w:pStyle w:val="24"/>
        <w:pageBreakBefore w:val="0"/>
        <w:numPr>
          <w:ilvl w:val="0"/>
          <w:numId w:val="9"/>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提供现场备件，备件要求放在用户指定机房中。</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88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101"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885"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备件类型</w:t>
            </w:r>
          </w:p>
        </w:tc>
        <w:tc>
          <w:tcPr>
            <w:tcW w:w="1536"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01"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885" w:type="dxa"/>
            <w:shd w:val="clear" w:color="auto" w:fill="auto"/>
            <w:noWrap w:val="0"/>
            <w:vAlign w:val="top"/>
          </w:tcPr>
          <w:p>
            <w:pPr>
              <w:pStyle w:val="24"/>
              <w:pageBreakBefore w:val="0"/>
              <w:kinsoku/>
              <w:wordWrap/>
              <w:overflowPunct/>
              <w:topLinePunct w:val="0"/>
              <w:bidi w:val="0"/>
              <w:spacing w:line="400" w:lineRule="exact"/>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存储硬盘</w:t>
            </w:r>
          </w:p>
        </w:tc>
        <w:tc>
          <w:tcPr>
            <w:tcW w:w="1536"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101"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885" w:type="dxa"/>
            <w:shd w:val="clear" w:color="auto" w:fill="auto"/>
            <w:noWrap w:val="0"/>
            <w:vAlign w:val="top"/>
          </w:tcPr>
          <w:p>
            <w:pPr>
              <w:pStyle w:val="24"/>
              <w:pageBreakBefore w:val="0"/>
              <w:kinsoku/>
              <w:wordWrap/>
              <w:overflowPunct/>
              <w:topLinePunct w:val="0"/>
              <w:bidi w:val="0"/>
              <w:spacing w:line="400" w:lineRule="exact"/>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服务器硬盘</w:t>
            </w:r>
          </w:p>
        </w:tc>
        <w:tc>
          <w:tcPr>
            <w:tcW w:w="1536"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01"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885" w:type="dxa"/>
            <w:shd w:val="clear" w:color="auto" w:fill="auto"/>
            <w:noWrap w:val="0"/>
            <w:vAlign w:val="top"/>
          </w:tcPr>
          <w:p>
            <w:pPr>
              <w:pStyle w:val="24"/>
              <w:pageBreakBefore w:val="0"/>
              <w:kinsoku/>
              <w:wordWrap/>
              <w:overflowPunct/>
              <w:topLinePunct w:val="0"/>
              <w:bidi w:val="0"/>
              <w:spacing w:line="400" w:lineRule="exact"/>
              <w:ind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服务器电源</w:t>
            </w:r>
          </w:p>
        </w:tc>
        <w:tc>
          <w:tcPr>
            <w:tcW w:w="1536" w:type="dxa"/>
            <w:shd w:val="clear" w:color="auto" w:fill="auto"/>
            <w:noWrap w:val="0"/>
            <w:vAlign w:val="top"/>
          </w:tcPr>
          <w:p>
            <w:pPr>
              <w:pStyle w:val="24"/>
              <w:pageBreakBefore w:val="0"/>
              <w:kinsoku/>
              <w:wordWrap/>
              <w:overflowPunct/>
              <w:topLinePunct w:val="0"/>
              <w:bidi w:val="0"/>
              <w:spacing w:line="40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1颗</w:t>
            </w:r>
          </w:p>
        </w:tc>
      </w:tr>
    </w:tbl>
    <w:p>
      <w:pPr>
        <w:pStyle w:val="4"/>
        <w:pageBreakBefore w:val="0"/>
        <w:tabs>
          <w:tab w:val="left" w:pos="540"/>
        </w:tabs>
        <w:kinsoku/>
        <w:wordWrap/>
        <w:overflowPunct/>
        <w:topLinePunct w:val="0"/>
        <w:bidi w:val="0"/>
        <w:spacing w:line="400" w:lineRule="exact"/>
        <w:ind w:left="42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工期与付款方式</w:t>
      </w:r>
    </w:p>
    <w:p>
      <w:pPr>
        <w:pStyle w:val="24"/>
        <w:pageBreakBefore w:val="0"/>
        <w:numPr>
          <w:ilvl w:val="0"/>
          <w:numId w:val="10"/>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工期：合同签订后30个工作日内完成项目安装实施。</w:t>
      </w:r>
    </w:p>
    <w:p>
      <w:pPr>
        <w:pStyle w:val="24"/>
        <w:pageBreakBefore w:val="0"/>
        <w:numPr>
          <w:ilvl w:val="0"/>
          <w:numId w:val="10"/>
        </w:numPr>
        <w:kinsoku/>
        <w:wordWrap/>
        <w:overflowPunct/>
        <w:topLinePunct w:val="0"/>
        <w:bidi w:val="0"/>
        <w:spacing w:line="400" w:lineRule="exact"/>
        <w:ind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付款方式：                    </w:t>
      </w:r>
    </w:p>
    <w:p>
      <w:pPr>
        <w:pStyle w:val="10"/>
        <w:pageBreakBefore w:val="0"/>
        <w:kinsoku/>
        <w:wordWrap/>
        <w:overflowPunct/>
        <w:topLinePunct w:val="0"/>
        <w:bidi w:val="0"/>
        <w:snapToGrid w:val="0"/>
        <w:spacing w:line="400" w:lineRule="exac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付款条件及履约保证金：</w:t>
      </w:r>
      <w:r>
        <w:rPr>
          <w:rFonts w:hint="eastAsia" w:ascii="宋体" w:hAnsi="宋体" w:eastAsia="宋体" w:cs="宋体"/>
          <w:color w:val="000000" w:themeColor="text1"/>
          <w:sz w:val="24"/>
          <w:szCs w:val="24"/>
          <w:highlight w:val="none"/>
          <w14:textFill>
            <w14:solidFill>
              <w14:schemeClr w14:val="tx1"/>
            </w14:solidFill>
          </w14:textFill>
        </w:rPr>
        <w:t>合同签订前，中标供应商需向采购人递交中标金额10%的履约保证金。合同签订后设备到货初验支付货款总价</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0%，设备安装完毕，并验收合格后，采购人在30日内支付总价的</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0%，数据平台软件系统测试结束后7个工作日支付剩余10%。</w:t>
      </w:r>
      <w:r>
        <w:rPr>
          <w:rFonts w:hint="eastAsia" w:ascii="宋体" w:hAnsi="宋体" w:eastAsia="宋体" w:cs="宋体"/>
          <w:color w:val="000000" w:themeColor="text1"/>
          <w:kern w:val="0"/>
          <w:sz w:val="24"/>
          <w:szCs w:val="24"/>
          <w:highlight w:val="none"/>
          <w14:textFill>
            <w14:solidFill>
              <w14:schemeClr w14:val="tx1"/>
            </w14:solidFill>
          </w14:textFill>
        </w:rPr>
        <w:t>履约保证金转为质量保证金，10%的</w:t>
      </w:r>
      <w:r>
        <w:rPr>
          <w:rFonts w:hint="eastAsia" w:ascii="宋体" w:hAnsi="宋体" w:eastAsia="宋体" w:cs="宋体"/>
          <w:color w:val="000000" w:themeColor="text1"/>
          <w:sz w:val="24"/>
          <w:szCs w:val="24"/>
          <w:highlight w:val="none"/>
          <w14:textFill>
            <w14:solidFill>
              <w14:schemeClr w14:val="tx1"/>
            </w14:solidFill>
          </w14:textFill>
        </w:rPr>
        <w:t>质量保证金在设备系统正常运行的前提下，以第一年2%，第二年2%，第三年2%，第三四年2%，第五年2%的形式支付。</w:t>
      </w:r>
    </w:p>
    <w:p>
      <w:pPr>
        <w:pStyle w:val="10"/>
        <w:pageBreakBefore w:val="0"/>
        <w:kinsoku/>
        <w:wordWrap/>
        <w:overflowPunct/>
        <w:topLinePunct w:val="0"/>
        <w:bidi w:val="0"/>
        <w:snapToGrid w:val="0"/>
        <w:spacing w:line="400" w:lineRule="exact"/>
        <w:ind w:firstLine="480" w:firstLineChars="20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逾期交付货物的，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应按逾期交货总额每日</w:t>
      </w:r>
      <w:r>
        <w:rPr>
          <w:rFonts w:asciiTheme="minorEastAsia" w:hAnsiTheme="minorEastAsia" w:eastAsiaTheme="minorEastAsia"/>
          <w:color w:val="000000" w:themeColor="text1"/>
          <w:sz w:val="24"/>
          <w:highlight w:val="none"/>
          <w:u w:val="single"/>
          <w14:textFill>
            <w14:solidFill>
              <w14:schemeClr w14:val="tx1"/>
            </w14:solidFill>
          </w14:textFill>
        </w:rPr>
        <w:t>千分之六</w:t>
      </w:r>
      <w:r>
        <w:rPr>
          <w:rFonts w:asciiTheme="minorEastAsia" w:hAnsiTheme="minorEastAsia" w:eastAsiaTheme="minorEastAsia"/>
          <w:color w:val="000000" w:themeColor="text1"/>
          <w:sz w:val="24"/>
          <w:highlight w:val="none"/>
          <w14:textFill>
            <w14:solidFill>
              <w14:schemeClr w14:val="tx1"/>
            </w14:solidFill>
          </w14:textFill>
        </w:rPr>
        <w:t>向</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支付违约金，由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从待付货款中扣除。逾期超过约定日期</w:t>
      </w:r>
      <w:r>
        <w:rPr>
          <w:rFonts w:asciiTheme="minorEastAsia" w:hAnsiTheme="minorEastAsia" w:eastAsiaTheme="minorEastAsia"/>
          <w:color w:val="000000" w:themeColor="text1"/>
          <w:sz w:val="24"/>
          <w:highlight w:val="none"/>
          <w:u w:val="single"/>
          <w14:textFill>
            <w14:solidFill>
              <w14:schemeClr w14:val="tx1"/>
            </w14:solidFill>
          </w14:textFill>
        </w:rPr>
        <w:t>10</w:t>
      </w:r>
      <w:r>
        <w:rPr>
          <w:rFonts w:asciiTheme="minorEastAsia" w:hAnsiTheme="minorEastAsia" w:eastAsiaTheme="minorEastAsia"/>
          <w:color w:val="000000" w:themeColor="text1"/>
          <w:sz w:val="24"/>
          <w:highlight w:val="none"/>
          <w14:textFill>
            <w14:solidFill>
              <w14:schemeClr w14:val="tx1"/>
            </w14:solidFill>
          </w14:textFill>
        </w:rPr>
        <w:t>个工作日不能交货的，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可解除本合同。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因逾期交货或因其他违约行为导致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解除合同的，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应向</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支付合同总值</w:t>
      </w:r>
      <w:r>
        <w:rPr>
          <w:rFonts w:asciiTheme="minorEastAsia" w:hAnsiTheme="minorEastAsia" w:eastAsiaTheme="minorEastAsia"/>
          <w:color w:val="000000" w:themeColor="text1"/>
          <w:sz w:val="24"/>
          <w:highlight w:val="none"/>
          <w:u w:val="singl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的违约金，如造成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w:t>
      </w:r>
      <w:r>
        <w:rPr>
          <w:rFonts w:asciiTheme="minorEastAsia" w:hAnsiTheme="minorEastAsia" w:eastAsiaTheme="minorEastAsia"/>
          <w:color w:val="000000" w:themeColor="text1"/>
          <w:sz w:val="24"/>
          <w:highlight w:val="none"/>
          <w14:textFill>
            <w14:solidFill>
              <w14:schemeClr w14:val="tx1"/>
            </w14:solidFill>
          </w14:textFill>
        </w:rPr>
        <w:t>损失超过违约金的，超出部分由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继续承担赔偿责任。</w:t>
      </w: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pStyle w:val="10"/>
        <w:snapToGrid w:val="0"/>
        <w:spacing w:line="360" w:lineRule="auto"/>
        <w:outlineLvl w:val="0"/>
        <w:rPr>
          <w:rFonts w:hint="eastAsia" w:hAnsi="宋体" w:cs="Arial"/>
          <w:color w:val="000000" w:themeColor="text1"/>
          <w:sz w:val="22"/>
          <w:szCs w:val="22"/>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400" w:lineRule="exact"/>
        <w:ind w:firstLine="48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以下为</w:t>
      </w:r>
      <w:r>
        <w:rPr>
          <w:rFonts w:hint="eastAsia" w:asciiTheme="minorEastAsia" w:hAnsiTheme="minorEastAsia" w:eastAsiaTheme="minorEastAsia"/>
          <w:color w:val="000000" w:themeColor="text1"/>
          <w:sz w:val="24"/>
          <w:highlight w:val="none"/>
          <w14:textFill>
            <w14:solidFill>
              <w14:schemeClr w14:val="tx1"/>
            </w14:solidFill>
          </w14:textFill>
        </w:rPr>
        <w:t>中标</w:t>
      </w:r>
      <w:r>
        <w:rPr>
          <w:rFonts w:asciiTheme="minorEastAsia" w:hAnsiTheme="minorEastAsia" w:eastAsiaTheme="minorEastAsia"/>
          <w:color w:val="000000" w:themeColor="text1"/>
          <w:sz w:val="24"/>
          <w:highlight w:val="none"/>
          <w14:textFill>
            <w14:solidFill>
              <w14:schemeClr w14:val="tx1"/>
            </w14:solidFill>
          </w14:textFill>
        </w:rPr>
        <w:t>后签定本项目合同的通用条款，</w:t>
      </w:r>
      <w:r>
        <w:rPr>
          <w:rFonts w:hint="eastAsia" w:asciiTheme="minorEastAsia" w:hAnsiTheme="minorEastAsia" w:eastAsiaTheme="minorEastAsia"/>
          <w:color w:val="000000" w:themeColor="text1"/>
          <w:sz w:val="24"/>
          <w:highlight w:val="none"/>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不得提出实质性的修改，关于专用条款将由采购人与</w:t>
      </w:r>
      <w:r>
        <w:rPr>
          <w:rFonts w:hint="eastAsia" w:asciiTheme="minorEastAsia" w:hAnsiTheme="minorEastAsia" w:eastAsiaTheme="minorEastAsia"/>
          <w:color w:val="000000" w:themeColor="text1"/>
          <w:sz w:val="24"/>
          <w:highlight w:val="none"/>
          <w14:textFill>
            <w14:solidFill>
              <w14:schemeClr w14:val="tx1"/>
            </w14:solidFill>
          </w14:textFill>
        </w:rPr>
        <w:t>中标供应商</w:t>
      </w:r>
      <w:r>
        <w:rPr>
          <w:rFonts w:asciiTheme="minorEastAsia" w:hAnsiTheme="minorEastAsia" w:eastAsiaTheme="minorEastAsia"/>
          <w:color w:val="000000" w:themeColor="text1"/>
          <w:sz w:val="24"/>
          <w:highlight w:val="none"/>
          <w14:textFill>
            <w14:solidFill>
              <w14:schemeClr w14:val="tx1"/>
            </w14:solidFill>
          </w14:textFill>
        </w:rPr>
        <w:t>结合本项目具体情况协商后签订。</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项目名称：                                       项目编号：</w:t>
      </w:r>
    </w:p>
    <w:p>
      <w:pPr>
        <w:pStyle w:val="10"/>
        <w:snapToGrid w:val="0"/>
        <w:spacing w:before="120" w:after="120"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0"/>
        <w:snapToGrid w:val="0"/>
        <w:spacing w:before="120" w:after="120" w:line="4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(采购组织机构名称）</w:t>
      </w:r>
      <w:r>
        <w:rPr>
          <w:rFonts w:asciiTheme="minorEastAsia" w:hAnsiTheme="minorEastAsia" w:eastAsiaTheme="minorEastAsia"/>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项目公开招标的结果，签署本合同。</w:t>
      </w:r>
    </w:p>
    <w:p>
      <w:pPr>
        <w:spacing w:line="400" w:lineRule="exact"/>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pPr>
        <w:spacing w:line="400" w:lineRule="exact"/>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0"/>
        <w:snapToGrid w:val="0"/>
        <w:spacing w:line="400" w:lineRule="exact"/>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、货物内容</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 货物名称：</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 型号规格：</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技术参数：</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数量（单位）：</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、合同金额</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本合同金额为（大写）：____________________________________元（￥_______________元）人民币。</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w:t>
      </w:r>
      <w:r>
        <w:rPr>
          <w:rFonts w:asciiTheme="minorEastAsia" w:hAnsiTheme="minorEastAsia" w:eastAsiaTheme="minorEastAsia"/>
          <w:b/>
          <w:color w:val="000000" w:themeColor="text1"/>
          <w:sz w:val="24"/>
          <w:highlight w:val="none"/>
          <w14:textFill>
            <w14:solidFill>
              <w14:schemeClr w14:val="tx1"/>
            </w14:solidFill>
          </w14:textFill>
        </w:rPr>
        <w:t>、技术资料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乙方应按招标文件规定的时间向甲方提供使用货物的有关技术资料。</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400" w:lineRule="exact"/>
        <w:ind w:left="412" w:hanging="412" w:hangingChars="17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w:t>
      </w:r>
      <w:r>
        <w:rPr>
          <w:rFonts w:asciiTheme="minorEastAsia" w:hAnsiTheme="minorEastAsia" w:eastAsiaTheme="minorEastAsia"/>
          <w:b/>
          <w:color w:val="000000" w:themeColor="text1"/>
          <w:sz w:val="24"/>
          <w:highlight w:val="none"/>
          <w14:textFill>
            <w14:solidFill>
              <w14:schemeClr w14:val="tx1"/>
            </w14:solidFill>
          </w14:textFill>
        </w:rPr>
        <w:t>、知识产权</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乙方应保证所提供的货物或其任何一部分均不会侵犯任何第三方的知识产权。</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0"/>
        <w:snapToGrid w:val="0"/>
        <w:spacing w:before="120" w:after="120" w:line="400" w:lineRule="exact"/>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六</w:t>
      </w:r>
      <w:r>
        <w:rPr>
          <w:rFonts w:asciiTheme="minorEastAsia" w:hAnsiTheme="minorEastAsia" w:eastAsiaTheme="minorEastAsia"/>
          <w:b/>
          <w:color w:val="000000" w:themeColor="text1"/>
          <w:sz w:val="24"/>
          <w:highlight w:val="none"/>
          <w14:textFill>
            <w14:solidFill>
              <w14:schemeClr w14:val="tx1"/>
            </w14:solidFill>
          </w14:textFill>
        </w:rPr>
        <w:t>、产权担保</w:t>
      </w:r>
    </w:p>
    <w:p>
      <w:pPr>
        <w:pStyle w:val="10"/>
        <w:snapToGrid w:val="0"/>
        <w:spacing w:before="120" w:after="120" w:line="400" w:lineRule="exact"/>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乙方保证所交付的货物的所有权完全属于乙方且无任何抵押、查封等产权瑕疵。</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400" w:lineRule="exact"/>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本项目履约保证金为合同金额的</w:t>
      </w:r>
      <w:r>
        <w:rPr>
          <w:rFonts w:asciiTheme="minorEastAsia" w:hAnsiTheme="minorEastAsia" w:eastAsiaTheme="minorEastAsia" w:cstheme="minorBidi"/>
          <w:color w:val="000000" w:themeColor="text1"/>
          <w:sz w:val="24"/>
          <w:highlight w:val="none"/>
          <w14:textFill>
            <w14:solidFill>
              <w14:schemeClr w14:val="tx1"/>
            </w14:solidFill>
          </w14:textFill>
        </w:rPr>
        <w:t>____</w:t>
      </w:r>
      <w:r>
        <w:rPr>
          <w:rFonts w:hint="eastAsia" w:asciiTheme="minorEastAsia" w:hAnsiTheme="minorEastAsia" w:eastAsiaTheme="minorEastAsia" w:cstheme="minorBidi"/>
          <w:color w:val="000000" w:themeColor="text1"/>
          <w:sz w:val="24"/>
          <w:highlight w:val="none"/>
          <w14:textFill>
            <w14:solidFill>
              <w14:schemeClr w14:val="tx1"/>
            </w14:solidFill>
          </w14:textFill>
        </w:rPr>
        <w:t>%。</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[履约保证金交至采购人处，在合同约定交货验收合格满（</w:t>
      </w:r>
      <w:r>
        <w:rPr>
          <w:rFonts w:hint="eastAsia" w:asciiTheme="minorEastAsia" w:hAnsiTheme="minorEastAsia" w:eastAsiaTheme="minorEastAsia" w:cstheme="minorBidi"/>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Bidi"/>
          <w:color w:val="000000" w:themeColor="text1"/>
          <w:sz w:val="24"/>
          <w:highlight w:val="none"/>
          <w:lang w:val="zh-CN"/>
          <w14:textFill>
            <w14:solidFill>
              <w14:schemeClr w14:val="tx1"/>
            </w14:solidFill>
          </w14:textFill>
        </w:rPr>
        <w:t>）个月之日起5个工作日内无息退还]</w:t>
      </w:r>
    </w:p>
    <w:p>
      <w:pPr>
        <w:pStyle w:val="10"/>
        <w:snapToGrid w:val="0"/>
        <w:spacing w:before="120" w:after="120" w:line="400" w:lineRule="exact"/>
        <w:ind w:left="410" w:hanging="410" w:hangingChars="17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八、转包或分包</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.本合同范围的货物，应由</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方直接供应，不得转让他人供应；</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.除非得到</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方的书面同意，</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方不得将本合同范围的货物全部或部分分包给他人供应；</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.如有转让和未经</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方同意的分包行为，</w:t>
      </w:r>
      <w:r>
        <w:rPr>
          <w:rFonts w:asciiTheme="minorEastAsia" w:hAnsiTheme="minorEastAsia" w:eastAsiaTheme="minorEastAsia"/>
          <w:color w:val="000000" w:themeColor="text1"/>
          <w:sz w:val="24"/>
          <w:highlight w:val="none"/>
          <w14:textFill>
            <w14:solidFill>
              <w14:schemeClr w14:val="tx1"/>
            </w14:solidFill>
          </w14:textFill>
        </w:rPr>
        <w:t>甲</w:t>
      </w:r>
      <w:r>
        <w:rPr>
          <w:rFonts w:hint="eastAsia" w:asciiTheme="minorEastAsia" w:hAnsiTheme="minorEastAsia" w:eastAsiaTheme="minorEastAsia"/>
          <w:color w:val="000000" w:themeColor="text1"/>
          <w:sz w:val="24"/>
          <w:highlight w:val="none"/>
          <w14:textFill>
            <w14:solidFill>
              <w14:schemeClr w14:val="tx1"/>
            </w14:solidFill>
          </w14:textFill>
        </w:rPr>
        <w:t>方有权解除合同，没收履约保证金并追究乙方的违约责任。</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九</w:t>
      </w:r>
      <w:r>
        <w:rPr>
          <w:rFonts w:asciiTheme="minorEastAsia" w:hAnsiTheme="minorEastAsia" w:eastAsiaTheme="minorEastAsia"/>
          <w:b/>
          <w:color w:val="000000" w:themeColor="text1"/>
          <w:sz w:val="24"/>
          <w:highlight w:val="none"/>
          <w14:textFill>
            <w14:solidFill>
              <w14:schemeClr w14:val="tx1"/>
            </w14:solidFill>
          </w14:textFill>
        </w:rPr>
        <w:t>、质保期</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质保期</w:t>
      </w:r>
      <w:r>
        <w:rPr>
          <w:rFonts w:hAnsi="宋体" w:cs="Times New Roman"/>
          <w:color w:val="000000" w:themeColor="text1"/>
          <w:sz w:val="24"/>
          <w:highlight w:val="none"/>
          <w14:textFill>
            <w14:solidFill>
              <w14:schemeClr w14:val="tx1"/>
            </w14:solidFill>
          </w14:textFill>
        </w:rPr>
        <w:t>___</w:t>
      </w:r>
      <w:r>
        <w:rPr>
          <w:rFonts w:asciiTheme="minorEastAsia" w:hAnsiTheme="minorEastAsia" w:eastAsiaTheme="minorEastAsia"/>
          <w:color w:val="000000" w:themeColor="text1"/>
          <w:sz w:val="24"/>
          <w:highlight w:val="none"/>
          <w14:textFill>
            <w14:solidFill>
              <w14:schemeClr w14:val="tx1"/>
            </w14:solidFill>
          </w14:textFill>
        </w:rPr>
        <w:t>年。（自交货验收合格之日起计）</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w:t>
      </w:r>
      <w:r>
        <w:rPr>
          <w:rFonts w:asciiTheme="minorEastAsia" w:hAnsiTheme="minorEastAsia" w:eastAsiaTheme="minorEastAsia"/>
          <w:b/>
          <w:color w:val="000000" w:themeColor="text1"/>
          <w:sz w:val="24"/>
          <w:highlight w:val="none"/>
          <w14:textFill>
            <w14:solidFill>
              <w14:schemeClr w14:val="tx1"/>
            </w14:solidFill>
          </w14:textFill>
        </w:rPr>
        <w:t>、交货期、交货方式及交货地点</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交货期：</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交货方式：</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交货地点：</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、货款支付</w:t>
      </w:r>
    </w:p>
    <w:p>
      <w:pPr>
        <w:pStyle w:val="10"/>
        <w:snapToGrid w:val="0"/>
        <w:spacing w:before="120" w:after="120"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bCs/>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 xml:space="preserve"> 付款方式：</w:t>
      </w:r>
    </w:p>
    <w:p>
      <w:pPr>
        <w:pStyle w:val="10"/>
        <w:snapToGrid w:val="0"/>
        <w:spacing w:line="400" w:lineRule="exact"/>
        <w:rPr>
          <w:rFonts w:asciiTheme="minorEastAsia" w:hAnsiTheme="minorEastAsia" w:eastAsiaTheme="minorEastAsia"/>
          <w:bCs/>
          <w:color w:val="000000" w:themeColor="text1"/>
          <w:sz w:val="24"/>
          <w:highlight w:val="none"/>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2.当采购数量与实际使用数量不一致时，由采购单位向同级财政部门申请并经批准后，可以由乙方根据实际使用量供货，合同的最终结算金额按实际使用量乘以中标单价进行计算。</w:t>
      </w:r>
    </w:p>
    <w:p>
      <w:pPr>
        <w:snapToGrid w:val="0"/>
        <w:spacing w:before="156" w:beforeLines="50" w:after="156" w:afterLines="5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十二、税费</w:t>
      </w:r>
    </w:p>
    <w:p>
      <w:pPr>
        <w:snapToGrid w:val="0"/>
        <w:spacing w:before="156" w:beforeLines="50" w:after="156" w:afterLines="5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本合同执行中相关的一切税费均由</w:t>
      </w:r>
      <w:r>
        <w:rPr>
          <w:rFonts w:asciiTheme="minorEastAsia" w:hAnsiTheme="minorEastAsia" w:eastAsiaTheme="minorEastAsia"/>
          <w:color w:val="000000" w:themeColor="text1"/>
          <w:sz w:val="24"/>
          <w:highlight w:val="none"/>
          <w14:textFill>
            <w14:solidFill>
              <w14:schemeClr w14:val="tx1"/>
            </w14:solidFill>
          </w14:textFill>
        </w:rPr>
        <w:t>乙</w:t>
      </w:r>
      <w:r>
        <w:rPr>
          <w:rFonts w:hint="eastAsia" w:asciiTheme="minorEastAsia" w:hAnsiTheme="minorEastAsia" w:eastAsiaTheme="minorEastAsia"/>
          <w:color w:val="000000" w:themeColor="text1"/>
          <w:sz w:val="24"/>
          <w:highlight w:val="none"/>
          <w14:textFill>
            <w14:solidFill>
              <w14:schemeClr w14:val="tx1"/>
            </w14:solidFill>
          </w14:textFill>
        </w:rPr>
        <w:t>方负担。</w:t>
      </w:r>
    </w:p>
    <w:p>
      <w:pPr>
        <w:pStyle w:val="10"/>
        <w:snapToGrid w:val="0"/>
        <w:spacing w:before="120" w:after="120" w:line="400" w:lineRule="exact"/>
        <w:ind w:left="412" w:hanging="412"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asciiTheme="minorEastAsia" w:hAnsiTheme="minorEastAsia" w:eastAsiaTheme="minorEastAsia"/>
          <w:b/>
          <w:color w:val="000000" w:themeColor="text1"/>
          <w:sz w:val="24"/>
          <w:highlight w:val="none"/>
          <w14:textFill>
            <w14:solidFill>
              <w14:schemeClr w14:val="tx1"/>
            </w14:solidFill>
          </w14:textFill>
        </w:rPr>
        <w:t>、质量保证及售后服务</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乙方应按招标文件规定的货物性能、技术要求、质量标准向甲方提供未经使用的全新产品。</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乙方提供的货物在质</w:t>
      </w:r>
      <w:r>
        <w:rPr>
          <w:rFonts w:hint="eastAsia" w:asciiTheme="minorEastAsia" w:hAnsiTheme="minorEastAsia" w:eastAsiaTheme="minorEastAsia"/>
          <w:color w:val="000000" w:themeColor="text1"/>
          <w:sz w:val="24"/>
          <w:highlight w:val="none"/>
          <w14:textFill>
            <w14:solidFill>
              <w14:schemeClr w14:val="tx1"/>
            </w14:solidFill>
          </w14:textFill>
        </w:rPr>
        <w:t>保</w:t>
      </w:r>
      <w:r>
        <w:rPr>
          <w:rFonts w:asciiTheme="minorEastAsia" w:hAnsiTheme="minorEastAsia" w:eastAsiaTheme="minorEastAsia"/>
          <w:color w:val="000000" w:themeColor="text1"/>
          <w:sz w:val="24"/>
          <w:highlight w:val="none"/>
          <w14:textFill>
            <w14:solidFill>
              <w14:schemeClr w14:val="tx1"/>
            </w14:solidFill>
          </w14:textFill>
        </w:rPr>
        <w:t>期内因货物本身的质量问题发生故障，乙方应负责免费更换。对达不到技术要求者，根据实际情况，经双方协商，可按以下办法处理：</w:t>
      </w:r>
    </w:p>
    <w:p>
      <w:pPr>
        <w:pStyle w:val="10"/>
        <w:snapToGrid w:val="0"/>
        <w:spacing w:before="120" w:after="120" w:line="400" w:lineRule="exact"/>
        <w:ind w:firstLine="42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⑴更换：由乙方承担所发生的全部费用。</w:t>
      </w:r>
    </w:p>
    <w:p>
      <w:pPr>
        <w:pStyle w:val="10"/>
        <w:snapToGrid w:val="0"/>
        <w:spacing w:before="120" w:after="120" w:line="400" w:lineRule="exact"/>
        <w:ind w:firstLine="42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⑵贬值处理：由甲乙双方合议定价。</w:t>
      </w:r>
    </w:p>
    <w:p>
      <w:pPr>
        <w:pStyle w:val="10"/>
        <w:snapToGrid w:val="0"/>
        <w:spacing w:before="120" w:after="120" w:line="400" w:lineRule="exact"/>
        <w:ind w:left="420" w:left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如在使用过程中发生质量问题，乙方在接到甲方通知后在</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小时内到达甲方</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现场。</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在质保期内，乙方应对货物出现的质量及安全问题负责处理解决并承担一切</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费用。</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上述的货物免费保修期为年，因人为因素出现的故障不在免费保修范围</w:t>
      </w:r>
    </w:p>
    <w:p>
      <w:pPr>
        <w:pStyle w:val="10"/>
        <w:snapToGrid w:val="0"/>
        <w:spacing w:before="120" w:after="120" w:line="400" w:lineRule="exact"/>
        <w:ind w:firstLine="240" w:firstLineChars="1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内。超过保修期的机器设备，终生维修，维修时只收部件成本费。</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四</w:t>
      </w:r>
      <w:r>
        <w:rPr>
          <w:rFonts w:asciiTheme="minorEastAsia" w:hAnsiTheme="minorEastAsia" w:eastAsiaTheme="minorEastAsia"/>
          <w:b/>
          <w:color w:val="000000" w:themeColor="text1"/>
          <w:sz w:val="24"/>
          <w:highlight w:val="none"/>
          <w14:textFill>
            <w14:solidFill>
              <w14:schemeClr w14:val="tx1"/>
            </w14:solidFill>
          </w14:textFill>
        </w:rPr>
        <w:t>、调试和验收</w:t>
      </w:r>
    </w:p>
    <w:p>
      <w:pPr>
        <w:pStyle w:val="10"/>
        <w:snapToGrid w:val="0"/>
        <w:spacing w:before="120" w:after="120" w:line="400" w:lineRule="exact"/>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甲方对乙方提交的货物依据招标文件上的技术规格要求和国家有关质量标准</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进行现场初步验收，外观、说明书符合招标文件技术要求的，给予签收，初</w:t>
      </w:r>
    </w:p>
    <w:p>
      <w:pPr>
        <w:pStyle w:val="10"/>
        <w:snapToGrid w:val="0"/>
        <w:spacing w:before="120" w:after="120" w:line="400" w:lineRule="exact"/>
        <w:ind w:firstLine="360" w:firstLineChars="150"/>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步验收不合格的不予签收。货到后，甲方需在</w:t>
      </w:r>
      <w:r>
        <w:rPr>
          <w:rFonts w:hint="eastAsia" w:asciiTheme="minorEastAsia" w:hAnsiTheme="minorEastAsia" w:eastAsiaTheme="minorEastAsia"/>
          <w:color w:val="000000" w:themeColor="text1"/>
          <w:sz w:val="24"/>
          <w:highlight w:val="none"/>
          <w:u w:val="single"/>
          <w14:textFill>
            <w14:solidFill>
              <w14:schemeClr w14:val="tx1"/>
            </w14:solidFill>
          </w14:textFill>
        </w:rPr>
        <w:t>五</w:t>
      </w:r>
      <w:r>
        <w:rPr>
          <w:rFonts w:hint="eastAsia" w:asciiTheme="minorEastAsia" w:hAnsiTheme="minorEastAsia" w:eastAsiaTheme="minorEastAsia"/>
          <w:color w:val="000000" w:themeColor="text1"/>
          <w:sz w:val="24"/>
          <w:highlight w:val="none"/>
          <w14:textFill>
            <w14:solidFill>
              <w14:schemeClr w14:val="tx1"/>
            </w14:solidFill>
          </w14:textFill>
        </w:rPr>
        <w:t>个</w:t>
      </w:r>
      <w:r>
        <w:rPr>
          <w:rFonts w:asciiTheme="minorEastAsia" w:hAnsiTheme="minorEastAsia" w:eastAsiaTheme="minorEastAsia"/>
          <w:color w:val="000000" w:themeColor="text1"/>
          <w:sz w:val="24"/>
          <w:highlight w:val="none"/>
          <w14:textFill>
            <w14:solidFill>
              <w14:schemeClr w14:val="tx1"/>
            </w14:solidFill>
          </w14:textFill>
        </w:rPr>
        <w:t>工作日内验收。</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乙方交货前应对产品作出全面检查和对验收文件进行整理，并列出清单，作</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为甲方收货验收和使用的技术条件依据，检验的结果应随货物交甲方。</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甲方对乙方提供的货物在使用前进行调试时，乙方需负责安装并培训甲方的</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使用操作人员，并协助甲方一起调试，直到符合技术要求，甲方才做最终验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u w:val="singl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收。</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对技术复杂的货物，甲方应请国家认可的专业检测机构参与初步验收及最终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验收，并由其出具质量检测报告。</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验收时乙方必须在现场，验收完毕后作出验收结果报告；验收费用由</w:t>
      </w:r>
      <w:r>
        <w:rPr>
          <w:rFonts w:hint="eastAsia" w:asciiTheme="minorEastAsia" w:hAnsiTheme="minorEastAsia" w:eastAsiaTheme="minorEastAsia"/>
          <w:color w:val="000000" w:themeColor="text1"/>
          <w:sz w:val="24"/>
          <w:highlight w:val="none"/>
          <w14:textFill>
            <w14:solidFill>
              <w14:schemeClr w14:val="tx1"/>
            </w14:solidFill>
          </w14:textFill>
        </w:rPr>
        <w:t>甲</w:t>
      </w:r>
      <w:r>
        <w:rPr>
          <w:rFonts w:asciiTheme="minorEastAsia" w:hAnsiTheme="minorEastAsia" w:eastAsiaTheme="minorEastAsia"/>
          <w:color w:val="000000" w:themeColor="text1"/>
          <w:sz w:val="24"/>
          <w:highlight w:val="none"/>
          <w14:textFill>
            <w14:solidFill>
              <w14:schemeClr w14:val="tx1"/>
            </w14:solidFill>
          </w14:textFill>
        </w:rPr>
        <w:t>方负</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责。</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五</w:t>
      </w:r>
      <w:r>
        <w:rPr>
          <w:rFonts w:asciiTheme="minorEastAsia" w:hAnsiTheme="minorEastAsia" w:eastAsiaTheme="minorEastAsia"/>
          <w:b/>
          <w:color w:val="000000" w:themeColor="text1"/>
          <w:sz w:val="24"/>
          <w:highlight w:val="none"/>
          <w14:textFill>
            <w14:solidFill>
              <w14:schemeClr w14:val="tx1"/>
            </w14:solidFill>
          </w14:textFill>
        </w:rPr>
        <w:t>、货物包装、发运及运输</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使用说明书、质量检验证明书、随配附件和工具以及清单一并附于货物内。</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乙方在货物发运手续办理完毕后24小时内或货到甲方48小时前通知甲方，以准备接货。</w:t>
      </w:r>
    </w:p>
    <w:p>
      <w:pPr>
        <w:pStyle w:val="10"/>
        <w:snapToGrid w:val="0"/>
        <w:spacing w:before="120" w:after="120" w:line="400" w:lineRule="exact"/>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货物在交付甲方前发生的风险均由乙方负责。</w:t>
      </w:r>
    </w:p>
    <w:p>
      <w:pPr>
        <w:pStyle w:val="10"/>
        <w:snapToGrid w:val="0"/>
        <w:spacing w:line="400" w:lineRule="exact"/>
        <w:ind w:left="480" w:right="26"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货物在规定的交付期限内由乙方送达甲方指定的地点视为交付，乙方同时需</w:t>
      </w:r>
    </w:p>
    <w:p>
      <w:pPr>
        <w:pStyle w:val="10"/>
        <w:snapToGrid w:val="0"/>
        <w:spacing w:line="400" w:lineRule="exact"/>
        <w:ind w:left="479" w:leftChars="171" w:right="26" w:hanging="120" w:hangingChars="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通知甲方货物已送达。</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六</w:t>
      </w:r>
      <w:r>
        <w:rPr>
          <w:rFonts w:asciiTheme="minorEastAsia" w:hAnsiTheme="minorEastAsia" w:eastAsiaTheme="minorEastAsia"/>
          <w:b/>
          <w:color w:val="000000" w:themeColor="text1"/>
          <w:sz w:val="24"/>
          <w:highlight w:val="none"/>
          <w14:textFill>
            <w14:solidFill>
              <w14:schemeClr w14:val="tx1"/>
            </w14:solidFill>
          </w14:textFill>
        </w:rPr>
        <w:t>、违约责任</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甲方无正当理由拒收货物的，甲方向乙方偿付拒收货款总值的</w:t>
      </w:r>
      <w:r>
        <w:rPr>
          <w:rFonts w:asciiTheme="minorEastAsia" w:hAnsiTheme="minorEastAsia" w:eastAsiaTheme="minorEastAsia"/>
          <w:color w:val="000000" w:themeColor="text1"/>
          <w:sz w:val="24"/>
          <w:highlight w:val="none"/>
          <w:u w:val="single"/>
          <w14:textFill>
            <w14:solidFill>
              <w14:schemeClr w14:val="tx1"/>
            </w14:solidFill>
          </w14:textFill>
        </w:rPr>
        <w:t>百分之五</w:t>
      </w:r>
      <w:r>
        <w:rPr>
          <w:rFonts w:asciiTheme="minorEastAsia" w:hAnsiTheme="minorEastAsia" w:eastAsiaTheme="minorEastAsia"/>
          <w:color w:val="000000" w:themeColor="text1"/>
          <w:sz w:val="24"/>
          <w:highlight w:val="none"/>
          <w14:textFill>
            <w14:solidFill>
              <w14:schemeClr w14:val="tx1"/>
            </w14:solidFill>
          </w14:textFill>
        </w:rPr>
        <w:t>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甲方无故逾期验收和办理货款支付手续的,甲方应按逾期付款总额每日</w:t>
      </w:r>
      <w:r>
        <w:rPr>
          <w:rFonts w:asciiTheme="minorEastAsia" w:hAnsiTheme="minorEastAsia" w:eastAsiaTheme="minorEastAsia"/>
          <w:color w:val="000000" w:themeColor="text1"/>
          <w:sz w:val="24"/>
          <w:highlight w:val="none"/>
          <w:u w:val="single"/>
          <w14:textFill>
            <w14:solidFill>
              <w14:schemeClr w14:val="tx1"/>
            </w14:solidFill>
          </w14:textFill>
        </w:rPr>
        <w:t>万分之五</w:t>
      </w:r>
      <w:r>
        <w:rPr>
          <w:rFonts w:asciiTheme="minorEastAsia" w:hAnsiTheme="minorEastAsia" w:eastAsiaTheme="minorEastAsia"/>
          <w:color w:val="000000" w:themeColor="text1"/>
          <w:sz w:val="24"/>
          <w:highlight w:val="none"/>
          <w14:textFill>
            <w14:solidFill>
              <w14:schemeClr w14:val="tx1"/>
            </w14:solidFill>
          </w14:textFill>
        </w:rPr>
        <w:t>向乙方支付违约金。</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乙方逾期交付货物的，乙方应按逾期交货总额每日</w:t>
      </w:r>
      <w:r>
        <w:rPr>
          <w:rFonts w:asciiTheme="minorEastAsia" w:hAnsiTheme="minorEastAsia" w:eastAsiaTheme="minorEastAsia"/>
          <w:color w:val="000000" w:themeColor="text1"/>
          <w:sz w:val="24"/>
          <w:highlight w:val="none"/>
          <w:u w:val="single"/>
          <w14:textFill>
            <w14:solidFill>
              <w14:schemeClr w14:val="tx1"/>
            </w14:solidFill>
          </w14:textFill>
        </w:rPr>
        <w:t>千分之六</w:t>
      </w:r>
      <w:r>
        <w:rPr>
          <w:rFonts w:asciiTheme="minorEastAsia" w:hAnsiTheme="minorEastAsia" w:eastAsiaTheme="minorEastAsia"/>
          <w:color w:val="000000" w:themeColor="text1"/>
          <w:sz w:val="24"/>
          <w:highlight w:val="none"/>
          <w14:textFill>
            <w14:solidFill>
              <w14:schemeClr w14:val="tx1"/>
            </w14:solidFill>
          </w14:textFill>
        </w:rPr>
        <w:t>向甲方支付违约金，由甲方从待付货款中扣除。逾期超过约定日期</w:t>
      </w:r>
      <w:r>
        <w:rPr>
          <w:rFonts w:asciiTheme="minorEastAsia" w:hAnsiTheme="minorEastAsia" w:eastAsiaTheme="minorEastAsia"/>
          <w:color w:val="000000" w:themeColor="text1"/>
          <w:sz w:val="24"/>
          <w:highlight w:val="none"/>
          <w:u w:val="single"/>
          <w14:textFill>
            <w14:solidFill>
              <w14:schemeClr w14:val="tx1"/>
            </w14:solidFill>
          </w14:textFill>
        </w:rPr>
        <w:t>10</w:t>
      </w:r>
      <w:r>
        <w:rPr>
          <w:rFonts w:asciiTheme="minorEastAsia" w:hAnsiTheme="minorEastAsia" w:eastAsiaTheme="minorEastAsia"/>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asciiTheme="minorEastAsia" w:hAnsiTheme="minorEastAsia" w:eastAsiaTheme="minorEastAsia"/>
          <w:color w:val="000000" w:themeColor="text1"/>
          <w:sz w:val="24"/>
          <w:highlight w:val="none"/>
          <w:u w:val="singl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napToGrid w:val="0"/>
        <w:spacing w:before="120" w:after="120" w:line="400" w:lineRule="exact"/>
        <w:ind w:left="410" w:hanging="410" w:hangingChars="17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、不可抗力事件处理</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在合同有效期内，任何一方因不可抗力事件导致不能履行合同，则合同履行</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期可延长，其延长期与不可抗力影响期相同。</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不可抗力事件发生后，应立即通知对方，并寄送有关权威机构出具的证明。</w:t>
      </w:r>
    </w:p>
    <w:p>
      <w:pPr>
        <w:pStyle w:val="10"/>
        <w:snapToGrid w:val="0"/>
        <w:spacing w:before="120" w:after="120"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不可抗力事件延续120天以上，双方应通过友好协商，确定是否继续履行合</w:t>
      </w:r>
    </w:p>
    <w:p>
      <w:pPr>
        <w:pStyle w:val="10"/>
        <w:snapToGrid w:val="0"/>
        <w:spacing w:before="120" w:after="120" w:line="400" w:lineRule="exact"/>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同。</w:t>
      </w:r>
    </w:p>
    <w:p>
      <w:pPr>
        <w:pStyle w:val="10"/>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pPr>
        <w:widowControl/>
        <w:spacing w:line="400" w:lineRule="exact"/>
        <w:jc w:val="lef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 </w:t>
      </w:r>
      <w:r>
        <w:rPr>
          <w:rFonts w:ascii="宋体" w:hAnsi="宋体" w:cs="宋体"/>
          <w:color w:val="000000" w:themeColor="text1"/>
          <w:kern w:val="0"/>
          <w:sz w:val="24"/>
          <w:highlight w:val="none"/>
          <w14:textFill>
            <w14:solidFill>
              <w14:schemeClr w14:val="tx1"/>
            </w14:solidFill>
          </w14:textFill>
        </w:rPr>
        <w:t>如双方在履行合同时发生纠纷，应协商解决；调解不成的</w:t>
      </w:r>
      <w:r>
        <w:rPr>
          <w:rFonts w:hint="eastAsia" w:ascii="宋体" w:hAnsi="宋体" w:cs="宋体"/>
          <w:color w:val="000000" w:themeColor="text1"/>
          <w:kern w:val="0"/>
          <w:sz w:val="24"/>
          <w:highlight w:val="none"/>
          <w:lang w:eastAsia="zh-CN"/>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依法向</w:t>
      </w:r>
      <w:r>
        <w:rPr>
          <w:rFonts w:hint="eastAsia" w:ascii="宋体" w:hAnsi="宋体" w:cs="宋体"/>
          <w:color w:val="000000" w:themeColor="text1"/>
          <w:kern w:val="0"/>
          <w:sz w:val="24"/>
          <w:highlight w:val="none"/>
          <w:lang w:val="en-US" w:eastAsia="zh-CN"/>
          <w14:textFill>
            <w14:solidFill>
              <w14:schemeClr w14:val="tx1"/>
            </w14:solidFill>
          </w14:textFill>
        </w:rPr>
        <w:t>玉环市</w:t>
      </w:r>
      <w:r>
        <w:rPr>
          <w:rFonts w:ascii="宋体" w:hAnsi="宋体" w:cs="宋体"/>
          <w:color w:val="000000" w:themeColor="text1"/>
          <w:kern w:val="0"/>
          <w:sz w:val="24"/>
          <w:highlight w:val="none"/>
          <w14:textFill>
            <w14:solidFill>
              <w14:schemeClr w14:val="tx1"/>
            </w14:solidFill>
          </w14:textFill>
        </w:rPr>
        <w:t xml:space="preserve">人民法院提起诉讼。 </w:t>
      </w:r>
    </w:p>
    <w:p>
      <w:pPr>
        <w:pStyle w:val="10"/>
        <w:tabs>
          <w:tab w:val="left" w:pos="5790"/>
        </w:tabs>
        <w:snapToGrid w:val="0"/>
        <w:spacing w:before="120" w:after="120" w:line="400" w:lineRule="exac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十</w:t>
      </w:r>
      <w:r>
        <w:rPr>
          <w:rFonts w:hint="eastAsia" w:asciiTheme="minorEastAsia" w:hAnsiTheme="minorEastAsia" w:eastAsiaTheme="minorEastAsia"/>
          <w:b/>
          <w:color w:val="000000" w:themeColor="text1"/>
          <w:sz w:val="24"/>
          <w:highlight w:val="none"/>
          <w14:textFill>
            <w14:solidFill>
              <w14:schemeClr w14:val="tx1"/>
            </w14:solidFill>
          </w14:textFill>
        </w:rPr>
        <w:t>九</w:t>
      </w:r>
      <w:r>
        <w:rPr>
          <w:rFonts w:asciiTheme="minorEastAsia" w:hAnsiTheme="minorEastAsia" w:eastAsiaTheme="minorEastAsia"/>
          <w:b/>
          <w:color w:val="000000" w:themeColor="text1"/>
          <w:sz w:val="24"/>
          <w:highlight w:val="none"/>
          <w14:textFill>
            <w14:solidFill>
              <w14:schemeClr w14:val="tx1"/>
            </w14:solidFill>
          </w14:textFill>
        </w:rPr>
        <w:t>、合同生效及其它</w:t>
      </w:r>
      <w:r>
        <w:rPr>
          <w:rFonts w:asciiTheme="minorEastAsia" w:hAnsiTheme="minorEastAsia" w:eastAsiaTheme="minorEastAsia"/>
          <w:b/>
          <w:color w:val="000000" w:themeColor="text1"/>
          <w:sz w:val="24"/>
          <w:highlight w:val="none"/>
          <w14:textFill>
            <w14:solidFill>
              <w14:schemeClr w14:val="tx1"/>
            </w14:solidFill>
          </w14:textFill>
        </w:rPr>
        <w:tab/>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 xml:space="preserve"> 合同经双方法定代表人或授权代表</w:t>
      </w:r>
      <w:r>
        <w:rPr>
          <w:rFonts w:hint="eastAsia" w:asciiTheme="minorEastAsia" w:hAnsiTheme="minorEastAsia" w:eastAsiaTheme="minorEastAsia"/>
          <w:color w:val="000000" w:themeColor="text1"/>
          <w:highlight w:val="none"/>
          <w14:textFill>
            <w14:solidFill>
              <w14:schemeClr w14:val="tx1"/>
            </w14:solidFill>
          </w14:textFill>
        </w:rPr>
        <w:t>签字</w:t>
      </w:r>
      <w:r>
        <w:rPr>
          <w:rFonts w:asciiTheme="minorEastAsia" w:hAnsiTheme="minorEastAsia" w:eastAsiaTheme="minorEastAsia"/>
          <w:color w:val="000000" w:themeColor="text1"/>
          <w:highlight w:val="none"/>
          <w14:textFill>
            <w14:solidFill>
              <w14:schemeClr w14:val="tx1"/>
            </w14:solidFill>
          </w14:textFill>
        </w:rPr>
        <w:t>并加盖单位公章后生效。</w:t>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 </w:t>
      </w:r>
      <w:r>
        <w:rPr>
          <w:rFonts w:asciiTheme="minorEastAsia" w:hAnsiTheme="minorEastAsia" w:eastAsiaTheme="minorEastAsia"/>
          <w:color w:val="000000" w:themeColor="text1"/>
          <w:highlight w:val="none"/>
          <w14:textFill>
            <w14:solidFill>
              <w14:schemeClr w14:val="tx1"/>
            </w14:solidFill>
          </w14:textFill>
        </w:rPr>
        <w:t>本合同未尽事宜，遵照《合同法》有关条文执行。</w:t>
      </w:r>
    </w:p>
    <w:p>
      <w:pPr>
        <w:pStyle w:val="3"/>
        <w:widowControl/>
        <w:spacing w:line="400" w:lineRule="exact"/>
        <w:ind w:right="-88"/>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 本合同一式四份。甲、乙双方各执一份，</w:t>
      </w:r>
      <w:r>
        <w:rPr>
          <w:rFonts w:hint="eastAsia" w:ascii="宋体" w:hAnsi="宋体"/>
          <w:color w:val="000000" w:themeColor="text1"/>
          <w:highlight w:val="none"/>
          <w14:textFill>
            <w14:solidFill>
              <w14:schemeClr w14:val="tx1"/>
            </w14:solidFill>
          </w14:textFill>
        </w:rPr>
        <w:t>采购组织机构及同级人民政府财政部门各执一份</w:t>
      </w:r>
      <w:r>
        <w:rPr>
          <w:rFonts w:hint="eastAsia" w:asciiTheme="minorEastAsia" w:hAnsiTheme="minorEastAsia" w:eastAsiaTheme="minorEastAsia"/>
          <w:color w:val="000000" w:themeColor="text1"/>
          <w:highlight w:val="none"/>
          <w14:textFill>
            <w14:solidFill>
              <w14:schemeClr w14:val="tx1"/>
            </w14:solidFill>
          </w14:textFill>
        </w:rPr>
        <w:t>。本项目未尽事宜以招标文件、投标文件及澄清文件等为准。</w:t>
      </w:r>
    </w:p>
    <w:p>
      <w:pPr>
        <w:widowControl/>
        <w:spacing w:line="400" w:lineRule="exact"/>
        <w:rPr>
          <w:rFonts w:asciiTheme="minorEastAsia" w:hAnsiTheme="minorEastAsia" w:eastAsiaTheme="minorEastAsia"/>
          <w:b/>
          <w:color w:val="000000" w:themeColor="text1"/>
          <w:sz w:val="24"/>
          <w:highlight w:val="none"/>
          <w14:textFill>
            <w14:solidFill>
              <w14:schemeClr w14:val="tx1"/>
            </w14:solidFill>
          </w14:textFill>
        </w:rPr>
      </w:pPr>
    </w:p>
    <w:p>
      <w:pPr>
        <w:widowControl/>
        <w:spacing w:line="400" w:lineRule="exact"/>
        <w:rPr>
          <w:rFonts w:asciiTheme="minorEastAsia" w:hAnsiTheme="minorEastAsia" w:eastAsiaTheme="minorEastAsia"/>
          <w:b/>
          <w:color w:val="000000" w:themeColor="text1"/>
          <w:sz w:val="24"/>
          <w:highlight w:val="none"/>
          <w14:textFill>
            <w14:solidFill>
              <w14:schemeClr w14:val="tx1"/>
            </w14:solidFill>
          </w14:textFill>
        </w:rPr>
      </w:pP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甲方（公章）                                     乙方（公章）</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                                     法定代表人：</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委托代理人：                                     委托代理人：</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                                       联系电话：</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开户银行：                                       开户银行：</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帐号：                                           帐号：</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地址及邮编：                                     地址及邮编：</w:t>
      </w:r>
    </w:p>
    <w:p>
      <w:pPr>
        <w:spacing w:line="400" w:lineRule="exact"/>
        <w:rPr>
          <w:rFonts w:asciiTheme="minorEastAsia" w:hAnsiTheme="minorEastAsia" w:eastAsiaTheme="minorEastAsia"/>
          <w:color w:val="000000" w:themeColor="text1"/>
          <w:sz w:val="24"/>
          <w:highlight w:val="none"/>
          <w14:textFill>
            <w14:solidFill>
              <w14:schemeClr w14:val="tx1"/>
            </w14:solidFill>
          </w14:textFill>
        </w:rPr>
      </w:pPr>
    </w:p>
    <w:p>
      <w:pPr>
        <w:spacing w:line="400" w:lineRule="exact"/>
        <w:ind w:firstLine="4920" w:firstLineChars="20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签订时间：    年   月    日</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pStyle w:val="3"/>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left"/>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玉环市人民医院数据平台硬件与安全防护业务容灾系统</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HQ-YHZFCG-2019-55</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11"/>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11"/>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11"/>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玉环市人民医院数据平台硬件与安全防护业务容灾系统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HQ-YHZFCG-2019-55</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0"/>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pStyle w:val="3"/>
        <w:rPr>
          <w:rFonts w:hint="eastAsia" w:eastAsia="宋体"/>
          <w:color w:val="000000" w:themeColor="text1"/>
          <w:highlight w:val="none"/>
          <w:lang w:val="en-US" w:eastAsia="zh-CN"/>
          <w14:textFill>
            <w14:solidFill>
              <w14:schemeClr w14:val="tx1"/>
            </w14:solidFill>
          </w14:textFill>
        </w:rPr>
      </w:pPr>
    </w:p>
    <w:p>
      <w:pPr>
        <w:pStyle w:val="3"/>
        <w:rPr>
          <w:rFonts w:hint="eastAsia" w:eastAsia="宋体"/>
          <w:color w:val="000000" w:themeColor="text1"/>
          <w:highlight w:val="none"/>
          <w:lang w:val="en-US" w:eastAsia="zh-CN"/>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数据平台硬件与安全防护业务容灾系统</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HQ-YHZFCG-2019-55</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hint="eastAsia" w:ascii="宋体" w:hAnsi="宋体"/>
          <w:b/>
          <w:bCs/>
          <w:color w:val="000000" w:themeColor="text1"/>
          <w:sz w:val="32"/>
          <w:szCs w:val="32"/>
          <w:highlight w:val="none"/>
          <w:lang w:val="zh-CN"/>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asciiTheme="minorEastAsia" w:hAnsiTheme="minorEastAsia" w:eastAsiaTheme="minorEastAsia"/>
          <w:color w:val="000000" w:themeColor="text1"/>
          <w:kern w:val="0"/>
          <w:sz w:val="28"/>
          <w:szCs w:val="28"/>
          <w:highlight w:val="none"/>
          <w14:textFill>
            <w14:solidFill>
              <w14:schemeClr w14:val="tx1"/>
            </w14:solidFill>
          </w14:textFill>
        </w:rPr>
        <w:t>安装、调试及验收方案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26"/>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tbl>
      <w:tblPr>
        <w:tblStyle w:val="17"/>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2"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26"/>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2" w:type="dxa"/>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2" w:type="dxa"/>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26"/>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2" w:type="dxa"/>
            <w:vMerge w:val="restart"/>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82" w:type="dxa"/>
            <w:vMerge w:val="restart"/>
          </w:tcPr>
          <w:p>
            <w:pPr>
              <w:pStyle w:val="26"/>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6"/>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26"/>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26"/>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26"/>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26"/>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26"/>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26"/>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6"/>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26"/>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26"/>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2" w:type="dxa"/>
            <w:vMerge w:val="restart"/>
          </w:tcPr>
          <w:p>
            <w:pPr>
              <w:pStyle w:val="26"/>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6"/>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26"/>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26"/>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26"/>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26"/>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26"/>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26"/>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82" w:type="dxa"/>
            <w:vMerge w:val="continue"/>
          </w:tcPr>
          <w:p>
            <w:pPr>
              <w:pStyle w:val="26"/>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26"/>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26"/>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26"/>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26"/>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26"/>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82" w:type="dxa"/>
            <w:vMerge w:val="continue"/>
          </w:tcPr>
          <w:p>
            <w:pPr>
              <w:pStyle w:val="26"/>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26"/>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26"/>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682" w:type="dxa"/>
            <w:vMerge w:val="continue"/>
          </w:tcPr>
          <w:p>
            <w:pPr>
              <w:pStyle w:val="26"/>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26"/>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26"/>
              <w:shd w:val="clear" w:color="auto" w:fill="FFFFFF"/>
              <w:spacing w:line="360" w:lineRule="auto"/>
              <w:rPr>
                <w:bCs/>
                <w:color w:val="000000" w:themeColor="text1"/>
                <w:spacing w:val="16"/>
                <w:highlight w:val="none"/>
                <w14:textFill>
                  <w14:solidFill>
                    <w14:schemeClr w14:val="tx1"/>
                  </w14:solidFill>
                </w14:textFill>
              </w:rPr>
            </w:pPr>
          </w:p>
        </w:tc>
      </w:tr>
    </w:tbl>
    <w:p>
      <w:pPr>
        <w:pStyle w:val="26"/>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26"/>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6"/>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26"/>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7"/>
        <w:tblW w:w="8898" w:type="dxa"/>
        <w:jc w:val="center"/>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27"/>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7"/>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7"/>
        <w:tblW w:w="8626"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7"/>
        <w:tblW w:w="82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7"/>
        <w:tblW w:w="829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28"/>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28"/>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28"/>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2.本表参照本招标文件第二部分“招标需求”内第二条“具体技术需求”填制，投标人应根据投标设备的性能指标、服务指标，对照招标文件要求在“偏离情况”栏注明“正偏离”、“负偏离”或“无偏离”。</w:t>
      </w:r>
    </w:p>
    <w:p>
      <w:pPr>
        <w:pStyle w:val="28"/>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29"/>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26"/>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2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29"/>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9"/>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0"/>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0"/>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资信及商务需求响应表(第 标)</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7"/>
        <w:tblW w:w="829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1"/>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2"/>
        <w:spacing w:line="360" w:lineRule="auto"/>
        <w:rPr>
          <w:rFonts w:hint="eastAsia" w:hAnsi="宋体"/>
          <w:b/>
          <w:color w:val="000000" w:themeColor="text1"/>
          <w:sz w:val="28"/>
          <w:szCs w:val="28"/>
          <w:highlight w:val="none"/>
          <w14:textFill>
            <w14:solidFill>
              <w14:schemeClr w14:val="tx1"/>
            </w14:solidFill>
          </w14:textFill>
        </w:rPr>
      </w:pPr>
    </w:p>
    <w:p>
      <w:pPr>
        <w:pStyle w:val="32"/>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2"/>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7"/>
        <w:tblW w:w="927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2"/>
        <w:gridCol w:w="1432"/>
        <w:gridCol w:w="1260"/>
        <w:gridCol w:w="900"/>
        <w:gridCol w:w="781"/>
        <w:gridCol w:w="900"/>
        <w:gridCol w:w="91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货物名称</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产品配置</w:t>
            </w:r>
          </w:p>
        </w:tc>
        <w:tc>
          <w:tcPr>
            <w:tcW w:w="5686" w:type="dxa"/>
            <w:gridSpan w:val="6"/>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品牌</w:t>
            </w:r>
          </w:p>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商标</w:t>
            </w:r>
          </w:p>
        </w:tc>
        <w:tc>
          <w:tcPr>
            <w:tcW w:w="781"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生产厂家</w:t>
            </w:r>
          </w:p>
        </w:tc>
        <w:tc>
          <w:tcPr>
            <w:tcW w:w="90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符合标准</w:t>
            </w:r>
          </w:p>
        </w:tc>
        <w:tc>
          <w:tcPr>
            <w:tcW w:w="915"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性能说明</w:t>
            </w:r>
          </w:p>
        </w:tc>
        <w:tc>
          <w:tcPr>
            <w:tcW w:w="930" w:type="dxa"/>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432" w:type="dxa"/>
            <w:tcBorders>
              <w:top w:val="single" w:color="auto" w:sz="4" w:space="0"/>
              <w:left w:val="single" w:color="auto" w:sz="4" w:space="0"/>
              <w:bottom w:val="single" w:color="auto" w:sz="4" w:space="0"/>
              <w:right w:val="single" w:color="auto" w:sz="4" w:space="0"/>
            </w:tcBorders>
          </w:tcPr>
          <w:p>
            <w:pPr>
              <w:pStyle w:val="31"/>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tcPr>
          <w:p>
            <w:pPr>
              <w:pStyle w:val="31"/>
              <w:autoSpaceDE w:val="0"/>
              <w:autoSpaceDN w:val="0"/>
              <w:adjustRightInd w:val="0"/>
              <w:spacing w:line="360" w:lineRule="auto"/>
              <w:ind w:right="84" w:rightChars="40"/>
              <w:jc w:val="center"/>
              <w:rPr>
                <w:rFonts w:hint="eastAsia" w:ascii="宋体" w:hAnsi="宋体" w:eastAsia="宋体" w:cs="宋体"/>
                <w:color w:val="000000" w:themeColor="text1"/>
                <w:sz w:val="22"/>
                <w:szCs w:val="22"/>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1"/>
        <w:spacing w:line="360" w:lineRule="auto"/>
        <w:ind w:left="699" w:leftChars="228" w:hanging="220" w:hanging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1.请列出以上产品的各项主要用材、辅料、油漆、五金件等。</w:t>
      </w:r>
    </w:p>
    <w:p>
      <w:pPr>
        <w:pStyle w:val="31"/>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2.本表所列产品主要用材均为采购人抽样送检的范围。</w:t>
      </w:r>
    </w:p>
    <w:p>
      <w:pPr>
        <w:spacing w:line="360" w:lineRule="auto"/>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数据平台硬件与安全防护业务容灾系统</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HQ-YHZFCG-2019-55</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1"/>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3"/>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4"/>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0"/>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5"/>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7"/>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报价明细表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本表中的型号规格必须明确，招标文件中明确要求定制的除外。</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6"/>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6"/>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6"/>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6"/>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6"/>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6"/>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6"/>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int="eastAsia"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36"/>
        <w:spacing w:line="360" w:lineRule="auto"/>
        <w:rPr>
          <w:rFonts w:ascii="宋体" w:hAnsi="宋体"/>
          <w:b/>
          <w:color w:val="000000" w:themeColor="text1"/>
          <w:sz w:val="28"/>
          <w:szCs w:val="28"/>
          <w:highlight w:val="none"/>
          <w14:textFill>
            <w14:solidFill>
              <w14:schemeClr w14:val="tx1"/>
            </w14:solidFill>
          </w14:textFill>
        </w:rPr>
      </w:pPr>
    </w:p>
    <w:p>
      <w:pPr>
        <w:pStyle w:val="36"/>
        <w:spacing w:line="360" w:lineRule="auto"/>
        <w:rPr>
          <w:rFonts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hint="eastAsia" w:ascii="宋体" w:hAnsi="宋体"/>
          <w:b/>
          <w:color w:val="000000" w:themeColor="text1"/>
          <w:sz w:val="28"/>
          <w:szCs w:val="28"/>
          <w:highlight w:val="none"/>
          <w14:textFill>
            <w14:solidFill>
              <w14:schemeClr w14:val="tx1"/>
            </w14:solidFill>
          </w14:textFill>
        </w:rPr>
      </w:pPr>
    </w:p>
    <w:p>
      <w:pPr>
        <w:pStyle w:val="36"/>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37"/>
        <w:spacing w:line="360" w:lineRule="auto"/>
        <w:rPr>
          <w:color w:val="000000" w:themeColor="text1"/>
          <w:highlight w:val="none"/>
          <w14:textFill>
            <w14:solidFill>
              <w14:schemeClr w14:val="tx1"/>
            </w14:solidFill>
          </w14:textFill>
        </w:rPr>
      </w:pPr>
    </w:p>
    <w:p>
      <w:pPr>
        <w:pStyle w:val="34"/>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4"/>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1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17"/>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4"/>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4"/>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4"/>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4"/>
        <w:spacing w:line="360" w:lineRule="auto"/>
        <w:rPr>
          <w:rFonts w:ascii="宋体" w:hAnsi="宋体"/>
          <w:color w:val="000000" w:themeColor="text1"/>
          <w:szCs w:val="21"/>
          <w:highlight w:val="none"/>
          <w:lang w:val="en-GB"/>
          <w14:textFill>
            <w14:solidFill>
              <w14:schemeClr w14:val="tx1"/>
            </w14:solidFill>
          </w14:textFill>
        </w:rPr>
      </w:pPr>
    </w:p>
    <w:p>
      <w:pPr>
        <w:pStyle w:val="34"/>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4"/>
        <w:widowControl/>
        <w:numPr>
          <w:ilvl w:val="0"/>
          <w:numId w:val="12"/>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4"/>
        <w:widowControl/>
        <w:numPr>
          <w:ilvl w:val="0"/>
          <w:numId w:val="12"/>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4"/>
        <w:widowControl/>
        <w:numPr>
          <w:ilvl w:val="0"/>
          <w:numId w:val="12"/>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134" w:right="1134" w:bottom="1134" w:left="1417" w:header="851" w:footer="992" w:gutter="0"/>
      <w:pgBorders>
        <w:top w:val="none" w:sz="0" w:space="0"/>
        <w:left w:val="none" w:sz="0" w:space="0"/>
        <w:bottom w:val="none" w:sz="0" w:space="0"/>
        <w:right w:val="none" w:sz="0" w:space="0"/>
      </w:pgBorders>
      <w:pgNumType w:fmt="decimal" w:start="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34C47EE1"/>
    <w:multiLevelType w:val="multilevel"/>
    <w:tmpl w:val="34C47EE1"/>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704"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3705E16"/>
    <w:multiLevelType w:val="multilevel"/>
    <w:tmpl w:val="43705E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55CC3289"/>
    <w:multiLevelType w:val="multilevel"/>
    <w:tmpl w:val="55CC32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0">
    <w:nsid w:val="76AF5CEE"/>
    <w:multiLevelType w:val="multilevel"/>
    <w:tmpl w:val="76AF5C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955F34"/>
    <w:multiLevelType w:val="multilevel"/>
    <w:tmpl w:val="7E955F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6"/>
  </w:num>
  <w:num w:numId="4">
    <w:abstractNumId w:val="2"/>
  </w:num>
  <w:num w:numId="5">
    <w:abstractNumId w:val="3"/>
  </w:num>
  <w:num w:numId="6">
    <w:abstractNumId w:val="4"/>
  </w:num>
  <w:num w:numId="7">
    <w:abstractNumId w:val="11"/>
  </w:num>
  <w:num w:numId="8">
    <w:abstractNumId w:val="8"/>
  </w:num>
  <w:num w:numId="9">
    <w:abstractNumId w:val="10"/>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CF4"/>
    <w:rsid w:val="0006294D"/>
    <w:rsid w:val="00062AB3"/>
    <w:rsid w:val="00107BF6"/>
    <w:rsid w:val="00165F2A"/>
    <w:rsid w:val="00201D62"/>
    <w:rsid w:val="0021318F"/>
    <w:rsid w:val="002701A5"/>
    <w:rsid w:val="002A1620"/>
    <w:rsid w:val="00302FF0"/>
    <w:rsid w:val="003102FB"/>
    <w:rsid w:val="00332E30"/>
    <w:rsid w:val="0033650E"/>
    <w:rsid w:val="003B5317"/>
    <w:rsid w:val="003C5E00"/>
    <w:rsid w:val="003F595C"/>
    <w:rsid w:val="003F78E0"/>
    <w:rsid w:val="00402DCB"/>
    <w:rsid w:val="00441FAE"/>
    <w:rsid w:val="00446CEF"/>
    <w:rsid w:val="00491BDF"/>
    <w:rsid w:val="004B4165"/>
    <w:rsid w:val="00616E31"/>
    <w:rsid w:val="00655E3C"/>
    <w:rsid w:val="00674C42"/>
    <w:rsid w:val="006F4DFE"/>
    <w:rsid w:val="00766F25"/>
    <w:rsid w:val="007A2629"/>
    <w:rsid w:val="007C1005"/>
    <w:rsid w:val="00802325"/>
    <w:rsid w:val="00847BE5"/>
    <w:rsid w:val="0088066B"/>
    <w:rsid w:val="00912983"/>
    <w:rsid w:val="00990D80"/>
    <w:rsid w:val="009B3E22"/>
    <w:rsid w:val="009F3459"/>
    <w:rsid w:val="00A30B75"/>
    <w:rsid w:val="00A730CA"/>
    <w:rsid w:val="00B42F4C"/>
    <w:rsid w:val="00BF5473"/>
    <w:rsid w:val="00C05497"/>
    <w:rsid w:val="00C52E14"/>
    <w:rsid w:val="00C767D4"/>
    <w:rsid w:val="00CC232E"/>
    <w:rsid w:val="00CD1804"/>
    <w:rsid w:val="00DA6B9B"/>
    <w:rsid w:val="00DD0861"/>
    <w:rsid w:val="00E319E7"/>
    <w:rsid w:val="00EF2797"/>
    <w:rsid w:val="00F127FF"/>
    <w:rsid w:val="00F145C4"/>
    <w:rsid w:val="00F508A1"/>
    <w:rsid w:val="00F75D85"/>
    <w:rsid w:val="01935887"/>
    <w:rsid w:val="04CC341D"/>
    <w:rsid w:val="05137CD7"/>
    <w:rsid w:val="060B26E0"/>
    <w:rsid w:val="06180769"/>
    <w:rsid w:val="09735664"/>
    <w:rsid w:val="09FD456F"/>
    <w:rsid w:val="0A6172EF"/>
    <w:rsid w:val="0C1E2BA0"/>
    <w:rsid w:val="0C765CB2"/>
    <w:rsid w:val="0E970358"/>
    <w:rsid w:val="10392EAE"/>
    <w:rsid w:val="10706EC2"/>
    <w:rsid w:val="12807280"/>
    <w:rsid w:val="13A74261"/>
    <w:rsid w:val="148463E6"/>
    <w:rsid w:val="14D20D9B"/>
    <w:rsid w:val="15A72BED"/>
    <w:rsid w:val="1621170E"/>
    <w:rsid w:val="16903399"/>
    <w:rsid w:val="18B91D2B"/>
    <w:rsid w:val="18C40414"/>
    <w:rsid w:val="1A6A6D44"/>
    <w:rsid w:val="1A817123"/>
    <w:rsid w:val="1A8E3A4E"/>
    <w:rsid w:val="1AF736A3"/>
    <w:rsid w:val="1C093ECB"/>
    <w:rsid w:val="1C26707D"/>
    <w:rsid w:val="1CE4433A"/>
    <w:rsid w:val="1EE84AA8"/>
    <w:rsid w:val="228447E5"/>
    <w:rsid w:val="23424F53"/>
    <w:rsid w:val="236E14E2"/>
    <w:rsid w:val="2751323E"/>
    <w:rsid w:val="29D148D0"/>
    <w:rsid w:val="2AC803DC"/>
    <w:rsid w:val="30143D85"/>
    <w:rsid w:val="31752B09"/>
    <w:rsid w:val="338B51E4"/>
    <w:rsid w:val="33D3510B"/>
    <w:rsid w:val="341548E3"/>
    <w:rsid w:val="35F0199E"/>
    <w:rsid w:val="374B7290"/>
    <w:rsid w:val="37712A39"/>
    <w:rsid w:val="39380477"/>
    <w:rsid w:val="395862BB"/>
    <w:rsid w:val="3992672C"/>
    <w:rsid w:val="3AE50133"/>
    <w:rsid w:val="3B345EA5"/>
    <w:rsid w:val="3BF00FE7"/>
    <w:rsid w:val="3C6278F9"/>
    <w:rsid w:val="3DB531EC"/>
    <w:rsid w:val="3F6B3E70"/>
    <w:rsid w:val="3FCA700F"/>
    <w:rsid w:val="405A1654"/>
    <w:rsid w:val="410A4299"/>
    <w:rsid w:val="425D2FF7"/>
    <w:rsid w:val="43036342"/>
    <w:rsid w:val="44113009"/>
    <w:rsid w:val="4563730C"/>
    <w:rsid w:val="45953AB9"/>
    <w:rsid w:val="47AF47A3"/>
    <w:rsid w:val="48586DAC"/>
    <w:rsid w:val="48655597"/>
    <w:rsid w:val="48694FA0"/>
    <w:rsid w:val="488E768B"/>
    <w:rsid w:val="49F41D5E"/>
    <w:rsid w:val="4B1E31F7"/>
    <w:rsid w:val="4B816B47"/>
    <w:rsid w:val="4BCB3573"/>
    <w:rsid w:val="4CE75373"/>
    <w:rsid w:val="4EAA1CE9"/>
    <w:rsid w:val="4FD0460B"/>
    <w:rsid w:val="515C6912"/>
    <w:rsid w:val="519F0EDF"/>
    <w:rsid w:val="534F6B27"/>
    <w:rsid w:val="53837659"/>
    <w:rsid w:val="566D4B95"/>
    <w:rsid w:val="572656D4"/>
    <w:rsid w:val="5727721E"/>
    <w:rsid w:val="593B399C"/>
    <w:rsid w:val="59AD06A4"/>
    <w:rsid w:val="5A4D586D"/>
    <w:rsid w:val="5A6249B0"/>
    <w:rsid w:val="5D2F57FF"/>
    <w:rsid w:val="5EE84C68"/>
    <w:rsid w:val="621D5BA4"/>
    <w:rsid w:val="62D4544E"/>
    <w:rsid w:val="635B6748"/>
    <w:rsid w:val="638226CA"/>
    <w:rsid w:val="63947A95"/>
    <w:rsid w:val="67B167D1"/>
    <w:rsid w:val="685F1C50"/>
    <w:rsid w:val="692444CB"/>
    <w:rsid w:val="699022E9"/>
    <w:rsid w:val="6A714498"/>
    <w:rsid w:val="6FAC1718"/>
    <w:rsid w:val="725C0136"/>
    <w:rsid w:val="737A32A0"/>
    <w:rsid w:val="745919C6"/>
    <w:rsid w:val="74702A9A"/>
    <w:rsid w:val="761C2BBB"/>
    <w:rsid w:val="769C75C3"/>
    <w:rsid w:val="776A1DE8"/>
    <w:rsid w:val="785D00CA"/>
    <w:rsid w:val="7A72468A"/>
    <w:rsid w:val="7A9A6528"/>
    <w:rsid w:val="7D7D7EB6"/>
    <w:rsid w:val="7D7F697F"/>
    <w:rsid w:val="7DDD6CEA"/>
    <w:rsid w:val="7E636E14"/>
    <w:rsid w:val="7FD4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cs="Times New Roman"/>
      <w:kern w:val="0"/>
      <w:szCs w:val="24"/>
    </w:rPr>
  </w:style>
  <w:style w:type="paragraph" w:styleId="3">
    <w:name w:val="Body Text"/>
    <w:basedOn w:val="1"/>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38"/>
    <w:qFormat/>
    <w:uiPriority w:val="0"/>
    <w:pPr>
      <w:jc w:val="left"/>
    </w:pPr>
  </w:style>
  <w:style w:type="paragraph" w:styleId="9">
    <w:name w:val="Body Text Indent"/>
    <w:basedOn w:val="1"/>
    <w:link w:val="41"/>
    <w:qFormat/>
    <w:uiPriority w:val="0"/>
    <w:pPr>
      <w:spacing w:after="120"/>
      <w:ind w:left="420" w:leftChars="200"/>
    </w:pPr>
  </w:style>
  <w:style w:type="paragraph" w:styleId="10">
    <w:name w:val="Plain Text"/>
    <w:basedOn w:val="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8"/>
    <w:next w:val="8"/>
    <w:link w:val="39"/>
    <w:qFormat/>
    <w:uiPriority w:val="0"/>
    <w:rPr>
      <w:b/>
      <w:bCs/>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4">
    <w:name w:val="列出段落1"/>
    <w:basedOn w:val="1"/>
    <w:qFormat/>
    <w:uiPriority w:val="0"/>
    <w:pPr>
      <w:ind w:firstLine="420" w:firstLineChars="200"/>
    </w:pPr>
    <w:rPr>
      <w:rFonts w:ascii="Calibri" w:hAnsi="Calibri"/>
      <w:kern w:val="0"/>
      <w:szCs w:val="20"/>
    </w:rPr>
  </w:style>
  <w:style w:type="paragraph" w:customStyle="1" w:styleId="2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14"/>
    <w:qFormat/>
    <w:uiPriority w:val="0"/>
    <w:rPr>
      <w:rFonts w:ascii="Times New Roman" w:hAnsi="Times New Roman" w:eastAsia="宋体" w:cs="Times New Roman"/>
      <w:sz w:val="21"/>
      <w:szCs w:val="22"/>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纯文本_3"/>
    <w:basedOn w:val="31"/>
    <w:qFormat/>
    <w:uiPriority w:val="0"/>
    <w:pPr>
      <w:widowControl/>
      <w:jc w:val="left"/>
    </w:pPr>
    <w:rPr>
      <w:rFonts w:ascii="宋体" w:hAnsi="Courier New" w:eastAsiaTheme="minorEastAsia" w:cstheme="minorBidi"/>
      <w:szCs w:val="21"/>
    </w:rPr>
  </w:style>
  <w:style w:type="paragraph" w:customStyle="1" w:styleId="33">
    <w:name w:val="纯文本_0_1"/>
    <w:basedOn w:val="1"/>
    <w:qFormat/>
    <w:uiPriority w:val="0"/>
    <w:pPr>
      <w:widowControl/>
      <w:jc w:val="left"/>
    </w:pPr>
    <w:rPr>
      <w:rFonts w:ascii="宋体" w:hAnsi="Courier New" w:eastAsiaTheme="minorEastAsia" w:cstheme="minorBidi"/>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批注文字 Char"/>
    <w:basedOn w:val="19"/>
    <w:link w:val="8"/>
    <w:qFormat/>
    <w:uiPriority w:val="0"/>
    <w:rPr>
      <w:rFonts w:ascii="Times New Roman" w:hAnsi="Times New Roman" w:eastAsia="宋体" w:cs="Times New Roman"/>
      <w:kern w:val="2"/>
      <w:sz w:val="21"/>
      <w:szCs w:val="24"/>
    </w:rPr>
  </w:style>
  <w:style w:type="character" w:customStyle="1" w:styleId="39">
    <w:name w:val="批注主题 Char"/>
    <w:basedOn w:val="38"/>
    <w:link w:val="16"/>
    <w:qFormat/>
    <w:uiPriority w:val="0"/>
    <w:rPr>
      <w:rFonts w:ascii="Times New Roman" w:hAnsi="Times New Roman" w:eastAsia="宋体" w:cs="Times New Roman"/>
      <w:b/>
      <w:bCs/>
      <w:kern w:val="2"/>
      <w:sz w:val="21"/>
      <w:szCs w:val="24"/>
    </w:rPr>
  </w:style>
  <w:style w:type="character" w:customStyle="1" w:styleId="40">
    <w:name w:val="批注框文本 Char"/>
    <w:basedOn w:val="19"/>
    <w:link w:val="12"/>
    <w:qFormat/>
    <w:uiPriority w:val="0"/>
    <w:rPr>
      <w:rFonts w:ascii="Times New Roman" w:hAnsi="Times New Roman" w:eastAsia="宋体" w:cs="Times New Roman"/>
      <w:kern w:val="2"/>
      <w:sz w:val="18"/>
      <w:szCs w:val="18"/>
    </w:rPr>
  </w:style>
  <w:style w:type="character" w:customStyle="1" w:styleId="41">
    <w:name w:val="正文文本缩进 Char"/>
    <w:basedOn w:val="19"/>
    <w:link w:val="9"/>
    <w:qFormat/>
    <w:uiPriority w:val="0"/>
    <w:rPr>
      <w:kern w:val="2"/>
      <w:sz w:val="21"/>
      <w:szCs w:val="24"/>
    </w:rPr>
  </w:style>
  <w:style w:type="paragraph" w:customStyle="1" w:styleId="42">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3">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4418</Words>
  <Characters>25183</Characters>
  <Lines>209</Lines>
  <Paragraphs>59</Paragraphs>
  <TotalTime>21</TotalTime>
  <ScaleCrop>false</ScaleCrop>
  <LinksUpToDate>false</LinksUpToDate>
  <CharactersWithSpaces>29542</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LF</cp:lastModifiedBy>
  <dcterms:modified xsi:type="dcterms:W3CDTF">2019-07-19T03:05:37Z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