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r>
        <w:rPr>
          <w:rFonts w:hint="eastAsia" w:ascii="宋体"/>
          <w:b/>
          <w:color w:val="auto"/>
          <w:kern w:val="0"/>
          <w:sz w:val="52"/>
          <w:szCs w:val="52"/>
          <w:highlight w:val="none"/>
          <w:lang w:eastAsia="zh-CN"/>
        </w:rPr>
        <w:t>玉环市</w:t>
      </w:r>
      <w:r>
        <w:rPr>
          <w:rFonts w:hint="eastAsia" w:ascii="宋体"/>
          <w:b/>
          <w:color w:val="auto"/>
          <w:kern w:val="0"/>
          <w:sz w:val="52"/>
          <w:szCs w:val="52"/>
          <w:highlight w:val="none"/>
        </w:rPr>
        <w:t>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eastAsia="宋体"/>
          <w:color w:val="auto"/>
          <w:kern w:val="0"/>
          <w:sz w:val="24"/>
          <w:highlight w:val="none"/>
          <w:lang w:eastAsia="zh-CN"/>
        </w:rPr>
      </w:pPr>
      <w:r>
        <w:rPr>
          <w:rFonts w:hint="eastAsia" w:ascii="宋体"/>
          <w:color w:val="auto"/>
          <w:kern w:val="0"/>
          <w:sz w:val="24"/>
          <w:highlight w:val="none"/>
          <w:lang w:eastAsia="zh-CN"/>
        </w:rPr>
        <w:t>TZHX-2019-025</w:t>
      </w:r>
    </w:p>
    <w:p>
      <w:pPr>
        <w:autoSpaceDE w:val="0"/>
        <w:autoSpaceDN w:val="0"/>
        <w:adjustRightInd w:val="0"/>
        <w:spacing w:line="360" w:lineRule="auto"/>
        <w:rPr>
          <w:rFonts w:ascii="宋体"/>
          <w:b/>
          <w:color w:val="auto"/>
          <w:kern w:val="0"/>
          <w:sz w:val="52"/>
          <w:szCs w:val="52"/>
          <w:highlight w:val="none"/>
        </w:rPr>
      </w:pPr>
    </w:p>
    <w:p>
      <w:pPr>
        <w:autoSpaceDE w:val="0"/>
        <w:autoSpaceDN w:val="0"/>
        <w:adjustRightInd w:val="0"/>
        <w:spacing w:line="360" w:lineRule="auto"/>
        <w:ind w:firstLine="1797" w:firstLineChars="642"/>
        <w:jc w:val="left"/>
        <w:rPr>
          <w:rFonts w:ascii="宋体"/>
          <w:color w:val="auto"/>
          <w:kern w:val="0"/>
          <w:sz w:val="28"/>
          <w:highlight w:val="none"/>
        </w:rPr>
      </w:pPr>
    </w:p>
    <w:p>
      <w:pPr>
        <w:autoSpaceDE w:val="0"/>
        <w:autoSpaceDN w:val="0"/>
        <w:adjustRightInd w:val="0"/>
        <w:spacing w:line="360" w:lineRule="auto"/>
        <w:jc w:val="left"/>
        <w:rPr>
          <w:rFonts w:hint="eastAsia" w:ascii="宋体" w:eastAsia="宋体"/>
          <w:color w:val="auto"/>
          <w:kern w:val="0"/>
          <w:sz w:val="28"/>
          <w:highlight w:val="none"/>
          <w:lang w:eastAsia="zh-CN"/>
        </w:rPr>
      </w:pPr>
      <w:r>
        <w:rPr>
          <w:rFonts w:hint="eastAsia" w:ascii="宋体"/>
          <w:color w:val="auto"/>
          <w:kern w:val="0"/>
          <w:sz w:val="28"/>
          <w:highlight w:val="none"/>
        </w:rPr>
        <w:t>采购项目：</w:t>
      </w:r>
      <w:r>
        <w:rPr>
          <w:rFonts w:hint="eastAsia" w:ascii="宋体"/>
          <w:color w:val="auto"/>
          <w:kern w:val="0"/>
          <w:sz w:val="24"/>
          <w:szCs w:val="24"/>
          <w:highlight w:val="none"/>
          <w:lang w:eastAsia="zh-CN"/>
        </w:rPr>
        <w:t>2018年玉环市公安局交通警察大队“天眼工程”（二期）（重新）</w:t>
      </w:r>
    </w:p>
    <w:p>
      <w:pPr>
        <w:autoSpaceDE w:val="0"/>
        <w:autoSpaceDN w:val="0"/>
        <w:adjustRightInd w:val="0"/>
        <w:spacing w:line="360" w:lineRule="auto"/>
        <w:ind w:left="1441" w:firstLine="280"/>
        <w:rPr>
          <w:rFonts w:hint="eastAsia" w:ascii="宋体"/>
          <w:color w:val="auto"/>
          <w:kern w:val="0"/>
          <w:sz w:val="28"/>
          <w:highlight w:val="none"/>
        </w:rPr>
      </w:pPr>
      <w:r>
        <w:rPr>
          <w:rFonts w:hint="eastAsia" w:ascii="宋体"/>
          <w:color w:val="auto"/>
          <w:kern w:val="0"/>
          <w:sz w:val="28"/>
          <w:highlight w:val="none"/>
        </w:rPr>
        <w:t xml:space="preserve"> </w:t>
      </w:r>
    </w:p>
    <w:p>
      <w:pPr>
        <w:autoSpaceDE w:val="0"/>
        <w:autoSpaceDN w:val="0"/>
        <w:adjustRightInd w:val="0"/>
        <w:spacing w:line="360" w:lineRule="auto"/>
        <w:ind w:left="1441" w:firstLine="280"/>
        <w:rPr>
          <w:rFonts w:hint="eastAsia" w:ascii="宋体"/>
          <w:color w:val="auto"/>
          <w:kern w:val="0"/>
          <w:sz w:val="28"/>
          <w:highlight w:val="none"/>
        </w:rPr>
      </w:pPr>
    </w:p>
    <w:p>
      <w:pPr>
        <w:autoSpaceDE w:val="0"/>
        <w:autoSpaceDN w:val="0"/>
        <w:adjustRightInd w:val="0"/>
        <w:spacing w:line="360" w:lineRule="auto"/>
        <w:ind w:left="1441" w:firstLine="280"/>
        <w:rPr>
          <w:rFonts w:ascii="宋体"/>
          <w:color w:val="auto"/>
          <w:kern w:val="0"/>
          <w:sz w:val="28"/>
          <w:highlight w:val="none"/>
        </w:rPr>
      </w:pPr>
      <w:r>
        <w:rPr>
          <w:rFonts w:hint="eastAsia" w:ascii="宋体"/>
          <w:color w:val="auto"/>
          <w:kern w:val="0"/>
          <w:sz w:val="28"/>
          <w:highlight w:val="none"/>
        </w:rPr>
        <w:t>采购</w:t>
      </w:r>
      <w:r>
        <w:rPr>
          <w:rFonts w:hint="eastAsia" w:ascii="宋体"/>
          <w:color w:val="auto"/>
          <w:kern w:val="0"/>
          <w:sz w:val="28"/>
          <w:highlight w:val="none"/>
          <w:lang w:eastAsia="zh-CN"/>
        </w:rPr>
        <w:t>人</w:t>
      </w:r>
      <w:r>
        <w:rPr>
          <w:rFonts w:hint="eastAsia" w:ascii="宋体"/>
          <w:color w:val="auto"/>
          <w:kern w:val="0"/>
          <w:sz w:val="28"/>
          <w:highlight w:val="none"/>
        </w:rPr>
        <w:t>：玉环市公安局交通警察大队</w:t>
      </w:r>
    </w:p>
    <w:p>
      <w:pPr>
        <w:autoSpaceDE w:val="0"/>
        <w:autoSpaceDN w:val="0"/>
        <w:adjustRightInd w:val="0"/>
        <w:spacing w:line="360" w:lineRule="auto"/>
        <w:rPr>
          <w:rFonts w:ascii="宋体"/>
          <w:color w:val="auto"/>
          <w:kern w:val="0"/>
          <w:sz w:val="28"/>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hint="eastAsia" w:ascii="宋体" w:hAnsi="宋体" w:cs="宋体"/>
          <w:color w:val="auto"/>
          <w:kern w:val="0"/>
          <w:sz w:val="28"/>
          <w:szCs w:val="28"/>
          <w:highlight w:val="none"/>
          <w:lang w:eastAsia="zh-CN"/>
        </w:rPr>
      </w:pPr>
      <w:r>
        <w:rPr>
          <w:rFonts w:hint="eastAsia" w:ascii="宋体" w:hAnsi="宋体" w:cs="宋体"/>
          <w:color w:val="auto"/>
          <w:kern w:val="0"/>
          <w:sz w:val="28"/>
          <w:szCs w:val="28"/>
          <w:highlight w:val="none"/>
        </w:rPr>
        <w:t>台州恒信工程造价咨询有限公司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宋体" w:hAnsi="宋体" w:cs="宋体"/>
          <w:color w:val="auto"/>
          <w:kern w:val="0"/>
          <w:sz w:val="28"/>
          <w:szCs w:val="28"/>
          <w:highlight w:val="none"/>
        </w:rPr>
      </w:pPr>
      <w:r>
        <w:rPr>
          <w:rFonts w:hint="eastAsia" w:ascii="宋体" w:hAnsi="宋体"/>
          <w:color w:val="auto"/>
          <w:sz w:val="28"/>
          <w:szCs w:val="28"/>
          <w:highlight w:val="none"/>
          <w:lang w:val="en-US" w:eastAsia="zh-CN"/>
        </w:rPr>
        <w:t xml:space="preserve">2019 </w:t>
      </w:r>
      <w:r>
        <w:rPr>
          <w:rFonts w:hint="eastAsia" w:ascii="宋体" w:hAnsi="宋体" w:cs="宋体"/>
          <w:color w:val="auto"/>
          <w:kern w:val="0"/>
          <w:sz w:val="28"/>
          <w:szCs w:val="28"/>
          <w:highlight w:val="none"/>
        </w:rPr>
        <w:t xml:space="preserve">年 </w:t>
      </w:r>
      <w:r>
        <w:rPr>
          <w:rFonts w:hint="eastAsia" w:ascii="宋体" w:hAnsi="宋体" w:cs="宋体"/>
          <w:color w:val="auto"/>
          <w:kern w:val="0"/>
          <w:sz w:val="28"/>
          <w:szCs w:val="28"/>
          <w:highlight w:val="none"/>
          <w:lang w:eastAsia="zh-CN"/>
        </w:rPr>
        <w:t>七</w:t>
      </w:r>
      <w:r>
        <w:rPr>
          <w:rFonts w:hint="eastAsia" w:ascii="宋体" w:hAnsi="宋体" w:cs="宋体"/>
          <w:color w:val="auto"/>
          <w:kern w:val="0"/>
          <w:sz w:val="28"/>
          <w:szCs w:val="28"/>
          <w:highlight w:val="none"/>
          <w:lang w:val="en-US" w:eastAsia="zh-CN"/>
        </w:rPr>
        <w:t xml:space="preserve"> </w:t>
      </w:r>
      <w:r>
        <w:rPr>
          <w:rFonts w:hint="eastAsia" w:ascii="宋体" w:hAnsi="宋体" w:cs="宋体"/>
          <w:color w:val="auto"/>
          <w:kern w:val="0"/>
          <w:sz w:val="28"/>
          <w:szCs w:val="28"/>
          <w:highlight w:val="none"/>
        </w:rPr>
        <w:t>月</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jc w:val="center"/>
        <w:rPr>
          <w:rFonts w:ascii="宋体" w:hAnsi="宋体" w:cs="Arial"/>
          <w:b/>
          <w:bCs/>
          <w:color w:val="auto"/>
          <w:sz w:val="36"/>
          <w:szCs w:val="36"/>
          <w:highlight w:val="none"/>
        </w:rPr>
      </w:pPr>
      <w:r>
        <w:rPr>
          <w:rFonts w:hint="eastAsia" w:ascii="宋体" w:hAnsi="宋体" w:cs="Arial"/>
          <w:b/>
          <w:bCs/>
          <w:color w:val="auto"/>
          <w:sz w:val="36"/>
          <w:szCs w:val="36"/>
          <w:highlight w:val="none"/>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auto"/>
          <w:sz w:val="36"/>
          <w:highlight w:val="none"/>
        </w:rPr>
      </w:pPr>
    </w:p>
    <w:p>
      <w:pPr>
        <w:spacing w:line="360" w:lineRule="auto"/>
        <w:rPr>
          <w:rFonts w:ascii="新宋体" w:hAnsi="新宋体" w:eastAsia="新宋体"/>
          <w:color w:val="auto"/>
          <w:sz w:val="28"/>
          <w:szCs w:val="28"/>
          <w:highlight w:val="none"/>
        </w:rPr>
      </w:pP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公开招标采购公告</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lang w:eastAsia="zh-CN"/>
        </w:rPr>
        <w:t>投标人</w:t>
      </w:r>
      <w:r>
        <w:rPr>
          <w:rFonts w:hint="eastAsia" w:asciiTheme="minorEastAsia" w:hAnsiTheme="minorEastAsia" w:eastAsiaTheme="minorEastAsia"/>
          <w:b/>
          <w:color w:val="auto"/>
          <w:sz w:val="28"/>
          <w:szCs w:val="28"/>
          <w:highlight w:val="none"/>
        </w:rPr>
        <w:t>须知</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评标办法及评分标准</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公开招标需求</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政府采购合同主要条款指引</w:t>
      </w:r>
    </w:p>
    <w:p>
      <w:pPr>
        <w:numPr>
          <w:ilvl w:val="0"/>
          <w:numId w:val="3"/>
        </w:numPr>
        <w:spacing w:line="360" w:lineRule="auto"/>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投标文件格式附件</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color w:val="auto"/>
          <w:kern w:val="0"/>
          <w:sz w:val="36"/>
          <w:szCs w:val="36"/>
          <w:highlight w:val="none"/>
        </w:rPr>
      </w:pPr>
      <w:r>
        <w:rPr>
          <w:rFonts w:hint="eastAsia" w:asciiTheme="majorEastAsia" w:hAnsiTheme="majorEastAsia" w:eastAsiaTheme="majorEastAsia"/>
          <w:b/>
          <w:color w:val="auto"/>
          <w:kern w:val="0"/>
          <w:sz w:val="36"/>
          <w:szCs w:val="36"/>
          <w:highlight w:val="none"/>
        </w:rPr>
        <w:t>第一章  公开</w:t>
      </w:r>
      <w:r>
        <w:rPr>
          <w:rFonts w:hint="eastAsia" w:asciiTheme="majorEastAsia" w:hAnsiTheme="majorEastAsia" w:eastAsiaTheme="majorEastAsia"/>
          <w:b/>
          <w:color w:val="auto"/>
          <w:sz w:val="36"/>
          <w:szCs w:val="36"/>
          <w:highlight w:val="none"/>
        </w:rPr>
        <w:t>招标采购公告</w:t>
      </w:r>
    </w:p>
    <w:p>
      <w:pPr>
        <w:tabs>
          <w:tab w:val="left" w:pos="180"/>
          <w:tab w:val="left" w:pos="360"/>
          <w:tab w:val="left" w:pos="540"/>
          <w:tab w:val="left" w:pos="8280"/>
        </w:tabs>
        <w:autoSpaceDE w:val="0"/>
        <w:autoSpaceDN w:val="0"/>
        <w:adjustRightInd w:val="0"/>
        <w:spacing w:beforeLines="100" w:line="360" w:lineRule="auto"/>
        <w:ind w:right="23" w:firstLine="539"/>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color w:val="auto"/>
          <w:kern w:val="0"/>
          <w:sz w:val="24"/>
          <w:szCs w:val="24"/>
          <w:highlight w:val="none"/>
        </w:rPr>
        <w:t xml:space="preserve">, </w:t>
      </w:r>
      <w:r>
        <w:rPr>
          <w:rFonts w:hint="eastAsia" w:asciiTheme="minorEastAsia" w:hAnsiTheme="minorEastAsia" w:eastAsiaTheme="minorEastAsia"/>
          <w:color w:val="auto"/>
          <w:kern w:val="0"/>
          <w:sz w:val="24"/>
          <w:szCs w:val="24"/>
          <w:highlight w:val="none"/>
        </w:rPr>
        <w:t>受采购人委托，现就</w:t>
      </w:r>
      <w:r>
        <w:rPr>
          <w:rFonts w:hint="eastAsia" w:asciiTheme="minorEastAsia" w:hAnsiTheme="minorEastAsia" w:eastAsiaTheme="minorEastAsia"/>
          <w:color w:val="auto"/>
          <w:kern w:val="0"/>
          <w:sz w:val="24"/>
          <w:szCs w:val="24"/>
          <w:highlight w:val="none"/>
          <w:lang w:eastAsia="zh-CN"/>
        </w:rPr>
        <w:t>2018年玉环市公安局交通警察大队“天眼工程”（二期）（重新）</w:t>
      </w:r>
      <w:r>
        <w:rPr>
          <w:rFonts w:hint="eastAsia" w:asciiTheme="minorEastAsia" w:hAnsiTheme="minorEastAsia" w:eastAsiaTheme="minorEastAsia"/>
          <w:color w:val="auto"/>
          <w:kern w:val="0"/>
          <w:sz w:val="24"/>
          <w:szCs w:val="24"/>
          <w:highlight w:val="none"/>
        </w:rPr>
        <w:t>进行公开招标采购，欢迎合格供应商前来投标。</w:t>
      </w:r>
    </w:p>
    <w:p>
      <w:pPr>
        <w:tabs>
          <w:tab w:val="left" w:pos="180"/>
          <w:tab w:val="left" w:pos="360"/>
          <w:tab w:val="left" w:pos="540"/>
          <w:tab w:val="left" w:pos="8280"/>
        </w:tabs>
        <w:autoSpaceDE w:val="0"/>
        <w:autoSpaceDN w:val="0"/>
        <w:adjustRightInd w:val="0"/>
        <w:spacing w:before="100" w:line="360" w:lineRule="auto"/>
        <w:ind w:left="539" w:right="23"/>
        <w:jc w:val="left"/>
        <w:rPr>
          <w:rFonts w:hint="eastAsia" w:asciiTheme="minorEastAsia" w:hAnsiTheme="minorEastAsia" w:eastAsiaTheme="minorEastAsia"/>
          <w:color w:val="auto"/>
          <w:kern w:val="0"/>
          <w:sz w:val="24"/>
          <w:szCs w:val="24"/>
          <w:highlight w:val="none"/>
          <w:lang w:eastAsia="zh-CN"/>
        </w:rPr>
      </w:pPr>
      <w:r>
        <w:rPr>
          <w:rFonts w:hint="eastAsia" w:asciiTheme="minorEastAsia" w:hAnsiTheme="minorEastAsia" w:eastAsiaTheme="minorEastAsia"/>
          <w:b/>
          <w:color w:val="auto"/>
          <w:kern w:val="0"/>
          <w:sz w:val="24"/>
          <w:szCs w:val="24"/>
          <w:highlight w:val="none"/>
        </w:rPr>
        <w:t>一、项目编号：</w:t>
      </w:r>
      <w:r>
        <w:rPr>
          <w:rFonts w:hint="eastAsia" w:asciiTheme="minorEastAsia" w:hAnsiTheme="minorEastAsia" w:eastAsiaTheme="minorEastAsia"/>
          <w:b/>
          <w:color w:val="auto"/>
          <w:kern w:val="0"/>
          <w:sz w:val="24"/>
          <w:szCs w:val="24"/>
          <w:highlight w:val="none"/>
          <w:lang w:eastAsia="zh-CN"/>
        </w:rPr>
        <w:t>TZHX-2019-025</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kern w:val="0"/>
          <w:sz w:val="24"/>
          <w:szCs w:val="24"/>
          <w:highlight w:val="none"/>
        </w:rPr>
        <w:t>二、招标项目概况：</w:t>
      </w:r>
    </w:p>
    <w:tbl>
      <w:tblPr>
        <w:tblStyle w:val="20"/>
        <w:tblW w:w="851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284"/>
        <w:gridCol w:w="1075"/>
        <w:gridCol w:w="461"/>
        <w:gridCol w:w="461"/>
        <w:gridCol w:w="799"/>
        <w:gridCol w:w="1219"/>
        <w:gridCol w:w="121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trPr>
        <w:tc>
          <w:tcPr>
            <w:tcW w:w="614" w:type="dxa"/>
            <w:vAlign w:val="center"/>
          </w:tcPr>
          <w:p>
            <w:pPr>
              <w:tabs>
                <w:tab w:val="left" w:pos="8280"/>
              </w:tabs>
              <w:autoSpaceDE w:val="0"/>
              <w:autoSpaceDN w:val="0"/>
              <w:adjustRightInd w:val="0"/>
              <w:ind w:right="25"/>
              <w:jc w:val="center"/>
              <w:rPr>
                <w:rFonts w:ascii="宋体" w:hAnsi="宋体" w:eastAsia="宋体"/>
                <w:color w:val="auto"/>
                <w:sz w:val="24"/>
                <w:szCs w:val="24"/>
                <w:highlight w:val="none"/>
              </w:rPr>
            </w:pPr>
            <w:bookmarkStart w:id="0" w:name="EBc3c9f0bc06b6413d849824fe98ba274c"/>
            <w:r>
              <w:rPr>
                <w:rFonts w:hint="eastAsia" w:ascii="宋体" w:hAnsi="宋体" w:eastAsia="宋体"/>
                <w:color w:val="auto"/>
                <w:sz w:val="24"/>
                <w:szCs w:val="24"/>
                <w:highlight w:val="none"/>
              </w:rPr>
              <w:t>标段号</w:t>
            </w:r>
          </w:p>
        </w:tc>
        <w:tc>
          <w:tcPr>
            <w:tcW w:w="1284" w:type="dxa"/>
            <w:vAlign w:val="center"/>
          </w:tcPr>
          <w:p>
            <w:pPr>
              <w:tabs>
                <w:tab w:val="left" w:pos="8280"/>
              </w:tabs>
              <w:autoSpaceDE w:val="0"/>
              <w:autoSpaceDN w:val="0"/>
              <w:adjustRightInd w:val="0"/>
              <w:ind w:right="25"/>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顶目名称</w:t>
            </w:r>
          </w:p>
        </w:tc>
        <w:tc>
          <w:tcPr>
            <w:tcW w:w="1075" w:type="dxa"/>
            <w:vAlign w:val="center"/>
          </w:tcPr>
          <w:p>
            <w:pPr>
              <w:tabs>
                <w:tab w:val="left" w:pos="8280"/>
              </w:tabs>
              <w:autoSpaceDE w:val="0"/>
              <w:autoSpaceDN w:val="0"/>
              <w:adjustRightInd w:val="0"/>
              <w:ind w:right="25" w:firstLine="120" w:firstLineChars="5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建设内容</w:t>
            </w:r>
          </w:p>
        </w:tc>
        <w:tc>
          <w:tcPr>
            <w:tcW w:w="461" w:type="dxa"/>
            <w:vAlign w:val="center"/>
          </w:tcPr>
          <w:p>
            <w:pPr>
              <w:tabs>
                <w:tab w:val="left" w:pos="8280"/>
              </w:tabs>
              <w:autoSpaceDE w:val="0"/>
              <w:autoSpaceDN w:val="0"/>
              <w:adjustRightInd w:val="0"/>
              <w:ind w:right="25"/>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数量</w:t>
            </w:r>
          </w:p>
        </w:tc>
        <w:tc>
          <w:tcPr>
            <w:tcW w:w="461" w:type="dxa"/>
            <w:vAlign w:val="center"/>
          </w:tcPr>
          <w:p>
            <w:pPr>
              <w:tabs>
                <w:tab w:val="left" w:pos="8280"/>
              </w:tabs>
              <w:autoSpaceDE w:val="0"/>
              <w:autoSpaceDN w:val="0"/>
              <w:adjustRightInd w:val="0"/>
              <w:ind w:right="25"/>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单位</w:t>
            </w:r>
          </w:p>
        </w:tc>
        <w:tc>
          <w:tcPr>
            <w:tcW w:w="799" w:type="dxa"/>
            <w:vAlign w:val="center"/>
          </w:tcPr>
          <w:p>
            <w:pPr>
              <w:tabs>
                <w:tab w:val="left" w:pos="8280"/>
              </w:tabs>
              <w:autoSpaceDE w:val="0"/>
              <w:autoSpaceDN w:val="0"/>
              <w:adjustRightInd w:val="0"/>
              <w:ind w:right="25"/>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预算（万元）</w:t>
            </w:r>
          </w:p>
        </w:tc>
        <w:tc>
          <w:tcPr>
            <w:tcW w:w="1219" w:type="dxa"/>
            <w:vAlign w:val="center"/>
          </w:tcPr>
          <w:p>
            <w:pPr>
              <w:pStyle w:val="44"/>
              <w:spacing w:beforeLines="0" w:afterLines="0"/>
              <w:ind w:firstLine="0"/>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服务准备期</w:t>
            </w:r>
          </w:p>
        </w:tc>
        <w:tc>
          <w:tcPr>
            <w:tcW w:w="1219" w:type="dxa"/>
            <w:vAlign w:val="center"/>
          </w:tcPr>
          <w:p>
            <w:pPr>
              <w:pStyle w:val="44"/>
              <w:spacing w:beforeLines="0" w:afterLines="0"/>
              <w:ind w:firstLine="0"/>
              <w:jc w:val="center"/>
              <w:rPr>
                <w:rFonts w:ascii="宋体" w:hAnsi="宋体" w:eastAsia="宋体"/>
                <w:color w:val="auto"/>
                <w:sz w:val="24"/>
                <w:szCs w:val="24"/>
                <w:highlight w:val="none"/>
              </w:rPr>
            </w:pPr>
            <w:r>
              <w:rPr>
                <w:rFonts w:hint="eastAsia" w:ascii="宋体" w:hAnsi="宋体" w:eastAsia="宋体"/>
                <w:color w:val="auto"/>
                <w:kern w:val="0"/>
                <w:sz w:val="24"/>
                <w:szCs w:val="24"/>
                <w:highlight w:val="none"/>
                <w:lang w:eastAsia="zh-CN"/>
              </w:rPr>
              <w:t>服务运营</w:t>
            </w:r>
            <w:r>
              <w:rPr>
                <w:rFonts w:hint="eastAsia" w:ascii="宋体" w:hAnsi="宋体" w:eastAsia="宋体"/>
                <w:color w:val="auto"/>
                <w:kern w:val="0"/>
                <w:sz w:val="24"/>
                <w:szCs w:val="24"/>
                <w:highlight w:val="none"/>
              </w:rPr>
              <w:t>期</w:t>
            </w:r>
          </w:p>
        </w:tc>
        <w:tc>
          <w:tcPr>
            <w:tcW w:w="1385" w:type="dxa"/>
            <w:vAlign w:val="center"/>
          </w:tcPr>
          <w:p>
            <w:pPr>
              <w:tabs>
                <w:tab w:val="left" w:pos="8280"/>
              </w:tabs>
              <w:autoSpaceDE w:val="0"/>
              <w:autoSpaceDN w:val="0"/>
              <w:adjustRightInd w:val="0"/>
              <w:jc w:val="center"/>
              <w:rPr>
                <w:rFonts w:ascii="宋体" w:hAnsi="宋体" w:eastAsia="宋体"/>
                <w:color w:val="auto"/>
                <w:sz w:val="24"/>
                <w:szCs w:val="24"/>
                <w:highlight w:val="none"/>
              </w:rPr>
            </w:pPr>
            <w:r>
              <w:rPr>
                <w:rFonts w:hint="eastAsia" w:ascii="宋体" w:hAnsi="宋体" w:eastAsia="宋体"/>
                <w:color w:val="auto"/>
                <w:kern w:val="0"/>
                <w:sz w:val="24"/>
                <w:szCs w:val="24"/>
                <w:highlight w:val="none"/>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614" w:type="dxa"/>
            <w:vAlign w:val="center"/>
          </w:tcPr>
          <w:p>
            <w:pPr>
              <w:tabs>
                <w:tab w:val="left" w:pos="8280"/>
              </w:tabs>
              <w:autoSpaceDE w:val="0"/>
              <w:autoSpaceDN w:val="0"/>
              <w:adjustRightInd w:val="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一</w:t>
            </w:r>
          </w:p>
        </w:tc>
        <w:tc>
          <w:tcPr>
            <w:tcW w:w="1284" w:type="dxa"/>
            <w:vAlign w:val="center"/>
          </w:tcPr>
          <w:p>
            <w:pPr>
              <w:jc w:val="center"/>
              <w:rPr>
                <w:rFonts w:hint="eastAsia" w:ascii="宋体" w:hAnsi="宋体" w:eastAsia="宋体"/>
                <w:color w:val="auto"/>
                <w:sz w:val="24"/>
                <w:szCs w:val="24"/>
                <w:highlight w:val="none"/>
                <w:lang w:eastAsia="zh-CN"/>
              </w:rPr>
            </w:pPr>
            <w:r>
              <w:rPr>
                <w:rFonts w:hint="eastAsia" w:ascii="宋体" w:hAnsi="宋体"/>
                <w:color w:val="auto"/>
                <w:kern w:val="0"/>
                <w:sz w:val="24"/>
                <w:szCs w:val="24"/>
                <w:highlight w:val="none"/>
                <w:lang w:eastAsia="zh-CN"/>
              </w:rPr>
              <w:t>2018年玉环市公安局交通警察大队“天眼工程”（二期）（重新）</w:t>
            </w:r>
          </w:p>
        </w:tc>
        <w:tc>
          <w:tcPr>
            <w:tcW w:w="1075" w:type="dxa"/>
            <w:vAlign w:val="center"/>
          </w:tcPr>
          <w:p>
            <w:pPr>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详见具体技术需求</w:t>
            </w:r>
          </w:p>
        </w:tc>
        <w:tc>
          <w:tcPr>
            <w:tcW w:w="461" w:type="dxa"/>
            <w:vAlign w:val="center"/>
          </w:tcPr>
          <w:p>
            <w:pPr>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p>
        </w:tc>
        <w:tc>
          <w:tcPr>
            <w:tcW w:w="461" w:type="dxa"/>
            <w:vAlign w:val="center"/>
          </w:tcPr>
          <w:p>
            <w:pPr>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批</w:t>
            </w:r>
          </w:p>
        </w:tc>
        <w:tc>
          <w:tcPr>
            <w:tcW w:w="799" w:type="dxa"/>
            <w:vAlign w:val="center"/>
          </w:tcPr>
          <w:p>
            <w:pPr>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w:t>
            </w:r>
            <w:r>
              <w:rPr>
                <w:rFonts w:ascii="宋体" w:hAnsi="宋体" w:eastAsia="宋体"/>
                <w:color w:val="auto"/>
                <w:kern w:val="0"/>
                <w:sz w:val="24"/>
                <w:szCs w:val="24"/>
                <w:highlight w:val="none"/>
              </w:rPr>
              <w:t>00</w:t>
            </w:r>
          </w:p>
        </w:tc>
        <w:tc>
          <w:tcPr>
            <w:tcW w:w="1219" w:type="dxa"/>
            <w:vAlign w:val="center"/>
          </w:tcPr>
          <w:p>
            <w:pPr>
              <w:pStyle w:val="44"/>
              <w:spacing w:beforeLines="0" w:afterLines="0"/>
              <w:ind w:firstLine="0"/>
              <w:jc w:val="center"/>
              <w:rPr>
                <w:rFonts w:hint="eastAsia" w:ascii="宋体" w:hAnsi="宋体" w:eastAsia="宋体" w:cstheme="minorBidi"/>
                <w:color w:val="auto"/>
                <w:kern w:val="0"/>
                <w:sz w:val="24"/>
                <w:szCs w:val="24"/>
                <w:highlight w:val="none"/>
                <w:lang w:val="en-US" w:eastAsia="zh-CN"/>
              </w:rPr>
            </w:pPr>
            <w:r>
              <w:rPr>
                <w:rFonts w:hint="eastAsia" w:ascii="宋体" w:hAnsi="Times New Roman" w:eastAsia="宋体"/>
                <w:color w:val="auto"/>
                <w:kern w:val="0"/>
                <w:sz w:val="24"/>
                <w:szCs w:val="24"/>
                <w:highlight w:val="none"/>
              </w:rPr>
              <w:t>2019年</w:t>
            </w:r>
            <w:r>
              <w:rPr>
                <w:rFonts w:hint="eastAsia" w:ascii="宋体" w:hAnsi="Times New Roman" w:eastAsia="宋体"/>
                <w:color w:val="auto"/>
                <w:kern w:val="0"/>
                <w:sz w:val="24"/>
                <w:szCs w:val="24"/>
                <w:highlight w:val="none"/>
                <w:lang w:val="en-US" w:eastAsia="zh-CN"/>
              </w:rPr>
              <w:t>11</w:t>
            </w:r>
            <w:r>
              <w:rPr>
                <w:rFonts w:hint="eastAsia" w:ascii="宋体" w:hAnsi="Times New Roman" w:eastAsia="宋体"/>
                <w:color w:val="auto"/>
                <w:kern w:val="0"/>
                <w:sz w:val="24"/>
                <w:szCs w:val="24"/>
                <w:highlight w:val="none"/>
              </w:rPr>
              <w:t>月15日前</w:t>
            </w:r>
          </w:p>
        </w:tc>
        <w:tc>
          <w:tcPr>
            <w:tcW w:w="1219" w:type="dxa"/>
            <w:vAlign w:val="center"/>
          </w:tcPr>
          <w:p>
            <w:pPr>
              <w:pStyle w:val="44"/>
              <w:spacing w:beforeLines="0" w:afterLines="0"/>
              <w:ind w:firstLine="0"/>
              <w:jc w:val="center"/>
              <w:rPr>
                <w:rFonts w:ascii="宋体" w:hAnsi="宋体" w:eastAsia="宋体" w:cstheme="minorBidi"/>
                <w:color w:val="auto"/>
                <w:kern w:val="0"/>
                <w:sz w:val="24"/>
                <w:szCs w:val="24"/>
                <w:highlight w:val="none"/>
              </w:rPr>
            </w:pPr>
            <w:r>
              <w:rPr>
                <w:rFonts w:hint="eastAsia" w:ascii="宋体" w:hAnsi="宋体" w:eastAsia="宋体" w:cstheme="minorBidi"/>
                <w:color w:val="auto"/>
                <w:kern w:val="0"/>
                <w:sz w:val="24"/>
                <w:szCs w:val="24"/>
                <w:highlight w:val="none"/>
              </w:rPr>
              <w:t>3</w:t>
            </w:r>
            <w:r>
              <w:rPr>
                <w:rFonts w:ascii="宋体" w:hAnsi="宋体" w:eastAsia="宋体" w:cstheme="minorBidi"/>
                <w:color w:val="auto"/>
                <w:kern w:val="0"/>
                <w:sz w:val="24"/>
                <w:szCs w:val="24"/>
                <w:highlight w:val="none"/>
              </w:rPr>
              <w:t>6</w:t>
            </w:r>
            <w:r>
              <w:rPr>
                <w:rFonts w:hint="eastAsia" w:ascii="宋体" w:hAnsi="宋体" w:eastAsia="宋体" w:cstheme="minorBidi"/>
                <w:color w:val="auto"/>
                <w:kern w:val="0"/>
                <w:sz w:val="24"/>
                <w:szCs w:val="24"/>
                <w:highlight w:val="none"/>
              </w:rPr>
              <w:t>个月</w:t>
            </w:r>
          </w:p>
        </w:tc>
        <w:tc>
          <w:tcPr>
            <w:tcW w:w="1385" w:type="dxa"/>
            <w:vAlign w:val="center"/>
          </w:tcPr>
          <w:p>
            <w:pPr>
              <w:tabs>
                <w:tab w:val="left" w:pos="8280"/>
              </w:tabs>
              <w:autoSpaceDE w:val="0"/>
              <w:autoSpaceDN w:val="0"/>
              <w:adjustRightInd w:val="0"/>
              <w:snapToGrid w:val="0"/>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玉环市公安局交通警察大队指定地点</w:t>
            </w:r>
          </w:p>
        </w:tc>
      </w:tr>
      <w:bookmarkEnd w:id="0"/>
    </w:tbl>
    <w:p>
      <w:pPr>
        <w:spacing w:line="360" w:lineRule="auto"/>
        <w:ind w:firstLine="424" w:firstLineChars="177"/>
        <w:rPr>
          <w:rFonts w:ascii="宋体" w:hAnsi="宋体" w:eastAsia="宋体"/>
          <w:color w:val="auto"/>
          <w:sz w:val="24"/>
          <w:szCs w:val="24"/>
          <w:highlight w:val="none"/>
        </w:rPr>
      </w:pPr>
      <w:r>
        <w:rPr>
          <w:rFonts w:hint="eastAsia" w:ascii="宋体" w:hAnsi="宋体" w:eastAsia="宋体"/>
          <w:color w:val="auto"/>
          <w:sz w:val="24"/>
          <w:szCs w:val="24"/>
          <w:highlight w:val="none"/>
        </w:rPr>
        <w:t>服务内容如下：</w:t>
      </w:r>
    </w:p>
    <w:p>
      <w:pPr>
        <w:numPr>
          <w:ilvl w:val="0"/>
          <w:numId w:val="4"/>
        </w:numPr>
        <w:spacing w:after="156" w:afterLines="50" w:line="360" w:lineRule="auto"/>
        <w:rPr>
          <w:rFonts w:ascii="宋体" w:hAnsi="宋体"/>
          <w:color w:val="auto"/>
          <w:sz w:val="24"/>
          <w:highlight w:val="none"/>
        </w:rPr>
      </w:pPr>
      <w:r>
        <w:rPr>
          <w:rFonts w:hint="eastAsia" w:ascii="宋体" w:hAnsi="宋体"/>
          <w:color w:val="auto"/>
          <w:sz w:val="24"/>
          <w:highlight w:val="none"/>
        </w:rPr>
        <w:t>交通运行态势分析子系统</w:t>
      </w:r>
    </w:p>
    <w:p>
      <w:pPr>
        <w:numPr>
          <w:ilvl w:val="0"/>
          <w:numId w:val="4"/>
        </w:numPr>
        <w:spacing w:after="156" w:afterLines="50" w:line="360" w:lineRule="auto"/>
        <w:rPr>
          <w:rFonts w:ascii="宋体" w:hAnsi="宋体"/>
          <w:color w:val="auto"/>
          <w:sz w:val="24"/>
          <w:highlight w:val="none"/>
        </w:rPr>
      </w:pPr>
      <w:r>
        <w:rPr>
          <w:rFonts w:hint="eastAsia" w:ascii="宋体" w:hAnsi="宋体"/>
          <w:color w:val="auto"/>
          <w:sz w:val="24"/>
          <w:highlight w:val="none"/>
        </w:rPr>
        <w:t>市区中队警用摩托勤务管理子系统</w:t>
      </w:r>
    </w:p>
    <w:p>
      <w:pPr>
        <w:numPr>
          <w:ilvl w:val="0"/>
          <w:numId w:val="4"/>
        </w:numPr>
        <w:spacing w:after="156" w:afterLines="50" w:line="360" w:lineRule="auto"/>
        <w:rPr>
          <w:rFonts w:ascii="宋体" w:hAnsi="宋体"/>
          <w:color w:val="auto"/>
          <w:sz w:val="24"/>
          <w:highlight w:val="none"/>
        </w:rPr>
      </w:pPr>
      <w:r>
        <w:rPr>
          <w:rFonts w:hint="eastAsia" w:ascii="宋体" w:hAnsi="宋体"/>
          <w:color w:val="auto"/>
          <w:sz w:val="24"/>
          <w:highlight w:val="none"/>
        </w:rPr>
        <w:t>数字勤务中心升级建设</w:t>
      </w:r>
    </w:p>
    <w:p>
      <w:pPr>
        <w:numPr>
          <w:ilvl w:val="0"/>
          <w:numId w:val="4"/>
        </w:numPr>
        <w:spacing w:after="156" w:afterLines="50" w:line="360" w:lineRule="auto"/>
        <w:rPr>
          <w:rFonts w:ascii="宋体" w:hAnsi="宋体"/>
          <w:color w:val="auto"/>
          <w:sz w:val="24"/>
          <w:highlight w:val="none"/>
        </w:rPr>
      </w:pPr>
      <w:r>
        <w:rPr>
          <w:rFonts w:hint="eastAsia" w:ascii="宋体" w:hAnsi="宋体"/>
          <w:color w:val="auto"/>
          <w:sz w:val="24"/>
          <w:highlight w:val="none"/>
        </w:rPr>
        <w:t>机动车不礼让行人抓拍子系统</w:t>
      </w:r>
    </w:p>
    <w:p>
      <w:pPr>
        <w:numPr>
          <w:ilvl w:val="0"/>
          <w:numId w:val="4"/>
        </w:numPr>
        <w:spacing w:after="156" w:afterLines="50" w:line="360" w:lineRule="auto"/>
        <w:rPr>
          <w:rFonts w:ascii="宋体" w:hAnsi="宋体"/>
          <w:color w:val="auto"/>
          <w:sz w:val="24"/>
          <w:highlight w:val="none"/>
        </w:rPr>
      </w:pPr>
      <w:r>
        <w:rPr>
          <w:rFonts w:hint="eastAsia" w:ascii="宋体" w:hAnsi="宋体"/>
          <w:color w:val="auto"/>
          <w:sz w:val="24"/>
          <w:highlight w:val="none"/>
        </w:rPr>
        <w:t>违法停车抓拍子系统</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b/>
          <w:color w:val="auto"/>
          <w:kern w:val="0"/>
          <w:sz w:val="24"/>
          <w:szCs w:val="24"/>
          <w:highlight w:val="none"/>
        </w:rPr>
      </w:pPr>
      <w:r>
        <w:rPr>
          <w:rFonts w:hint="eastAsia" w:asciiTheme="minorEastAsia" w:hAnsiTheme="minorEastAsia" w:eastAsiaTheme="minorEastAsia"/>
          <w:b/>
          <w:color w:val="auto"/>
          <w:sz w:val="24"/>
          <w:szCs w:val="24"/>
          <w:highlight w:val="none"/>
        </w:rPr>
        <w:t>三、合格投标人的资格条件：</w:t>
      </w:r>
    </w:p>
    <w:p>
      <w:pPr>
        <w:pStyle w:val="23"/>
        <w:adjustRightInd w:val="0"/>
        <w:snapToGrid w:val="0"/>
        <w:spacing w:before="0" w:line="360" w:lineRule="auto"/>
        <w:ind w:left="102" w:right="102"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（一）符合《中华人民共和国政府采购法》第二十二条规定的投标人资格条件。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（二）本项目供应商特定条件：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eastAsia="宋体" w:asciiTheme="minorEastAsia" w:hAnsiTheme="minorEastAsia"/>
          <w:color w:val="auto"/>
          <w:sz w:val="24"/>
          <w:szCs w:val="24"/>
          <w:highlight w:val="none"/>
          <w:lang w:eastAsia="zh-CN"/>
        </w:rPr>
      </w:pP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rPr>
        <w:t>、具备《基础电信业务经营许可证》或拥有自有的光纤网络资源</w:t>
      </w:r>
      <w:r>
        <w:rPr>
          <w:rFonts w:hint="eastAsia" w:ascii="宋体" w:hAnsi="宋体"/>
          <w:color w:val="auto"/>
          <w:sz w:val="24"/>
          <w:szCs w:val="24"/>
          <w:highlight w:val="none"/>
          <w:lang w:eastAsia="zh-CN"/>
        </w:rPr>
        <w:t>；</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宋体" w:hAnsi="宋体"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2</w:t>
      </w:r>
      <w:r>
        <w:rPr>
          <w:rFonts w:hint="eastAsia" w:asciiTheme="minorEastAsia" w:hAnsiTheme="minorEastAsia" w:eastAsiaTheme="minorEastAsia"/>
          <w:color w:val="auto"/>
          <w:sz w:val="24"/>
          <w:szCs w:val="24"/>
          <w:highlight w:val="none"/>
        </w:rPr>
        <w:t>、本项目不接受联合体投标</w:t>
      </w:r>
      <w:r>
        <w:rPr>
          <w:rFonts w:hint="eastAsia" w:asciiTheme="minorEastAsia" w:hAnsiTheme="minorEastAsia" w:eastAsiaTheme="minorEastAsia"/>
          <w:color w:val="auto"/>
          <w:sz w:val="24"/>
          <w:szCs w:val="24"/>
          <w:highlight w:val="none"/>
          <w:lang w:eastAsia="zh-CN"/>
        </w:rPr>
        <w:t>。</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四、招标文件获取的方式、时间：</w:t>
      </w:r>
    </w:p>
    <w:p>
      <w:pPr>
        <w:snapToGrid w:val="0"/>
        <w:spacing w:line="360" w:lineRule="auto"/>
        <w:ind w:firstLine="480" w:firstLineChars="20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1、获取方式：网上免费下载</w:t>
      </w:r>
      <w:r>
        <w:rPr>
          <w:rFonts w:hint="eastAsia" w:ascii="宋体" w:hAnsi="宋体" w:eastAsia="宋体" w:cs="宋体"/>
          <w:b w:val="0"/>
          <w:i w:val="0"/>
          <w:caps w:val="0"/>
          <w:color w:val="auto"/>
          <w:spacing w:val="0"/>
          <w:sz w:val="24"/>
          <w:szCs w:val="24"/>
          <w:highlight w:val="none"/>
          <w:shd w:val="clear" w:color="auto" w:fill="FFFFFF"/>
        </w:rPr>
        <w:t>（</w:t>
      </w:r>
      <w:r>
        <w:rPr>
          <w:rFonts w:hint="eastAsia" w:ascii="宋体" w:hAnsi="宋体" w:eastAsia="宋体" w:cs="宋体"/>
          <w:b/>
          <w:bCs/>
          <w:i w:val="0"/>
          <w:caps w:val="0"/>
          <w:color w:val="auto"/>
          <w:spacing w:val="0"/>
          <w:sz w:val="24"/>
          <w:szCs w:val="24"/>
          <w:highlight w:val="none"/>
          <w:shd w:val="clear" w:color="auto" w:fill="FFFFFF"/>
        </w:rPr>
        <w:t>不接受网上报名</w:t>
      </w:r>
      <w:r>
        <w:rPr>
          <w:rFonts w:hint="eastAsia" w:ascii="宋体" w:hAnsi="宋体" w:eastAsia="宋体" w:cs="宋体"/>
          <w:b w:val="0"/>
          <w:i w:val="0"/>
          <w:caps w:val="0"/>
          <w:color w:val="auto"/>
          <w:spacing w:val="0"/>
          <w:sz w:val="24"/>
          <w:szCs w:val="24"/>
          <w:highlight w:val="none"/>
          <w:shd w:val="clear" w:color="auto" w:fill="FFFFFF"/>
        </w:rPr>
        <w:t>）</w:t>
      </w:r>
      <w:r>
        <w:rPr>
          <w:rFonts w:hint="eastAsia" w:cs="Arial" w:asciiTheme="minorEastAsia" w:hAnsiTheme="minorEastAsia" w:eastAsiaTheme="minorEastAsia"/>
          <w:color w:val="auto"/>
          <w:sz w:val="24"/>
          <w:szCs w:val="24"/>
          <w:highlight w:val="none"/>
        </w:rPr>
        <w:t>，下载地址为</w:t>
      </w:r>
      <w:r>
        <w:rPr>
          <w:rFonts w:cs="Arial" w:asciiTheme="minorEastAsia" w:hAnsiTheme="minorEastAsia" w:eastAsiaTheme="minorEastAsia"/>
          <w:color w:val="auto"/>
          <w:sz w:val="24"/>
          <w:szCs w:val="24"/>
          <w:highlight w:val="none"/>
        </w:rPr>
        <w:t>http://www.zjzfcg.gov.cn</w:t>
      </w:r>
      <w:r>
        <w:rPr>
          <w:rFonts w:hint="eastAsia" w:cs="Arial" w:asciiTheme="minorEastAsia" w:hAnsiTheme="minorEastAsia" w:eastAsiaTheme="minorEastAsia"/>
          <w:color w:val="auto"/>
          <w:sz w:val="24"/>
          <w:szCs w:val="24"/>
          <w:highlight w:val="none"/>
        </w:rPr>
        <w:t>或</w:t>
      </w:r>
      <w:r>
        <w:rPr>
          <w:rFonts w:hint="eastAsia" w:asciiTheme="minorEastAsia" w:hAnsiTheme="minorEastAsia" w:eastAsiaTheme="minorEastAsia"/>
          <w:color w:val="auto"/>
          <w:sz w:val="24"/>
          <w:szCs w:val="24"/>
          <w:highlight w:val="none"/>
        </w:rPr>
        <w:fldChar w:fldCharType="begin"/>
      </w:r>
      <w:r>
        <w:rPr>
          <w:rFonts w:hint="eastAsia" w:asciiTheme="minorEastAsia" w:hAnsiTheme="minorEastAsia" w:eastAsiaTheme="minorEastAsia"/>
          <w:color w:val="auto"/>
          <w:sz w:val="24"/>
          <w:szCs w:val="24"/>
          <w:highlight w:val="none"/>
        </w:rPr>
        <w:instrText xml:space="preserve"> HYPERLINK "http://www.tzztb.com/tzcms/zfcg.jhtml" </w:instrText>
      </w:r>
      <w:r>
        <w:rPr>
          <w:rFonts w:hint="eastAsia" w:asciiTheme="minorEastAsia" w:hAnsiTheme="minorEastAsia" w:eastAsiaTheme="minorEastAsia"/>
          <w:color w:val="auto"/>
          <w:sz w:val="24"/>
          <w:szCs w:val="24"/>
          <w:highlight w:val="none"/>
        </w:rPr>
        <w:fldChar w:fldCharType="separate"/>
      </w:r>
      <w:r>
        <w:rPr>
          <w:rFonts w:hint="eastAsia" w:asciiTheme="minorEastAsia" w:hAnsiTheme="minorEastAsia" w:eastAsiaTheme="minorEastAsia"/>
          <w:color w:val="auto"/>
          <w:sz w:val="24"/>
          <w:szCs w:val="24"/>
          <w:highlight w:val="none"/>
        </w:rPr>
        <w:t>http://www.tzztb.com/tzcms/zfcg.jhtml</w:t>
      </w:r>
      <w:r>
        <w:rPr>
          <w:rFonts w:hint="eastAsia" w:asciiTheme="minorEastAsia" w:hAnsiTheme="minorEastAsia" w:eastAsiaTheme="minorEastAsia"/>
          <w:color w:val="auto"/>
          <w:sz w:val="24"/>
          <w:szCs w:val="24"/>
          <w:highlight w:val="none"/>
        </w:rPr>
        <w:fldChar w:fldCharType="end"/>
      </w:r>
    </w:p>
    <w:p>
      <w:pPr>
        <w:spacing w:line="360" w:lineRule="auto"/>
        <w:ind w:firstLine="600" w:firstLineChars="25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2、获取（公告）时间：</w:t>
      </w:r>
      <w:r>
        <w:rPr>
          <w:rFonts w:hint="eastAsia" w:ascii="宋体" w:hAnsi="宋体" w:cs="Arial"/>
          <w:color w:val="auto"/>
          <w:sz w:val="24"/>
          <w:highlight w:val="none"/>
          <w:lang w:val="en-US" w:eastAsia="zh-CN"/>
        </w:rPr>
        <w:t>2019</w:t>
      </w:r>
      <w:r>
        <w:rPr>
          <w:rFonts w:hint="eastAsia" w:ascii="宋体" w:hAnsi="宋体" w:cs="Arial"/>
          <w:color w:val="auto"/>
          <w:sz w:val="24"/>
          <w:highlight w:val="none"/>
        </w:rPr>
        <w:t>年</w:t>
      </w:r>
      <w:r>
        <w:rPr>
          <w:rFonts w:hint="eastAsia" w:ascii="宋体" w:hAnsi="宋体" w:cs="Arial"/>
          <w:color w:val="auto"/>
          <w:sz w:val="24"/>
          <w:highlight w:val="none"/>
          <w:lang w:val="en-US" w:eastAsia="zh-CN"/>
        </w:rPr>
        <w:t xml:space="preserve"> 7</w:t>
      </w:r>
      <w:r>
        <w:rPr>
          <w:rFonts w:hint="eastAsia" w:ascii="宋体" w:hAnsi="宋体" w:cs="Arial"/>
          <w:color w:val="auto"/>
          <w:sz w:val="24"/>
          <w:highlight w:val="none"/>
        </w:rPr>
        <w:t>月</w:t>
      </w:r>
      <w:r>
        <w:rPr>
          <w:rFonts w:hint="eastAsia" w:ascii="宋体" w:hAnsi="宋体" w:cs="Arial"/>
          <w:color w:val="auto"/>
          <w:sz w:val="24"/>
          <w:highlight w:val="none"/>
          <w:lang w:val="en-US" w:eastAsia="zh-CN"/>
        </w:rPr>
        <w:t>22</w:t>
      </w:r>
      <w:r>
        <w:rPr>
          <w:rFonts w:hint="eastAsia" w:ascii="宋体" w:hAnsi="宋体" w:cs="Arial"/>
          <w:color w:val="auto"/>
          <w:sz w:val="24"/>
          <w:highlight w:val="none"/>
        </w:rPr>
        <w:t>日至</w:t>
      </w:r>
      <w:r>
        <w:rPr>
          <w:rFonts w:hint="eastAsia" w:ascii="宋体" w:hAnsi="宋体" w:cs="Arial"/>
          <w:color w:val="auto"/>
          <w:sz w:val="24"/>
          <w:highlight w:val="none"/>
          <w:lang w:val="en-US" w:eastAsia="zh-CN"/>
        </w:rPr>
        <w:t>2019</w:t>
      </w:r>
      <w:r>
        <w:rPr>
          <w:rFonts w:hint="eastAsia" w:ascii="宋体" w:hAnsi="宋体" w:cs="Arial"/>
          <w:color w:val="auto"/>
          <w:sz w:val="24"/>
          <w:highlight w:val="none"/>
        </w:rPr>
        <w:t>年</w:t>
      </w:r>
      <w:r>
        <w:rPr>
          <w:rFonts w:hint="eastAsia" w:ascii="宋体" w:hAnsi="宋体" w:cs="Arial"/>
          <w:color w:val="auto"/>
          <w:sz w:val="24"/>
          <w:highlight w:val="none"/>
          <w:lang w:val="en-US" w:eastAsia="zh-CN"/>
        </w:rPr>
        <w:t>8</w:t>
      </w:r>
      <w:r>
        <w:rPr>
          <w:rFonts w:hint="eastAsia" w:ascii="宋体" w:hAnsi="宋体" w:cs="Arial"/>
          <w:color w:val="auto"/>
          <w:sz w:val="24"/>
          <w:highlight w:val="none"/>
        </w:rPr>
        <w:t>月</w:t>
      </w:r>
      <w:r>
        <w:rPr>
          <w:rFonts w:hint="eastAsia" w:ascii="宋体" w:hAnsi="宋体" w:cs="Arial"/>
          <w:color w:val="auto"/>
          <w:sz w:val="24"/>
          <w:highlight w:val="none"/>
          <w:lang w:val="en-US" w:eastAsia="zh-CN"/>
        </w:rPr>
        <w:t>8</w:t>
      </w:r>
      <w:r>
        <w:rPr>
          <w:rFonts w:hint="eastAsia" w:ascii="宋体" w:hAnsi="宋体" w:cs="Arial"/>
          <w:color w:val="auto"/>
          <w:sz w:val="24"/>
          <w:highlight w:val="none"/>
        </w:rPr>
        <w:t>日</w:t>
      </w:r>
    </w:p>
    <w:p>
      <w:pPr>
        <w:spacing w:line="360" w:lineRule="auto"/>
        <w:ind w:firstLine="1800" w:firstLineChars="750"/>
        <w:rPr>
          <w:rFonts w:hint="eastAsia"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上午：8:30-12:00      下午</w:t>
      </w:r>
      <w:r>
        <w:rPr>
          <w:rFonts w:hint="eastAsia" w:cs="Arial" w:asciiTheme="minorEastAsia" w:hAnsiTheme="minorEastAsia" w:eastAsiaTheme="minorEastAsia"/>
          <w:color w:val="auto"/>
          <w:sz w:val="24"/>
          <w:szCs w:val="24"/>
          <w:highlight w:val="none"/>
          <w:lang w:eastAsia="zh-CN"/>
        </w:rPr>
        <w:t>：</w:t>
      </w:r>
      <w:r>
        <w:rPr>
          <w:rFonts w:hint="eastAsia" w:cs="Arial" w:asciiTheme="minorEastAsia" w:hAnsiTheme="minorEastAsia" w:eastAsiaTheme="minorEastAsia"/>
          <w:color w:val="auto"/>
          <w:sz w:val="24"/>
          <w:szCs w:val="24"/>
          <w:highlight w:val="none"/>
        </w:rPr>
        <w:t>1</w:t>
      </w:r>
      <w:r>
        <w:rPr>
          <w:rFonts w:hint="eastAsia" w:cs="Arial" w:asciiTheme="minorEastAsia" w:hAnsiTheme="minorEastAsia" w:eastAsiaTheme="minorEastAsia"/>
          <w:color w:val="auto"/>
          <w:sz w:val="24"/>
          <w:szCs w:val="24"/>
          <w:highlight w:val="none"/>
          <w:lang w:val="en-US" w:eastAsia="zh-CN"/>
        </w:rPr>
        <w:t>4</w:t>
      </w:r>
      <w:r>
        <w:rPr>
          <w:rFonts w:hint="eastAsia" w:cs="Arial" w:asciiTheme="minorEastAsia" w:hAnsiTheme="minorEastAsia" w:eastAsiaTheme="minorEastAsia"/>
          <w:color w:val="auto"/>
          <w:sz w:val="24"/>
          <w:szCs w:val="24"/>
          <w:highlight w:val="none"/>
        </w:rPr>
        <w:t>：30-1</w:t>
      </w:r>
      <w:r>
        <w:rPr>
          <w:rFonts w:hint="eastAsia" w:cs="Arial" w:asciiTheme="minorEastAsia" w:hAnsiTheme="minorEastAsia" w:eastAsiaTheme="minorEastAsia"/>
          <w:color w:val="auto"/>
          <w:sz w:val="24"/>
          <w:szCs w:val="24"/>
          <w:highlight w:val="none"/>
          <w:lang w:val="en-US" w:eastAsia="zh-CN"/>
        </w:rPr>
        <w:t>7</w:t>
      </w:r>
      <w:r>
        <w:rPr>
          <w:rFonts w:hint="eastAsia" w:cs="Arial" w:asciiTheme="minorEastAsia" w:hAnsiTheme="minorEastAsia" w:eastAsiaTheme="minorEastAsia"/>
          <w:color w:val="auto"/>
          <w:sz w:val="24"/>
          <w:szCs w:val="24"/>
          <w:highlight w:val="none"/>
        </w:rPr>
        <w:t>:</w:t>
      </w:r>
      <w:r>
        <w:rPr>
          <w:rFonts w:hint="eastAsia" w:cs="Arial" w:asciiTheme="minorEastAsia" w:hAnsiTheme="minorEastAsia" w:eastAsiaTheme="minorEastAsia"/>
          <w:color w:val="auto"/>
          <w:sz w:val="24"/>
          <w:szCs w:val="24"/>
          <w:highlight w:val="none"/>
          <w:lang w:val="en-US" w:eastAsia="zh-CN"/>
        </w:rPr>
        <w:t>0</w:t>
      </w:r>
      <w:r>
        <w:rPr>
          <w:rFonts w:hint="eastAsia" w:cs="Arial" w:asciiTheme="minorEastAsia" w:hAnsiTheme="minorEastAsia" w:eastAsiaTheme="minorEastAsia"/>
          <w:color w:val="auto"/>
          <w:sz w:val="24"/>
          <w:szCs w:val="24"/>
          <w:highlight w:val="none"/>
        </w:rPr>
        <w:t>0</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hint="eastAsia" w:asciiTheme="minorEastAsia" w:hAnsiTheme="minorEastAsia" w:eastAsiaTheme="minorEastAsia"/>
          <w:b/>
          <w:bCs/>
          <w:color w:val="auto"/>
          <w:sz w:val="24"/>
          <w:szCs w:val="24"/>
          <w:highlight w:val="none"/>
          <w:lang w:eastAsia="zh-CN"/>
        </w:rPr>
      </w:pPr>
      <w:r>
        <w:rPr>
          <w:rFonts w:hint="eastAsia" w:asciiTheme="minorEastAsia" w:hAnsiTheme="minorEastAsia" w:eastAsiaTheme="minorEastAsia"/>
          <w:b/>
          <w:bCs/>
          <w:color w:val="auto"/>
          <w:sz w:val="24"/>
          <w:szCs w:val="24"/>
          <w:highlight w:val="none"/>
        </w:rPr>
        <w:t>五、</w:t>
      </w:r>
      <w:r>
        <w:rPr>
          <w:rFonts w:hint="eastAsia" w:asciiTheme="minorEastAsia" w:hAnsiTheme="minorEastAsia" w:eastAsiaTheme="minorEastAsia"/>
          <w:b/>
          <w:bCs/>
          <w:color w:val="auto"/>
          <w:sz w:val="24"/>
          <w:szCs w:val="24"/>
          <w:highlight w:val="none"/>
          <w:lang w:eastAsia="zh-CN"/>
        </w:rPr>
        <w:t>报名</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5" w:lineRule="atLeast"/>
        <w:ind w:left="0" w:right="0" w:firstLine="480"/>
        <w:rPr>
          <w:rFonts w:hint="eastAsia" w:ascii="微软雅黑" w:hAnsi="微软雅黑" w:eastAsia="微软雅黑" w:cs="微软雅黑"/>
          <w:b w:val="0"/>
          <w:i w:val="0"/>
          <w:caps w:val="0"/>
          <w:color w:val="auto"/>
          <w:spacing w:val="0"/>
          <w:sz w:val="27"/>
          <w:szCs w:val="27"/>
          <w:highlight w:val="none"/>
        </w:rPr>
      </w:pPr>
      <w:r>
        <w:rPr>
          <w:rFonts w:hint="eastAsia" w:ascii="宋体" w:hAnsi="宋体" w:eastAsia="宋体" w:cs="宋体"/>
          <w:b w:val="0"/>
          <w:i w:val="0"/>
          <w:caps w:val="0"/>
          <w:color w:val="auto"/>
          <w:spacing w:val="0"/>
          <w:sz w:val="24"/>
          <w:szCs w:val="24"/>
          <w:highlight w:val="none"/>
          <w:shd w:val="clear" w:fill="FFFFFF"/>
        </w:rPr>
        <w:t>报名地点：</w:t>
      </w:r>
      <w:r>
        <w:rPr>
          <w:rFonts w:hint="eastAsia" w:cs="宋体"/>
          <w:b w:val="0"/>
          <w:i w:val="0"/>
          <w:caps w:val="0"/>
          <w:color w:val="auto"/>
          <w:spacing w:val="0"/>
          <w:sz w:val="24"/>
          <w:szCs w:val="24"/>
          <w:highlight w:val="none"/>
          <w:shd w:val="clear" w:fill="FFFFFF"/>
          <w:lang w:eastAsia="zh-CN"/>
        </w:rPr>
        <w:t>玉环市玉城街道泰安路</w:t>
      </w:r>
      <w:r>
        <w:rPr>
          <w:rFonts w:hint="eastAsia" w:cs="宋体"/>
          <w:b w:val="0"/>
          <w:i w:val="0"/>
          <w:caps w:val="0"/>
          <w:color w:val="auto"/>
          <w:spacing w:val="0"/>
          <w:sz w:val="24"/>
          <w:szCs w:val="24"/>
          <w:highlight w:val="none"/>
          <w:shd w:val="clear" w:fill="FFFFFF"/>
          <w:lang w:val="en-US" w:eastAsia="zh-CN"/>
        </w:rPr>
        <w:t>312号财富中心5号楼1002</w:t>
      </w:r>
      <w:r>
        <w:rPr>
          <w:rFonts w:hint="eastAsia" w:ascii="宋体" w:hAnsi="宋体" w:eastAsia="宋体" w:cs="宋体"/>
          <w:b w:val="0"/>
          <w:i w:val="0"/>
          <w:caps w:val="0"/>
          <w:color w:val="auto"/>
          <w:spacing w:val="0"/>
          <w:sz w:val="24"/>
          <w:szCs w:val="24"/>
          <w:highlight w:val="none"/>
          <w:shd w:val="clear" w:fill="FFFFFF"/>
        </w:rPr>
        <w:t>台州恒信工程造价咨询有限公司；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5" w:lineRule="atLeast"/>
        <w:ind w:left="0" w:right="0" w:firstLine="480"/>
        <w:rPr>
          <w:rFonts w:hint="eastAsia" w:ascii="微软雅黑" w:hAnsi="微软雅黑" w:eastAsia="微软雅黑" w:cs="微软雅黑"/>
          <w:b w:val="0"/>
          <w:i w:val="0"/>
          <w:caps w:val="0"/>
          <w:color w:val="auto"/>
          <w:spacing w:val="0"/>
          <w:sz w:val="27"/>
          <w:szCs w:val="27"/>
          <w:highlight w:val="none"/>
        </w:rPr>
      </w:pPr>
      <w:r>
        <w:rPr>
          <w:rFonts w:hint="eastAsia" w:cs="宋体"/>
          <w:b w:val="0"/>
          <w:i w:val="0"/>
          <w:caps w:val="0"/>
          <w:color w:val="auto"/>
          <w:spacing w:val="0"/>
          <w:sz w:val="24"/>
          <w:szCs w:val="24"/>
          <w:highlight w:val="none"/>
          <w:shd w:val="clear" w:fill="FFFFFF"/>
          <w:lang w:eastAsia="zh-CN"/>
        </w:rPr>
        <w:t>报名时</w:t>
      </w:r>
      <w:r>
        <w:rPr>
          <w:rFonts w:hint="eastAsia" w:ascii="宋体" w:hAnsi="宋体" w:eastAsia="宋体" w:cs="宋体"/>
          <w:b w:val="0"/>
          <w:i w:val="0"/>
          <w:caps w:val="0"/>
          <w:color w:val="auto"/>
          <w:spacing w:val="0"/>
          <w:sz w:val="24"/>
          <w:szCs w:val="24"/>
          <w:highlight w:val="none"/>
          <w:shd w:val="clear" w:fill="FFFFFF"/>
        </w:rPr>
        <w:t>应提交的资料：</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5" w:lineRule="atLeast"/>
        <w:ind w:left="0" w:right="0" w:firstLine="480"/>
        <w:rPr>
          <w:rFonts w:hint="eastAsia" w:ascii="微软雅黑" w:hAnsi="微软雅黑" w:eastAsia="微软雅黑" w:cs="微软雅黑"/>
          <w:b w:val="0"/>
          <w:i w:val="0"/>
          <w:caps w:val="0"/>
          <w:color w:val="auto"/>
          <w:spacing w:val="0"/>
          <w:sz w:val="27"/>
          <w:szCs w:val="27"/>
          <w:highlight w:val="none"/>
        </w:rPr>
      </w:pPr>
      <w:r>
        <w:rPr>
          <w:rFonts w:hint="eastAsia" w:ascii="宋体" w:hAnsi="宋体" w:eastAsia="宋体" w:cs="宋体"/>
          <w:b w:val="0"/>
          <w:i w:val="0"/>
          <w:caps w:val="0"/>
          <w:color w:val="auto"/>
          <w:spacing w:val="0"/>
          <w:sz w:val="24"/>
          <w:szCs w:val="24"/>
          <w:highlight w:val="none"/>
          <w:shd w:val="clear" w:fill="FFFFFF"/>
        </w:rPr>
        <w:t>（1）、有效的工商营业执照营业执照（副本）复印件。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5" w:lineRule="atLeast"/>
        <w:ind w:left="0" w:right="0" w:firstLine="480"/>
        <w:rPr>
          <w:rFonts w:hint="eastAsia" w:ascii="微软雅黑" w:hAnsi="微软雅黑" w:eastAsia="微软雅黑" w:cs="微软雅黑"/>
          <w:b w:val="0"/>
          <w:i w:val="0"/>
          <w:caps w:val="0"/>
          <w:color w:val="auto"/>
          <w:spacing w:val="0"/>
          <w:sz w:val="27"/>
          <w:szCs w:val="27"/>
          <w:highlight w:val="none"/>
        </w:rPr>
      </w:pPr>
      <w:r>
        <w:rPr>
          <w:rFonts w:hint="eastAsia" w:ascii="宋体" w:hAnsi="宋体" w:eastAsia="宋体" w:cs="宋体"/>
          <w:b w:val="0"/>
          <w:i w:val="0"/>
          <w:caps w:val="0"/>
          <w:color w:val="auto"/>
          <w:spacing w:val="0"/>
          <w:sz w:val="24"/>
          <w:szCs w:val="24"/>
          <w:highlight w:val="none"/>
          <w:shd w:val="clear" w:fill="FFFFFF"/>
        </w:rPr>
        <w:t>（2）、政府采购报名申请表（加盖公章）。</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5" w:lineRule="atLeast"/>
        <w:ind w:left="0" w:right="0" w:firstLine="480"/>
        <w:rPr>
          <w:rFonts w:hint="eastAsia" w:ascii="微软雅黑" w:hAnsi="微软雅黑" w:eastAsia="宋体" w:cs="微软雅黑"/>
          <w:b w:val="0"/>
          <w:i w:val="0"/>
          <w:caps w:val="0"/>
          <w:color w:val="auto"/>
          <w:spacing w:val="0"/>
          <w:sz w:val="27"/>
          <w:szCs w:val="27"/>
          <w:highlight w:val="none"/>
          <w:lang w:eastAsia="zh-CN"/>
        </w:rPr>
      </w:pPr>
      <w:r>
        <w:rPr>
          <w:rFonts w:hint="eastAsia" w:ascii="宋体" w:hAnsi="宋体" w:eastAsia="宋体" w:cs="宋体"/>
          <w:b w:val="0"/>
          <w:i w:val="0"/>
          <w:caps w:val="0"/>
          <w:color w:val="auto"/>
          <w:spacing w:val="0"/>
          <w:sz w:val="24"/>
          <w:szCs w:val="24"/>
          <w:highlight w:val="none"/>
          <w:shd w:val="clear" w:fill="FFFFFF"/>
        </w:rPr>
        <w:t>（3）、</w:t>
      </w:r>
      <w:r>
        <w:rPr>
          <w:rFonts w:hint="eastAsia" w:ascii="宋体" w:hAnsi="宋体" w:eastAsia="宋体"/>
          <w:color w:val="auto"/>
          <w:sz w:val="24"/>
          <w:szCs w:val="24"/>
          <w:highlight w:val="none"/>
        </w:rPr>
        <w:t>具备《基础电信业务经营许可证》或拥有自有的光纤网络资源。（复印件加盖公章）</w:t>
      </w:r>
      <w:r>
        <w:rPr>
          <w:rFonts w:hint="eastAsia" w:cs="宋体"/>
          <w:b w:val="0"/>
          <w:i w:val="0"/>
          <w:caps w:val="0"/>
          <w:color w:val="auto"/>
          <w:spacing w:val="0"/>
          <w:sz w:val="24"/>
          <w:szCs w:val="24"/>
          <w:highlight w:val="none"/>
          <w:shd w:val="clear" w:fill="FFFFFF"/>
          <w:lang w:eastAsia="zh-CN"/>
        </w:rPr>
        <w:t>。</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hAnsiTheme="minorEastAsia" w:eastAsiaTheme="minorEastAsia"/>
          <w:b/>
          <w:color w:val="auto"/>
          <w:kern w:val="0"/>
          <w:sz w:val="24"/>
          <w:szCs w:val="24"/>
          <w:highlight w:val="none"/>
        </w:rPr>
      </w:pPr>
      <w:r>
        <w:rPr>
          <w:rFonts w:hint="eastAsia" w:cs="Arial" w:asciiTheme="minorEastAsia" w:hAnsiTheme="minorEastAsia" w:eastAsiaTheme="minorEastAsia"/>
          <w:b/>
          <w:color w:val="auto"/>
          <w:sz w:val="24"/>
          <w:szCs w:val="24"/>
          <w:highlight w:val="none"/>
        </w:rPr>
        <w:t>六、</w:t>
      </w:r>
      <w:r>
        <w:rPr>
          <w:rFonts w:hint="eastAsia" w:asciiTheme="minorEastAsia" w:hAnsiTheme="minorEastAsia" w:eastAsiaTheme="minorEastAsia"/>
          <w:b/>
          <w:color w:val="auto"/>
          <w:kern w:val="0"/>
          <w:sz w:val="24"/>
          <w:szCs w:val="24"/>
          <w:highlight w:val="none"/>
        </w:rPr>
        <w:t>投标截止及开标时间、地点：</w:t>
      </w:r>
    </w:p>
    <w:p>
      <w:pPr>
        <w:snapToGrid w:val="0"/>
        <w:spacing w:line="360" w:lineRule="auto"/>
        <w:ind w:firstLine="480" w:firstLineChars="200"/>
        <w:rPr>
          <w:rFonts w:ascii="仿宋_GB2312" w:hAnsi="仿宋_GB2312" w:eastAsia="仿宋_GB2312" w:cs="仿宋_GB2312"/>
          <w:bCs/>
          <w:color w:val="auto"/>
          <w:kern w:val="0"/>
          <w:sz w:val="24"/>
          <w:szCs w:val="24"/>
          <w:highlight w:val="none"/>
        </w:rPr>
      </w:pPr>
      <w:r>
        <w:rPr>
          <w:rFonts w:hint="eastAsia" w:cs="Arial" w:asciiTheme="minorEastAsia" w:hAnsiTheme="minorEastAsia" w:eastAsiaTheme="minorEastAsia"/>
          <w:color w:val="auto"/>
          <w:sz w:val="24"/>
          <w:szCs w:val="24"/>
          <w:highlight w:val="none"/>
        </w:rPr>
        <w:t>本次招标将于</w:t>
      </w:r>
      <w:r>
        <w:rPr>
          <w:rFonts w:hint="eastAsia" w:cs="Arial" w:asciiTheme="minorEastAsia" w:hAnsiTheme="minorEastAsia" w:eastAsiaTheme="minorEastAsia"/>
          <w:color w:val="auto"/>
          <w:sz w:val="24"/>
          <w:szCs w:val="24"/>
          <w:highlight w:val="none"/>
          <w:lang w:val="en-US" w:eastAsia="zh-CN"/>
        </w:rPr>
        <w:t>2019</w:t>
      </w:r>
      <w:r>
        <w:rPr>
          <w:rFonts w:hint="eastAsia" w:asciiTheme="minorEastAsia" w:hAnsiTheme="minorEastAsia" w:eastAsiaTheme="minorEastAsia"/>
          <w:color w:val="auto"/>
          <w:kern w:val="0"/>
          <w:sz w:val="24"/>
          <w:szCs w:val="24"/>
          <w:highlight w:val="none"/>
        </w:rPr>
        <w:t>年</w:t>
      </w:r>
      <w:r>
        <w:rPr>
          <w:rFonts w:hint="eastAsia" w:cs="Arial" w:asciiTheme="minorEastAsia" w:hAnsiTheme="minorEastAsia" w:eastAsiaTheme="minorEastAsia"/>
          <w:color w:val="auto"/>
          <w:sz w:val="24"/>
          <w:szCs w:val="24"/>
          <w:highlight w:val="none"/>
          <w:lang w:val="en-US" w:eastAsia="zh-CN"/>
        </w:rPr>
        <w:t>8</w:t>
      </w:r>
      <w:r>
        <w:rPr>
          <w:rFonts w:hint="eastAsia" w:asciiTheme="minorEastAsia" w:hAnsiTheme="minorEastAsia" w:eastAsiaTheme="minorEastAsia"/>
          <w:color w:val="auto"/>
          <w:kern w:val="0"/>
          <w:sz w:val="24"/>
          <w:szCs w:val="24"/>
          <w:highlight w:val="none"/>
        </w:rPr>
        <w:t>月</w:t>
      </w:r>
      <w:r>
        <w:rPr>
          <w:rFonts w:hint="eastAsia" w:cs="Arial" w:asciiTheme="minorEastAsia" w:hAnsiTheme="minorEastAsia" w:eastAsiaTheme="minorEastAsia"/>
          <w:color w:val="auto"/>
          <w:sz w:val="24"/>
          <w:szCs w:val="24"/>
          <w:highlight w:val="none"/>
          <w:lang w:val="en-US" w:eastAsia="zh-CN"/>
        </w:rPr>
        <w:t>9</w:t>
      </w:r>
      <w:r>
        <w:rPr>
          <w:rFonts w:hint="eastAsia" w:asciiTheme="minorEastAsia" w:hAnsiTheme="minorEastAsia" w:eastAsiaTheme="minorEastAsia"/>
          <w:color w:val="auto"/>
          <w:kern w:val="0"/>
          <w:sz w:val="24"/>
          <w:szCs w:val="24"/>
          <w:highlight w:val="none"/>
        </w:rPr>
        <w:t>日星期</w:t>
      </w:r>
      <w:r>
        <w:rPr>
          <w:rFonts w:hint="eastAsia" w:asciiTheme="minorEastAsia" w:hAnsiTheme="minorEastAsia" w:eastAsiaTheme="minorEastAsia"/>
          <w:color w:val="auto"/>
          <w:kern w:val="0"/>
          <w:sz w:val="24"/>
          <w:szCs w:val="24"/>
          <w:highlight w:val="none"/>
          <w:lang w:eastAsia="zh-CN"/>
        </w:rPr>
        <w:t>五</w:t>
      </w:r>
      <w:r>
        <w:rPr>
          <w:rFonts w:hint="eastAsia" w:cs="Arial" w:asciiTheme="minorEastAsia" w:hAnsiTheme="minorEastAsia" w:eastAsiaTheme="minorEastAsia"/>
          <w:color w:val="auto"/>
          <w:sz w:val="24"/>
          <w:szCs w:val="24"/>
          <w:highlight w:val="none"/>
        </w:rPr>
        <w:t xml:space="preserve"> </w:t>
      </w:r>
      <w:r>
        <w:rPr>
          <w:rFonts w:hint="eastAsia" w:cs="Arial" w:asciiTheme="minorEastAsia" w:hAnsiTheme="minorEastAsia" w:eastAsiaTheme="minorEastAsia"/>
          <w:color w:val="auto"/>
          <w:sz w:val="24"/>
          <w:szCs w:val="24"/>
          <w:highlight w:val="none"/>
          <w:lang w:eastAsia="zh-CN"/>
        </w:rPr>
        <w:t>上午</w:t>
      </w:r>
      <w:r>
        <w:rPr>
          <w:rFonts w:hint="eastAsia" w:cs="Arial" w:asciiTheme="minorEastAsia" w:hAnsiTheme="minorEastAsia" w:eastAsiaTheme="minorEastAsia"/>
          <w:color w:val="auto"/>
          <w:sz w:val="24"/>
          <w:szCs w:val="24"/>
          <w:highlight w:val="none"/>
          <w:lang w:val="en-US" w:eastAsia="zh-CN"/>
        </w:rPr>
        <w:t>9</w:t>
      </w:r>
      <w:r>
        <w:rPr>
          <w:rFonts w:hint="eastAsia" w:asciiTheme="minorEastAsia" w:hAnsiTheme="minorEastAsia" w:eastAsiaTheme="minorEastAsia"/>
          <w:color w:val="auto"/>
          <w:kern w:val="0"/>
          <w:sz w:val="24"/>
          <w:szCs w:val="24"/>
          <w:highlight w:val="none"/>
        </w:rPr>
        <w:t>时</w:t>
      </w:r>
      <w:r>
        <w:rPr>
          <w:rFonts w:hint="eastAsia" w:asciiTheme="minorEastAsia" w:hAnsiTheme="minorEastAsia" w:eastAsiaTheme="minorEastAsia"/>
          <w:color w:val="auto"/>
          <w:kern w:val="0"/>
          <w:sz w:val="24"/>
          <w:szCs w:val="24"/>
          <w:highlight w:val="none"/>
          <w:lang w:val="en-US" w:eastAsia="zh-CN"/>
        </w:rPr>
        <w:t>30分</w:t>
      </w:r>
      <w:r>
        <w:rPr>
          <w:rFonts w:hint="eastAsia" w:cs="Arial" w:asciiTheme="minorEastAsia" w:hAnsiTheme="minorEastAsia" w:eastAsiaTheme="minorEastAsia"/>
          <w:color w:val="auto"/>
          <w:sz w:val="24"/>
          <w:szCs w:val="24"/>
          <w:highlight w:val="none"/>
        </w:rPr>
        <w:t>在</w:t>
      </w:r>
      <w:r>
        <w:rPr>
          <w:rFonts w:hint="eastAsia" w:ascii="宋体" w:hAnsi="宋体" w:cs="宋体"/>
          <w:color w:val="auto"/>
          <w:sz w:val="24"/>
          <w:highlight w:val="none"/>
        </w:rPr>
        <w:t>玉环市公共资源交易中心二楼开标室（</w:t>
      </w:r>
      <w:r>
        <w:rPr>
          <w:rFonts w:hint="eastAsia" w:ascii="宋体" w:hAnsi="宋体" w:cs="宋体"/>
          <w:color w:val="auto"/>
          <w:sz w:val="24"/>
          <w:highlight w:val="none"/>
          <w:lang w:eastAsia="zh-CN"/>
        </w:rPr>
        <w:t>四</w:t>
      </w:r>
      <w:r>
        <w:rPr>
          <w:rFonts w:hint="eastAsia" w:ascii="宋体" w:hAnsi="宋体" w:cs="宋体"/>
          <w:color w:val="auto"/>
          <w:sz w:val="24"/>
          <w:highlight w:val="none"/>
        </w:rPr>
        <w:t>）</w:t>
      </w:r>
      <w:r>
        <w:rPr>
          <w:rFonts w:hint="eastAsia" w:asciiTheme="minorEastAsia" w:hAnsiTheme="minorEastAsia" w:eastAsiaTheme="minorEastAsia"/>
          <w:color w:val="auto"/>
          <w:sz w:val="24"/>
          <w:szCs w:val="24"/>
          <w:highlight w:val="none"/>
        </w:rPr>
        <w:t>开</w:t>
      </w:r>
      <w:r>
        <w:rPr>
          <w:rFonts w:hint="eastAsia" w:cs="Arial" w:asciiTheme="minorEastAsia" w:hAnsiTheme="minorEastAsia" w:eastAsiaTheme="minorEastAsia"/>
          <w:color w:val="auto"/>
          <w:sz w:val="24"/>
          <w:szCs w:val="24"/>
          <w:highlight w:val="none"/>
        </w:rPr>
        <w:t>标，</w:t>
      </w:r>
      <w:r>
        <w:rPr>
          <w:rFonts w:hint="eastAsia" w:asciiTheme="minorEastAsia" w:hAnsiTheme="minorEastAsia" w:eastAsiaTheme="minorEastAsia"/>
          <w:color w:val="auto"/>
          <w:kern w:val="0"/>
          <w:sz w:val="24"/>
          <w:szCs w:val="24"/>
          <w:highlight w:val="none"/>
        </w:rPr>
        <w:t>请在开标当日</w:t>
      </w:r>
      <w:r>
        <w:rPr>
          <w:rFonts w:hint="eastAsia" w:cs="Arial" w:asciiTheme="minorEastAsia" w:hAnsiTheme="minorEastAsia" w:eastAsiaTheme="minorEastAsia"/>
          <w:color w:val="auto"/>
          <w:sz w:val="24"/>
          <w:szCs w:val="24"/>
          <w:highlight w:val="none"/>
        </w:rPr>
        <w:t>09:00</w:t>
      </w:r>
      <w:r>
        <w:rPr>
          <w:rFonts w:hint="eastAsia" w:asciiTheme="minorEastAsia" w:hAnsiTheme="minorEastAsia" w:eastAsiaTheme="minorEastAsia"/>
          <w:color w:val="auto"/>
          <w:kern w:val="0"/>
          <w:sz w:val="24"/>
          <w:szCs w:val="24"/>
          <w:highlight w:val="none"/>
        </w:rPr>
        <w:t>至</w:t>
      </w:r>
      <w:r>
        <w:rPr>
          <w:rFonts w:hint="eastAsia" w:cs="Arial" w:asciiTheme="minorEastAsia" w:hAnsiTheme="minorEastAsia" w:eastAsiaTheme="minorEastAsia"/>
          <w:color w:val="auto"/>
          <w:sz w:val="24"/>
          <w:szCs w:val="24"/>
          <w:highlight w:val="none"/>
        </w:rPr>
        <w:t>09:30</w:t>
      </w:r>
      <w:r>
        <w:rPr>
          <w:rFonts w:hint="eastAsia" w:asciiTheme="minorEastAsia" w:hAnsiTheme="minorEastAsia" w:eastAsiaTheme="minorEastAsia"/>
          <w:color w:val="auto"/>
          <w:kern w:val="0"/>
          <w:sz w:val="24"/>
          <w:szCs w:val="24"/>
          <w:highlight w:val="none"/>
        </w:rPr>
        <w:t>将投标文件送达开标地点，逾期或不符合规定的投标文件恕不接受。</w:t>
      </w:r>
    </w:p>
    <w:p>
      <w:pPr>
        <w:snapToGrid w:val="0"/>
        <w:spacing w:line="360" w:lineRule="auto"/>
        <w:ind w:firstLine="482" w:firstLineChars="200"/>
        <w:rPr>
          <w:rFonts w:hint="eastAsia" w:ascii="仿宋_GB2312" w:hAnsi="仿宋_GB2312" w:eastAsia="仿宋_GB2312" w:cs="仿宋_GB2312"/>
          <w:bCs/>
          <w:color w:val="auto"/>
          <w:kern w:val="0"/>
          <w:sz w:val="24"/>
          <w:szCs w:val="24"/>
          <w:highlight w:val="none"/>
          <w:lang w:val="en-US" w:eastAsia="zh-CN"/>
        </w:rPr>
      </w:pPr>
      <w:r>
        <w:rPr>
          <w:rFonts w:hint="eastAsia" w:ascii="仿宋_GB2312" w:hAnsi="仿宋_GB2312" w:eastAsia="仿宋_GB2312" w:cs="仿宋_GB2312"/>
          <w:b/>
          <w:color w:val="auto"/>
          <w:kern w:val="0"/>
          <w:sz w:val="24"/>
          <w:szCs w:val="24"/>
          <w:highlight w:val="none"/>
        </w:rPr>
        <w:t>七、投标保证金：</w:t>
      </w:r>
      <w:r>
        <w:rPr>
          <w:rFonts w:hint="eastAsia" w:ascii="仿宋_GB2312" w:hAnsi="仿宋_GB2312" w:eastAsia="仿宋_GB2312" w:cs="仿宋_GB2312"/>
          <w:b/>
          <w:color w:val="auto"/>
          <w:kern w:val="0"/>
          <w:sz w:val="24"/>
          <w:szCs w:val="24"/>
          <w:highlight w:val="none"/>
          <w:lang w:eastAsia="zh-CN"/>
        </w:rPr>
        <w:t>无</w:t>
      </w:r>
    </w:p>
    <w:p>
      <w:pPr>
        <w:snapToGrid w:val="0"/>
        <w:spacing w:line="360" w:lineRule="auto"/>
        <w:ind w:firstLine="482" w:firstLineChars="200"/>
        <w:rPr>
          <w:rFonts w:cs="Arial" w:asciiTheme="minorEastAsia" w:hAnsiTheme="minorEastAsia" w:eastAsiaTheme="minorEastAsia"/>
          <w:b/>
          <w:color w:val="auto"/>
          <w:sz w:val="24"/>
          <w:szCs w:val="24"/>
          <w:highlight w:val="none"/>
        </w:rPr>
      </w:pPr>
      <w:r>
        <w:rPr>
          <w:rFonts w:hint="eastAsia" w:cs="Arial" w:asciiTheme="minorEastAsia" w:hAnsiTheme="minorEastAsia" w:eastAsiaTheme="minorEastAsia"/>
          <w:b/>
          <w:color w:val="auto"/>
          <w:sz w:val="24"/>
          <w:szCs w:val="24"/>
          <w:highlight w:val="none"/>
        </w:rPr>
        <w:t>八</w:t>
      </w:r>
      <w:r>
        <w:rPr>
          <w:rFonts w:cs="Arial" w:asciiTheme="minorEastAsia" w:hAnsiTheme="minorEastAsia" w:eastAsiaTheme="minorEastAsia"/>
          <w:b/>
          <w:color w:val="auto"/>
          <w:sz w:val="24"/>
          <w:szCs w:val="24"/>
          <w:highlight w:val="none"/>
        </w:rPr>
        <w:t>、投标人信用信息查询渠道及截止时点、信用信息查询记录和证据留</w:t>
      </w:r>
      <w:bookmarkStart w:id="124" w:name="_GoBack"/>
      <w:bookmarkEnd w:id="124"/>
      <w:r>
        <w:rPr>
          <w:rFonts w:cs="Arial" w:asciiTheme="minorEastAsia" w:hAnsiTheme="minorEastAsia" w:eastAsiaTheme="minorEastAsia"/>
          <w:b/>
          <w:color w:val="auto"/>
          <w:sz w:val="24"/>
          <w:szCs w:val="24"/>
          <w:highlight w:val="none"/>
        </w:rPr>
        <w:t>存的具体方式、信用信息的使用规则</w:t>
      </w:r>
      <w:r>
        <w:rPr>
          <w:rFonts w:hint="eastAsia" w:cs="Arial" w:asciiTheme="minorEastAsia" w:hAnsiTheme="minorEastAsia" w:eastAsiaTheme="minorEastAsia"/>
          <w:b/>
          <w:color w:val="auto"/>
          <w:sz w:val="24"/>
          <w:szCs w:val="24"/>
          <w:highlight w:val="none"/>
        </w:rPr>
        <w:t>：</w:t>
      </w:r>
    </w:p>
    <w:p>
      <w:pPr>
        <w:spacing w:line="360" w:lineRule="auto"/>
        <w:ind w:firstLine="588" w:firstLineChars="245"/>
        <w:rPr>
          <w:rFonts w:hint="eastAsia" w:ascii="宋体" w:hAnsi="宋体" w:eastAsia="宋体" w:cs="Arial"/>
          <w:color w:val="auto"/>
          <w:sz w:val="24"/>
          <w:szCs w:val="24"/>
          <w:highlight w:val="none"/>
        </w:rPr>
      </w:pPr>
      <w:r>
        <w:rPr>
          <w:rFonts w:hint="eastAsia" w:cs="Arial" w:asciiTheme="minorEastAsia" w:hAnsiTheme="minorEastAsia" w:eastAsiaTheme="minorEastAsia"/>
          <w:color w:val="auto"/>
          <w:sz w:val="24"/>
          <w:szCs w:val="24"/>
          <w:highlight w:val="none"/>
        </w:rPr>
        <w:t>1、查询渠道：</w:t>
      </w:r>
      <w:r>
        <w:rPr>
          <w:rFonts w:hint="eastAsia" w:ascii="宋体" w:hAnsi="宋体" w:cs="Arial"/>
          <w:color w:val="auto"/>
          <w:sz w:val="24"/>
          <w:szCs w:val="24"/>
          <w:highlight w:val="none"/>
          <w:shd w:val="clear" w:color="FFFFFF" w:fill="D9D9D9"/>
          <w:lang w:eastAsia="zh-CN"/>
        </w:rPr>
        <w:t>国家企业信用信息公示系统（</w:t>
      </w:r>
      <w:r>
        <w:rPr>
          <w:rFonts w:hint="eastAsia" w:ascii="宋体" w:hAnsi="宋体" w:eastAsia="宋体" w:cs="Arial"/>
          <w:color w:val="auto"/>
          <w:sz w:val="24"/>
          <w:szCs w:val="24"/>
          <w:highlight w:val="none"/>
          <w:shd w:val="clear" w:color="FFFFFF" w:fill="D9D9D9"/>
        </w:rPr>
        <w:t>http://www.gsxt.gov.cn/index.html）</w:t>
      </w:r>
      <w:r>
        <w:rPr>
          <w:rFonts w:hint="eastAsia" w:ascii="宋体" w:hAnsi="宋体" w:eastAsia="宋体" w:cs="Arial"/>
          <w:color w:val="auto"/>
          <w:sz w:val="24"/>
          <w:szCs w:val="24"/>
          <w:highlight w:val="none"/>
        </w:rPr>
        <w:t>。</w:t>
      </w:r>
    </w:p>
    <w:p>
      <w:pPr>
        <w:snapToGrid w:val="0"/>
        <w:spacing w:line="360" w:lineRule="auto"/>
        <w:ind w:firstLine="480" w:firstLineChars="200"/>
        <w:rPr>
          <w:rFonts w:cs="Arial" w:asciiTheme="minorEastAsia" w:hAnsiTheme="minorEastAsia" w:eastAsiaTheme="minorEastAsia"/>
          <w:b/>
          <w:bCs/>
          <w:color w:val="auto"/>
          <w:sz w:val="24"/>
          <w:szCs w:val="24"/>
          <w:highlight w:val="none"/>
          <w:shd w:val="clear" w:color="FFFFFF" w:fill="D9D9D9"/>
        </w:rPr>
      </w:pPr>
      <w:r>
        <w:rPr>
          <w:rFonts w:hint="eastAsia" w:cs="Arial" w:asciiTheme="minorEastAsia" w:hAnsiTheme="minorEastAsia" w:eastAsiaTheme="minorEastAsia"/>
          <w:color w:val="auto"/>
          <w:sz w:val="24"/>
          <w:szCs w:val="24"/>
          <w:highlight w:val="none"/>
        </w:rPr>
        <w:t>2、截止时点：开标后评标前。</w:t>
      </w:r>
    </w:p>
    <w:p>
      <w:pPr>
        <w:snapToGrid w:val="0"/>
        <w:spacing w:line="360" w:lineRule="auto"/>
        <w:ind w:firstLine="480" w:firstLineChars="20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3、</w:t>
      </w:r>
      <w:r>
        <w:rPr>
          <w:rFonts w:cs="Arial" w:asciiTheme="minorEastAsia" w:hAnsiTheme="minorEastAsia" w:eastAsiaTheme="minorEastAsia"/>
          <w:color w:val="auto"/>
          <w:sz w:val="24"/>
          <w:szCs w:val="24"/>
          <w:highlight w:val="none"/>
        </w:rPr>
        <w:t>信用信息查询记录和证据留存的具体方式</w:t>
      </w:r>
      <w:r>
        <w:rPr>
          <w:rFonts w:hint="eastAsia" w:cs="Arial" w:asciiTheme="minorEastAsia" w:hAnsiTheme="minorEastAsia" w:eastAsiaTheme="minorEastAsia"/>
          <w:color w:val="auto"/>
          <w:sz w:val="24"/>
          <w:szCs w:val="24"/>
          <w:highlight w:val="none"/>
        </w:rPr>
        <w:t>：由采购</w:t>
      </w:r>
      <w:r>
        <w:rPr>
          <w:rFonts w:hint="eastAsia" w:cs="Arial" w:asciiTheme="minorEastAsia" w:hAnsiTheme="minorEastAsia" w:eastAsiaTheme="minorEastAsia"/>
          <w:color w:val="auto"/>
          <w:sz w:val="24"/>
          <w:szCs w:val="24"/>
          <w:highlight w:val="none"/>
          <w:lang w:eastAsia="zh-CN"/>
        </w:rPr>
        <w:t>组织机构</w:t>
      </w:r>
      <w:r>
        <w:rPr>
          <w:rFonts w:hint="eastAsia" w:cs="Arial" w:asciiTheme="minorEastAsia" w:hAnsiTheme="minorEastAsia" w:eastAsiaTheme="minorEastAsia"/>
          <w:color w:val="auto"/>
          <w:sz w:val="24"/>
          <w:szCs w:val="24"/>
          <w:highlight w:val="none"/>
        </w:rPr>
        <w:t>在规定查询时间内打印信用信息查询记录并归入项目档案。</w:t>
      </w:r>
    </w:p>
    <w:p>
      <w:pPr>
        <w:snapToGrid w:val="0"/>
        <w:spacing w:line="360" w:lineRule="auto"/>
        <w:ind w:firstLine="480" w:firstLineChars="20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auto"/>
          <w:sz w:val="24"/>
          <w:szCs w:val="24"/>
          <w:highlight w:val="none"/>
        </w:rPr>
        <w:t>将被</w:t>
      </w:r>
      <w:r>
        <w:rPr>
          <w:rFonts w:hint="eastAsia" w:cs="Arial" w:asciiTheme="minorEastAsia" w:hAnsiTheme="minorEastAsia" w:eastAsiaTheme="minorEastAsia"/>
          <w:color w:val="auto"/>
          <w:sz w:val="24"/>
          <w:szCs w:val="24"/>
          <w:highlight w:val="none"/>
        </w:rPr>
        <w:t>拒绝其参与政府采购活动。</w:t>
      </w:r>
    </w:p>
    <w:p>
      <w:pPr>
        <w:snapToGrid w:val="0"/>
        <w:spacing w:line="360" w:lineRule="auto"/>
        <w:ind w:firstLine="482" w:firstLineChars="200"/>
        <w:rPr>
          <w:rFonts w:ascii="宋体" w:hAnsi="宋体" w:cs="Arial"/>
          <w:color w:val="auto"/>
          <w:sz w:val="24"/>
          <w:szCs w:val="24"/>
          <w:highlight w:val="none"/>
        </w:rPr>
      </w:pPr>
      <w:r>
        <w:rPr>
          <w:rFonts w:hint="eastAsia" w:cs="Arial" w:asciiTheme="minorEastAsia" w:hAnsiTheme="minorEastAsia" w:eastAsiaTheme="minorEastAsia"/>
          <w:b/>
          <w:bCs/>
          <w:color w:val="auto"/>
          <w:sz w:val="24"/>
          <w:szCs w:val="24"/>
          <w:highlight w:val="none"/>
        </w:rPr>
        <w:t>九</w:t>
      </w:r>
      <w:r>
        <w:rPr>
          <w:rFonts w:cs="Arial" w:asciiTheme="minorEastAsia" w:hAnsiTheme="minorEastAsia" w:eastAsiaTheme="minorEastAsia"/>
          <w:b/>
          <w:bCs/>
          <w:color w:val="auto"/>
          <w:sz w:val="24"/>
          <w:szCs w:val="24"/>
          <w:highlight w:val="none"/>
        </w:rPr>
        <w:t>、</w:t>
      </w:r>
      <w:r>
        <w:rPr>
          <w:rFonts w:hint="eastAsia" w:ascii="宋体" w:hAnsi="宋体" w:cs="Arial"/>
          <w:b/>
          <w:color w:val="auto"/>
          <w:sz w:val="24"/>
          <w:szCs w:val="24"/>
          <w:highlight w:val="none"/>
        </w:rPr>
        <w:t>相关注意事项</w:t>
      </w:r>
      <w:r>
        <w:rPr>
          <w:rFonts w:hint="eastAsia" w:ascii="宋体" w:hAnsi="宋体" w:cs="Arial"/>
          <w:color w:val="auto"/>
          <w:sz w:val="24"/>
          <w:szCs w:val="24"/>
          <w:highlight w:val="none"/>
        </w:rPr>
        <w:t>：</w:t>
      </w:r>
    </w:p>
    <w:p>
      <w:pPr>
        <w:snapToGrid w:val="0"/>
        <w:spacing w:line="360" w:lineRule="auto"/>
        <w:ind w:firstLine="480" w:firstLineChars="200"/>
        <w:rPr>
          <w:rFonts w:hint="eastAsia"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w:t>
      </w:r>
      <w:r>
        <w:rPr>
          <w:rFonts w:hint="eastAsia" w:cs="Arial" w:asciiTheme="minorEastAsia" w:hAnsiTheme="minorEastAsia" w:eastAsiaTheme="minorEastAsia"/>
          <w:color w:val="auto"/>
          <w:sz w:val="24"/>
          <w:szCs w:val="24"/>
          <w:highlight w:val="none"/>
          <w:lang w:val="en-US" w:eastAsia="zh-CN"/>
        </w:rPr>
        <w:t>采购代理机构</w:t>
      </w:r>
      <w:r>
        <w:rPr>
          <w:rFonts w:hint="eastAsia" w:cs="Arial" w:asciiTheme="minorEastAsia" w:hAnsiTheme="minorEastAsia" w:eastAsiaTheme="minorEastAsia"/>
          <w:color w:val="auto"/>
          <w:sz w:val="24"/>
          <w:szCs w:val="24"/>
          <w:highlight w:val="none"/>
        </w:rPr>
        <w:t>提出同一环节的质疑。否则，被质疑人可不予接受。质疑供应商对采购人、</w:t>
      </w:r>
      <w:r>
        <w:rPr>
          <w:rFonts w:hint="eastAsia" w:cs="Arial" w:asciiTheme="minorEastAsia" w:hAnsiTheme="minorEastAsia" w:eastAsiaTheme="minorEastAsia"/>
          <w:color w:val="auto"/>
          <w:sz w:val="24"/>
          <w:szCs w:val="24"/>
          <w:highlight w:val="none"/>
          <w:lang w:val="en-US" w:eastAsia="zh-CN"/>
        </w:rPr>
        <w:t>采购代理机构</w:t>
      </w:r>
      <w:r>
        <w:rPr>
          <w:rFonts w:hint="eastAsia" w:cs="Arial" w:asciiTheme="minorEastAsia" w:hAnsiTheme="minorEastAsia" w:eastAsiaTheme="minorEastAsia"/>
          <w:color w:val="auto"/>
          <w:sz w:val="24"/>
          <w:szCs w:val="24"/>
          <w:highlight w:val="none"/>
        </w:rPr>
        <w:t>的答复不满意或者采购人、</w:t>
      </w:r>
      <w:r>
        <w:rPr>
          <w:rFonts w:hint="eastAsia" w:cs="Arial" w:asciiTheme="minorEastAsia" w:hAnsiTheme="minorEastAsia" w:eastAsiaTheme="minorEastAsia"/>
          <w:color w:val="auto"/>
          <w:sz w:val="24"/>
          <w:szCs w:val="24"/>
          <w:highlight w:val="none"/>
          <w:lang w:val="en-US" w:eastAsia="zh-CN"/>
        </w:rPr>
        <w:t>采购代理机构</w:t>
      </w:r>
      <w:r>
        <w:rPr>
          <w:rFonts w:hint="eastAsia" w:cs="Arial" w:asciiTheme="minorEastAsia" w:hAnsiTheme="minorEastAsia" w:eastAsiaTheme="minorEastAsia"/>
          <w:color w:val="auto"/>
          <w:sz w:val="24"/>
          <w:szCs w:val="24"/>
          <w:highlight w:val="none"/>
        </w:rPr>
        <w:t>未在规定的时间内作出答复的，可以在答复期满后十五个工作日内向同级政府采购监督管理部门投诉。</w:t>
      </w:r>
    </w:p>
    <w:p>
      <w:pPr>
        <w:spacing w:line="360" w:lineRule="auto"/>
        <w:ind w:firstLine="480" w:firstLineChars="200"/>
        <w:rPr>
          <w:rFonts w:ascii="宋体" w:hAnsi="宋体" w:cs="Arial"/>
          <w:color w:val="auto"/>
          <w:sz w:val="24"/>
          <w:szCs w:val="24"/>
          <w:highlight w:val="none"/>
        </w:rPr>
      </w:pPr>
      <w:r>
        <w:rPr>
          <w:rFonts w:hint="eastAsia" w:ascii="宋体" w:hAnsi="宋体" w:cs="Arial"/>
          <w:color w:val="auto"/>
          <w:sz w:val="24"/>
          <w:szCs w:val="24"/>
          <w:highlight w:val="none"/>
        </w:rPr>
        <w:t>2、根据《浙江省政府采购供应商注册及诚信管理暂行办法》浙财采监【2009】28号文件，请各投标供应商及时办理浙江政府采购网“政府采购供应商注册”手续。</w:t>
      </w:r>
    </w:p>
    <w:p>
      <w:pPr>
        <w:snapToGrid w:val="0"/>
        <w:spacing w:line="360" w:lineRule="auto"/>
        <w:ind w:firstLine="480" w:firstLineChars="200"/>
        <w:rPr>
          <w:rFonts w:cs="Arial" w:asciiTheme="minorEastAsia" w:hAnsiTheme="minorEastAsia" w:eastAsiaTheme="minorEastAsia"/>
          <w:color w:val="auto"/>
          <w:sz w:val="24"/>
          <w:szCs w:val="24"/>
          <w:highlight w:val="none"/>
        </w:rPr>
      </w:pPr>
      <w:r>
        <w:rPr>
          <w:rFonts w:hint="eastAsia" w:ascii="宋体" w:hAnsi="宋体" w:cs="Arial"/>
          <w:color w:val="auto"/>
          <w:sz w:val="24"/>
          <w:szCs w:val="24"/>
          <w:highlight w:val="none"/>
        </w:rPr>
        <w:t>3、参与政府采购活动的供应商，应当先在浙江省政府采购网上申请注册，公开招标采购文件可从网上直接下载</w:t>
      </w:r>
      <w:r>
        <w:rPr>
          <w:rFonts w:hint="eastAsia" w:cs="Arial" w:asciiTheme="minorEastAsia" w:hAnsiTheme="minorEastAsia" w:eastAsiaTheme="minorEastAsia"/>
          <w:color w:val="auto"/>
          <w:sz w:val="24"/>
          <w:szCs w:val="24"/>
          <w:highlight w:val="none"/>
        </w:rPr>
        <w:t>。</w:t>
      </w:r>
    </w:p>
    <w:p>
      <w:pPr>
        <w:snapToGrid w:val="0"/>
        <w:spacing w:line="360" w:lineRule="auto"/>
        <w:ind w:firstLine="480" w:firstLineChars="20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4、</w:t>
      </w:r>
      <w:r>
        <w:rPr>
          <w:rFonts w:hint="eastAsia" w:ascii="宋体" w:hAnsi="宋体" w:eastAsia="宋体" w:cs="宋体"/>
          <w:b w:val="0"/>
          <w:i w:val="0"/>
          <w:caps w:val="0"/>
          <w:color w:val="auto"/>
          <w:spacing w:val="0"/>
          <w:sz w:val="24"/>
          <w:szCs w:val="24"/>
          <w:highlight w:val="none"/>
          <w:shd w:val="clear" w:fill="FFFFFF"/>
        </w:rPr>
        <w:t>本项目所有公告发布网站：“浙江省政府采购网”（http:// www.zjzfcg.gov.cn）和“玉环市公共资源交易中心”（ https://www.yhjyzx.com/News/zcfg/zfcg）。</w:t>
      </w:r>
    </w:p>
    <w:p>
      <w:pPr>
        <w:spacing w:line="360" w:lineRule="auto"/>
        <w:ind w:firstLine="590" w:firstLineChars="245"/>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十、联系方式：</w:t>
      </w:r>
    </w:p>
    <w:p>
      <w:pPr>
        <w:spacing w:line="360" w:lineRule="auto"/>
        <w:ind w:firstLine="472" w:firstLineChars="196"/>
        <w:rPr>
          <w:rFonts w:hint="eastAsia" w:asciiTheme="minorEastAsia" w:hAnsiTheme="minorEastAsia" w:eastAsiaTheme="minorEastAsia"/>
          <w:b/>
          <w:color w:val="auto"/>
          <w:sz w:val="24"/>
          <w:szCs w:val="24"/>
          <w:highlight w:val="none"/>
          <w:lang w:val="en-US" w:eastAsia="zh-CN"/>
        </w:rPr>
      </w:pPr>
      <w:r>
        <w:rPr>
          <w:rFonts w:hint="eastAsia" w:asciiTheme="minorEastAsia" w:hAnsiTheme="minorEastAsia" w:eastAsiaTheme="minorEastAsia"/>
          <w:b/>
          <w:color w:val="auto"/>
          <w:sz w:val="24"/>
          <w:szCs w:val="24"/>
          <w:highlight w:val="none"/>
        </w:rPr>
        <w:t>（一）</w:t>
      </w:r>
      <w:r>
        <w:rPr>
          <w:rFonts w:hint="eastAsia" w:asciiTheme="minorEastAsia" w:hAnsiTheme="minorEastAsia" w:eastAsiaTheme="minorEastAsia"/>
          <w:b/>
          <w:color w:val="auto"/>
          <w:sz w:val="24"/>
          <w:szCs w:val="24"/>
          <w:highlight w:val="none"/>
          <w:lang w:val="en-US" w:eastAsia="zh-CN"/>
        </w:rPr>
        <w:t>采购代理机构</w:t>
      </w:r>
    </w:p>
    <w:p>
      <w:pPr>
        <w:snapToGrid w:val="0"/>
        <w:spacing w:line="360" w:lineRule="auto"/>
        <w:ind w:firstLine="600" w:firstLineChars="25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项目联系人：</w:t>
      </w:r>
      <w:r>
        <w:rPr>
          <w:rFonts w:hint="eastAsia" w:cs="Arial" w:asciiTheme="minorEastAsia" w:hAnsiTheme="minorEastAsia" w:eastAsiaTheme="minorEastAsia"/>
          <w:color w:val="auto"/>
          <w:sz w:val="24"/>
          <w:szCs w:val="24"/>
          <w:highlight w:val="none"/>
          <w:lang w:eastAsia="zh-CN"/>
        </w:rPr>
        <w:t>季先生</w:t>
      </w:r>
      <w:r>
        <w:rPr>
          <w:rFonts w:hint="eastAsia" w:cs="Arial" w:asciiTheme="minorEastAsia" w:hAnsiTheme="minorEastAsia" w:eastAsiaTheme="minorEastAsia"/>
          <w:color w:val="auto"/>
          <w:sz w:val="24"/>
          <w:szCs w:val="24"/>
          <w:highlight w:val="none"/>
        </w:rPr>
        <w:t>　</w:t>
      </w:r>
    </w:p>
    <w:p>
      <w:pPr>
        <w:snapToGrid w:val="0"/>
        <w:spacing w:line="360" w:lineRule="auto"/>
        <w:ind w:firstLine="600" w:firstLineChars="25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联系电话：</w:t>
      </w:r>
      <w:r>
        <w:rPr>
          <w:rFonts w:hint="eastAsia" w:cs="Arial" w:asciiTheme="minorEastAsia" w:hAnsiTheme="minorEastAsia" w:eastAsiaTheme="minorEastAsia"/>
          <w:color w:val="auto"/>
          <w:sz w:val="24"/>
          <w:szCs w:val="24"/>
          <w:highlight w:val="none"/>
          <w:lang w:val="en-US" w:eastAsia="zh-CN"/>
        </w:rPr>
        <w:t>0576-87229474</w:t>
      </w:r>
      <w:r>
        <w:rPr>
          <w:rFonts w:hint="eastAsia" w:cs="Arial" w:asciiTheme="minorEastAsia" w:hAnsiTheme="minorEastAsia" w:eastAsiaTheme="minorEastAsia"/>
          <w:color w:val="auto"/>
          <w:sz w:val="24"/>
          <w:szCs w:val="24"/>
          <w:highlight w:val="none"/>
        </w:rPr>
        <w:t xml:space="preserve">    </w:t>
      </w:r>
    </w:p>
    <w:p>
      <w:pPr>
        <w:snapToGrid w:val="0"/>
        <w:spacing w:line="360" w:lineRule="auto"/>
        <w:ind w:firstLine="600" w:firstLineChars="250"/>
        <w:rPr>
          <w:rFonts w:hint="eastAsia" w:cs="Arial" w:asciiTheme="minorEastAsia" w:hAnsiTheme="minorEastAsia" w:eastAsiaTheme="minorEastAsia"/>
          <w:color w:val="auto"/>
          <w:sz w:val="24"/>
          <w:szCs w:val="24"/>
          <w:highlight w:val="none"/>
          <w:lang w:eastAsia="zh-CN"/>
        </w:rPr>
      </w:pPr>
      <w:r>
        <w:rPr>
          <w:rFonts w:hint="eastAsia" w:cs="Arial" w:asciiTheme="minorEastAsia" w:hAnsiTheme="minorEastAsia" w:eastAsiaTheme="minorEastAsia"/>
          <w:color w:val="auto"/>
          <w:sz w:val="24"/>
          <w:szCs w:val="24"/>
          <w:highlight w:val="none"/>
        </w:rPr>
        <w:t>窗口联系人：</w:t>
      </w:r>
      <w:r>
        <w:rPr>
          <w:rFonts w:hint="eastAsia" w:cs="Arial" w:asciiTheme="minorEastAsia" w:hAnsiTheme="minorEastAsia" w:eastAsiaTheme="minorEastAsia"/>
          <w:color w:val="auto"/>
          <w:sz w:val="24"/>
          <w:szCs w:val="24"/>
          <w:highlight w:val="none"/>
          <w:lang w:eastAsia="zh-CN"/>
        </w:rPr>
        <w:t>施先生</w:t>
      </w:r>
    </w:p>
    <w:p>
      <w:pPr>
        <w:snapToGrid w:val="0"/>
        <w:spacing w:line="360" w:lineRule="auto"/>
        <w:ind w:firstLine="600" w:firstLineChars="250"/>
        <w:rPr>
          <w:rFonts w:hint="default" w:cs="Arial" w:asciiTheme="minorEastAsia" w:hAnsiTheme="minorEastAsia" w:eastAsiaTheme="minorEastAsia"/>
          <w:color w:val="auto"/>
          <w:sz w:val="24"/>
          <w:szCs w:val="24"/>
          <w:highlight w:val="none"/>
          <w:lang w:val="en-US" w:eastAsia="zh-CN"/>
        </w:rPr>
      </w:pPr>
      <w:r>
        <w:rPr>
          <w:rFonts w:hint="eastAsia" w:cs="Arial" w:asciiTheme="minorEastAsia" w:hAnsiTheme="minorEastAsia" w:eastAsiaTheme="minorEastAsia"/>
          <w:color w:val="auto"/>
          <w:sz w:val="24"/>
          <w:szCs w:val="24"/>
          <w:highlight w:val="none"/>
        </w:rPr>
        <w:t>联系电话：</w:t>
      </w:r>
      <w:r>
        <w:rPr>
          <w:rFonts w:hint="eastAsia" w:cs="Arial" w:asciiTheme="minorEastAsia" w:hAnsiTheme="minorEastAsia" w:eastAsiaTheme="minorEastAsia"/>
          <w:color w:val="auto"/>
          <w:sz w:val="24"/>
          <w:szCs w:val="24"/>
          <w:highlight w:val="none"/>
          <w:lang w:val="en-US" w:eastAsia="zh-CN"/>
        </w:rPr>
        <w:t>0576-87229474</w:t>
      </w:r>
    </w:p>
    <w:p>
      <w:pPr>
        <w:spacing w:line="360" w:lineRule="auto"/>
        <w:ind w:firstLine="600" w:firstLineChars="250"/>
        <w:rPr>
          <w:rFonts w:hint="eastAsia" w:asciiTheme="minorEastAsia" w:hAnsiTheme="minorEastAsia" w:eastAsiaTheme="minorEastAsia"/>
          <w:color w:val="auto"/>
          <w:kern w:val="0"/>
          <w:sz w:val="24"/>
          <w:szCs w:val="24"/>
          <w:highlight w:val="none"/>
        </w:rPr>
      </w:pPr>
      <w:r>
        <w:rPr>
          <w:rFonts w:hint="eastAsia" w:cs="Arial" w:asciiTheme="minorEastAsia" w:hAnsiTheme="minorEastAsia" w:eastAsiaTheme="minorEastAsia"/>
          <w:color w:val="auto"/>
          <w:sz w:val="24"/>
          <w:szCs w:val="24"/>
          <w:highlight w:val="none"/>
        </w:rPr>
        <w:t>地址：</w:t>
      </w:r>
      <w:r>
        <w:rPr>
          <w:rFonts w:hint="eastAsia" w:ascii="宋体"/>
          <w:color w:val="auto"/>
          <w:kern w:val="0"/>
          <w:sz w:val="24"/>
          <w:highlight w:val="none"/>
        </w:rPr>
        <w:t>玉环市玉城街道泰安路312号财富中心5号楼1002</w:t>
      </w:r>
      <w:r>
        <w:rPr>
          <w:rFonts w:hint="eastAsia" w:asciiTheme="minorEastAsia" w:hAnsiTheme="minorEastAsia" w:eastAsiaTheme="minorEastAsia"/>
          <w:color w:val="auto"/>
          <w:kern w:val="0"/>
          <w:sz w:val="24"/>
          <w:szCs w:val="24"/>
          <w:highlight w:val="none"/>
        </w:rPr>
        <w:t xml:space="preserve"> </w:t>
      </w:r>
    </w:p>
    <w:p>
      <w:pPr>
        <w:spacing w:line="360" w:lineRule="auto"/>
        <w:ind w:firstLine="472" w:firstLineChars="196"/>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（二）采购人</w:t>
      </w:r>
      <w:r>
        <w:rPr>
          <w:rFonts w:hint="eastAsia" w:cs="Arial" w:asciiTheme="minorEastAsia" w:hAnsiTheme="minorEastAsia" w:eastAsiaTheme="minorEastAsia"/>
          <w:color w:val="auto"/>
          <w:sz w:val="24"/>
          <w:szCs w:val="24"/>
          <w:highlight w:val="none"/>
        </w:rPr>
        <w:t xml:space="preserve">（受理招标文件相关质疑及答复） </w:t>
      </w:r>
    </w:p>
    <w:p>
      <w:pPr>
        <w:snapToGrid w:val="0"/>
        <w:spacing w:line="360" w:lineRule="auto"/>
        <w:ind w:firstLine="600" w:firstLineChars="250"/>
        <w:rPr>
          <w:rFonts w:cs="Arial" w:asciiTheme="minorEastAsia" w:hAnsiTheme="minorEastAsia" w:eastAsiaTheme="minorEastAsia"/>
          <w:color w:val="auto"/>
          <w:sz w:val="24"/>
          <w:szCs w:val="24"/>
          <w:highlight w:val="none"/>
        </w:rPr>
      </w:pPr>
      <w:r>
        <w:rPr>
          <w:rFonts w:cs="Arial" w:asciiTheme="minorEastAsia" w:hAnsiTheme="minorEastAsia" w:eastAsiaTheme="minorEastAsia"/>
          <w:color w:val="auto"/>
          <w:sz w:val="24"/>
          <w:szCs w:val="24"/>
          <w:highlight w:val="none"/>
        </w:rPr>
        <w:t>采购</w:t>
      </w:r>
      <w:r>
        <w:rPr>
          <w:rFonts w:hint="eastAsia" w:cs="Arial" w:asciiTheme="minorEastAsia" w:hAnsiTheme="minorEastAsia" w:eastAsiaTheme="minorEastAsia"/>
          <w:color w:val="auto"/>
          <w:sz w:val="24"/>
          <w:szCs w:val="24"/>
          <w:highlight w:val="none"/>
        </w:rPr>
        <w:t>人</w:t>
      </w:r>
      <w:r>
        <w:rPr>
          <w:rFonts w:cs="Arial" w:asciiTheme="minorEastAsia" w:hAnsiTheme="minorEastAsia" w:eastAsiaTheme="minorEastAsia"/>
          <w:color w:val="auto"/>
          <w:sz w:val="24"/>
          <w:szCs w:val="24"/>
          <w:highlight w:val="none"/>
        </w:rPr>
        <w:t>名称：</w:t>
      </w:r>
      <w:r>
        <w:rPr>
          <w:rFonts w:hint="eastAsia" w:ascii="宋体"/>
          <w:color w:val="auto"/>
          <w:kern w:val="0"/>
          <w:sz w:val="24"/>
          <w:highlight w:val="none"/>
        </w:rPr>
        <w:t>玉环市公安局交通警察大队</w:t>
      </w:r>
    </w:p>
    <w:p>
      <w:pPr>
        <w:snapToGrid w:val="0"/>
        <w:spacing w:line="360" w:lineRule="auto"/>
        <w:ind w:firstLine="600" w:firstLineChars="250"/>
        <w:rPr>
          <w:rFonts w:cs="Arial" w:asciiTheme="minorEastAsia" w:hAnsiTheme="minorEastAsia" w:eastAsiaTheme="minorEastAsia"/>
          <w:color w:val="auto"/>
          <w:sz w:val="24"/>
          <w:szCs w:val="24"/>
          <w:highlight w:val="none"/>
        </w:rPr>
      </w:pPr>
      <w:r>
        <w:rPr>
          <w:rFonts w:cs="Arial" w:asciiTheme="minorEastAsia" w:hAnsiTheme="minorEastAsia" w:eastAsiaTheme="minorEastAsia"/>
          <w:color w:val="auto"/>
          <w:sz w:val="24"/>
          <w:szCs w:val="24"/>
          <w:highlight w:val="none"/>
        </w:rPr>
        <w:t>联系人：</w:t>
      </w:r>
      <w:r>
        <w:rPr>
          <w:rFonts w:hint="eastAsia" w:ascii="宋体"/>
          <w:color w:val="auto"/>
          <w:kern w:val="0"/>
          <w:sz w:val="24"/>
          <w:highlight w:val="none"/>
        </w:rPr>
        <w:t>阮先生</w:t>
      </w:r>
      <w:r>
        <w:rPr>
          <w:rFonts w:hint="eastAsia" w:cs="Arial" w:asciiTheme="minorEastAsia" w:hAnsiTheme="minorEastAsia" w:eastAsiaTheme="minorEastAsia"/>
          <w:color w:val="auto"/>
          <w:sz w:val="24"/>
          <w:szCs w:val="24"/>
          <w:highlight w:val="none"/>
        </w:rPr>
        <w:t xml:space="preserve">      联系电话：</w:t>
      </w:r>
      <w:r>
        <w:rPr>
          <w:rFonts w:ascii="宋体"/>
          <w:color w:val="auto"/>
          <w:kern w:val="0"/>
          <w:sz w:val="24"/>
          <w:highlight w:val="none"/>
        </w:rPr>
        <w:t>0576-81758518</w:t>
      </w:r>
    </w:p>
    <w:p>
      <w:pPr>
        <w:spacing w:line="360" w:lineRule="auto"/>
        <w:ind w:firstLine="472" w:firstLineChars="196"/>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（三）同级政府采购监督管理部门</w:t>
      </w:r>
    </w:p>
    <w:p>
      <w:pPr>
        <w:numPr>
          <w:ilvl w:val="255"/>
          <w:numId w:val="0"/>
        </w:numPr>
        <w:snapToGrid w:val="0"/>
        <w:spacing w:line="360" w:lineRule="auto"/>
        <w:ind w:left="525" w:leftChars="250"/>
        <w:rPr>
          <w:rFonts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名称：</w:t>
      </w:r>
      <w:r>
        <w:rPr>
          <w:rFonts w:hint="eastAsia" w:ascii="宋体"/>
          <w:color w:val="auto"/>
          <w:kern w:val="0"/>
          <w:sz w:val="24"/>
          <w:highlight w:val="none"/>
        </w:rPr>
        <w:t>玉环市财政局政府采购监督管理科</w:t>
      </w:r>
    </w:p>
    <w:p>
      <w:pPr>
        <w:snapToGrid w:val="0"/>
        <w:spacing w:line="360" w:lineRule="auto"/>
        <w:ind w:firstLine="600" w:firstLineChars="250"/>
        <w:rPr>
          <w:rFonts w:hint="eastAsia" w:cs="Arial" w:asciiTheme="minorEastAsia" w:hAnsiTheme="minorEastAsia" w:eastAsiaTheme="minorEastAsia"/>
          <w:color w:val="auto"/>
          <w:sz w:val="24"/>
          <w:szCs w:val="24"/>
          <w:highlight w:val="none"/>
        </w:rPr>
      </w:pPr>
      <w:r>
        <w:rPr>
          <w:rFonts w:hint="eastAsia" w:cs="Arial" w:asciiTheme="minorEastAsia" w:hAnsiTheme="minorEastAsia" w:eastAsiaTheme="minorEastAsia"/>
          <w:color w:val="auto"/>
          <w:sz w:val="24"/>
          <w:szCs w:val="24"/>
          <w:highlight w:val="none"/>
        </w:rPr>
        <w:t>联系人：</w:t>
      </w:r>
      <w:r>
        <w:rPr>
          <w:rFonts w:hint="eastAsia" w:ascii="宋体"/>
          <w:color w:val="auto"/>
          <w:kern w:val="0"/>
          <w:sz w:val="24"/>
          <w:highlight w:val="none"/>
        </w:rPr>
        <w:t>谢女士</w:t>
      </w:r>
      <w:r>
        <w:rPr>
          <w:rFonts w:hint="eastAsia" w:cs="Arial" w:asciiTheme="minorEastAsia" w:hAnsiTheme="minorEastAsia" w:eastAsiaTheme="minorEastAsia"/>
          <w:color w:val="auto"/>
          <w:sz w:val="24"/>
          <w:szCs w:val="24"/>
          <w:highlight w:val="none"/>
        </w:rPr>
        <w:t xml:space="preserve">              监督投诉电话：</w:t>
      </w:r>
      <w:r>
        <w:rPr>
          <w:rFonts w:hint="eastAsia" w:ascii="宋体"/>
          <w:color w:val="auto"/>
          <w:kern w:val="0"/>
          <w:sz w:val="24"/>
          <w:highlight w:val="none"/>
        </w:rPr>
        <w:t>0576-87250185</w:t>
      </w:r>
      <w:r>
        <w:rPr>
          <w:rFonts w:hint="eastAsia" w:cs="Arial" w:asciiTheme="minorEastAsia" w:hAnsiTheme="minorEastAsia" w:eastAsiaTheme="minorEastAsia"/>
          <w:color w:val="auto"/>
          <w:sz w:val="24"/>
          <w:szCs w:val="24"/>
          <w:highlight w:val="none"/>
        </w:rPr>
        <w:t xml:space="preserve">     </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94" w:rightChars="0"/>
        <w:jc w:val="right"/>
        <w:rPr>
          <w:rFonts w:hint="eastAsia" w:cs="Arial" w:asciiTheme="minorEastAsia" w:hAnsiTheme="minorEastAsia" w:eastAsiaTheme="minorEastAsia"/>
          <w:color w:val="auto"/>
          <w:sz w:val="24"/>
          <w:szCs w:val="24"/>
          <w:highlight w:val="none"/>
          <w:lang w:eastAsia="zh-CN"/>
        </w:rPr>
      </w:pPr>
      <w:r>
        <w:rPr>
          <w:rFonts w:hint="eastAsia" w:cs="Arial" w:asciiTheme="minorEastAsia" w:hAnsiTheme="minorEastAsia" w:eastAsiaTheme="minorEastAsia"/>
          <w:color w:val="auto"/>
          <w:sz w:val="24"/>
          <w:szCs w:val="24"/>
          <w:highlight w:val="none"/>
          <w:lang w:val="en-US" w:eastAsia="zh-CN"/>
        </w:rPr>
        <w:t xml:space="preserve"> </w:t>
      </w:r>
      <w:r>
        <w:rPr>
          <w:rFonts w:hint="eastAsia" w:cs="Arial" w:asciiTheme="minorEastAsia" w:hAnsiTheme="minorEastAsia" w:eastAsiaTheme="minorEastAsia"/>
          <w:color w:val="auto"/>
          <w:sz w:val="24"/>
          <w:szCs w:val="24"/>
          <w:highlight w:val="none"/>
          <w:lang w:eastAsia="zh-CN"/>
        </w:rPr>
        <w:t>台州恒信工程造价咨询有限公司</w:t>
      </w:r>
    </w:p>
    <w:p>
      <w:pPr>
        <w:snapToGrid w:val="0"/>
        <w:spacing w:line="360" w:lineRule="auto"/>
        <w:ind w:right="480" w:firstLine="600" w:firstLineChars="250"/>
        <w:jc w:val="center"/>
        <w:rPr>
          <w:rFonts w:ascii="宋体"/>
          <w:color w:val="auto"/>
          <w:kern w:val="0"/>
          <w:sz w:val="24"/>
          <w:szCs w:val="24"/>
          <w:highlight w:val="none"/>
        </w:rPr>
      </w:pPr>
      <w:r>
        <w:rPr>
          <w:rFonts w:ascii="宋体"/>
          <w:color w:val="auto"/>
          <w:kern w:val="0"/>
          <w:sz w:val="24"/>
          <w:szCs w:val="24"/>
          <w:highlight w:val="none"/>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hint="eastAsia" w:ascii="宋体"/>
          <w:color w:val="auto"/>
          <w:kern w:val="0"/>
          <w:sz w:val="24"/>
          <w:szCs w:val="24"/>
          <w:highlight w:val="none"/>
        </w:rPr>
      </w:pPr>
      <w:r>
        <w:rPr>
          <w:rFonts w:hint="eastAsia" w:ascii="宋体"/>
          <w:color w:val="auto"/>
          <w:kern w:val="0"/>
          <w:sz w:val="24"/>
          <w:szCs w:val="24"/>
          <w:highlight w:val="none"/>
        </w:rPr>
        <w:t xml:space="preserve">                              </w:t>
      </w:r>
      <w:r>
        <w:rPr>
          <w:rFonts w:ascii="宋体"/>
          <w:color w:val="auto"/>
          <w:kern w:val="0"/>
          <w:sz w:val="24"/>
          <w:szCs w:val="24"/>
          <w:highlight w:val="none"/>
        </w:rPr>
        <w:t xml:space="preserve"> </w:t>
      </w:r>
      <w:r>
        <w:rPr>
          <w:rFonts w:hint="eastAsia" w:ascii="宋体" w:hAnsi="宋体"/>
          <w:color w:val="auto"/>
          <w:sz w:val="24"/>
          <w:szCs w:val="24"/>
          <w:highlight w:val="none"/>
          <w:lang w:val="en-US" w:eastAsia="zh-CN"/>
        </w:rPr>
        <w:t>2019</w:t>
      </w:r>
      <w:r>
        <w:rPr>
          <w:rFonts w:hint="eastAsia" w:ascii="宋体"/>
          <w:color w:val="auto"/>
          <w:kern w:val="0"/>
          <w:sz w:val="24"/>
          <w:szCs w:val="24"/>
          <w:highlight w:val="none"/>
        </w:rPr>
        <w:t>年</w:t>
      </w:r>
      <w:r>
        <w:rPr>
          <w:rFonts w:hint="eastAsia" w:ascii="宋体" w:hAnsi="宋体"/>
          <w:color w:val="auto"/>
          <w:sz w:val="24"/>
          <w:szCs w:val="24"/>
          <w:highlight w:val="none"/>
          <w:lang w:val="en-US" w:eastAsia="zh-CN"/>
        </w:rPr>
        <w:t>7</w:t>
      </w:r>
      <w:r>
        <w:rPr>
          <w:rFonts w:hint="eastAsia" w:ascii="宋体"/>
          <w:color w:val="auto"/>
          <w:kern w:val="0"/>
          <w:sz w:val="24"/>
          <w:szCs w:val="24"/>
          <w:highlight w:val="none"/>
        </w:rPr>
        <w:t>月</w:t>
      </w:r>
      <w:r>
        <w:rPr>
          <w:rFonts w:hint="eastAsia" w:ascii="宋体" w:hAnsi="宋体"/>
          <w:color w:val="auto"/>
          <w:sz w:val="24"/>
          <w:szCs w:val="24"/>
          <w:highlight w:val="none"/>
          <w:lang w:val="en-US" w:eastAsia="zh-CN"/>
        </w:rPr>
        <w:t>19</w:t>
      </w:r>
      <w:r>
        <w:rPr>
          <w:rFonts w:hint="eastAsia" w:ascii="宋体"/>
          <w:color w:val="auto"/>
          <w:kern w:val="0"/>
          <w:sz w:val="24"/>
          <w:szCs w:val="24"/>
          <w:highlight w:val="none"/>
        </w:rPr>
        <w:t>日</w:t>
      </w:r>
    </w:p>
    <w:p>
      <w:pPr>
        <w:rPr>
          <w:color w:val="auto"/>
          <w:sz w:val="30"/>
          <w:szCs w:val="30"/>
          <w:highlight w:val="none"/>
        </w:rPr>
      </w:pPr>
    </w:p>
    <w:p>
      <w:pPr>
        <w:numPr>
          <w:ilvl w:val="0"/>
          <w:numId w:val="5"/>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lang w:eastAsia="zh-CN"/>
        </w:rPr>
        <w:t>投标人</w:t>
      </w:r>
      <w:r>
        <w:rPr>
          <w:rFonts w:hint="eastAsia" w:asciiTheme="minorEastAsia" w:hAnsiTheme="minorEastAsia" w:eastAsiaTheme="minorEastAsia"/>
          <w:b/>
          <w:color w:val="auto"/>
          <w:sz w:val="36"/>
          <w:szCs w:val="36"/>
          <w:highlight w:val="none"/>
        </w:rPr>
        <w:t>须知</w:t>
      </w:r>
    </w:p>
    <w:p>
      <w:pPr>
        <w:spacing w:line="360" w:lineRule="auto"/>
        <w:jc w:val="cente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前附表</w:t>
      </w:r>
    </w:p>
    <w:tbl>
      <w:tblPr>
        <w:tblStyle w:val="20"/>
        <w:tblW w:w="8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947"/>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序号</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项    目</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1</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供应商特定资格要求</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2</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kern w:val="0"/>
                <w:sz w:val="24"/>
                <w:szCs w:val="24"/>
                <w:highlight w:val="none"/>
              </w:rPr>
              <w:t>答疑会或</w:t>
            </w:r>
            <w:r>
              <w:rPr>
                <w:rFonts w:hint="eastAsia" w:asciiTheme="majorEastAsia" w:hAnsiTheme="majorEastAsia" w:eastAsiaTheme="majorEastAsia" w:cstheme="majorEastAsia"/>
                <w:color w:val="auto"/>
                <w:sz w:val="24"/>
                <w:szCs w:val="24"/>
                <w:highlight w:val="none"/>
              </w:rPr>
              <w:t>现场踏勘</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auto"/>
                <w:kern w:val="0"/>
                <w:sz w:val="24"/>
                <w:highlight w:val="none"/>
              </w:rPr>
            </w:pPr>
            <w:r>
              <w:rPr>
                <w:rFonts w:hint="eastAsia" w:ascii="宋体" w:hAnsi="宋体"/>
                <w:color w:val="auto"/>
                <w:kern w:val="0"/>
                <w:sz w:val="24"/>
                <w:highlight w:val="none"/>
              </w:rPr>
              <w:t>领取</w:t>
            </w:r>
            <w:r>
              <w:rPr>
                <w:rFonts w:hint="eastAsia" w:ascii="宋体" w:hAnsi="宋体" w:cs="宋体"/>
                <w:color w:val="auto"/>
                <w:sz w:val="24"/>
                <w:highlight w:val="none"/>
              </w:rPr>
              <w:t>采购文件</w:t>
            </w:r>
            <w:r>
              <w:rPr>
                <w:rFonts w:hint="eastAsia" w:ascii="宋体" w:hAnsi="宋体"/>
                <w:color w:val="auto"/>
                <w:kern w:val="0"/>
                <w:sz w:val="24"/>
                <w:highlight w:val="none"/>
              </w:rPr>
              <w:t>后，各供应商请自行踏勘。</w:t>
            </w:r>
          </w:p>
          <w:p>
            <w:pPr>
              <w:spacing w:line="360" w:lineRule="auto"/>
              <w:rPr>
                <w:rFonts w:asciiTheme="majorEastAsia" w:hAnsiTheme="majorEastAsia" w:eastAsiaTheme="majorEastAsia" w:cstheme="majorEastAsia"/>
                <w:color w:val="auto"/>
                <w:sz w:val="24"/>
                <w:szCs w:val="24"/>
                <w:highlight w:val="none"/>
              </w:rPr>
            </w:pPr>
            <w:r>
              <w:rPr>
                <w:rFonts w:hint="eastAsia" w:ascii="宋体" w:hAnsi="宋体"/>
                <w:color w:val="auto"/>
                <w:kern w:val="0"/>
                <w:sz w:val="24"/>
                <w:highlight w:val="none"/>
              </w:rPr>
              <w:t>采购人：</w:t>
            </w:r>
            <w:r>
              <w:rPr>
                <w:rFonts w:hint="eastAsia" w:ascii="宋体" w:hAnsi="宋体"/>
                <w:color w:val="auto"/>
                <w:kern w:val="0"/>
                <w:sz w:val="24"/>
                <w:highlight w:val="none"/>
                <w:lang w:eastAsia="zh-CN"/>
              </w:rPr>
              <w:t>阮</w:t>
            </w:r>
            <w:r>
              <w:rPr>
                <w:rFonts w:hint="eastAsia" w:ascii="宋体" w:hAnsi="宋体"/>
                <w:color w:val="auto"/>
                <w:kern w:val="0"/>
                <w:sz w:val="24"/>
                <w:highlight w:val="none"/>
              </w:rPr>
              <w:t xml:space="preserve">先生  </w:t>
            </w:r>
            <w:r>
              <w:rPr>
                <w:rFonts w:ascii="宋体"/>
                <w:color w:val="auto"/>
                <w:kern w:val="0"/>
                <w:sz w:val="24"/>
                <w:highlight w:val="none"/>
              </w:rPr>
              <w:t>0576-81758518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3</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投标文件包装要求</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Theme="majorEastAsia" w:hAnsiTheme="majorEastAsia" w:eastAsiaTheme="majorEastAsia" w:cstheme="majorEastAsia"/>
                <w:color w:val="auto"/>
                <w:sz w:val="24"/>
                <w:szCs w:val="24"/>
                <w:highlight w:val="none"/>
                <w:lang w:val="en-US" w:eastAsia="zh-CN"/>
              </w:rPr>
            </w:pPr>
            <w:r>
              <w:rPr>
                <w:rFonts w:hint="eastAsia" w:ascii="宋体" w:hAnsi="宋体"/>
                <w:bCs/>
                <w:color w:val="auto"/>
                <w:sz w:val="24"/>
                <w:highlight w:val="none"/>
                <w:lang w:val="zh-CN"/>
              </w:rPr>
              <w:t>资格证明文件、商务与技术文件、报价文件必须分别编制并分开单独装订成册：</w:t>
            </w:r>
            <w:r>
              <w:rPr>
                <w:rFonts w:hint="eastAsia" w:ascii="宋体"/>
                <w:bCs/>
                <w:color w:val="auto"/>
                <w:sz w:val="24"/>
                <w:highlight w:val="none"/>
                <w:lang w:val="zh-CN"/>
              </w:rPr>
              <w:t>资格证明文件共</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u w:val="single"/>
              </w:rPr>
              <w:t xml:space="preserve"> 5 </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lang w:val="zh-CN"/>
              </w:rPr>
              <w:t>份</w:t>
            </w:r>
            <w:r>
              <w:rPr>
                <w:rFonts w:hint="eastAsia" w:ascii="宋体"/>
                <w:bCs/>
                <w:color w:val="auto"/>
                <w:sz w:val="24"/>
                <w:highlight w:val="none"/>
                <w:lang w:val="zh-CN"/>
              </w:rPr>
              <w:t>（</w:t>
            </w:r>
            <w:r>
              <w:rPr>
                <w:rFonts w:hint="eastAsia" w:ascii="宋体" w:hAnsi="宋体"/>
                <w:bCs/>
                <w:color w:val="auto"/>
                <w:sz w:val="24"/>
                <w:highlight w:val="none"/>
                <w:u w:val="single"/>
              </w:rPr>
              <w:t xml:space="preserve"> 1</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正本</w:t>
            </w:r>
            <w:r>
              <w:rPr>
                <w:rFonts w:hint="eastAsia" w:ascii="宋体"/>
                <w:bCs/>
                <w:color w:val="auto"/>
                <w:sz w:val="24"/>
                <w:highlight w:val="none"/>
              </w:rPr>
              <w:t xml:space="preserve"> </w:t>
            </w:r>
            <w:r>
              <w:rPr>
                <w:rFonts w:hint="eastAsia" w:ascii="宋体" w:hAnsi="宋体"/>
                <w:bCs/>
                <w:color w:val="auto"/>
                <w:sz w:val="24"/>
                <w:highlight w:val="none"/>
                <w:u w:val="single"/>
              </w:rPr>
              <w:t xml:space="preserve"> 4</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副本，封装成一袋）</w:t>
            </w:r>
            <w:r>
              <w:rPr>
                <w:rFonts w:hint="eastAsia" w:ascii="宋体" w:hAnsi="宋体"/>
                <w:bCs/>
                <w:color w:val="auto"/>
                <w:sz w:val="24"/>
                <w:highlight w:val="none"/>
                <w:lang w:val="zh-CN"/>
              </w:rPr>
              <w:t>，商务与技术文件共</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u w:val="single"/>
              </w:rPr>
              <w:t xml:space="preserve">5  </w:t>
            </w:r>
            <w:r>
              <w:rPr>
                <w:rFonts w:hint="eastAsia" w:ascii="宋体" w:hAnsi="宋体"/>
                <w:bCs/>
                <w:color w:val="auto"/>
                <w:sz w:val="24"/>
                <w:highlight w:val="none"/>
                <w:lang w:val="zh-CN"/>
              </w:rPr>
              <w:t>份</w:t>
            </w:r>
            <w:r>
              <w:rPr>
                <w:rFonts w:hint="eastAsia" w:ascii="宋体"/>
                <w:bCs/>
                <w:color w:val="auto"/>
                <w:sz w:val="24"/>
                <w:highlight w:val="none"/>
                <w:lang w:val="zh-CN"/>
              </w:rPr>
              <w:t>（</w:t>
            </w:r>
            <w:r>
              <w:rPr>
                <w:rFonts w:hint="eastAsia" w:ascii="宋体" w:hAnsi="宋体"/>
                <w:bCs/>
                <w:color w:val="auto"/>
                <w:sz w:val="24"/>
                <w:highlight w:val="none"/>
                <w:u w:val="single"/>
              </w:rPr>
              <w:t xml:space="preserve"> 1</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正本</w:t>
            </w:r>
            <w:r>
              <w:rPr>
                <w:rFonts w:hint="eastAsia" w:ascii="宋体"/>
                <w:bCs/>
                <w:color w:val="auto"/>
                <w:sz w:val="24"/>
                <w:highlight w:val="none"/>
              </w:rPr>
              <w:t xml:space="preserve"> </w:t>
            </w:r>
            <w:r>
              <w:rPr>
                <w:rFonts w:hint="eastAsia" w:ascii="宋体" w:hAnsi="宋体"/>
                <w:bCs/>
                <w:color w:val="auto"/>
                <w:sz w:val="24"/>
                <w:highlight w:val="none"/>
                <w:u w:val="single"/>
              </w:rPr>
              <w:t xml:space="preserve"> 4</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副本，封装成一袋）</w:t>
            </w:r>
            <w:r>
              <w:rPr>
                <w:rFonts w:hint="eastAsia" w:ascii="宋体" w:hAnsi="宋体"/>
                <w:bCs/>
                <w:color w:val="auto"/>
                <w:sz w:val="24"/>
                <w:highlight w:val="none"/>
                <w:lang w:val="zh-CN"/>
              </w:rPr>
              <w:t>，报价文件共</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u w:val="single"/>
              </w:rPr>
              <w:t xml:space="preserve"> 5 </w:t>
            </w:r>
            <w:r>
              <w:rPr>
                <w:rFonts w:hint="eastAsia" w:ascii="宋体" w:hAnsi="宋体"/>
                <w:bCs/>
                <w:color w:val="auto"/>
                <w:sz w:val="24"/>
                <w:highlight w:val="none"/>
                <w:lang w:val="zh-CN"/>
              </w:rPr>
              <w:t>份</w:t>
            </w:r>
            <w:r>
              <w:rPr>
                <w:rFonts w:hint="eastAsia" w:ascii="宋体"/>
                <w:bCs/>
                <w:color w:val="auto"/>
                <w:sz w:val="24"/>
                <w:highlight w:val="none"/>
                <w:lang w:val="zh-CN"/>
              </w:rPr>
              <w:t>（</w:t>
            </w:r>
            <w:r>
              <w:rPr>
                <w:rFonts w:hint="eastAsia" w:ascii="宋体" w:hAnsi="宋体"/>
                <w:bCs/>
                <w:color w:val="auto"/>
                <w:sz w:val="24"/>
                <w:highlight w:val="none"/>
                <w:u w:val="single"/>
              </w:rPr>
              <w:t xml:space="preserve"> 1</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正本，</w:t>
            </w:r>
            <w:r>
              <w:rPr>
                <w:rFonts w:hint="eastAsia" w:ascii="宋体"/>
                <w:bCs/>
                <w:color w:val="auto"/>
                <w:sz w:val="24"/>
                <w:highlight w:val="none"/>
              </w:rPr>
              <w:t xml:space="preserve"> </w:t>
            </w:r>
            <w:r>
              <w:rPr>
                <w:rFonts w:hint="eastAsia" w:ascii="宋体" w:hAnsi="宋体"/>
                <w:bCs/>
                <w:color w:val="auto"/>
                <w:sz w:val="24"/>
                <w:highlight w:val="none"/>
                <w:u w:val="single"/>
              </w:rPr>
              <w:t xml:space="preserve"> 4</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副本，封装成一袋）</w:t>
            </w:r>
            <w:r>
              <w:rPr>
                <w:rFonts w:hint="eastAsia" w:ascii="宋体" w:hAnsi="宋体"/>
                <w:bCs/>
                <w:color w:val="auto"/>
                <w:sz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4</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投标有效期</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投标有效期为开标后90天，</w:t>
            </w:r>
            <w:r>
              <w:rPr>
                <w:rFonts w:hint="eastAsia" w:asciiTheme="majorEastAsia" w:hAnsiTheme="majorEastAsia" w:eastAsiaTheme="majorEastAsia" w:cstheme="majorEastAsia"/>
                <w:color w:val="auto"/>
                <w:kern w:val="0"/>
                <w:sz w:val="24"/>
                <w:szCs w:val="24"/>
                <w:highlight w:val="none"/>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5</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投标文件递交</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auto"/>
                <w:sz w:val="24"/>
                <w:szCs w:val="24"/>
                <w:highlight w:val="none"/>
              </w:rPr>
            </w:pPr>
            <w:r>
              <w:rPr>
                <w:rFonts w:hint="eastAsia" w:asciiTheme="majorEastAsia" w:hAnsiTheme="majorEastAsia" w:eastAsiaTheme="majorEastAsia" w:cstheme="majorEastAsia"/>
                <w:color w:val="auto"/>
                <w:sz w:val="24"/>
                <w:szCs w:val="24"/>
                <w:highlight w:val="none"/>
              </w:rPr>
              <w:t>截止时间：北京时间20</w:t>
            </w:r>
            <w:r>
              <w:rPr>
                <w:rFonts w:hint="eastAsia" w:ascii="宋体" w:hAnsi="宋体" w:cs="Arial"/>
                <w:color w:val="auto"/>
                <w:sz w:val="24"/>
                <w:szCs w:val="24"/>
                <w:highlight w:val="none"/>
                <w:lang w:val="en-US" w:eastAsia="zh-CN"/>
              </w:rPr>
              <w:t>19</w:t>
            </w:r>
            <w:r>
              <w:rPr>
                <w:rFonts w:hint="eastAsia" w:ascii="宋体" w:hAnsi="宋体" w:eastAsia="宋体" w:cs="宋体"/>
                <w:color w:val="auto"/>
                <w:sz w:val="24"/>
                <w:szCs w:val="24"/>
                <w:highlight w:val="none"/>
              </w:rPr>
              <w:t>年</w:t>
            </w:r>
            <w:r>
              <w:rPr>
                <w:rFonts w:hint="eastAsia" w:ascii="宋体" w:hAnsi="宋体" w:cs="Arial"/>
                <w:color w:val="auto"/>
                <w:sz w:val="24"/>
                <w:szCs w:val="24"/>
                <w:highlight w:val="none"/>
                <w:lang w:val="en-US" w:eastAsia="zh-CN"/>
              </w:rPr>
              <w:t>8</w:t>
            </w:r>
            <w:r>
              <w:rPr>
                <w:rFonts w:hint="eastAsia" w:ascii="宋体" w:hAnsi="宋体" w:eastAsia="宋体" w:cs="Arial"/>
                <w:color w:val="auto"/>
                <w:sz w:val="24"/>
                <w:szCs w:val="24"/>
                <w:highlight w:val="none"/>
              </w:rPr>
              <w:t>月</w:t>
            </w:r>
            <w:r>
              <w:rPr>
                <w:rFonts w:hint="eastAsia" w:ascii="宋体" w:hAnsi="宋体" w:cs="Arial"/>
                <w:color w:val="auto"/>
                <w:sz w:val="24"/>
                <w:szCs w:val="24"/>
                <w:highlight w:val="none"/>
                <w:lang w:val="en-US" w:eastAsia="zh-CN"/>
              </w:rPr>
              <w:t>9</w:t>
            </w:r>
            <w:r>
              <w:rPr>
                <w:rFonts w:hint="eastAsia" w:ascii="宋体" w:hAnsi="宋体" w:eastAsia="宋体" w:cs="Arial"/>
                <w:color w:val="auto"/>
                <w:sz w:val="24"/>
                <w:szCs w:val="24"/>
                <w:highlight w:val="none"/>
              </w:rPr>
              <w:t>日</w:t>
            </w:r>
            <w:r>
              <w:rPr>
                <w:rFonts w:hint="eastAsia" w:ascii="宋体" w:hAnsi="宋体" w:cs="Arial"/>
                <w:color w:val="auto"/>
                <w:sz w:val="24"/>
                <w:szCs w:val="24"/>
                <w:highlight w:val="none"/>
                <w:lang w:val="en-US" w:eastAsia="zh-CN"/>
              </w:rPr>
              <w:t>09</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p>
            <w:pPr>
              <w:spacing w:line="360" w:lineRule="auto"/>
              <w:rPr>
                <w:rFonts w:hint="eastAsia" w:eastAsia="宋体" w:asciiTheme="majorEastAsia" w:hAnsi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rPr>
              <w:t>递交地点：</w:t>
            </w:r>
            <w:r>
              <w:rPr>
                <w:rFonts w:hint="eastAsia" w:ascii="宋体" w:hAnsi="宋体" w:cs="宋体"/>
                <w:color w:val="auto"/>
                <w:sz w:val="24"/>
                <w:highlight w:val="none"/>
              </w:rPr>
              <w:t>玉环市公共资源交易中心二楼开标室（</w:t>
            </w:r>
            <w:r>
              <w:rPr>
                <w:rFonts w:hint="eastAsia" w:ascii="宋体" w:hAnsi="宋体" w:cs="宋体"/>
                <w:color w:val="auto"/>
                <w:sz w:val="24"/>
                <w:highlight w:val="none"/>
                <w:lang w:eastAsia="zh-CN"/>
              </w:rPr>
              <w:t>四</w:t>
            </w:r>
            <w:r>
              <w:rPr>
                <w:rFonts w:hint="eastAsia" w:ascii="宋体" w:hAnsi="宋体" w:cs="宋体"/>
                <w:color w:val="auto"/>
                <w:sz w:val="24"/>
                <w:highlight w:val="none"/>
              </w:rPr>
              <w:t>）（玉环市新城中路与长治路（南一路）交叉路口）</w:t>
            </w:r>
          </w:p>
          <w:p>
            <w:pPr>
              <w:spacing w:line="360" w:lineRule="auto"/>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6</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开标时间及地点</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时间：北京时间20</w:t>
            </w:r>
            <w:r>
              <w:rPr>
                <w:rFonts w:hint="eastAsia" w:ascii="宋体" w:hAnsi="宋体" w:cs="Arial"/>
                <w:color w:val="auto"/>
                <w:sz w:val="24"/>
                <w:szCs w:val="24"/>
                <w:highlight w:val="none"/>
                <w:lang w:val="en-US" w:eastAsia="zh-CN"/>
              </w:rPr>
              <w:t>19</w:t>
            </w:r>
            <w:r>
              <w:rPr>
                <w:rFonts w:hint="eastAsia" w:ascii="宋体" w:hAnsi="宋体" w:eastAsia="宋体" w:cs="宋体"/>
                <w:color w:val="auto"/>
                <w:sz w:val="24"/>
                <w:szCs w:val="24"/>
                <w:highlight w:val="none"/>
              </w:rPr>
              <w:t>年</w:t>
            </w:r>
            <w:r>
              <w:rPr>
                <w:rFonts w:hint="eastAsia" w:ascii="宋体" w:hAnsi="宋体" w:cs="Arial"/>
                <w:color w:val="auto"/>
                <w:sz w:val="24"/>
                <w:szCs w:val="24"/>
                <w:highlight w:val="none"/>
                <w:lang w:val="en-US" w:eastAsia="zh-CN"/>
              </w:rPr>
              <w:t>8</w:t>
            </w:r>
            <w:r>
              <w:rPr>
                <w:rFonts w:hint="eastAsia" w:ascii="宋体" w:hAnsi="宋体" w:eastAsia="宋体" w:cs="Arial"/>
                <w:color w:val="auto"/>
                <w:sz w:val="24"/>
                <w:szCs w:val="24"/>
                <w:highlight w:val="none"/>
              </w:rPr>
              <w:t>月</w:t>
            </w:r>
            <w:r>
              <w:rPr>
                <w:rFonts w:hint="eastAsia" w:ascii="宋体" w:hAnsi="宋体" w:cs="Arial"/>
                <w:color w:val="auto"/>
                <w:sz w:val="24"/>
                <w:szCs w:val="24"/>
                <w:highlight w:val="none"/>
                <w:lang w:val="en-US" w:eastAsia="zh-CN"/>
              </w:rPr>
              <w:t>9</w:t>
            </w:r>
            <w:r>
              <w:rPr>
                <w:rFonts w:hint="eastAsia" w:ascii="宋体" w:hAnsi="宋体" w:eastAsia="宋体" w:cs="Arial"/>
                <w:color w:val="auto"/>
                <w:sz w:val="24"/>
                <w:szCs w:val="24"/>
                <w:highlight w:val="none"/>
              </w:rPr>
              <w:t>日</w:t>
            </w:r>
            <w:r>
              <w:rPr>
                <w:rFonts w:hint="eastAsia" w:ascii="宋体" w:hAnsi="宋体" w:cs="Arial"/>
                <w:color w:val="auto"/>
                <w:sz w:val="24"/>
                <w:szCs w:val="24"/>
                <w:highlight w:val="none"/>
                <w:lang w:val="en-US" w:eastAsia="zh-CN"/>
              </w:rPr>
              <w:t>09</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p>
            <w:pPr>
              <w:spacing w:line="360" w:lineRule="auto"/>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地点：</w:t>
            </w:r>
            <w:r>
              <w:rPr>
                <w:rFonts w:hint="eastAsia" w:ascii="宋体" w:hAnsi="宋体" w:cs="宋体"/>
                <w:color w:val="auto"/>
                <w:sz w:val="24"/>
                <w:highlight w:val="none"/>
              </w:rPr>
              <w:t>玉环市公共资源交易中心二楼开标室（</w:t>
            </w:r>
            <w:r>
              <w:rPr>
                <w:rFonts w:hint="eastAsia" w:ascii="宋体" w:hAnsi="宋体" w:cs="宋体"/>
                <w:color w:val="auto"/>
                <w:sz w:val="24"/>
                <w:highlight w:val="none"/>
                <w:lang w:eastAsia="zh-CN"/>
              </w:rPr>
              <w:t>四</w:t>
            </w:r>
            <w:r>
              <w:rPr>
                <w:rFonts w:hint="eastAsia" w:ascii="宋体" w:hAnsi="宋体" w:cs="宋体"/>
                <w:color w:val="auto"/>
                <w:sz w:val="24"/>
                <w:highlight w:val="none"/>
              </w:rPr>
              <w:t>）（玉环市新城中路与长治路（南一路）交叉路口）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7</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投标保证金</w:t>
            </w:r>
          </w:p>
        </w:tc>
        <w:tc>
          <w:tcPr>
            <w:tcW w:w="613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8</w:t>
            </w:r>
          </w:p>
        </w:tc>
        <w:tc>
          <w:tcPr>
            <w:tcW w:w="19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履约保证金</w:t>
            </w:r>
          </w:p>
        </w:tc>
        <w:tc>
          <w:tcPr>
            <w:tcW w:w="6136"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left="0" w:leftChars="0"/>
              <w:rPr>
                <w:rFonts w:asciiTheme="majorEastAsia" w:hAnsiTheme="majorEastAsia" w:eastAsiaTheme="majorEastAsia" w:cstheme="majorEastAsia"/>
                <w:color w:val="auto"/>
                <w:sz w:val="24"/>
                <w:szCs w:val="24"/>
                <w:highlight w:val="none"/>
              </w:rPr>
            </w:pPr>
            <w:r>
              <w:rPr>
                <w:rFonts w:hint="eastAsia" w:ascii="宋体" w:hAnsi="宋体" w:eastAsia="宋体" w:cs="宋体"/>
                <w:color w:val="auto"/>
                <w:sz w:val="24"/>
                <w:szCs w:val="24"/>
                <w:highlight w:val="none"/>
              </w:rPr>
              <w:t>供应商在签订合同前须交纳本项目履约保证金为合同金额的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9</w:t>
            </w:r>
          </w:p>
        </w:tc>
        <w:tc>
          <w:tcPr>
            <w:tcW w:w="19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实质性条款</w:t>
            </w:r>
          </w:p>
        </w:tc>
        <w:tc>
          <w:tcPr>
            <w:tcW w:w="6136" w:type="dxa"/>
            <w:tcBorders>
              <w:top w:val="single" w:color="auto" w:sz="4" w:space="0"/>
              <w:left w:val="single" w:color="auto" w:sz="4" w:space="0"/>
              <w:bottom w:val="single" w:color="auto" w:sz="4" w:space="0"/>
              <w:right w:val="single" w:color="auto" w:sz="4" w:space="0"/>
            </w:tcBorders>
            <w:vAlign w:val="center"/>
          </w:tcPr>
          <w:p>
            <w:pPr>
              <w:pStyle w:val="13"/>
              <w:spacing w:line="360" w:lineRule="auto"/>
              <w:ind w:left="0" w:leftChars="0"/>
              <w:rPr>
                <w:rFonts w:asciiTheme="majorEastAsia" w:hAnsiTheme="majorEastAsia" w:eastAsiaTheme="majorEastAsia" w:cstheme="majorEastAsia"/>
                <w:color w:val="auto"/>
                <w:kern w:val="0"/>
                <w:sz w:val="24"/>
                <w:szCs w:val="24"/>
                <w:highlight w:val="none"/>
                <w:lang w:val="zh-CN"/>
              </w:rPr>
            </w:pPr>
            <w:r>
              <w:rPr>
                <w:rFonts w:hint="eastAsia" w:asciiTheme="majorEastAsia" w:hAnsiTheme="majorEastAsia" w:eastAsiaTheme="majorEastAsia" w:cstheme="majorEastAsia"/>
                <w:color w:val="auto"/>
                <w:kern w:val="0"/>
                <w:sz w:val="24"/>
                <w:szCs w:val="24"/>
                <w:highlight w:val="none"/>
                <w:lang w:val="zh-CN"/>
              </w:rPr>
              <w:t>带“</w:t>
            </w:r>
            <w:r>
              <w:rPr>
                <w:rFonts w:hint="eastAsia" w:asciiTheme="majorEastAsia" w:hAnsiTheme="majorEastAsia" w:eastAsiaTheme="majorEastAsia" w:cstheme="majorEastAsia"/>
                <w:bCs/>
                <w:color w:val="auto"/>
                <w:sz w:val="24"/>
                <w:szCs w:val="24"/>
                <w:highlight w:val="none"/>
              </w:rPr>
              <w:t>▲”的条款是实质性条款，投标文件须作出实质性</w:t>
            </w:r>
            <w:r>
              <w:rPr>
                <w:rFonts w:hint="eastAsia" w:ascii="宋体" w:hAnsi="宋体" w:eastAsia="宋体" w:cs="宋体"/>
                <w:color w:val="auto"/>
                <w:sz w:val="24"/>
                <w:szCs w:val="24"/>
                <w:highlight w:val="none"/>
                <w:lang w:val="en-US" w:eastAsia="zh-CN"/>
              </w:rPr>
              <w:t>响应</w:t>
            </w:r>
            <w:r>
              <w:rPr>
                <w:rFonts w:hint="eastAsia" w:asciiTheme="majorEastAsia" w:hAnsiTheme="majorEastAsia" w:eastAsiaTheme="majorEastAsia" w:cstheme="majorEastAsia"/>
                <w:bCs/>
                <w:color w:val="auto"/>
                <w:sz w:val="24"/>
                <w:szCs w:val="24"/>
                <w:highlight w:val="none"/>
              </w:rPr>
              <w:t>，否则作无效投标处理。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10</w:t>
            </w:r>
          </w:p>
        </w:tc>
        <w:tc>
          <w:tcPr>
            <w:tcW w:w="19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Theme="majorEastAsia" w:hAnsiTheme="majorEastAsia" w:eastAsiaTheme="majorEastAsia" w:cstheme="majorEastAsia"/>
                <w:color w:val="auto"/>
                <w:sz w:val="24"/>
                <w:szCs w:val="24"/>
                <w:highlight w:val="none"/>
                <w:lang w:val="zh-CN"/>
              </w:rPr>
            </w:pPr>
            <w:r>
              <w:rPr>
                <w:rFonts w:hint="eastAsia" w:asciiTheme="majorEastAsia" w:hAnsiTheme="majorEastAsia" w:eastAsiaTheme="majorEastAsia" w:cstheme="majorEastAsia"/>
                <w:color w:val="auto"/>
                <w:sz w:val="24"/>
                <w:szCs w:val="24"/>
                <w:highlight w:val="none"/>
                <w:lang w:val="zh-CN"/>
              </w:rPr>
              <w:t>工期及服务期限</w:t>
            </w:r>
          </w:p>
        </w:tc>
        <w:tc>
          <w:tcPr>
            <w:tcW w:w="61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50" w:hanging="1050"/>
              <w:jc w:val="both"/>
              <w:rPr>
                <w:rFonts w:hint="eastAsia" w:asciiTheme="majorEastAsia" w:hAnsiTheme="majorEastAsia" w:eastAsiaTheme="majorEastAsia" w:cstheme="majorEastAsia"/>
                <w:color w:val="auto"/>
                <w:sz w:val="24"/>
                <w:highlight w:val="none"/>
                <w:lang w:val="en-US" w:eastAsia="zh-CN"/>
              </w:rPr>
            </w:pPr>
            <w:r>
              <w:rPr>
                <w:rFonts w:hint="eastAsia" w:asciiTheme="majorEastAsia" w:hAnsiTheme="majorEastAsia" w:eastAsiaTheme="majorEastAsia" w:cstheme="majorEastAsia"/>
                <w:color w:val="auto"/>
                <w:sz w:val="24"/>
                <w:highlight w:val="none"/>
                <w:lang w:val="en-US" w:eastAsia="zh-CN"/>
              </w:rPr>
              <w:t>工期：2019年11月15日前完成。</w:t>
            </w:r>
          </w:p>
          <w:p>
            <w:pPr>
              <w:pStyle w:val="13"/>
              <w:spacing w:line="360" w:lineRule="auto"/>
              <w:ind w:left="0" w:leftChars="0"/>
              <w:rPr>
                <w:rFonts w:hint="eastAsia" w:asciiTheme="majorEastAsia" w:hAnsiTheme="majorEastAsia" w:eastAsiaTheme="majorEastAsia" w:cstheme="majorEastAsia"/>
                <w:color w:val="auto"/>
                <w:kern w:val="0"/>
                <w:sz w:val="24"/>
                <w:szCs w:val="24"/>
                <w:highlight w:val="none"/>
                <w:lang w:val="zh-CN"/>
              </w:rPr>
            </w:pPr>
            <w:r>
              <w:rPr>
                <w:rFonts w:hint="eastAsia" w:asciiTheme="majorEastAsia" w:hAnsiTheme="majorEastAsia" w:eastAsiaTheme="majorEastAsia" w:cstheme="majorEastAsia"/>
                <w:color w:val="auto"/>
                <w:sz w:val="24"/>
                <w:highlight w:val="none"/>
                <w:lang w:val="en-US" w:eastAsia="zh-CN"/>
              </w:rPr>
              <w:t>运营服务期为服务准入验收合格后36个月，所有设备须</w:t>
            </w:r>
            <w:r>
              <w:rPr>
                <w:rFonts w:hint="eastAsia" w:ascii="宋体" w:hAnsi="宋体" w:eastAsia="宋体" w:cs="宋体"/>
                <w:color w:val="auto"/>
                <w:sz w:val="24"/>
                <w:szCs w:val="24"/>
                <w:highlight w:val="none"/>
                <w:lang w:val="en-US" w:eastAsia="zh-CN"/>
              </w:rPr>
              <w:t>提供</w:t>
            </w:r>
            <w:r>
              <w:rPr>
                <w:rFonts w:hint="eastAsia" w:asciiTheme="majorEastAsia" w:hAnsiTheme="majorEastAsia" w:eastAsiaTheme="majorEastAsia" w:cstheme="majorEastAsia"/>
                <w:color w:val="auto"/>
                <w:sz w:val="24"/>
                <w:highlight w:val="none"/>
                <w:lang w:val="en-US" w:eastAsia="zh-CN"/>
              </w:rPr>
              <w:t>原厂三年质保。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highlight w:val="none"/>
                <w:lang w:val="en-US" w:eastAsia="zh-CN"/>
              </w:rPr>
              <w:t>11</w:t>
            </w:r>
          </w:p>
        </w:tc>
        <w:tc>
          <w:tcPr>
            <w:tcW w:w="19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解释权</w:t>
            </w:r>
          </w:p>
        </w:tc>
        <w:tc>
          <w:tcPr>
            <w:tcW w:w="61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本招标文件解释权属于采购人和</w:t>
            </w:r>
            <w:r>
              <w:rPr>
                <w:rFonts w:hint="eastAsia" w:cs="Arial" w:asciiTheme="minorEastAsia" w:hAnsiTheme="minorEastAsia" w:eastAsiaTheme="minorEastAsia"/>
                <w:color w:val="auto"/>
                <w:kern w:val="2"/>
                <w:sz w:val="24"/>
                <w:szCs w:val="24"/>
                <w:highlight w:val="none"/>
                <w:lang w:val="en-US" w:eastAsia="zh-CN" w:bidi="ar-SA"/>
              </w:rPr>
              <w:t>采购代理机构</w:t>
            </w:r>
          </w:p>
        </w:tc>
      </w:tr>
    </w:tbl>
    <w:p>
      <w:pPr>
        <w:pStyle w:val="2"/>
        <w:snapToGrid w:val="0"/>
        <w:spacing w:before="120" w:after="120"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一 、总  则</w:t>
      </w:r>
    </w:p>
    <w:p>
      <w:pPr>
        <w:snapToGrid w:val="0"/>
        <w:spacing w:line="360" w:lineRule="auto"/>
        <w:ind w:firstLine="472" w:firstLineChars="196"/>
        <w:jc w:val="left"/>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（一）</w:t>
      </w:r>
      <w:r>
        <w:rPr>
          <w:rFonts w:asciiTheme="minorEastAsia" w:hAnsiTheme="minorEastAsia" w:eastAsiaTheme="minorEastAsia"/>
          <w:b/>
          <w:color w:val="auto"/>
          <w:sz w:val="24"/>
          <w:szCs w:val="24"/>
          <w:highlight w:val="none"/>
        </w:rPr>
        <w:t xml:space="preserve"> 适用范围</w:t>
      </w:r>
    </w:p>
    <w:p>
      <w:pPr>
        <w:snapToGri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本招标文件适用于</w:t>
      </w:r>
      <w:r>
        <w:rPr>
          <w:rFonts w:hint="eastAsia" w:asciiTheme="minorEastAsia" w:hAnsiTheme="minorEastAsia" w:eastAsiaTheme="minorEastAsia"/>
          <w:bCs/>
          <w:color w:val="auto"/>
          <w:sz w:val="24"/>
          <w:szCs w:val="24"/>
          <w:highlight w:val="none"/>
        </w:rPr>
        <w:t>本次</w:t>
      </w:r>
      <w:r>
        <w:rPr>
          <w:rFonts w:hint="eastAsia" w:asciiTheme="minorEastAsia" w:hAnsiTheme="minorEastAsia" w:eastAsiaTheme="minorEastAsia"/>
          <w:color w:val="auto"/>
          <w:sz w:val="24"/>
          <w:szCs w:val="24"/>
          <w:highlight w:val="none"/>
        </w:rPr>
        <w:t>项目的招标、投标、评标、定标、验收、合同履约、付款等行为（法律、法规另有规定的，从其规定）。</w:t>
      </w:r>
    </w:p>
    <w:p>
      <w:pPr>
        <w:snapToGrid w:val="0"/>
        <w:spacing w:beforeLines="50" w:line="360" w:lineRule="auto"/>
        <w:ind w:firstLine="354" w:firstLineChars="147"/>
        <w:jc w:val="left"/>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（二）定义</w:t>
      </w:r>
    </w:p>
    <w:p>
      <w:pPr>
        <w:pStyle w:val="5"/>
        <w:keepNext w:val="0"/>
        <w:keepLines w:val="0"/>
        <w:tabs>
          <w:tab w:val="left" w:pos="0"/>
          <w:tab w:val="left" w:pos="851"/>
        </w:tabs>
        <w:autoSpaceDE w:val="0"/>
        <w:autoSpaceDN w:val="0"/>
        <w:adjustRightInd w:val="0"/>
        <w:snapToGrid w:val="0"/>
        <w:spacing w:before="0" w:after="0"/>
        <w:ind w:firstLine="566" w:firstLineChars="236"/>
        <w:jc w:val="left"/>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color w:val="auto"/>
          <w:sz w:val="24"/>
          <w:szCs w:val="24"/>
          <w:highlight w:val="none"/>
        </w:rPr>
        <w:t>1、</w:t>
      </w:r>
      <w:r>
        <w:rPr>
          <w:rFonts w:hint="eastAsia" w:ascii="宋体" w:hAnsi="宋体" w:eastAsia="宋体"/>
          <w:b w:val="0"/>
          <w:bCs w:val="0"/>
          <w:color w:val="auto"/>
          <w:sz w:val="24"/>
          <w:szCs w:val="24"/>
          <w:highlight w:val="none"/>
          <w:lang w:val="zh-CN"/>
        </w:rPr>
        <w:t>“采购组织机构”指采购人委托组织</w:t>
      </w:r>
      <w:r>
        <w:rPr>
          <w:rFonts w:hint="eastAsia" w:ascii="宋体" w:hAnsi="宋体"/>
          <w:b w:val="0"/>
          <w:bCs w:val="0"/>
          <w:color w:val="auto"/>
          <w:sz w:val="24"/>
          <w:szCs w:val="24"/>
          <w:highlight w:val="none"/>
          <w:lang w:val="zh-CN"/>
        </w:rPr>
        <w:t>招标</w:t>
      </w:r>
      <w:r>
        <w:rPr>
          <w:rFonts w:hint="eastAsia" w:ascii="宋体" w:hAnsi="宋体" w:eastAsia="宋体"/>
          <w:b w:val="0"/>
          <w:bCs w:val="0"/>
          <w:color w:val="auto"/>
          <w:sz w:val="24"/>
          <w:szCs w:val="24"/>
          <w:highlight w:val="none"/>
          <w:lang w:val="zh-CN"/>
        </w:rPr>
        <w:t>的采购代理机构。</w:t>
      </w:r>
    </w:p>
    <w:p>
      <w:pPr>
        <w:snapToGrid w:val="0"/>
        <w:spacing w:line="360" w:lineRule="auto"/>
        <w:ind w:firstLine="566" w:firstLineChars="23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2、采购人：是指委托采购代理机构采购本次项目的国家机关、事业单位和团体组织。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r>
        <w:rPr>
          <w:rFonts w:asciiTheme="minorEastAsia" w:hAnsiTheme="minorEastAsia" w:eastAsiaTheme="minorEastAsia"/>
          <w:color w:val="auto"/>
          <w:sz w:val="24"/>
          <w:szCs w:val="24"/>
          <w:highlight w:val="none"/>
        </w:rPr>
        <w:t>投标人</w:t>
      </w:r>
      <w:r>
        <w:rPr>
          <w:rFonts w:hint="eastAsia" w:asciiTheme="minorEastAsia" w:hAnsiTheme="minorEastAsia" w:eastAsiaTheme="minorEastAsia"/>
          <w:color w:val="auto"/>
          <w:sz w:val="24"/>
          <w:szCs w:val="24"/>
          <w:highlight w:val="none"/>
        </w:rPr>
        <w:t>：是</w:t>
      </w:r>
      <w:r>
        <w:rPr>
          <w:rFonts w:asciiTheme="minorEastAsia" w:hAnsiTheme="minorEastAsia" w:eastAsiaTheme="minorEastAsia"/>
          <w:color w:val="auto"/>
          <w:sz w:val="24"/>
          <w:szCs w:val="24"/>
          <w:highlight w:val="none"/>
        </w:rPr>
        <w:t>指向</w:t>
      </w:r>
      <w:r>
        <w:rPr>
          <w:rFonts w:hint="eastAsia" w:asciiTheme="minorEastAsia" w:hAnsiTheme="minorEastAsia" w:eastAsiaTheme="minorEastAsia"/>
          <w:color w:val="auto"/>
          <w:sz w:val="24"/>
          <w:szCs w:val="24"/>
          <w:highlight w:val="none"/>
        </w:rPr>
        <w:t>采购</w:t>
      </w:r>
      <w:r>
        <w:rPr>
          <w:rFonts w:hint="eastAsia" w:ascii="宋体" w:hAnsi="宋体" w:eastAsia="宋体"/>
          <w:b w:val="0"/>
          <w:bCs w:val="0"/>
          <w:color w:val="auto"/>
          <w:sz w:val="24"/>
          <w:szCs w:val="24"/>
          <w:highlight w:val="none"/>
          <w:lang w:val="zh-CN"/>
        </w:rPr>
        <w:t>组织</w:t>
      </w:r>
      <w:r>
        <w:rPr>
          <w:rFonts w:hint="eastAsia" w:asciiTheme="minorEastAsia" w:hAnsiTheme="minorEastAsia" w:eastAsiaTheme="minorEastAsia"/>
          <w:color w:val="auto"/>
          <w:sz w:val="24"/>
          <w:szCs w:val="24"/>
          <w:highlight w:val="none"/>
        </w:rPr>
        <w:t>机构</w:t>
      </w:r>
      <w:r>
        <w:rPr>
          <w:rFonts w:asciiTheme="minorEastAsia" w:hAnsiTheme="minorEastAsia" w:eastAsiaTheme="minorEastAsia"/>
          <w:color w:val="auto"/>
          <w:sz w:val="24"/>
          <w:szCs w:val="24"/>
          <w:highlight w:val="none"/>
        </w:rPr>
        <w:t>提交投标文件的单位或个人。</w:t>
      </w:r>
    </w:p>
    <w:p>
      <w:pPr>
        <w:snapToGrid w:val="0"/>
        <w:spacing w:line="360" w:lineRule="auto"/>
        <w:ind w:left="424" w:leftChars="202" w:firstLine="143"/>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r>
        <w:rPr>
          <w:rFonts w:asciiTheme="minorEastAsia" w:hAnsiTheme="minorEastAsia" w:eastAsiaTheme="minorEastAsia"/>
          <w:color w:val="auto"/>
          <w:sz w:val="24"/>
          <w:szCs w:val="24"/>
          <w:highlight w:val="none"/>
        </w:rPr>
        <w:t>货物</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szCs w:val="24"/>
          <w:highlight w:val="none"/>
        </w:rPr>
        <w:t>5、</w:t>
      </w:r>
      <w:r>
        <w:rPr>
          <w:rFonts w:asciiTheme="minorEastAsia" w:hAnsiTheme="minorEastAsia" w:eastAsiaTheme="minorEastAsia"/>
          <w:color w:val="auto"/>
          <w:sz w:val="24"/>
          <w:szCs w:val="24"/>
          <w:highlight w:val="none"/>
        </w:rPr>
        <w:t>服务</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r>
        <w:rPr>
          <w:rFonts w:asciiTheme="minorEastAsia" w:hAnsiTheme="minorEastAsia" w:eastAsiaTheme="minorEastAsia"/>
          <w:color w:val="auto"/>
          <w:sz w:val="24"/>
          <w:szCs w:val="24"/>
          <w:highlight w:val="none"/>
        </w:rPr>
        <w:t>“书面形式”包括信函、传真等。</w:t>
      </w:r>
    </w:p>
    <w:p>
      <w:pPr>
        <w:snapToGrid w:val="0"/>
        <w:spacing w:line="360" w:lineRule="auto"/>
        <w:ind w:firstLine="566" w:firstLineChars="236"/>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r>
        <w:rPr>
          <w:rFonts w:asciiTheme="minorEastAsia" w:hAnsiTheme="minorEastAsia" w:eastAsiaTheme="minorEastAsia"/>
          <w:color w:val="auto"/>
          <w:sz w:val="24"/>
          <w:szCs w:val="24"/>
          <w:highlight w:val="none"/>
        </w:rPr>
        <w:t>“▲”系指实质性要求条款。</w:t>
      </w:r>
    </w:p>
    <w:p>
      <w:pPr>
        <w:snapToGrid w:val="0"/>
        <w:spacing w:beforeLines="50" w:line="360" w:lineRule="auto"/>
        <w:ind w:firstLine="472" w:firstLineChars="196"/>
        <w:jc w:val="left"/>
        <w:outlineLvl w:val="1"/>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（三）投标费用</w:t>
      </w:r>
    </w:p>
    <w:p>
      <w:pPr>
        <w:snapToGri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不论投标结果如何，投标人均应自行承担所有与投标有关的全部费用（招标文件有相关规定除外）。</w:t>
      </w:r>
    </w:p>
    <w:p>
      <w:pPr>
        <w:pStyle w:val="2"/>
        <w:snapToGrid w:val="0"/>
        <w:spacing w:line="360" w:lineRule="auto"/>
        <w:ind w:left="2" w:leftChars="1" w:firstLine="482" w:firstLineChars="200"/>
        <w:rPr>
          <w:rFonts w:hAnsi="宋体"/>
          <w:b/>
          <w:color w:val="auto"/>
          <w:sz w:val="24"/>
          <w:szCs w:val="24"/>
          <w:highlight w:val="none"/>
        </w:rPr>
      </w:pPr>
      <w:r>
        <w:rPr>
          <w:rFonts w:hint="eastAsia" w:hAnsi="宋体"/>
          <w:b/>
          <w:color w:val="auto"/>
          <w:sz w:val="24"/>
          <w:szCs w:val="24"/>
          <w:highlight w:val="none"/>
        </w:rPr>
        <w:t>（四）特别说明</w:t>
      </w:r>
    </w:p>
    <w:p>
      <w:pPr>
        <w:pStyle w:val="2"/>
        <w:snapToGrid w:val="0"/>
        <w:spacing w:line="360" w:lineRule="auto"/>
        <w:ind w:left="2" w:leftChars="1"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r>
        <w:rPr>
          <w:rFonts w:asciiTheme="minorEastAsia" w:hAnsiTheme="minorEastAsia" w:eastAsiaTheme="minorEastAsia"/>
          <w:color w:val="auto"/>
          <w:sz w:val="24"/>
          <w:szCs w:val="24"/>
          <w:highlight w:val="none"/>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color w:val="auto"/>
          <w:sz w:val="24"/>
          <w:szCs w:val="24"/>
          <w:highlight w:val="none"/>
        </w:rPr>
        <w:t>指</w:t>
      </w:r>
      <w:r>
        <w:rPr>
          <w:rFonts w:asciiTheme="minorEastAsia" w:hAnsiTheme="minorEastAsia" w:eastAsiaTheme="minorEastAsia"/>
          <w:color w:val="auto"/>
          <w:sz w:val="24"/>
          <w:szCs w:val="24"/>
          <w:highlight w:val="none"/>
        </w:rPr>
        <w:t>本法人或控股公司正式员工）。</w:t>
      </w:r>
    </w:p>
    <w:p>
      <w:pPr>
        <w:spacing w:line="360" w:lineRule="auto"/>
        <w:ind w:firstLine="480" w:firstLineChars="200"/>
        <w:rPr>
          <w:rFonts w:asciiTheme="minorEastAsia" w:hAnsiTheme="minorEastAsia" w:eastAsiaTheme="minorEastAsia" w:cstheme="minorBidi"/>
          <w:color w:val="auto"/>
          <w:sz w:val="24"/>
          <w:szCs w:val="24"/>
          <w:highlight w:val="none"/>
        </w:rPr>
      </w:pPr>
      <w:r>
        <w:rPr>
          <w:rFonts w:hint="eastAsia" w:asciiTheme="minorEastAsia" w:hAnsiTheme="minorEastAsia" w:eastAsiaTheme="minorEastAsia" w:cstheme="minorBidi"/>
          <w:color w:val="auto"/>
          <w:sz w:val="24"/>
          <w:szCs w:val="24"/>
          <w:highlight w:val="none"/>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color w:val="auto"/>
          <w:sz w:val="24"/>
          <w:szCs w:val="24"/>
          <w:highlight w:val="none"/>
        </w:rPr>
        <w:tab/>
      </w:r>
    </w:p>
    <w:p>
      <w:pPr>
        <w:pStyle w:val="24"/>
        <w:snapToGrid w:val="0"/>
        <w:spacing w:line="360" w:lineRule="auto"/>
        <w:ind w:firstLineChars="0"/>
        <w:rPr>
          <w:rFonts w:asciiTheme="minorEastAsia" w:hAnsiTheme="minorEastAsia" w:eastAsiaTheme="minorEastAsia" w:cstheme="minorBidi"/>
          <w:color w:val="auto"/>
          <w:sz w:val="24"/>
          <w:szCs w:val="24"/>
          <w:highlight w:val="none"/>
        </w:rPr>
      </w:pPr>
      <w:r>
        <w:rPr>
          <w:rFonts w:hint="eastAsia" w:asciiTheme="minorEastAsia" w:hAnsiTheme="minorEastAsia" w:eastAsiaTheme="minorEastAsia" w:cstheme="minorBidi"/>
          <w:color w:val="auto"/>
          <w:sz w:val="24"/>
          <w:szCs w:val="24"/>
          <w:highlight w:val="none"/>
        </w:rPr>
        <w:t>3、</w:t>
      </w:r>
      <w:r>
        <w:rPr>
          <w:rFonts w:asciiTheme="minorEastAsia" w:hAnsiTheme="minorEastAsia" w:eastAsiaTheme="minorEastAsia" w:cstheme="minorBidi"/>
          <w:color w:val="auto"/>
          <w:sz w:val="24"/>
          <w:szCs w:val="24"/>
          <w:highlight w:val="none"/>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color w:val="auto"/>
          <w:sz w:val="24"/>
          <w:szCs w:val="24"/>
          <w:highlight w:val="none"/>
        </w:rPr>
        <w:t>，</w:t>
      </w:r>
      <w:r>
        <w:rPr>
          <w:rFonts w:asciiTheme="minorEastAsia" w:hAnsiTheme="minorEastAsia" w:eastAsiaTheme="minorEastAsia" w:cstheme="minorBidi"/>
          <w:color w:val="auto"/>
          <w:sz w:val="24"/>
          <w:szCs w:val="24"/>
          <w:highlight w:val="none"/>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color w:val="auto"/>
          <w:sz w:val="24"/>
          <w:szCs w:val="24"/>
          <w:highlight w:val="none"/>
        </w:rPr>
        <w:t>。</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4、投标人不得相互串通投标报价，不得妨碍其他投标人的公平竞争，不得损害采购人或其他投标人的合法权益，投标人不得以向采购人、评标委员会成员行贿或者采取其他不正当手段谋取中标。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5、为采购项目提供整体设计、规范编制或者项目管理、监理、检测等服务的供应商，不得再参加该采购项目的其他采购活动。</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6、投标文件格式中的表格式样可以根据项目差别做适当调整,但应当保持表格样式基本形态不变。</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7、单位负责人为同一人或者存在直接控股、管理关系的不同供应商，不得参加同一合同项下的政府采购活动。</w:t>
      </w:r>
    </w:p>
    <w:p>
      <w:pPr>
        <w:pStyle w:val="5"/>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auto"/>
          <w:sz w:val="24"/>
          <w:szCs w:val="24"/>
          <w:highlight w:val="none"/>
        </w:rPr>
      </w:pPr>
      <w:r>
        <w:rPr>
          <w:rFonts w:hint="eastAsia" w:asciiTheme="minorEastAsia" w:hAnsiTheme="minorEastAsia" w:eastAsiaTheme="minorEastAsia"/>
          <w:b w:val="0"/>
          <w:bCs w:val="0"/>
          <w:color w:val="auto"/>
          <w:sz w:val="24"/>
          <w:szCs w:val="24"/>
          <w:highlight w:val="none"/>
        </w:rPr>
        <w:t>8、本项目不允许分包。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color w:val="auto"/>
          <w:kern w:val="0"/>
          <w:sz w:val="24"/>
          <w:szCs w:val="24"/>
          <w:highlight w:val="none"/>
        </w:rPr>
      </w:pPr>
      <w:r>
        <w:rPr>
          <w:rFonts w:hint="eastAsia" w:asciiTheme="minorEastAsia" w:hAnsiTheme="minorEastAsia" w:eastAsiaTheme="minorEastAsia"/>
          <w:b/>
          <w:color w:val="auto"/>
          <w:kern w:val="0"/>
          <w:sz w:val="24"/>
          <w:szCs w:val="24"/>
          <w:highlight w:val="none"/>
        </w:rPr>
        <w:t>二、招标文件</w:t>
      </w:r>
    </w:p>
    <w:p>
      <w:pPr>
        <w:autoSpaceDE w:val="0"/>
        <w:autoSpaceDN w:val="0"/>
        <w:adjustRightInd w:val="0"/>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可视采购具体情况对已发出的招标文件进行必要的澄清或者修改。澄清或者修改的内容可能影响投标文件编制的，采购人或者</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应当在投标截止时间至少15日前，在原公告发布媒体上发布澄清公告，澄清或者修改的内容为招标文件的组成部分；不足15日的，采购人或者</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 xml:space="preserve">应当顺延提交投标文件的截止时间。 </w:t>
      </w:r>
    </w:p>
    <w:p>
      <w:pPr>
        <w:autoSpaceDE w:val="0"/>
        <w:autoSpaceDN w:val="0"/>
        <w:adjustRightInd w:val="0"/>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w:t>
      </w:r>
      <w:r>
        <w:rPr>
          <w:rFonts w:asciiTheme="minorEastAsia" w:hAnsiTheme="minorEastAsia" w:eastAsiaTheme="minorEastAsia"/>
          <w:color w:val="auto"/>
          <w:kern w:val="0"/>
          <w:sz w:val="24"/>
          <w:szCs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olor w:val="auto"/>
          <w:kern w:val="0"/>
          <w:sz w:val="24"/>
          <w:szCs w:val="24"/>
          <w:highlight w:val="none"/>
        </w:rPr>
        <w:t>。</w:t>
      </w:r>
    </w:p>
    <w:p>
      <w:pPr>
        <w:tabs>
          <w:tab w:val="left" w:pos="1418"/>
        </w:tabs>
        <w:autoSpaceDE w:val="0"/>
        <w:autoSpaceDN w:val="0"/>
        <w:adjustRightInd w:val="0"/>
        <w:spacing w:line="360" w:lineRule="auto"/>
        <w:rPr>
          <w:rFonts w:asciiTheme="minorEastAsia" w:hAnsiTheme="minorEastAsia" w:eastAsiaTheme="minorEastAsia"/>
          <w:b/>
          <w:color w:val="auto"/>
          <w:kern w:val="0"/>
          <w:sz w:val="24"/>
          <w:szCs w:val="24"/>
          <w:highlight w:val="none"/>
        </w:rPr>
      </w:pPr>
      <w:r>
        <w:rPr>
          <w:rFonts w:hint="eastAsia" w:asciiTheme="minorEastAsia" w:hAnsiTheme="minorEastAsia" w:eastAsiaTheme="minorEastAsia"/>
          <w:b/>
          <w:color w:val="auto"/>
          <w:kern w:val="0"/>
          <w:sz w:val="24"/>
          <w:szCs w:val="24"/>
          <w:highlight w:val="none"/>
        </w:rPr>
        <w:t xml:space="preserve"> 三、投标文件</w:t>
      </w:r>
    </w:p>
    <w:p>
      <w:pPr>
        <w:autoSpaceDE w:val="0"/>
        <w:autoSpaceDN w:val="0"/>
        <w:adjustRightInd w:val="0"/>
        <w:spacing w:line="360" w:lineRule="auto"/>
        <w:ind w:firstLine="482" w:firstLineChars="200"/>
        <w:rPr>
          <w:rFonts w:asciiTheme="minorEastAsia" w:hAnsiTheme="minorEastAsia" w:eastAsiaTheme="minorEastAsia"/>
          <w:b/>
          <w:bCs/>
          <w:color w:val="auto"/>
          <w:kern w:val="0"/>
          <w:sz w:val="24"/>
          <w:szCs w:val="24"/>
          <w:highlight w:val="none"/>
        </w:rPr>
      </w:pPr>
      <w:r>
        <w:rPr>
          <w:rFonts w:hint="eastAsia" w:ascii="宋体"/>
          <w:b/>
          <w:color w:val="auto"/>
          <w:sz w:val="24"/>
          <w:szCs w:val="24"/>
          <w:highlight w:val="none"/>
          <w:lang w:val="zh-CN"/>
        </w:rPr>
        <w:t>（一）</w:t>
      </w:r>
      <w:r>
        <w:rPr>
          <w:rFonts w:hint="eastAsia" w:asciiTheme="minorEastAsia" w:hAnsiTheme="minorEastAsia" w:eastAsiaTheme="minorEastAsia"/>
          <w:b/>
          <w:bCs/>
          <w:color w:val="auto"/>
          <w:kern w:val="0"/>
          <w:sz w:val="24"/>
          <w:szCs w:val="24"/>
          <w:highlight w:val="none"/>
        </w:rPr>
        <w:t>投标文件的组成</w:t>
      </w:r>
    </w:p>
    <w:p>
      <w:pPr>
        <w:snapToGrid w:val="0"/>
        <w:spacing w:line="360" w:lineRule="auto"/>
        <w:ind w:firstLine="480" w:firstLineChars="200"/>
        <w:rPr>
          <w:rFonts w:ascii="仿宋_GB2312" w:hAnsi="仿宋_GB2312" w:eastAsia="仿宋_GB2312" w:cs="仿宋_GB2312"/>
          <w:color w:val="auto"/>
          <w:sz w:val="24"/>
          <w:szCs w:val="24"/>
          <w:highlight w:val="none"/>
          <w:lang w:val="zh-CN"/>
        </w:rPr>
      </w:pPr>
      <w:r>
        <w:rPr>
          <w:rFonts w:hint="eastAsia" w:asciiTheme="minorEastAsia" w:hAnsiTheme="minorEastAsia" w:eastAsiaTheme="minorEastAsia"/>
          <w:color w:val="auto"/>
          <w:kern w:val="0"/>
          <w:sz w:val="24"/>
          <w:szCs w:val="24"/>
          <w:highlight w:val="none"/>
        </w:rPr>
        <w:t xml:space="preserve">  投标人接到招标文件后，按照</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的要求提供：资格证明文件、商务与技术文件和报价文件。</w:t>
      </w:r>
      <w:r>
        <w:rPr>
          <w:rFonts w:hint="eastAsia" w:asciiTheme="minorEastAsia" w:hAnsiTheme="minorEastAsia" w:eastAsiaTheme="minorEastAsia"/>
          <w:color w:val="auto"/>
          <w:kern w:val="0"/>
          <w:sz w:val="24"/>
          <w:szCs w:val="24"/>
          <w:highlight w:val="none"/>
          <w:lang w:val="zh-CN"/>
        </w:rPr>
        <w:t>【特别提示：如有要求提供资料原件的，原件另行包装，并与投标文件一起提交，投标截止时间后所有原件不予接收。资料原件也可以用与原件相符的公证原件替代】</w:t>
      </w:r>
    </w:p>
    <w:p>
      <w:pPr>
        <w:snapToGrid w:val="0"/>
        <w:spacing w:line="360" w:lineRule="auto"/>
        <w:ind w:firstLine="482" w:firstLineChars="200"/>
        <w:rPr>
          <w:rFonts w:asciiTheme="minorEastAsia" w:hAnsiTheme="minorEastAsia" w:eastAsiaTheme="minorEastAsia"/>
          <w:color w:val="auto"/>
          <w:kern w:val="0"/>
          <w:sz w:val="24"/>
          <w:szCs w:val="24"/>
          <w:highlight w:val="none"/>
        </w:rPr>
      </w:pPr>
      <w:r>
        <w:rPr>
          <w:rFonts w:hint="eastAsia" w:ascii="宋体" w:hAnsi="宋体" w:cs="宋体"/>
          <w:b/>
          <w:color w:val="auto"/>
          <w:sz w:val="24"/>
          <w:szCs w:val="24"/>
          <w:highlight w:val="none"/>
        </w:rPr>
        <w:t>▲</w:t>
      </w:r>
      <w:r>
        <w:rPr>
          <w:rFonts w:hint="eastAsia" w:asciiTheme="minorEastAsia" w:hAnsiTheme="minorEastAsia" w:eastAsiaTheme="minorEastAsia"/>
          <w:b/>
          <w:color w:val="auto"/>
          <w:sz w:val="24"/>
          <w:szCs w:val="24"/>
          <w:highlight w:val="none"/>
        </w:rPr>
        <w:t>1、资格证明</w:t>
      </w:r>
      <w:r>
        <w:rPr>
          <w:rFonts w:asciiTheme="minorEastAsia" w:hAnsiTheme="minorEastAsia" w:eastAsiaTheme="minorEastAsia"/>
          <w:b/>
          <w:color w:val="auto"/>
          <w:sz w:val="24"/>
          <w:szCs w:val="24"/>
          <w:highlight w:val="none"/>
        </w:rPr>
        <w:t>文件</w:t>
      </w:r>
      <w:r>
        <w:rPr>
          <w:rFonts w:hint="eastAsia" w:ascii="宋体" w:hAnsi="宋体"/>
          <w:b/>
          <w:color w:val="auto"/>
          <w:sz w:val="24"/>
          <w:szCs w:val="24"/>
          <w:highlight w:val="none"/>
        </w:rPr>
        <w:t>的组成：</w:t>
      </w:r>
    </w:p>
    <w:p>
      <w:pPr>
        <w:widowControl/>
        <w:numPr>
          <w:ilvl w:val="0"/>
          <w:numId w:val="6"/>
        </w:numPr>
        <w:spacing w:line="360" w:lineRule="auto"/>
        <w:ind w:right="60" w:firstLine="472" w:firstLineChars="197"/>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投标声明书；</w:t>
      </w:r>
    </w:p>
    <w:p>
      <w:pPr>
        <w:widowControl/>
        <w:numPr>
          <w:ilvl w:val="0"/>
          <w:numId w:val="6"/>
        </w:numPr>
        <w:spacing w:line="360" w:lineRule="auto"/>
        <w:ind w:right="60" w:firstLine="472" w:firstLineChars="197"/>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授权委托书（法定代表人亲自办理投标事宜的，则无需提交)；</w:t>
      </w:r>
    </w:p>
    <w:p>
      <w:pPr>
        <w:widowControl/>
        <w:numPr>
          <w:ilvl w:val="0"/>
          <w:numId w:val="6"/>
        </w:numPr>
        <w:spacing w:line="360" w:lineRule="auto"/>
        <w:ind w:right="60" w:firstLine="472" w:firstLineChars="197"/>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法人或者其他组织的营业执照等证明文件，自然人的身份证明；</w:t>
      </w:r>
    </w:p>
    <w:p>
      <w:pPr>
        <w:widowControl/>
        <w:numPr>
          <w:ilvl w:val="0"/>
          <w:numId w:val="6"/>
        </w:numPr>
        <w:spacing w:line="360" w:lineRule="auto"/>
        <w:ind w:right="60" w:firstLine="472" w:firstLineChars="197"/>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财务状况报告，依法缴纳税收和社会保障资金的相关材料；</w:t>
      </w:r>
    </w:p>
    <w:p>
      <w:pPr>
        <w:widowControl/>
        <w:numPr>
          <w:ilvl w:val="0"/>
          <w:numId w:val="6"/>
        </w:numPr>
        <w:spacing w:line="360" w:lineRule="auto"/>
        <w:ind w:right="60" w:firstLine="472" w:firstLineChars="197"/>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具备履行合同所必需的设备和专业技术能力的证明材料；</w:t>
      </w:r>
    </w:p>
    <w:p>
      <w:pPr>
        <w:widowControl/>
        <w:numPr>
          <w:ilvl w:val="0"/>
          <w:numId w:val="6"/>
        </w:numPr>
        <w:spacing w:line="360" w:lineRule="auto"/>
        <w:ind w:right="60" w:firstLine="472" w:firstLineChars="197"/>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提供采购公告中符合供应商特定条件的有效资质证书复印件（投标供应商特定条件中有要求的必须提供），以及需要说明的其他资料；</w:t>
      </w:r>
    </w:p>
    <w:p>
      <w:pPr>
        <w:snapToGrid w:val="0"/>
        <w:spacing w:line="360" w:lineRule="auto"/>
        <w:ind w:firstLine="482" w:firstLineChars="200"/>
        <w:rPr>
          <w:rFonts w:ascii="宋体" w:hAnsi="宋体" w:cs="宋体"/>
          <w:color w:val="auto"/>
          <w:sz w:val="24"/>
          <w:szCs w:val="24"/>
          <w:highlight w:val="none"/>
          <w:u w:val="single"/>
        </w:rPr>
      </w:pPr>
      <w:r>
        <w:rPr>
          <w:rFonts w:hint="eastAsia" w:asciiTheme="minorEastAsia" w:hAnsiTheme="minorEastAsia" w:eastAsiaTheme="minorEastAsia"/>
          <w:b/>
          <w:color w:val="auto"/>
          <w:sz w:val="24"/>
          <w:szCs w:val="24"/>
          <w:highlight w:val="none"/>
        </w:rPr>
        <w:t>2、</w:t>
      </w:r>
      <w:r>
        <w:rPr>
          <w:rFonts w:hint="eastAsia" w:ascii="宋体" w:hAnsi="宋体"/>
          <w:b/>
          <w:color w:val="auto"/>
          <w:sz w:val="24"/>
          <w:szCs w:val="24"/>
          <w:highlight w:val="none"/>
        </w:rPr>
        <w:t>商务与技术文件的组成：</w:t>
      </w:r>
    </w:p>
    <w:p>
      <w:pPr>
        <w:pStyle w:val="9"/>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（1）投标人情况介绍（人员与技术力量、企业规模、经营业绩等）。</w:t>
      </w:r>
    </w:p>
    <w:p>
      <w:pPr>
        <w:pStyle w:val="9"/>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（2）投标方案描述：</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r>
        <w:rPr>
          <w:rFonts w:hint="eastAsia" w:ascii="宋体" w:hAnsi="宋体" w:cs="宋体"/>
          <w:color w:val="auto"/>
          <w:sz w:val="24"/>
          <w:szCs w:val="24"/>
          <w:highlight w:val="none"/>
          <w:lang w:eastAsia="zh-CN"/>
        </w:rPr>
        <w:t>，根据评标办法编写</w:t>
      </w:r>
      <w:r>
        <w:rPr>
          <w:rFonts w:hint="eastAsia" w:ascii="宋体" w:hAnsi="宋体" w:cs="宋体"/>
          <w:color w:val="auto"/>
          <w:sz w:val="24"/>
          <w:szCs w:val="24"/>
          <w:highlight w:val="none"/>
        </w:rPr>
        <w:t>)。</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B.项目组织实施方案（包括项目工期、确保项目供货的措施或方案、项目实施进度安排、项目实施人员及项目负责人的资质、类似经验及社保证明等</w:t>
      </w:r>
      <w:r>
        <w:rPr>
          <w:rFonts w:hint="eastAsia" w:ascii="宋体" w:hAnsi="宋体" w:cs="宋体"/>
          <w:color w:val="auto"/>
          <w:sz w:val="24"/>
          <w:szCs w:val="24"/>
          <w:highlight w:val="none"/>
          <w:lang w:eastAsia="zh-CN"/>
        </w:rPr>
        <w:t>，根据评标办法编写</w:t>
      </w:r>
      <w:r>
        <w:rPr>
          <w:rFonts w:hint="eastAsia" w:ascii="宋体" w:hAnsi="宋体" w:cs="宋体"/>
          <w:color w:val="auto"/>
          <w:sz w:val="24"/>
          <w:szCs w:val="24"/>
          <w:highlight w:val="none"/>
        </w:rPr>
        <w:t>）。</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C.</w:t>
      </w:r>
      <w:r>
        <w:rPr>
          <w:rFonts w:hint="eastAsia" w:asciiTheme="minorEastAsia" w:hAnsiTheme="minorEastAsia" w:eastAsiaTheme="minorEastAsia"/>
          <w:color w:val="auto"/>
          <w:kern w:val="0"/>
          <w:sz w:val="24"/>
          <w:szCs w:val="24"/>
          <w:highlight w:val="none"/>
        </w:rPr>
        <w:t>交货</w:t>
      </w:r>
      <w:r>
        <w:rPr>
          <w:rFonts w:asciiTheme="minorEastAsia" w:hAnsiTheme="minorEastAsia" w:eastAsiaTheme="minorEastAsia"/>
          <w:color w:val="auto"/>
          <w:kern w:val="0"/>
          <w:sz w:val="24"/>
          <w:szCs w:val="24"/>
          <w:highlight w:val="none"/>
        </w:rPr>
        <w:t>及验收方案</w:t>
      </w:r>
      <w:r>
        <w:rPr>
          <w:rFonts w:hint="eastAsia" w:asciiTheme="minorEastAsia" w:hAnsiTheme="minorEastAsia" w:eastAsiaTheme="minorEastAsia"/>
          <w:color w:val="auto"/>
          <w:kern w:val="0"/>
          <w:sz w:val="24"/>
          <w:szCs w:val="24"/>
          <w:highlight w:val="none"/>
        </w:rPr>
        <w:t>（包括项目验收标准和验收方法等）</w:t>
      </w:r>
      <w:r>
        <w:rPr>
          <w:rFonts w:hint="eastAsia" w:asciiTheme="minorEastAsia" w:hAnsiTheme="minorEastAsia" w:eastAsiaTheme="minorEastAsia"/>
          <w:color w:val="auto"/>
          <w:sz w:val="24"/>
          <w:szCs w:val="24"/>
          <w:highlight w:val="none"/>
        </w:rPr>
        <w:t>和措施；</w:t>
      </w:r>
    </w:p>
    <w:p>
      <w:pPr>
        <w:pStyle w:val="9"/>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（3）投标产品描述及相关资料：</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A.</w:t>
      </w:r>
      <w:r>
        <w:rPr>
          <w:rFonts w:asciiTheme="minorEastAsia" w:hAnsiTheme="minorEastAsia" w:eastAsiaTheme="minorEastAsia"/>
          <w:color w:val="auto"/>
          <w:sz w:val="24"/>
          <w:szCs w:val="24"/>
          <w:highlight w:val="none"/>
        </w:rPr>
        <w:t>设备配置清单（</w:t>
      </w:r>
      <w:r>
        <w:rPr>
          <w:rFonts w:hint="eastAsia" w:asciiTheme="minorEastAsia" w:hAnsiTheme="minorEastAsia" w:eastAsiaTheme="minorEastAsia"/>
          <w:color w:val="auto"/>
          <w:sz w:val="24"/>
          <w:szCs w:val="24"/>
          <w:highlight w:val="none"/>
        </w:rPr>
        <w:t>均</w:t>
      </w:r>
      <w:r>
        <w:rPr>
          <w:rFonts w:asciiTheme="minorEastAsia" w:hAnsiTheme="minorEastAsia" w:eastAsiaTheme="minorEastAsia"/>
          <w:color w:val="auto"/>
          <w:sz w:val="24"/>
          <w:szCs w:val="24"/>
          <w:highlight w:val="none"/>
        </w:rPr>
        <w:t>不含报价）</w:t>
      </w:r>
      <w:r>
        <w:rPr>
          <w:rFonts w:hint="eastAsia" w:asciiTheme="minorEastAsia" w:hAnsiTheme="minorEastAsia" w:eastAsiaTheme="minorEastAsia"/>
          <w:color w:val="auto"/>
          <w:sz w:val="24"/>
          <w:szCs w:val="24"/>
          <w:highlight w:val="none"/>
        </w:rPr>
        <w:t>。</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B.产品品牌及型号、技术参数指标、性能特点、图片资料以及所遵循的技术规范、产品质保期、出厂标准、产品质量相关检测报告等内容。</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C.商务及技术响应表。</w:t>
      </w:r>
    </w:p>
    <w:p>
      <w:pPr>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【特别提示：节能和环境标志产品最新一期政府采购清单，可在“中国政府采购网”中查看】</w:t>
      </w:r>
    </w:p>
    <w:p>
      <w:pPr>
        <w:autoSpaceDE w:val="0"/>
        <w:autoSpaceDN w:val="0"/>
        <w:adjustRightInd w:val="0"/>
        <w:spacing w:line="360" w:lineRule="auto"/>
        <w:ind w:firstLine="424" w:firstLineChars="177"/>
        <w:rPr>
          <w:rFonts w:ascii="宋体" w:hAnsi="宋体" w:cs="宋体"/>
          <w:color w:val="auto"/>
          <w:sz w:val="24"/>
          <w:szCs w:val="24"/>
          <w:highlight w:val="none"/>
        </w:rPr>
      </w:pPr>
      <w:r>
        <w:rPr>
          <w:rFonts w:hint="eastAsia" w:asciiTheme="minorEastAsia" w:hAnsiTheme="minorEastAsia" w:eastAsiaTheme="minorEastAsia"/>
          <w:color w:val="auto"/>
          <w:kern w:val="0"/>
          <w:sz w:val="24"/>
          <w:szCs w:val="24"/>
          <w:highlight w:val="none"/>
        </w:rPr>
        <w:t>（4）</w:t>
      </w:r>
      <w:r>
        <w:rPr>
          <w:rFonts w:asciiTheme="minorEastAsia" w:hAnsiTheme="minorEastAsia" w:eastAsiaTheme="minorEastAsia"/>
          <w:color w:val="auto"/>
          <w:kern w:val="0"/>
          <w:sz w:val="24"/>
          <w:szCs w:val="24"/>
          <w:highlight w:val="none"/>
        </w:rPr>
        <w:t>投标人通过的</w:t>
      </w:r>
      <w:r>
        <w:rPr>
          <w:rFonts w:hint="eastAsia" w:asciiTheme="minorEastAsia" w:hAnsiTheme="minorEastAsia" w:eastAsiaTheme="minorEastAsia"/>
          <w:color w:val="auto"/>
          <w:kern w:val="0"/>
          <w:sz w:val="24"/>
          <w:szCs w:val="24"/>
          <w:highlight w:val="none"/>
        </w:rPr>
        <w:t>质量管理和</w:t>
      </w:r>
      <w:r>
        <w:rPr>
          <w:rFonts w:asciiTheme="minorEastAsia" w:hAnsiTheme="minorEastAsia" w:eastAsiaTheme="minorEastAsia"/>
          <w:color w:val="auto"/>
          <w:kern w:val="0"/>
          <w:sz w:val="24"/>
          <w:szCs w:val="24"/>
          <w:highlight w:val="none"/>
        </w:rPr>
        <w:t>质量</w:t>
      </w:r>
      <w:r>
        <w:rPr>
          <w:rFonts w:hint="eastAsia" w:asciiTheme="minorEastAsia" w:hAnsiTheme="minorEastAsia" w:eastAsiaTheme="minorEastAsia"/>
          <w:color w:val="auto"/>
          <w:kern w:val="0"/>
          <w:sz w:val="24"/>
          <w:szCs w:val="24"/>
          <w:highlight w:val="none"/>
        </w:rPr>
        <w:t>保证</w:t>
      </w:r>
      <w:r>
        <w:rPr>
          <w:rFonts w:asciiTheme="minorEastAsia" w:hAnsiTheme="minorEastAsia" w:eastAsiaTheme="minorEastAsia"/>
          <w:color w:val="auto"/>
          <w:kern w:val="0"/>
          <w:sz w:val="24"/>
          <w:szCs w:val="24"/>
          <w:highlight w:val="none"/>
        </w:rPr>
        <w:t>体系、环保体系、</w:t>
      </w:r>
      <w:r>
        <w:rPr>
          <w:rFonts w:hint="eastAsia" w:asciiTheme="minorEastAsia" w:hAnsiTheme="minorEastAsia" w:eastAsiaTheme="minorEastAsia"/>
          <w:color w:val="auto"/>
          <w:sz w:val="24"/>
          <w:szCs w:val="24"/>
          <w:highlight w:val="none"/>
        </w:rPr>
        <w:t>自主创新相关证书、软件著作权证等等与本项目相关</w:t>
      </w:r>
      <w:r>
        <w:rPr>
          <w:rFonts w:asciiTheme="minorEastAsia" w:hAnsiTheme="minorEastAsia" w:eastAsiaTheme="minorEastAsia"/>
          <w:color w:val="auto"/>
          <w:kern w:val="0"/>
          <w:sz w:val="24"/>
          <w:szCs w:val="24"/>
          <w:highlight w:val="none"/>
        </w:rPr>
        <w:t>的认证证书</w:t>
      </w:r>
      <w:r>
        <w:rPr>
          <w:rFonts w:hint="eastAsia" w:asciiTheme="minorEastAsia" w:hAnsiTheme="minorEastAsia" w:eastAsiaTheme="minorEastAsia"/>
          <w:color w:val="auto"/>
          <w:kern w:val="0"/>
          <w:sz w:val="24"/>
          <w:szCs w:val="24"/>
          <w:highlight w:val="none"/>
        </w:rPr>
        <w:t>或文件；</w:t>
      </w:r>
    </w:p>
    <w:p>
      <w:pPr>
        <w:pStyle w:val="9"/>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Theme="minorEastAsia" w:hAnsiTheme="minorEastAsia" w:eastAsiaTheme="minorEastAsia"/>
          <w:color w:val="auto"/>
          <w:kern w:val="0"/>
          <w:sz w:val="24"/>
          <w:szCs w:val="24"/>
          <w:highlight w:val="none"/>
        </w:rPr>
        <w:t>（5）近三年来类似项目的成功案例（投标人类似项目实施情况一览表、合同复印件及其相应的发票、用户验收报告等；</w:t>
      </w:r>
    </w:p>
    <w:p>
      <w:pPr>
        <w:snapToGrid w:val="0"/>
        <w:spacing w:line="360" w:lineRule="auto"/>
        <w:ind w:firstLine="480" w:firstLineChars="200"/>
        <w:rPr>
          <w:rFonts w:ascii="宋体"/>
          <w:color w:val="auto"/>
          <w:sz w:val="24"/>
          <w:szCs w:val="24"/>
          <w:highlight w:val="none"/>
          <w:lang w:val="zh-CN"/>
        </w:rPr>
      </w:pPr>
      <w:r>
        <w:rPr>
          <w:rFonts w:hint="eastAsia" w:ascii="宋体" w:hAnsi="宋体" w:cs="宋体"/>
          <w:color w:val="auto"/>
          <w:sz w:val="24"/>
          <w:szCs w:val="24"/>
          <w:highlight w:val="none"/>
        </w:rPr>
        <w:t>（6）</w:t>
      </w:r>
      <w:r>
        <w:rPr>
          <w:rFonts w:hint="eastAsia" w:ascii="宋体" w:hAnsi="宋体" w:cs="宋体"/>
          <w:b/>
          <w:bCs/>
          <w:color w:val="auto"/>
          <w:sz w:val="24"/>
          <w:szCs w:val="24"/>
          <w:highlight w:val="none"/>
        </w:rPr>
        <w:t>投标人认为需要提供的其他资料（包括可能影响投标人商务与技术文件评分的各类证明材料）。</w:t>
      </w:r>
    </w:p>
    <w:p>
      <w:pPr>
        <w:pStyle w:val="9"/>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（7）售后服务描述及承诺：</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A.距采购人最近的服务网点详细介绍（包括地理位置、资质资格、技术力量、工作业绩、服务内容及联系电话等）。</w:t>
      </w:r>
    </w:p>
    <w:p>
      <w:pPr>
        <w:pStyle w:val="9"/>
        <w:widowControl/>
        <w:adjustRightInd w:val="0"/>
        <w:snapToGrid w:val="0"/>
        <w:spacing w:line="360" w:lineRule="auto"/>
        <w:ind w:left="218" w:leftChars="104" w:firstLine="619" w:firstLineChars="258"/>
        <w:rPr>
          <w:rFonts w:ascii="宋体" w:hAnsi="宋体" w:cs="宋体"/>
          <w:color w:val="auto"/>
          <w:sz w:val="24"/>
          <w:szCs w:val="24"/>
          <w:highlight w:val="none"/>
        </w:rPr>
      </w:pPr>
      <w:r>
        <w:rPr>
          <w:rFonts w:hint="eastAsia" w:ascii="宋体" w:hAnsi="宋体" w:cs="宋体"/>
          <w:color w:val="auto"/>
          <w:sz w:val="24"/>
          <w:szCs w:val="24"/>
          <w:highlight w:val="none"/>
        </w:rPr>
        <w:t>B.针对本项目的售后服务措施及承诺（售后技术服务方案、人员配备、故障响应时间、技术培训方案等）。</w:t>
      </w:r>
    </w:p>
    <w:p>
      <w:pPr>
        <w:autoSpaceDE w:val="0"/>
        <w:autoSpaceDN w:val="0"/>
        <w:adjustRightInd w:val="0"/>
        <w:spacing w:line="360" w:lineRule="auto"/>
        <w:ind w:left="426" w:firstLine="65" w:firstLineChars="27"/>
        <w:rPr>
          <w:rFonts w:asciiTheme="minorEastAsia" w:hAnsiTheme="minorEastAsia" w:eastAsiaTheme="minorEastAsia"/>
          <w:b/>
          <w:color w:val="auto"/>
          <w:kern w:val="0"/>
          <w:sz w:val="24"/>
          <w:szCs w:val="24"/>
          <w:highlight w:val="none"/>
        </w:rPr>
      </w:pPr>
      <w:r>
        <w:rPr>
          <w:rFonts w:hint="eastAsia" w:asciiTheme="minorEastAsia" w:hAnsiTheme="minorEastAsia" w:eastAsiaTheme="minorEastAsia"/>
          <w:b/>
          <w:color w:val="auto"/>
          <w:kern w:val="0"/>
          <w:sz w:val="24"/>
          <w:szCs w:val="24"/>
          <w:highlight w:val="none"/>
        </w:rPr>
        <w:t>3、报价文件的组成</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（1）报价文件由开标一览表、报价明细表</w:t>
      </w:r>
      <w:r>
        <w:rPr>
          <w:rFonts w:hint="eastAsia" w:asciiTheme="minorEastAsia" w:hAnsiTheme="minorEastAsia" w:eastAsiaTheme="minorEastAsia"/>
          <w:color w:val="auto"/>
          <w:kern w:val="0"/>
          <w:sz w:val="24"/>
          <w:szCs w:val="24"/>
          <w:highlight w:val="none"/>
          <w:lang w:eastAsia="zh-CN"/>
        </w:rPr>
        <w:t>、</w:t>
      </w:r>
      <w:r>
        <w:rPr>
          <w:rFonts w:hint="eastAsia" w:asciiTheme="minorEastAsia" w:hAnsiTheme="minorEastAsia" w:eastAsiaTheme="minorEastAsia"/>
          <w:color w:val="auto"/>
          <w:kern w:val="0"/>
          <w:sz w:val="24"/>
          <w:szCs w:val="24"/>
          <w:highlight w:val="none"/>
        </w:rPr>
        <w:t>以及投标人认为其他需要说明的内容组成。</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（2）此报价为投标人一次性报出唯一的最终价格，包含其它一切所要涉及到的费用，有选择的报价将被拒绝。</w:t>
      </w:r>
    </w:p>
    <w:p>
      <w:pPr>
        <w:snapToGrid w:val="0"/>
        <w:spacing w:line="360" w:lineRule="auto"/>
        <w:ind w:firstLine="480" w:firstLineChars="200"/>
        <w:rPr>
          <w:rFonts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kern w:val="0"/>
          <w:sz w:val="24"/>
          <w:szCs w:val="24"/>
          <w:highlight w:val="none"/>
          <w:lang w:val="zh-CN"/>
        </w:rPr>
        <w:t>（</w:t>
      </w:r>
      <w:r>
        <w:rPr>
          <w:rFonts w:hint="eastAsia" w:asciiTheme="minorEastAsia" w:hAnsiTheme="minorEastAsia" w:eastAsiaTheme="minorEastAsia"/>
          <w:color w:val="auto"/>
          <w:kern w:val="0"/>
          <w:sz w:val="24"/>
          <w:szCs w:val="24"/>
          <w:highlight w:val="none"/>
        </w:rPr>
        <w:t>3</w:t>
      </w:r>
      <w:r>
        <w:rPr>
          <w:rFonts w:hint="eastAsia" w:asciiTheme="minorEastAsia" w:hAnsiTheme="minorEastAsia" w:eastAsiaTheme="minorEastAsia"/>
          <w:color w:val="auto"/>
          <w:kern w:val="0"/>
          <w:sz w:val="24"/>
          <w:szCs w:val="24"/>
          <w:highlight w:val="none"/>
          <w:lang w:val="zh-CN"/>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snapToGrid w:val="0"/>
        <w:spacing w:line="360" w:lineRule="auto"/>
        <w:ind w:firstLine="480" w:firstLineChars="200"/>
        <w:rPr>
          <w:rFonts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kern w:val="0"/>
          <w:sz w:val="24"/>
          <w:szCs w:val="24"/>
          <w:highlight w:val="none"/>
          <w:lang w:val="zh-CN"/>
        </w:rPr>
        <w:t>（</w:t>
      </w:r>
      <w:r>
        <w:rPr>
          <w:rFonts w:hint="eastAsia" w:asciiTheme="minorEastAsia" w:hAnsiTheme="minorEastAsia" w:eastAsiaTheme="minorEastAsia"/>
          <w:color w:val="auto"/>
          <w:kern w:val="0"/>
          <w:sz w:val="24"/>
          <w:szCs w:val="24"/>
          <w:highlight w:val="none"/>
        </w:rPr>
        <w:t>4</w:t>
      </w:r>
      <w:r>
        <w:rPr>
          <w:rFonts w:hint="eastAsia" w:asciiTheme="minorEastAsia" w:hAnsiTheme="minorEastAsia" w:eastAsiaTheme="minorEastAsia"/>
          <w:color w:val="auto"/>
          <w:kern w:val="0"/>
          <w:sz w:val="24"/>
          <w:szCs w:val="24"/>
          <w:highlight w:val="none"/>
          <w:lang w:val="zh-CN"/>
        </w:rPr>
        <w:t>）</w:t>
      </w:r>
      <w:r>
        <w:rPr>
          <w:rFonts w:hint="eastAsia" w:asciiTheme="minorEastAsia" w:hAnsiTheme="minorEastAsia" w:eastAsiaTheme="minorEastAsia"/>
          <w:color w:val="auto"/>
          <w:kern w:val="0"/>
          <w:sz w:val="24"/>
          <w:szCs w:val="24"/>
          <w:highlight w:val="none"/>
        </w:rPr>
        <w:t>政府采购优惠政策相关资料、产品适用政府采购政策情况表（如有）。</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（5）相关报价单需打印或用不退色的墨水填写， 投标报价单不得涂改和增删，如有错漏必须修改，修改处须由同一签署人</w:t>
      </w:r>
      <w:r>
        <w:rPr>
          <w:rFonts w:hint="eastAsia" w:asciiTheme="minorEastAsia" w:hAnsiTheme="minorEastAsia" w:eastAsiaTheme="minorEastAsia"/>
          <w:color w:val="auto"/>
          <w:kern w:val="0"/>
          <w:sz w:val="24"/>
          <w:szCs w:val="24"/>
          <w:highlight w:val="none"/>
          <w:lang w:eastAsia="zh-CN"/>
        </w:rPr>
        <w:t>签字</w:t>
      </w:r>
      <w:r>
        <w:rPr>
          <w:rFonts w:hint="eastAsia" w:asciiTheme="minorEastAsia" w:hAnsiTheme="minorEastAsia" w:eastAsiaTheme="minorEastAsia"/>
          <w:color w:val="auto"/>
          <w:kern w:val="0"/>
          <w:sz w:val="24"/>
          <w:szCs w:val="24"/>
          <w:highlight w:val="none"/>
        </w:rPr>
        <w:t>或盖章。由于字迹模糊或表达不清引起的后果由投标人负责。</w:t>
      </w:r>
    </w:p>
    <w:p>
      <w:pPr>
        <w:autoSpaceDE w:val="0"/>
        <w:autoSpaceDN w:val="0"/>
        <w:adjustRightInd w:val="0"/>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kern w:val="0"/>
          <w:sz w:val="24"/>
          <w:szCs w:val="24"/>
          <w:highlight w:val="none"/>
        </w:rPr>
        <w:t>6</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投标报价应按招标文件中相关附表格式填写。</w:t>
      </w:r>
    </w:p>
    <w:p>
      <w:pPr>
        <w:numPr>
          <w:ilvl w:val="0"/>
          <w:numId w:val="7"/>
        </w:numPr>
        <w:rPr>
          <w:rFonts w:asciiTheme="minorEastAsia" w:hAnsiTheme="minorEastAsia" w:eastAsiaTheme="minorEastAsia"/>
          <w:b/>
          <w:bCs/>
          <w:color w:val="auto"/>
          <w:kern w:val="0"/>
          <w:sz w:val="24"/>
          <w:szCs w:val="24"/>
          <w:highlight w:val="none"/>
        </w:rPr>
      </w:pPr>
      <w:r>
        <w:rPr>
          <w:rFonts w:hint="eastAsia" w:asciiTheme="minorEastAsia" w:hAnsiTheme="minorEastAsia" w:eastAsiaTheme="minorEastAsia"/>
          <w:b/>
          <w:bCs/>
          <w:color w:val="auto"/>
          <w:kern w:val="0"/>
          <w:sz w:val="24"/>
          <w:szCs w:val="24"/>
          <w:highlight w:val="none"/>
        </w:rPr>
        <w:t>投标文件的</w:t>
      </w:r>
      <w:r>
        <w:rPr>
          <w:rFonts w:hint="eastAsia" w:asciiTheme="minorEastAsia" w:hAnsiTheme="minorEastAsia"/>
          <w:b/>
          <w:bCs/>
          <w:color w:val="auto"/>
          <w:kern w:val="0"/>
          <w:sz w:val="24"/>
          <w:szCs w:val="24"/>
          <w:highlight w:val="none"/>
        </w:rPr>
        <w:t>制作、封装及</w:t>
      </w:r>
      <w:r>
        <w:rPr>
          <w:rFonts w:hint="eastAsia" w:asciiTheme="minorEastAsia" w:hAnsiTheme="minorEastAsia" w:eastAsiaTheme="minorEastAsia"/>
          <w:b/>
          <w:bCs/>
          <w:color w:val="auto"/>
          <w:kern w:val="0"/>
          <w:sz w:val="24"/>
          <w:szCs w:val="24"/>
          <w:highlight w:val="none"/>
        </w:rPr>
        <w:t>递交要求</w:t>
      </w:r>
    </w:p>
    <w:p>
      <w:pPr>
        <w:autoSpaceDE w:val="0"/>
        <w:autoSpaceDN w:val="0"/>
        <w:adjustRightInd w:val="0"/>
        <w:spacing w:line="360" w:lineRule="auto"/>
        <w:ind w:firstLine="480"/>
        <w:rPr>
          <w:rFonts w:asciiTheme="minorEastAsia" w:hAnsiTheme="minorEastAsia" w:eastAsiaTheme="minorEastAsia"/>
          <w:b/>
          <w:bCs/>
          <w:color w:val="auto"/>
          <w:sz w:val="24"/>
          <w:szCs w:val="24"/>
          <w:highlight w:val="none"/>
        </w:rPr>
      </w:pPr>
      <w:r>
        <w:rPr>
          <w:rFonts w:hint="eastAsia" w:asciiTheme="minorEastAsia" w:hAnsiTheme="minorEastAsia"/>
          <w:b/>
          <w:bCs/>
          <w:color w:val="auto"/>
          <w:sz w:val="24"/>
          <w:szCs w:val="24"/>
          <w:highlight w:val="none"/>
        </w:rPr>
        <w:t>1、投标文件的制作要求</w:t>
      </w:r>
    </w:p>
    <w:p>
      <w:pPr>
        <w:autoSpaceDE w:val="0"/>
        <w:autoSpaceDN w:val="0"/>
        <w:adjustRightInd w:val="0"/>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color w:val="auto"/>
          <w:sz w:val="24"/>
          <w:szCs w:val="24"/>
          <w:highlight w:val="none"/>
        </w:rPr>
        <w:t>（1）</w:t>
      </w:r>
      <w:r>
        <w:rPr>
          <w:rFonts w:hint="eastAsia" w:asciiTheme="minorEastAsia" w:hAnsiTheme="minorEastAsia" w:eastAsiaTheme="minorEastAsia"/>
          <w:color w:val="auto"/>
          <w:sz w:val="24"/>
          <w:szCs w:val="24"/>
          <w:highlight w:val="none"/>
        </w:rPr>
        <w:t>投标人</w:t>
      </w:r>
      <w:r>
        <w:rPr>
          <w:rFonts w:hint="eastAsia" w:asciiTheme="minorEastAsia" w:hAnsiTheme="minorEastAsia"/>
          <w:color w:val="auto"/>
          <w:sz w:val="24"/>
          <w:szCs w:val="24"/>
          <w:highlight w:val="none"/>
        </w:rPr>
        <w:t>应</w:t>
      </w:r>
      <w:r>
        <w:rPr>
          <w:rFonts w:hint="eastAsia" w:asciiTheme="minorEastAsia" w:hAnsiTheme="minorEastAsia" w:eastAsiaTheme="minorEastAsia"/>
          <w:color w:val="auto"/>
          <w:sz w:val="24"/>
          <w:szCs w:val="24"/>
          <w:highlight w:val="none"/>
        </w:rPr>
        <w:t>按照</w:t>
      </w:r>
      <w:r>
        <w:rPr>
          <w:rFonts w:hint="eastAsia" w:asciiTheme="minorEastAsia" w:hAnsiTheme="minorEastAsia"/>
          <w:color w:val="auto"/>
          <w:sz w:val="24"/>
          <w:szCs w:val="24"/>
          <w:highlight w:val="none"/>
        </w:rPr>
        <w:t>投标文件组成内容</w:t>
      </w:r>
      <w:r>
        <w:rPr>
          <w:rFonts w:hint="eastAsia" w:asciiTheme="minorEastAsia" w:hAnsiTheme="minorEastAsia" w:eastAsiaTheme="minorEastAsia"/>
          <w:color w:val="auto"/>
          <w:sz w:val="24"/>
          <w:szCs w:val="24"/>
          <w:highlight w:val="none"/>
        </w:rPr>
        <w:t>及项目招标需求制作投标文件，</w:t>
      </w:r>
      <w:r>
        <w:rPr>
          <w:rFonts w:hint="eastAsia" w:asciiTheme="minorEastAsia" w:hAnsiTheme="minorEastAsia" w:eastAsiaTheme="minorEastAsia"/>
          <w:color w:val="auto"/>
          <w:kern w:val="0"/>
          <w:sz w:val="24"/>
          <w:szCs w:val="24"/>
          <w:highlight w:val="none"/>
        </w:rPr>
        <w:t>不按招标文件要求制作投标文件的将</w:t>
      </w:r>
      <w:r>
        <w:rPr>
          <w:rFonts w:hint="eastAsia" w:asciiTheme="minorEastAsia" w:hAnsiTheme="minorEastAsia"/>
          <w:color w:val="auto"/>
          <w:kern w:val="0"/>
          <w:sz w:val="24"/>
          <w:szCs w:val="24"/>
          <w:highlight w:val="none"/>
        </w:rPr>
        <w:t>拒收处理，由此产生的责任由投标人自行承担。</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lang w:val="zh-CN"/>
        </w:rPr>
      </w:pPr>
      <w:r>
        <w:rPr>
          <w:rFonts w:hint="eastAsia" w:ascii="宋体" w:hAnsi="宋体"/>
          <w:color w:val="auto"/>
          <w:sz w:val="24"/>
          <w:szCs w:val="24"/>
          <w:highlight w:val="none"/>
        </w:rPr>
        <w:t>（2）投标人应对所提供的全部资料的真实性承担法律责任，</w:t>
      </w:r>
      <w:r>
        <w:rPr>
          <w:rFonts w:hint="eastAsia" w:asciiTheme="minorEastAsia" w:hAnsiTheme="minorEastAsia"/>
          <w:color w:val="auto"/>
          <w:kern w:val="0"/>
          <w:sz w:val="24"/>
          <w:szCs w:val="24"/>
          <w:highlight w:val="none"/>
          <w:lang w:val="zh-CN"/>
        </w:rPr>
        <w:t>投标文件</w:t>
      </w:r>
      <w:r>
        <w:rPr>
          <w:rFonts w:hint="eastAsia" w:asciiTheme="minorEastAsia" w:hAnsiTheme="minorEastAsia" w:eastAsiaTheme="minorEastAsia"/>
          <w:color w:val="auto"/>
          <w:kern w:val="0"/>
          <w:sz w:val="24"/>
          <w:szCs w:val="24"/>
          <w:highlight w:val="none"/>
          <w:lang w:val="zh-CN"/>
        </w:rPr>
        <w:t>内</w:t>
      </w:r>
      <w:r>
        <w:rPr>
          <w:rFonts w:hint="eastAsia" w:asciiTheme="minorEastAsia" w:hAnsiTheme="minorEastAsia"/>
          <w:color w:val="auto"/>
          <w:kern w:val="0"/>
          <w:sz w:val="24"/>
          <w:szCs w:val="24"/>
          <w:highlight w:val="none"/>
          <w:lang w:val="zh-CN"/>
        </w:rPr>
        <w:t>容中</w:t>
      </w:r>
      <w:r>
        <w:rPr>
          <w:rFonts w:hint="eastAsia" w:asciiTheme="minorEastAsia" w:hAnsiTheme="minorEastAsia" w:eastAsiaTheme="minorEastAsia"/>
          <w:color w:val="auto"/>
          <w:kern w:val="0"/>
          <w:sz w:val="24"/>
          <w:szCs w:val="24"/>
          <w:highlight w:val="none"/>
          <w:lang w:val="zh-CN"/>
        </w:rPr>
        <w:t>有要求盖章或签字的地方，必须加盖投标人的公章以及法定代表人或全权代表盖章或签字。</w:t>
      </w:r>
    </w:p>
    <w:p>
      <w:pPr>
        <w:snapToGri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color w:val="auto"/>
          <w:kern w:val="0"/>
          <w:sz w:val="24"/>
          <w:szCs w:val="24"/>
          <w:highlight w:val="none"/>
          <w:lang w:val="zh-CN"/>
        </w:rPr>
        <w:t>（</w:t>
      </w:r>
      <w:r>
        <w:rPr>
          <w:rFonts w:hint="eastAsia" w:asciiTheme="minorEastAsia" w:hAnsiTheme="minorEastAsia"/>
          <w:color w:val="auto"/>
          <w:kern w:val="0"/>
          <w:sz w:val="24"/>
          <w:szCs w:val="24"/>
          <w:highlight w:val="none"/>
        </w:rPr>
        <w:t>3</w:t>
      </w:r>
      <w:r>
        <w:rPr>
          <w:rFonts w:hint="eastAsia" w:asciiTheme="minorEastAsia" w:hAnsiTheme="minorEastAsia"/>
          <w:color w:val="auto"/>
          <w:kern w:val="0"/>
          <w:sz w:val="24"/>
          <w:szCs w:val="24"/>
          <w:highlight w:val="none"/>
          <w:lang w:val="zh-CN"/>
        </w:rPr>
        <w:t>）</w:t>
      </w:r>
      <w:r>
        <w:rPr>
          <w:rFonts w:asciiTheme="minorEastAsia" w:hAnsiTheme="minorEastAsia" w:eastAsiaTheme="minorEastAsia"/>
          <w:color w:val="auto"/>
          <w:sz w:val="24"/>
          <w:szCs w:val="24"/>
          <w:highlight w:val="none"/>
        </w:rPr>
        <w:t>投标文件以及投标人与</w:t>
      </w:r>
      <w:r>
        <w:rPr>
          <w:rFonts w:hint="eastAsia" w:asciiTheme="minorEastAsia" w:hAnsiTheme="minorEastAsia" w:eastAsiaTheme="minorEastAsia"/>
          <w:color w:val="auto"/>
          <w:sz w:val="24"/>
          <w:szCs w:val="24"/>
          <w:highlight w:val="none"/>
          <w:lang w:eastAsia="zh-CN"/>
        </w:rPr>
        <w:t>采购组织机构</w:t>
      </w:r>
      <w:r>
        <w:rPr>
          <w:rFonts w:asciiTheme="minorEastAsia" w:hAnsiTheme="minorEastAsia" w:eastAsiaTheme="minorEastAsia"/>
          <w:color w:val="auto"/>
          <w:sz w:val="24"/>
          <w:szCs w:val="24"/>
          <w:highlight w:val="none"/>
        </w:rPr>
        <w:t>就有关投标事宜的所有来往函电，均应以中文汉语书写。除</w:t>
      </w:r>
      <w:r>
        <w:rPr>
          <w:rFonts w:hint="eastAsia" w:asciiTheme="minorEastAsia" w:hAnsiTheme="minorEastAsia" w:eastAsiaTheme="minorEastAsia"/>
          <w:color w:val="auto"/>
          <w:sz w:val="24"/>
          <w:szCs w:val="24"/>
          <w:highlight w:val="none"/>
          <w:lang w:eastAsia="zh-CN"/>
        </w:rPr>
        <w:t>签字</w:t>
      </w:r>
      <w:r>
        <w:rPr>
          <w:rFonts w:asciiTheme="minorEastAsia" w:hAnsiTheme="minorEastAsia" w:eastAsiaTheme="minorEastAsia"/>
          <w:color w:val="auto"/>
          <w:sz w:val="24"/>
          <w:szCs w:val="24"/>
          <w:highlight w:val="none"/>
        </w:rPr>
        <w:t>、盖章、专用名称等特殊情形外，以中文汉语以外的文字表述的投标文件视同未提供。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color w:val="auto"/>
          <w:sz w:val="24"/>
          <w:szCs w:val="24"/>
          <w:highlight w:val="none"/>
        </w:rPr>
        <w:t>（4）</w:t>
      </w:r>
      <w:r>
        <w:rPr>
          <w:rFonts w:asciiTheme="minorEastAsia" w:hAnsiTheme="minorEastAsia" w:eastAsiaTheme="minorEastAsia"/>
          <w:color w:val="auto"/>
          <w:sz w:val="24"/>
          <w:szCs w:val="24"/>
          <w:highlight w:val="none"/>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eastAsiaTheme="minorEastAsia"/>
          <w:color w:val="auto"/>
          <w:sz w:val="24"/>
          <w:szCs w:val="24"/>
          <w:highlight w:val="none"/>
        </w:rPr>
      </w:pPr>
      <w:r>
        <w:rPr>
          <w:rFonts w:hint="eastAsia" w:asciiTheme="minorEastAsia" w:hAnsiTheme="minorEastAsia"/>
          <w:color w:val="auto"/>
          <w:sz w:val="24"/>
          <w:szCs w:val="24"/>
          <w:highlight w:val="none"/>
        </w:rPr>
        <w:t>（5）</w:t>
      </w:r>
      <w:r>
        <w:rPr>
          <w:rFonts w:asciiTheme="minorEastAsia" w:hAnsiTheme="minorEastAsia" w:eastAsiaTheme="minorEastAsia"/>
          <w:color w:val="auto"/>
          <w:sz w:val="24"/>
          <w:szCs w:val="24"/>
          <w:highlight w:val="none"/>
        </w:rPr>
        <w:t>若投标人不按招标文件的要求提供资格审查材料，其风险由投标人自行承担。</w:t>
      </w:r>
    </w:p>
    <w:p>
      <w:pPr>
        <w:autoSpaceDE w:val="0"/>
        <w:autoSpaceDN w:val="0"/>
        <w:adjustRightInd w:val="0"/>
        <w:spacing w:line="360" w:lineRule="auto"/>
        <w:ind w:firstLine="480"/>
        <w:rPr>
          <w:rFonts w:asciiTheme="minorEastAsia" w:hAnsiTheme="minorEastAsia" w:eastAsiaTheme="minorEastAsia"/>
          <w:color w:val="auto"/>
          <w:sz w:val="24"/>
          <w:szCs w:val="24"/>
          <w:highlight w:val="none"/>
        </w:rPr>
      </w:pPr>
      <w:r>
        <w:rPr>
          <w:rFonts w:hint="eastAsia" w:asciiTheme="minorEastAsia" w:hAnsiTheme="minorEastAsia"/>
          <w:color w:val="auto"/>
          <w:kern w:val="0"/>
          <w:sz w:val="24"/>
          <w:szCs w:val="24"/>
          <w:highlight w:val="none"/>
        </w:rPr>
        <w:t>（6）</w:t>
      </w:r>
      <w:r>
        <w:rPr>
          <w:rFonts w:hint="eastAsia" w:asciiTheme="minorEastAsia" w:hAnsiTheme="minorEastAsia" w:eastAsiaTheme="minorEastAsia"/>
          <w:color w:val="auto"/>
          <w:sz w:val="24"/>
          <w:szCs w:val="24"/>
          <w:highlight w:val="none"/>
        </w:rPr>
        <w:t>与本次投标无关的内容请不要制作在内，确保投标文件有针对性、简洁明了，同时节约纸张；投标文件建议以A4纸大小双面打印并装订。</w:t>
      </w:r>
    </w:p>
    <w:p>
      <w:pPr>
        <w:autoSpaceDE w:val="0"/>
        <w:autoSpaceDN w:val="0"/>
        <w:adjustRightInd w:val="0"/>
        <w:spacing w:line="360" w:lineRule="auto"/>
        <w:ind w:firstLine="480"/>
        <w:rPr>
          <w:rFonts w:asciiTheme="minorEastAsia" w:hAnsiTheme="minorEastAsia"/>
          <w:b/>
          <w:bCs/>
          <w:color w:val="auto"/>
          <w:sz w:val="24"/>
          <w:szCs w:val="24"/>
          <w:highlight w:val="none"/>
        </w:rPr>
      </w:pPr>
      <w:r>
        <w:rPr>
          <w:rFonts w:hint="eastAsia" w:asciiTheme="minorEastAsia" w:hAnsiTheme="minorEastAsia"/>
          <w:b/>
          <w:bCs/>
          <w:color w:val="auto"/>
          <w:sz w:val="24"/>
          <w:szCs w:val="24"/>
          <w:highlight w:val="none"/>
        </w:rPr>
        <w:t>2、投标文件的封装要求</w:t>
      </w:r>
    </w:p>
    <w:p>
      <w:pPr>
        <w:autoSpaceDE w:val="0"/>
        <w:autoSpaceDN w:val="0"/>
        <w:adjustRightInd w:val="0"/>
        <w:spacing w:line="360" w:lineRule="auto"/>
        <w:ind w:firstLine="475" w:firstLineChars="198"/>
        <w:rPr>
          <w:rFonts w:asciiTheme="minorEastAsia" w:hAnsiTheme="minorEastAsia"/>
          <w:color w:val="auto"/>
          <w:sz w:val="24"/>
          <w:highlight w:val="none"/>
        </w:rPr>
      </w:pPr>
      <w:r>
        <w:rPr>
          <w:rFonts w:hint="eastAsia" w:asciiTheme="minorEastAsia" w:hAnsiTheme="minorEastAsia" w:eastAsiaTheme="minorEastAsia"/>
          <w:color w:val="auto"/>
          <w:sz w:val="24"/>
          <w:highlight w:val="none"/>
        </w:rPr>
        <w:t>（1）投标文件份数：</w:t>
      </w:r>
      <w:r>
        <w:rPr>
          <w:rFonts w:hint="eastAsia" w:ascii="宋体" w:hAnsi="宋体"/>
          <w:bCs/>
          <w:color w:val="auto"/>
          <w:sz w:val="24"/>
          <w:highlight w:val="none"/>
          <w:lang w:val="zh-CN"/>
        </w:rPr>
        <w:t>资格证明文件、商务与技术文件、报价文件必须分别编制并分开单独装订成册：</w:t>
      </w:r>
      <w:r>
        <w:rPr>
          <w:rFonts w:hint="eastAsia" w:ascii="宋体"/>
          <w:bCs/>
          <w:color w:val="auto"/>
          <w:sz w:val="24"/>
          <w:highlight w:val="none"/>
          <w:lang w:val="zh-CN"/>
        </w:rPr>
        <w:t>资格证明文件共</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u w:val="single"/>
        </w:rPr>
        <w:t xml:space="preserve"> 5 </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lang w:val="zh-CN"/>
        </w:rPr>
        <w:t>份</w:t>
      </w:r>
      <w:r>
        <w:rPr>
          <w:rFonts w:hint="eastAsia" w:ascii="宋体"/>
          <w:bCs/>
          <w:color w:val="auto"/>
          <w:sz w:val="24"/>
          <w:highlight w:val="none"/>
          <w:lang w:val="zh-CN"/>
        </w:rPr>
        <w:t>（</w:t>
      </w:r>
      <w:r>
        <w:rPr>
          <w:rFonts w:hint="eastAsia" w:ascii="宋体" w:hAnsi="宋体"/>
          <w:bCs/>
          <w:color w:val="auto"/>
          <w:sz w:val="24"/>
          <w:highlight w:val="none"/>
          <w:u w:val="single"/>
        </w:rPr>
        <w:t xml:space="preserve"> 1</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正本</w:t>
      </w:r>
      <w:r>
        <w:rPr>
          <w:rFonts w:hint="eastAsia" w:ascii="宋体"/>
          <w:bCs/>
          <w:color w:val="auto"/>
          <w:sz w:val="24"/>
          <w:highlight w:val="none"/>
        </w:rPr>
        <w:t xml:space="preserve"> </w:t>
      </w:r>
      <w:r>
        <w:rPr>
          <w:rFonts w:hint="eastAsia" w:ascii="宋体" w:hAnsi="宋体"/>
          <w:bCs/>
          <w:color w:val="auto"/>
          <w:sz w:val="24"/>
          <w:highlight w:val="none"/>
          <w:u w:val="single"/>
        </w:rPr>
        <w:t xml:space="preserve"> 4</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副本，封装成一袋）</w:t>
      </w:r>
      <w:r>
        <w:rPr>
          <w:rFonts w:hint="eastAsia" w:ascii="宋体" w:hAnsi="宋体"/>
          <w:bCs/>
          <w:color w:val="auto"/>
          <w:sz w:val="24"/>
          <w:highlight w:val="none"/>
          <w:lang w:val="zh-CN"/>
        </w:rPr>
        <w:t>，商务与技术文件共</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u w:val="single"/>
        </w:rPr>
        <w:t xml:space="preserve">5  </w:t>
      </w:r>
      <w:r>
        <w:rPr>
          <w:rFonts w:hint="eastAsia" w:ascii="宋体" w:hAnsi="宋体"/>
          <w:bCs/>
          <w:color w:val="auto"/>
          <w:sz w:val="24"/>
          <w:highlight w:val="none"/>
          <w:lang w:val="zh-CN"/>
        </w:rPr>
        <w:t>份</w:t>
      </w:r>
      <w:r>
        <w:rPr>
          <w:rFonts w:hint="eastAsia" w:ascii="宋体"/>
          <w:bCs/>
          <w:color w:val="auto"/>
          <w:sz w:val="24"/>
          <w:highlight w:val="none"/>
          <w:lang w:val="zh-CN"/>
        </w:rPr>
        <w:t>（</w:t>
      </w:r>
      <w:r>
        <w:rPr>
          <w:rFonts w:hint="eastAsia" w:ascii="宋体" w:hAnsi="宋体"/>
          <w:bCs/>
          <w:color w:val="auto"/>
          <w:sz w:val="24"/>
          <w:highlight w:val="none"/>
          <w:u w:val="single"/>
        </w:rPr>
        <w:t xml:space="preserve"> 1</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正本</w:t>
      </w:r>
      <w:r>
        <w:rPr>
          <w:rFonts w:hint="eastAsia" w:ascii="宋体"/>
          <w:bCs/>
          <w:color w:val="auto"/>
          <w:sz w:val="24"/>
          <w:highlight w:val="none"/>
        </w:rPr>
        <w:t xml:space="preserve"> </w:t>
      </w:r>
      <w:r>
        <w:rPr>
          <w:rFonts w:hint="eastAsia" w:ascii="宋体" w:hAnsi="宋体"/>
          <w:bCs/>
          <w:color w:val="auto"/>
          <w:sz w:val="24"/>
          <w:highlight w:val="none"/>
          <w:u w:val="single"/>
        </w:rPr>
        <w:t xml:space="preserve"> 4</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副本，封装成一袋）</w:t>
      </w:r>
      <w:r>
        <w:rPr>
          <w:rFonts w:hint="eastAsia" w:ascii="宋体" w:hAnsi="宋体"/>
          <w:bCs/>
          <w:color w:val="auto"/>
          <w:sz w:val="24"/>
          <w:highlight w:val="none"/>
          <w:lang w:val="zh-CN"/>
        </w:rPr>
        <w:t>，报价文件共</w:t>
      </w:r>
      <w:r>
        <w:rPr>
          <w:rFonts w:hint="eastAsia" w:ascii="宋体" w:hAnsi="宋体"/>
          <w:bCs/>
          <w:color w:val="auto"/>
          <w:sz w:val="24"/>
          <w:highlight w:val="none"/>
          <w:u w:val="single"/>
          <w:lang w:val="zh-CN"/>
        </w:rPr>
        <w:t xml:space="preserve"> </w:t>
      </w:r>
      <w:r>
        <w:rPr>
          <w:rFonts w:hint="eastAsia" w:ascii="宋体" w:hAnsi="宋体"/>
          <w:bCs/>
          <w:color w:val="auto"/>
          <w:sz w:val="24"/>
          <w:highlight w:val="none"/>
          <w:u w:val="single"/>
        </w:rPr>
        <w:t xml:space="preserve"> 5 </w:t>
      </w:r>
      <w:r>
        <w:rPr>
          <w:rFonts w:hint="eastAsia" w:ascii="宋体" w:hAnsi="宋体"/>
          <w:bCs/>
          <w:color w:val="auto"/>
          <w:sz w:val="24"/>
          <w:highlight w:val="none"/>
          <w:lang w:val="zh-CN"/>
        </w:rPr>
        <w:t>份</w:t>
      </w:r>
      <w:r>
        <w:rPr>
          <w:rFonts w:hint="eastAsia" w:ascii="宋体"/>
          <w:bCs/>
          <w:color w:val="auto"/>
          <w:sz w:val="24"/>
          <w:highlight w:val="none"/>
          <w:lang w:val="zh-CN"/>
        </w:rPr>
        <w:t>（</w:t>
      </w:r>
      <w:r>
        <w:rPr>
          <w:rFonts w:hint="eastAsia" w:ascii="宋体" w:hAnsi="宋体"/>
          <w:bCs/>
          <w:color w:val="auto"/>
          <w:sz w:val="24"/>
          <w:highlight w:val="none"/>
          <w:u w:val="single"/>
        </w:rPr>
        <w:t xml:space="preserve"> 1</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正本，</w:t>
      </w:r>
      <w:r>
        <w:rPr>
          <w:rFonts w:hint="eastAsia" w:ascii="宋体"/>
          <w:bCs/>
          <w:color w:val="auto"/>
          <w:sz w:val="24"/>
          <w:highlight w:val="none"/>
        </w:rPr>
        <w:t xml:space="preserve"> </w:t>
      </w:r>
      <w:r>
        <w:rPr>
          <w:rFonts w:hint="eastAsia" w:ascii="宋体" w:hAnsi="宋体"/>
          <w:bCs/>
          <w:color w:val="auto"/>
          <w:sz w:val="24"/>
          <w:highlight w:val="none"/>
          <w:u w:val="single"/>
        </w:rPr>
        <w:t xml:space="preserve"> 4</w:t>
      </w:r>
      <w:r>
        <w:rPr>
          <w:rFonts w:hint="eastAsia" w:ascii="宋体" w:hAnsi="宋体"/>
          <w:bCs/>
          <w:color w:val="auto"/>
          <w:sz w:val="24"/>
          <w:highlight w:val="none"/>
          <w:u w:val="single"/>
          <w:lang w:val="zh-CN"/>
        </w:rPr>
        <w:t xml:space="preserve"> </w:t>
      </w:r>
      <w:r>
        <w:rPr>
          <w:rFonts w:hint="eastAsia" w:ascii="宋体"/>
          <w:bCs/>
          <w:color w:val="auto"/>
          <w:sz w:val="24"/>
          <w:highlight w:val="none"/>
          <w:lang w:val="zh-CN"/>
        </w:rPr>
        <w:t>副本，封装成一袋）</w:t>
      </w:r>
      <w:r>
        <w:rPr>
          <w:rFonts w:hint="eastAsia" w:ascii="宋体" w:hAnsi="宋体"/>
          <w:bCs/>
          <w:color w:val="auto"/>
          <w:sz w:val="24"/>
          <w:highlight w:val="none"/>
          <w:lang w:val="zh-CN"/>
        </w:rPr>
        <w:t>。投标文件的正本封面必须注明“正本”字样，副本可以采用正本的复印件。</w:t>
      </w:r>
      <w:r>
        <w:rPr>
          <w:rFonts w:hint="eastAsia" w:asciiTheme="minorEastAsia" w:hAnsiTheme="minorEastAsia" w:eastAsiaTheme="minorEastAsia"/>
          <w:color w:val="auto"/>
          <w:sz w:val="24"/>
          <w:highlight w:val="none"/>
        </w:rPr>
        <w:t>除报价文件外其余一律不准出现数字报价。如有不同标段，请按标段号分别装订，密封要求同上。</w:t>
      </w:r>
    </w:p>
    <w:p>
      <w:pPr>
        <w:autoSpaceDE w:val="0"/>
        <w:autoSpaceDN w:val="0"/>
        <w:adjustRightInd w:val="0"/>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（2）所有投标资料按投标文件的组成所列内容及顺序装订成册，</w:t>
      </w:r>
      <w:r>
        <w:rPr>
          <w:rFonts w:hint="eastAsia" w:asciiTheme="minorEastAsia" w:hAnsiTheme="minorEastAsia" w:eastAsiaTheme="minorEastAsia"/>
          <w:color w:val="auto"/>
          <w:sz w:val="24"/>
          <w:szCs w:val="24"/>
          <w:highlight w:val="none"/>
          <w:lang w:val="zh-CN"/>
        </w:rPr>
        <w:t>并逐页连续标注页码。因投标文件内容不完整、编排混乱导致投标文件被误读、漏读或者查找不到相关内容的责任由投标人自行承担。</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（3）请在密封袋的封口处应有投标单位公章或投标全权代表</w:t>
      </w:r>
      <w:r>
        <w:rPr>
          <w:rFonts w:hint="eastAsia" w:asciiTheme="minorEastAsia" w:hAnsiTheme="minorEastAsia" w:eastAsiaTheme="minorEastAsia"/>
          <w:color w:val="auto"/>
          <w:kern w:val="0"/>
          <w:sz w:val="24"/>
          <w:szCs w:val="24"/>
          <w:highlight w:val="none"/>
          <w:lang w:eastAsia="zh-CN"/>
        </w:rPr>
        <w:t>签字</w:t>
      </w:r>
      <w:r>
        <w:rPr>
          <w:rFonts w:hint="eastAsia" w:asciiTheme="minorEastAsia" w:hAnsiTheme="minorEastAsia" w:eastAsiaTheme="minorEastAsia"/>
          <w:color w:val="auto"/>
          <w:kern w:val="0"/>
          <w:sz w:val="24"/>
          <w:szCs w:val="24"/>
          <w:highlight w:val="none"/>
        </w:rPr>
        <w:t>。封皮上写明项目编号、标段、招标项目名称、投标人名称，并注明“投标文件名称（资格证明文件、</w:t>
      </w:r>
      <w:r>
        <w:rPr>
          <w:rFonts w:hint="eastAsia" w:ascii="宋体" w:hAnsi="宋体"/>
          <w:bCs/>
          <w:color w:val="auto"/>
          <w:sz w:val="24"/>
          <w:szCs w:val="24"/>
          <w:highlight w:val="none"/>
          <w:lang w:val="zh-CN"/>
        </w:rPr>
        <w:t>商务与技术文件</w:t>
      </w:r>
      <w:r>
        <w:rPr>
          <w:rFonts w:hint="eastAsia" w:asciiTheme="minorEastAsia" w:hAnsiTheme="minorEastAsia" w:eastAsiaTheme="minorEastAsia"/>
          <w:color w:val="auto"/>
          <w:kern w:val="0"/>
          <w:sz w:val="24"/>
          <w:szCs w:val="24"/>
          <w:highlight w:val="none"/>
        </w:rPr>
        <w:t>和报价文件）”、“开标时启封”字样，未按上述要求密封及加写标记，</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对投标文件的误投和提前启封不负责任。</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（4）项目如分标段，各标段投标文件必须分开编制，并按上述份数要求单独密封包装。</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lang w:val="zh-CN"/>
        </w:rPr>
      </w:pPr>
      <w:r>
        <w:rPr>
          <w:rFonts w:hint="eastAsia" w:asciiTheme="minorEastAsia" w:hAnsiTheme="minorEastAsia" w:eastAsiaTheme="minorEastAsia"/>
          <w:color w:val="auto"/>
          <w:kern w:val="0"/>
          <w:sz w:val="24"/>
          <w:szCs w:val="24"/>
          <w:highlight w:val="none"/>
        </w:rPr>
        <w:t>（5）</w:t>
      </w:r>
      <w:r>
        <w:rPr>
          <w:rFonts w:hint="eastAsia" w:asciiTheme="minorEastAsia" w:hAnsiTheme="minorEastAsia" w:eastAsiaTheme="minorEastAsia"/>
          <w:color w:val="auto"/>
          <w:kern w:val="0"/>
          <w:sz w:val="24"/>
          <w:szCs w:val="24"/>
          <w:highlight w:val="none"/>
          <w:lang w:val="zh-CN"/>
        </w:rPr>
        <w:t>因密封不严、标记不明而造成失密、拒收、过早启封等情况，采购组织机构概不负责。</w:t>
      </w:r>
    </w:p>
    <w:p>
      <w:pPr>
        <w:autoSpaceDE w:val="0"/>
        <w:autoSpaceDN w:val="0"/>
        <w:adjustRightInd w:val="0"/>
        <w:spacing w:line="360" w:lineRule="auto"/>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3、</w:t>
      </w:r>
      <w:r>
        <w:rPr>
          <w:rFonts w:hint="eastAsia" w:asciiTheme="minorEastAsia" w:hAnsiTheme="minorEastAsia"/>
          <w:color w:val="auto"/>
          <w:sz w:val="24"/>
          <w:szCs w:val="24"/>
          <w:highlight w:val="none"/>
        </w:rPr>
        <w:t>投标文件的递交要求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（1）投标文件必须在规定时间前派人送达指定的投标地点。投标文件在截止时间后提交，</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将拒</w:t>
      </w:r>
      <w:r>
        <w:rPr>
          <w:rFonts w:hint="eastAsia" w:asciiTheme="minorEastAsia" w:hAnsiTheme="minorEastAsia" w:eastAsiaTheme="minorEastAsia"/>
          <w:color w:val="auto"/>
          <w:kern w:val="0"/>
          <w:sz w:val="24"/>
          <w:szCs w:val="24"/>
          <w:highlight w:val="none"/>
          <w:lang w:eastAsia="zh-CN"/>
        </w:rPr>
        <w:t>绝接收</w:t>
      </w:r>
      <w:r>
        <w:rPr>
          <w:rFonts w:hint="eastAsia" w:asciiTheme="minorEastAsia" w:hAnsiTheme="minorEastAsia" w:eastAsiaTheme="minorEastAsia"/>
          <w:color w:val="auto"/>
          <w:kern w:val="0"/>
          <w:sz w:val="24"/>
          <w:szCs w:val="24"/>
          <w:highlight w:val="none"/>
        </w:rPr>
        <w:t>。</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（2）如有特殊情况，</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延长截止时间和开标时间，</w:t>
      </w:r>
      <w:r>
        <w:rPr>
          <w:rFonts w:hint="eastAsia" w:asciiTheme="minorEastAsia" w:hAnsiTheme="minorEastAsia" w:eastAsiaTheme="minorEastAsia"/>
          <w:color w:val="auto"/>
          <w:kern w:val="0"/>
          <w:sz w:val="24"/>
          <w:szCs w:val="24"/>
          <w:highlight w:val="none"/>
          <w:lang w:eastAsia="zh-CN"/>
        </w:rPr>
        <w:t>采购组织机构</w:t>
      </w:r>
      <w:r>
        <w:rPr>
          <w:rFonts w:hint="eastAsia" w:asciiTheme="minorEastAsia" w:hAnsiTheme="minorEastAsia" w:eastAsiaTheme="minorEastAsia"/>
          <w:color w:val="auto"/>
          <w:kern w:val="0"/>
          <w:sz w:val="24"/>
          <w:szCs w:val="24"/>
          <w:highlight w:val="none"/>
        </w:rPr>
        <w:t>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4、投标文件的补充、修改和撤回。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（1）投标人如需对上交的投标文件进行补充、修改或撤回的，必须在投标</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截止时间</w:t>
      </w:r>
      <w:r>
        <w:rPr>
          <w:rFonts w:hint="eastAsia" w:ascii="宋体"/>
          <w:color w:val="auto"/>
          <w:kern w:val="0"/>
          <w:sz w:val="24"/>
          <w:szCs w:val="24"/>
          <w:highlight w:val="none"/>
        </w:rPr>
        <w:t>以前将书面的修改文件或撤消通知送达</w:t>
      </w:r>
      <w:r>
        <w:rPr>
          <w:rFonts w:hint="eastAsia" w:ascii="宋体"/>
          <w:color w:val="auto"/>
          <w:kern w:val="0"/>
          <w:sz w:val="24"/>
          <w:szCs w:val="24"/>
          <w:highlight w:val="none"/>
          <w:lang w:eastAsia="zh-CN"/>
        </w:rPr>
        <w:t>采购组织</w:t>
      </w:r>
      <w:r>
        <w:rPr>
          <w:rFonts w:hint="eastAsia" w:ascii="宋体"/>
          <w:color w:val="auto"/>
          <w:kern w:val="0"/>
          <w:sz w:val="24"/>
          <w:szCs w:val="24"/>
          <w:highlight w:val="none"/>
        </w:rPr>
        <w:t>机构。</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（2）投标修改文件必须密封，在密封袋上写明项目编号、标段、招标项目名称、投标人名称、并注明“修改文件”、“开标时启封”字样，其作为投标文件的组成部份。</w:t>
      </w:r>
    </w:p>
    <w:p>
      <w:pPr>
        <w:tabs>
          <w:tab w:val="left" w:pos="1898"/>
        </w:tabs>
        <w:autoSpaceDE w:val="0"/>
        <w:autoSpaceDN w:val="0"/>
        <w:adjustRightInd w:val="0"/>
        <w:spacing w:line="360" w:lineRule="auto"/>
        <w:rPr>
          <w:rFonts w:asciiTheme="minorEastAsia" w:hAnsiTheme="minorEastAsia" w:eastAsiaTheme="minorEastAsia"/>
          <w:b/>
          <w:color w:val="auto"/>
          <w:kern w:val="0"/>
          <w:sz w:val="24"/>
          <w:szCs w:val="24"/>
          <w:highlight w:val="none"/>
        </w:rPr>
      </w:pPr>
      <w:r>
        <w:rPr>
          <w:rFonts w:hint="eastAsia" w:asciiTheme="minorEastAsia" w:hAnsiTheme="minorEastAsia" w:eastAsiaTheme="minorEastAsia"/>
          <w:b/>
          <w:color w:val="auto"/>
          <w:kern w:val="0"/>
          <w:sz w:val="24"/>
          <w:szCs w:val="24"/>
          <w:highlight w:val="none"/>
        </w:rPr>
        <w:t>（三）投标文件的有效期</w:t>
      </w:r>
    </w:p>
    <w:p>
      <w:pPr>
        <w:pStyle w:val="8"/>
        <w:tabs>
          <w:tab w:val="left" w:pos="454"/>
          <w:tab w:val="left" w:pos="720"/>
          <w:tab w:val="left" w:pos="1200"/>
        </w:tabs>
        <w:snapToGrid w:val="0"/>
        <w:spacing w:line="360" w:lineRule="auto"/>
        <w:ind w:left="0" w:firstLine="480" w:firstLineChars="200"/>
        <w:rPr>
          <w:rFonts w:ascii="仿宋_GB2312" w:hAnsi="仿宋_GB2312" w:eastAsia="仿宋_GB2312" w:cs="仿宋_GB2312"/>
          <w:color w:val="auto"/>
          <w:sz w:val="24"/>
          <w:szCs w:val="24"/>
          <w:highlight w:val="none"/>
          <w:lang w:val="en-GB"/>
        </w:rPr>
      </w:pPr>
      <w:r>
        <w:rPr>
          <w:rFonts w:hint="eastAsia" w:ascii="宋体" w:hAnsi="宋体"/>
          <w:color w:val="auto"/>
          <w:sz w:val="24"/>
          <w:szCs w:val="24"/>
          <w:highlight w:val="none"/>
          <w:lang w:val="en-GB"/>
        </w:rPr>
        <w:t>自投标截止日起90天投标文件应保持有效。有效期不足的投标文件将被拒绝。</w:t>
      </w:r>
    </w:p>
    <w:p>
      <w:pPr>
        <w:pStyle w:val="8"/>
        <w:tabs>
          <w:tab w:val="left" w:pos="454"/>
          <w:tab w:val="left" w:pos="720"/>
          <w:tab w:val="left" w:pos="1200"/>
        </w:tabs>
        <w:snapToGrid w:val="0"/>
        <w:spacing w:line="360" w:lineRule="auto"/>
        <w:ind w:left="0" w:firstLine="480" w:firstLineChars="200"/>
        <w:rPr>
          <w:rFonts w:ascii="宋体" w:hAnsi="宋体"/>
          <w:color w:val="auto"/>
          <w:sz w:val="24"/>
          <w:szCs w:val="24"/>
          <w:highlight w:val="none"/>
          <w:lang w:val="en-GB"/>
        </w:rPr>
      </w:pPr>
      <w:r>
        <w:rPr>
          <w:rFonts w:hint="eastAsia" w:ascii="宋体" w:hAnsi="宋体"/>
          <w:color w:val="auto"/>
          <w:sz w:val="24"/>
          <w:szCs w:val="24"/>
          <w:highlight w:val="none"/>
          <w:lang w:val="en-GB"/>
        </w:rPr>
        <w:t>在特殊情况下，采购人可与投标人协商延长投标文件的有效期，这种要求和答复均以书面形式进行。</w:t>
      </w:r>
    </w:p>
    <w:p>
      <w:pPr>
        <w:pStyle w:val="8"/>
        <w:numPr>
          <w:ilvl w:val="0"/>
          <w:numId w:val="0"/>
        </w:numPr>
        <w:tabs>
          <w:tab w:val="left" w:pos="0"/>
          <w:tab w:val="left" w:pos="720"/>
          <w:tab w:val="left" w:pos="1200"/>
          <w:tab w:val="clear" w:pos="360"/>
        </w:tabs>
        <w:snapToGrid w:val="0"/>
        <w:spacing w:line="360" w:lineRule="auto"/>
        <w:ind w:firstLine="420" w:firstLineChars="175"/>
        <w:rPr>
          <w:rFonts w:asciiTheme="minorEastAsia" w:hAnsiTheme="minorEastAsia" w:eastAsiaTheme="minorEastAsia"/>
          <w:b/>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val="en-GB"/>
        </w:rPr>
        <w:t>投标人可拒绝接受延期要求而不会导致投标保证金被没收。同意延长有效期的投标人需要相应延长投标</w:t>
      </w:r>
      <w:r>
        <w:rPr>
          <w:rFonts w:asciiTheme="minorEastAsia" w:hAnsiTheme="minorEastAsia" w:eastAsiaTheme="minorEastAsia"/>
          <w:color w:val="auto"/>
          <w:sz w:val="24"/>
          <w:szCs w:val="24"/>
          <w:highlight w:val="none"/>
        </w:rPr>
        <w:t>保证金的有效期，但不能修改投标文件。</w:t>
      </w:r>
    </w:p>
    <w:p>
      <w:pPr>
        <w:snapToGrid w:val="0"/>
        <w:spacing w:line="360" w:lineRule="auto"/>
        <w:ind w:firstLine="480" w:firstLineChars="200"/>
        <w:jc w:val="left"/>
        <w:outlineLvl w:val="0"/>
        <w:rPr>
          <w:rFonts w:asciiTheme="minorEastAsia" w:hAnsiTheme="minorEastAsia" w:eastAsiaTheme="minorEastAsia"/>
          <w:b/>
          <w:color w:val="auto"/>
          <w:sz w:val="24"/>
          <w:szCs w:val="24"/>
          <w:highlight w:val="none"/>
        </w:rPr>
      </w:pPr>
      <w:r>
        <w:rPr>
          <w:rFonts w:asciiTheme="minorEastAsia" w:hAnsiTheme="minorEastAsia" w:eastAsiaTheme="minorEastAsia"/>
          <w:color w:val="auto"/>
          <w:sz w:val="24"/>
          <w:szCs w:val="24"/>
          <w:highlight w:val="none"/>
        </w:rPr>
        <w:t>4</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中标人的投标文件自开标之日起至合同履行完毕均应保持有效。</w:t>
      </w:r>
    </w:p>
    <w:p>
      <w:pPr>
        <w:snapToGrid w:val="0"/>
        <w:spacing w:line="360" w:lineRule="auto"/>
        <w:jc w:val="left"/>
        <w:rPr>
          <w:rFonts w:asciiTheme="minorEastAsia" w:hAnsiTheme="minorEastAsia" w:eastAsiaTheme="minorEastAsia"/>
          <w:b/>
          <w:color w:val="auto"/>
          <w:kern w:val="0"/>
          <w:sz w:val="24"/>
          <w:szCs w:val="24"/>
          <w:highlight w:val="none"/>
          <w:shd w:val="clear" w:color="auto" w:fill="auto"/>
        </w:rPr>
      </w:pPr>
      <w:r>
        <w:rPr>
          <w:rFonts w:hint="eastAsia" w:asciiTheme="minorEastAsia" w:hAnsiTheme="minorEastAsia" w:eastAsiaTheme="minorEastAsia"/>
          <w:b/>
          <w:color w:val="auto"/>
          <w:kern w:val="0"/>
          <w:sz w:val="24"/>
          <w:szCs w:val="24"/>
          <w:highlight w:val="none"/>
          <w:shd w:val="clear" w:color="auto" w:fill="auto"/>
          <w:lang w:eastAsia="zh-CN"/>
        </w:rPr>
        <w:t>四</w:t>
      </w:r>
      <w:r>
        <w:rPr>
          <w:rFonts w:hint="eastAsia" w:asciiTheme="minorEastAsia" w:hAnsiTheme="minorEastAsia" w:eastAsiaTheme="minorEastAsia"/>
          <w:b/>
          <w:color w:val="auto"/>
          <w:kern w:val="0"/>
          <w:sz w:val="24"/>
          <w:szCs w:val="24"/>
          <w:highlight w:val="none"/>
          <w:shd w:val="clear" w:color="auto" w:fill="auto"/>
        </w:rPr>
        <w:t>、开标</w:t>
      </w:r>
    </w:p>
    <w:p>
      <w:pPr>
        <w:autoSpaceDE w:val="0"/>
        <w:autoSpaceDN w:val="0"/>
        <w:adjustRightInd w:val="0"/>
        <w:spacing w:line="360" w:lineRule="auto"/>
        <w:rPr>
          <w:rFonts w:hint="eastAsia" w:asciiTheme="minorEastAsia" w:hAnsiTheme="minorEastAsia" w:eastAsiaTheme="minorEastAsia"/>
          <w:color w:val="auto"/>
          <w:kern w:val="0"/>
          <w:sz w:val="24"/>
          <w:szCs w:val="24"/>
          <w:highlight w:val="none"/>
          <w:shd w:val="clear" w:color="auto" w:fill="auto"/>
          <w:lang w:eastAsia="zh-CN"/>
        </w:rPr>
      </w:pPr>
      <w:r>
        <w:rPr>
          <w:rFonts w:hint="eastAsia" w:asciiTheme="minorEastAsia" w:hAnsiTheme="minorEastAsia" w:eastAsiaTheme="minorEastAsia"/>
          <w:color w:val="auto"/>
          <w:kern w:val="0"/>
          <w:sz w:val="24"/>
          <w:szCs w:val="24"/>
          <w:highlight w:val="none"/>
          <w:shd w:val="clear" w:color="auto" w:fill="auto"/>
        </w:rPr>
        <w:t xml:space="preserve">    （一）开标</w:t>
      </w:r>
      <w:r>
        <w:rPr>
          <w:rFonts w:hint="eastAsia" w:asciiTheme="minorEastAsia" w:hAnsiTheme="minorEastAsia" w:eastAsiaTheme="minorEastAsia"/>
          <w:color w:val="auto"/>
          <w:kern w:val="0"/>
          <w:sz w:val="24"/>
          <w:szCs w:val="24"/>
          <w:highlight w:val="none"/>
          <w:shd w:val="clear" w:color="auto" w:fill="auto"/>
          <w:lang w:eastAsia="zh-CN"/>
        </w:rPr>
        <w:t>事项</w:t>
      </w:r>
    </w:p>
    <w:p>
      <w:pPr>
        <w:autoSpaceDE w:val="0"/>
        <w:autoSpaceDN w:val="0"/>
        <w:adjustRightInd w:val="0"/>
        <w:spacing w:line="360" w:lineRule="auto"/>
        <w:ind w:firstLine="480" w:firstLineChars="200"/>
        <w:rPr>
          <w:rFonts w:asciiTheme="minorEastAsia" w:hAnsiTheme="minorEastAsia" w:eastAsiaTheme="minorEastAsia"/>
          <w:bCs/>
          <w:color w:val="auto"/>
          <w:sz w:val="24"/>
          <w:szCs w:val="24"/>
          <w:highlight w:val="none"/>
          <w:shd w:val="clear" w:color="auto" w:fill="auto"/>
        </w:rPr>
      </w:pPr>
      <w:r>
        <w:rPr>
          <w:rFonts w:hint="eastAsia" w:asciiTheme="minorEastAsia" w:hAnsiTheme="minorEastAsia" w:eastAsiaTheme="minorEastAsia"/>
          <w:color w:val="auto"/>
          <w:kern w:val="0"/>
          <w:sz w:val="24"/>
          <w:szCs w:val="24"/>
          <w:highlight w:val="none"/>
          <w:shd w:val="clear" w:color="auto" w:fill="auto"/>
          <w:lang w:eastAsia="zh-CN"/>
        </w:rPr>
        <w:t>采购组织机构</w:t>
      </w:r>
      <w:r>
        <w:rPr>
          <w:rFonts w:hint="eastAsia" w:asciiTheme="minorEastAsia" w:hAnsiTheme="minorEastAsia" w:eastAsiaTheme="minorEastAsia"/>
          <w:color w:val="auto"/>
          <w:kern w:val="0"/>
          <w:sz w:val="24"/>
          <w:szCs w:val="24"/>
          <w:highlight w:val="none"/>
          <w:shd w:val="clear" w:color="auto" w:fill="auto"/>
        </w:rPr>
        <w:t>在“招标公告”规定的时间和地点公开开标，投标人的法定代表人或其授权代表应参加开标会并签到。</w:t>
      </w:r>
      <w:r>
        <w:rPr>
          <w:rFonts w:asciiTheme="minorEastAsia" w:hAnsiTheme="minorEastAsia" w:eastAsiaTheme="minorEastAsia"/>
          <w:bCs/>
          <w:color w:val="auto"/>
          <w:sz w:val="24"/>
          <w:szCs w:val="24"/>
          <w:highlight w:val="none"/>
          <w:shd w:val="clear" w:color="auto" w:fill="auto"/>
        </w:rPr>
        <w:t>投标人的法定代表人或其授权代表未按时签到的，视同放弃开标监督权利、认可开标结果。</w:t>
      </w:r>
      <w:r>
        <w:rPr>
          <w:rFonts w:hint="eastAsia" w:asciiTheme="minorEastAsia" w:hAnsiTheme="minorEastAsia" w:eastAsiaTheme="minorEastAsia"/>
          <w:bCs/>
          <w:color w:val="auto"/>
          <w:sz w:val="24"/>
          <w:szCs w:val="24"/>
          <w:highlight w:val="none"/>
          <w:shd w:val="clear" w:color="auto" w:fill="auto"/>
          <w:lang w:eastAsia="zh-CN"/>
        </w:rPr>
        <w:t>采购组织机构</w:t>
      </w:r>
      <w:r>
        <w:rPr>
          <w:rFonts w:asciiTheme="minorEastAsia" w:hAnsiTheme="minorEastAsia" w:eastAsiaTheme="minorEastAsia"/>
          <w:bCs/>
          <w:color w:val="auto"/>
          <w:sz w:val="24"/>
          <w:szCs w:val="24"/>
          <w:highlight w:val="none"/>
          <w:shd w:val="clear" w:color="auto" w:fill="auto"/>
        </w:rPr>
        <w:t>工作人员接收投标文件并登记，并由供应商代表对递交记录情况进行</w:t>
      </w:r>
      <w:r>
        <w:rPr>
          <w:rFonts w:hint="eastAsia" w:asciiTheme="minorEastAsia" w:hAnsiTheme="minorEastAsia" w:eastAsiaTheme="minorEastAsia"/>
          <w:bCs/>
          <w:color w:val="auto"/>
          <w:sz w:val="24"/>
          <w:szCs w:val="24"/>
          <w:highlight w:val="none"/>
          <w:shd w:val="clear" w:color="auto" w:fill="auto"/>
          <w:lang w:eastAsia="zh-CN"/>
        </w:rPr>
        <w:t>签字</w:t>
      </w:r>
      <w:r>
        <w:rPr>
          <w:rFonts w:asciiTheme="minorEastAsia" w:hAnsiTheme="minorEastAsia" w:eastAsiaTheme="minorEastAsia"/>
          <w:bCs/>
          <w:color w:val="auto"/>
          <w:sz w:val="24"/>
          <w:szCs w:val="24"/>
          <w:highlight w:val="none"/>
          <w:shd w:val="clear" w:color="auto" w:fill="auto"/>
        </w:rPr>
        <w:t>确认。</w:t>
      </w:r>
      <w:r>
        <w:rPr>
          <w:rFonts w:hint="eastAsia" w:asciiTheme="minorEastAsia" w:hAnsiTheme="minorEastAsia" w:eastAsiaTheme="minorEastAsia"/>
          <w:bCs/>
          <w:color w:val="auto"/>
          <w:sz w:val="24"/>
          <w:szCs w:val="24"/>
          <w:highlight w:val="none"/>
          <w:shd w:val="clear" w:color="auto" w:fill="auto"/>
        </w:rPr>
        <w:t>评标委员会成员不得参加开标活动。</w:t>
      </w:r>
      <w:r>
        <w:rPr>
          <w:rFonts w:hint="eastAsia" w:asciiTheme="minorEastAsia" w:hAnsiTheme="minorEastAsia" w:eastAsiaTheme="minorEastAsia"/>
          <w:color w:val="auto"/>
          <w:kern w:val="0"/>
          <w:sz w:val="24"/>
          <w:szCs w:val="24"/>
          <w:highlight w:val="none"/>
          <w:shd w:val="clear" w:color="auto" w:fill="auto"/>
        </w:rPr>
        <w:t>（本次招标</w:t>
      </w:r>
      <w:r>
        <w:rPr>
          <w:rFonts w:cs="Arial" w:asciiTheme="minorEastAsia" w:hAnsiTheme="minorEastAsia" w:eastAsiaTheme="minorEastAsia"/>
          <w:color w:val="auto"/>
          <w:sz w:val="24"/>
          <w:szCs w:val="24"/>
          <w:highlight w:val="none"/>
          <w:shd w:val="clear" w:color="auto" w:fill="auto"/>
        </w:rPr>
        <w:t>采用先评审商务资格</w:t>
      </w:r>
      <w:r>
        <w:rPr>
          <w:rFonts w:hint="eastAsia" w:cs="Arial" w:asciiTheme="minorEastAsia" w:hAnsiTheme="minorEastAsia" w:eastAsiaTheme="minorEastAsia"/>
          <w:color w:val="auto"/>
          <w:sz w:val="24"/>
          <w:szCs w:val="24"/>
          <w:highlight w:val="none"/>
          <w:shd w:val="clear" w:color="auto" w:fill="auto"/>
        </w:rPr>
        <w:t>和</w:t>
      </w:r>
      <w:r>
        <w:rPr>
          <w:rFonts w:cs="Arial" w:asciiTheme="minorEastAsia" w:hAnsiTheme="minorEastAsia" w:eastAsiaTheme="minorEastAsia"/>
          <w:color w:val="auto"/>
          <w:sz w:val="24"/>
          <w:szCs w:val="24"/>
          <w:highlight w:val="none"/>
          <w:shd w:val="clear" w:color="auto" w:fill="auto"/>
        </w:rPr>
        <w:t>技术服务方案</w:t>
      </w:r>
      <w:r>
        <w:rPr>
          <w:rFonts w:hint="eastAsia" w:cs="Arial" w:asciiTheme="minorEastAsia" w:hAnsiTheme="minorEastAsia" w:eastAsiaTheme="minorEastAsia"/>
          <w:color w:val="auto"/>
          <w:sz w:val="24"/>
          <w:szCs w:val="24"/>
          <w:highlight w:val="none"/>
          <w:shd w:val="clear" w:color="auto" w:fill="auto"/>
        </w:rPr>
        <w:t>，</w:t>
      </w:r>
      <w:r>
        <w:rPr>
          <w:rFonts w:cs="Arial" w:asciiTheme="minorEastAsia" w:hAnsiTheme="minorEastAsia" w:eastAsiaTheme="minorEastAsia"/>
          <w:color w:val="auto"/>
          <w:sz w:val="24"/>
          <w:szCs w:val="24"/>
          <w:highlight w:val="none"/>
          <w:shd w:val="clear" w:color="auto" w:fill="auto"/>
        </w:rPr>
        <w:t>后公开并评审商务报价的办法</w:t>
      </w:r>
      <w:r>
        <w:rPr>
          <w:rFonts w:hint="eastAsia" w:asciiTheme="minorEastAsia" w:hAnsiTheme="minorEastAsia" w:eastAsiaTheme="minorEastAsia"/>
          <w:color w:val="auto"/>
          <w:kern w:val="0"/>
          <w:sz w:val="24"/>
          <w:szCs w:val="24"/>
          <w:highlight w:val="none"/>
          <w:shd w:val="clear" w:color="auto" w:fill="auto"/>
        </w:rPr>
        <w:t>实施）。</w:t>
      </w:r>
    </w:p>
    <w:p>
      <w:pPr>
        <w:autoSpaceDE w:val="0"/>
        <w:autoSpaceDN w:val="0"/>
        <w:adjustRightInd w:val="0"/>
        <w:spacing w:line="360" w:lineRule="auto"/>
        <w:ind w:firstLine="480" w:firstLineChars="200"/>
        <w:rPr>
          <w:rFonts w:asciiTheme="minorEastAsia" w:hAnsiTheme="minorEastAsia" w:eastAsiaTheme="minorEastAsia"/>
          <w:bCs/>
          <w:color w:val="auto"/>
          <w:sz w:val="24"/>
          <w:szCs w:val="24"/>
          <w:highlight w:val="none"/>
          <w:shd w:val="clear" w:color="auto" w:fill="auto"/>
        </w:rPr>
      </w:pPr>
      <w:r>
        <w:rPr>
          <w:rFonts w:asciiTheme="minorEastAsia" w:hAnsiTheme="minorEastAsia" w:eastAsiaTheme="minorEastAsia"/>
          <w:bCs/>
          <w:color w:val="auto"/>
          <w:sz w:val="24"/>
          <w:szCs w:val="24"/>
          <w:highlight w:val="none"/>
          <w:shd w:val="clear" w:color="auto" w:fill="auto"/>
        </w:rPr>
        <w:t>（二） 开</w:t>
      </w:r>
      <w:r>
        <w:rPr>
          <w:rFonts w:hint="eastAsia" w:asciiTheme="minorEastAsia" w:hAnsiTheme="minorEastAsia" w:eastAsiaTheme="minorEastAsia"/>
          <w:bCs/>
          <w:color w:val="auto"/>
          <w:sz w:val="24"/>
          <w:szCs w:val="24"/>
          <w:highlight w:val="none"/>
          <w:shd w:val="clear" w:color="auto" w:fill="auto"/>
        </w:rPr>
        <w:t>标</w:t>
      </w:r>
      <w:r>
        <w:rPr>
          <w:rFonts w:asciiTheme="minorEastAsia" w:hAnsiTheme="minorEastAsia" w:eastAsiaTheme="minorEastAsia"/>
          <w:bCs/>
          <w:color w:val="auto"/>
          <w:sz w:val="24"/>
          <w:szCs w:val="24"/>
          <w:highlight w:val="none"/>
          <w:shd w:val="clear" w:color="auto" w:fill="auto"/>
        </w:rPr>
        <w:t>程序：</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1、开标会由招标项目负责人主持，主持人宣布开标会议开始；</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 xml:space="preserve">2、主持人介绍参加开标会的人员名单； </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3、主持人宣布评标期间的有关事项，告知应当回避的情形,提请有关人员回避；</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4、投标人或其当场推荐的代表，检查投标文件密封的完整性；</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5、按投标文件递交的先后顺序当场拆封</w:t>
      </w:r>
      <w:r>
        <w:rPr>
          <w:rFonts w:hint="eastAsia" w:asciiTheme="minorEastAsia" w:hAnsiTheme="minorEastAsia" w:eastAsiaTheme="minorEastAsia"/>
          <w:color w:val="auto"/>
          <w:kern w:val="0"/>
          <w:sz w:val="24"/>
          <w:szCs w:val="24"/>
          <w:highlight w:val="none"/>
          <w:shd w:val="clear" w:color="auto" w:fill="auto"/>
        </w:rPr>
        <w:t>资格证明文件、</w:t>
      </w:r>
      <w:r>
        <w:rPr>
          <w:rFonts w:hint="eastAsia" w:hAnsi="宋体"/>
          <w:bCs/>
          <w:color w:val="auto"/>
          <w:sz w:val="24"/>
          <w:szCs w:val="24"/>
          <w:highlight w:val="none"/>
          <w:shd w:val="clear" w:color="auto" w:fill="auto"/>
          <w:lang w:val="zh-CN"/>
        </w:rPr>
        <w:t>商务与技术文件</w:t>
      </w:r>
      <w:r>
        <w:rPr>
          <w:rFonts w:hint="eastAsia" w:asciiTheme="minorEastAsia" w:hAnsiTheme="minorEastAsia" w:eastAsiaTheme="minorEastAsia"/>
          <w:color w:val="auto"/>
          <w:sz w:val="24"/>
          <w:szCs w:val="24"/>
          <w:highlight w:val="none"/>
          <w:shd w:val="clear" w:color="auto" w:fill="auto"/>
        </w:rPr>
        <w:t>后，</w:t>
      </w:r>
      <w:r>
        <w:rPr>
          <w:rFonts w:hint="eastAsia" w:asciiTheme="minorEastAsia" w:hAnsiTheme="minorEastAsia" w:eastAsiaTheme="minorEastAsia"/>
          <w:color w:val="auto"/>
          <w:sz w:val="24"/>
          <w:szCs w:val="24"/>
          <w:highlight w:val="none"/>
          <w:shd w:val="clear" w:color="auto" w:fill="auto"/>
          <w:lang w:eastAsia="zh-CN"/>
        </w:rPr>
        <w:t>进入资格审查及符合性审查环节</w:t>
      </w:r>
      <w:r>
        <w:rPr>
          <w:rFonts w:hint="eastAsia" w:asciiTheme="minorEastAsia" w:hAnsiTheme="minorEastAsia" w:eastAsiaTheme="minorEastAsia"/>
          <w:color w:val="auto"/>
          <w:sz w:val="24"/>
          <w:szCs w:val="24"/>
          <w:highlight w:val="none"/>
          <w:shd w:val="clear" w:color="auto" w:fill="auto"/>
        </w:rPr>
        <w:t>；</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6、</w:t>
      </w:r>
      <w:r>
        <w:rPr>
          <w:rFonts w:hint="eastAsia" w:asciiTheme="minorEastAsia" w:hAnsiTheme="minorEastAsia" w:eastAsiaTheme="minorEastAsia"/>
          <w:color w:val="auto"/>
          <w:sz w:val="24"/>
          <w:szCs w:val="24"/>
          <w:highlight w:val="none"/>
          <w:shd w:val="clear" w:color="auto" w:fill="auto"/>
          <w:lang w:eastAsia="zh-CN"/>
        </w:rPr>
        <w:t>完成</w:t>
      </w:r>
      <w:r>
        <w:rPr>
          <w:rFonts w:hint="default" w:ascii="Arial" w:hAnsi="Arial" w:eastAsia="宋体" w:cs="Arial"/>
          <w:b w:val="0"/>
          <w:bCs w:val="0"/>
          <w:color w:val="auto"/>
          <w:sz w:val="24"/>
          <w:szCs w:val="24"/>
          <w:highlight w:val="none"/>
          <w:shd w:val="clear" w:color="auto" w:fill="auto"/>
        </w:rPr>
        <w:t>综合比较与评价</w:t>
      </w:r>
      <w:r>
        <w:rPr>
          <w:rFonts w:hint="eastAsia" w:ascii="Arial" w:hAnsi="Arial" w:cs="Arial"/>
          <w:b w:val="0"/>
          <w:bCs w:val="0"/>
          <w:color w:val="auto"/>
          <w:sz w:val="24"/>
          <w:szCs w:val="24"/>
          <w:highlight w:val="none"/>
          <w:shd w:val="clear" w:color="auto" w:fill="auto"/>
          <w:lang w:eastAsia="zh-CN"/>
        </w:rPr>
        <w:t>后，</w:t>
      </w:r>
      <w:r>
        <w:rPr>
          <w:rFonts w:hint="eastAsia" w:asciiTheme="minorEastAsia" w:hAnsiTheme="minorEastAsia" w:eastAsiaTheme="minorEastAsia"/>
          <w:color w:val="auto"/>
          <w:sz w:val="24"/>
          <w:szCs w:val="24"/>
          <w:highlight w:val="none"/>
          <w:shd w:val="clear" w:color="auto" w:fill="auto"/>
        </w:rPr>
        <w:t>由主持人按投标文件的先后顺序当场拆封报价文件，并现场宣读《开标一览表》中的投标报价，以及</w:t>
      </w:r>
      <w:r>
        <w:rPr>
          <w:rFonts w:hint="eastAsia" w:asciiTheme="minorEastAsia" w:hAnsiTheme="minorEastAsia" w:eastAsiaTheme="minorEastAsia"/>
          <w:color w:val="auto"/>
          <w:sz w:val="24"/>
          <w:szCs w:val="24"/>
          <w:highlight w:val="none"/>
          <w:shd w:val="clear" w:color="auto" w:fill="auto"/>
          <w:lang w:eastAsia="zh-CN"/>
        </w:rPr>
        <w:t>采购组织机构</w:t>
      </w:r>
      <w:r>
        <w:rPr>
          <w:rFonts w:hint="eastAsia" w:asciiTheme="minorEastAsia" w:hAnsiTheme="minorEastAsia" w:eastAsiaTheme="minorEastAsia"/>
          <w:color w:val="auto"/>
          <w:sz w:val="24"/>
          <w:szCs w:val="24"/>
          <w:highlight w:val="none"/>
          <w:shd w:val="clear" w:color="auto" w:fill="auto"/>
        </w:rPr>
        <w:t>认为有必要宣读的其他内容；</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7、</w:t>
      </w:r>
      <w:r>
        <w:rPr>
          <w:rFonts w:hint="eastAsia" w:asciiTheme="minorEastAsia" w:hAnsiTheme="minorEastAsia" w:eastAsiaTheme="minorEastAsia"/>
          <w:color w:val="auto"/>
          <w:sz w:val="24"/>
          <w:szCs w:val="24"/>
          <w:highlight w:val="none"/>
          <w:shd w:val="clear" w:color="auto" w:fill="auto"/>
          <w:lang w:eastAsia="zh-CN"/>
        </w:rPr>
        <w:t>采购组织机构</w:t>
      </w:r>
      <w:r>
        <w:rPr>
          <w:rFonts w:hint="eastAsia" w:asciiTheme="minorEastAsia" w:hAnsiTheme="minorEastAsia" w:eastAsiaTheme="minorEastAsia"/>
          <w:color w:val="auto"/>
          <w:sz w:val="24"/>
          <w:szCs w:val="24"/>
          <w:highlight w:val="none"/>
          <w:shd w:val="clear" w:color="auto" w:fill="auto"/>
        </w:rPr>
        <w:t>做开标记录, 投标人代表对开标记录进行当场校核及勘误，并</w:t>
      </w:r>
      <w:r>
        <w:rPr>
          <w:rFonts w:hint="eastAsia" w:asciiTheme="minorEastAsia" w:hAnsiTheme="minorEastAsia" w:eastAsiaTheme="minorEastAsia"/>
          <w:color w:val="auto"/>
          <w:sz w:val="24"/>
          <w:szCs w:val="24"/>
          <w:highlight w:val="none"/>
          <w:shd w:val="clear" w:color="auto" w:fill="auto"/>
          <w:lang w:eastAsia="zh-CN"/>
        </w:rPr>
        <w:t>签字</w:t>
      </w:r>
      <w:r>
        <w:rPr>
          <w:rFonts w:hint="eastAsia" w:asciiTheme="minorEastAsia" w:hAnsiTheme="minorEastAsia" w:eastAsiaTheme="minorEastAsia"/>
          <w:color w:val="auto"/>
          <w:sz w:val="24"/>
          <w:szCs w:val="24"/>
          <w:highlight w:val="none"/>
          <w:shd w:val="clear" w:color="auto" w:fill="auto"/>
        </w:rPr>
        <w:t>确认。同时由记录人、监督人当场</w:t>
      </w:r>
      <w:r>
        <w:rPr>
          <w:rFonts w:hint="eastAsia" w:asciiTheme="minorEastAsia" w:hAnsiTheme="minorEastAsia" w:eastAsiaTheme="minorEastAsia"/>
          <w:color w:val="auto"/>
          <w:sz w:val="24"/>
          <w:szCs w:val="24"/>
          <w:highlight w:val="none"/>
          <w:shd w:val="clear" w:color="auto" w:fill="auto"/>
          <w:lang w:eastAsia="zh-CN"/>
        </w:rPr>
        <w:t>签字</w:t>
      </w:r>
      <w:r>
        <w:rPr>
          <w:rFonts w:hint="eastAsia" w:asciiTheme="minorEastAsia" w:hAnsiTheme="minorEastAsia" w:eastAsiaTheme="minorEastAsia"/>
          <w:color w:val="auto"/>
          <w:sz w:val="24"/>
          <w:szCs w:val="24"/>
          <w:highlight w:val="none"/>
          <w:shd w:val="clear" w:color="auto" w:fill="auto"/>
        </w:rPr>
        <w:t>确认。投标人代表未到场</w:t>
      </w:r>
      <w:r>
        <w:rPr>
          <w:rFonts w:hint="eastAsia" w:asciiTheme="minorEastAsia" w:hAnsiTheme="minorEastAsia" w:eastAsiaTheme="minorEastAsia"/>
          <w:color w:val="auto"/>
          <w:sz w:val="24"/>
          <w:szCs w:val="24"/>
          <w:highlight w:val="none"/>
          <w:shd w:val="clear" w:color="auto" w:fill="auto"/>
          <w:lang w:eastAsia="zh-CN"/>
        </w:rPr>
        <w:t>签字</w:t>
      </w:r>
      <w:r>
        <w:rPr>
          <w:rFonts w:hint="eastAsia" w:asciiTheme="minorEastAsia" w:hAnsiTheme="minorEastAsia" w:eastAsiaTheme="minorEastAsia"/>
          <w:color w:val="auto"/>
          <w:sz w:val="24"/>
          <w:szCs w:val="24"/>
          <w:highlight w:val="none"/>
          <w:shd w:val="clear" w:color="auto" w:fill="auto"/>
        </w:rPr>
        <w:t>确认或者拒绝</w:t>
      </w:r>
      <w:r>
        <w:rPr>
          <w:rFonts w:hint="eastAsia" w:asciiTheme="minorEastAsia" w:hAnsiTheme="minorEastAsia" w:eastAsiaTheme="minorEastAsia"/>
          <w:color w:val="auto"/>
          <w:sz w:val="24"/>
          <w:szCs w:val="24"/>
          <w:highlight w:val="none"/>
          <w:shd w:val="clear" w:color="auto" w:fill="auto"/>
          <w:lang w:eastAsia="zh-CN"/>
        </w:rPr>
        <w:t>签字</w:t>
      </w:r>
      <w:r>
        <w:rPr>
          <w:rFonts w:hint="eastAsia" w:asciiTheme="minorEastAsia" w:hAnsiTheme="minorEastAsia" w:eastAsiaTheme="minorEastAsia"/>
          <w:color w:val="auto"/>
          <w:sz w:val="24"/>
          <w:szCs w:val="24"/>
          <w:highlight w:val="none"/>
          <w:shd w:val="clear" w:color="auto" w:fill="auto"/>
        </w:rPr>
        <w:t>确认的，不影响评标过程；</w:t>
      </w:r>
    </w:p>
    <w:p>
      <w:pPr>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rPr>
        <w:t>8、</w:t>
      </w:r>
      <w:r>
        <w:rPr>
          <w:rFonts w:hint="eastAsia" w:asciiTheme="minorEastAsia" w:hAnsiTheme="minorEastAsia" w:eastAsiaTheme="minorEastAsia"/>
          <w:color w:val="auto"/>
          <w:sz w:val="24"/>
          <w:szCs w:val="24"/>
          <w:highlight w:val="none"/>
          <w:shd w:val="clear" w:color="auto" w:fill="auto"/>
          <w:lang w:eastAsia="zh-CN"/>
        </w:rPr>
        <w:t>在完成评标后，</w:t>
      </w:r>
      <w:r>
        <w:rPr>
          <w:rFonts w:hint="eastAsia" w:asciiTheme="minorEastAsia" w:hAnsiTheme="minorEastAsia" w:eastAsiaTheme="minorEastAsia"/>
          <w:color w:val="auto"/>
          <w:sz w:val="24"/>
          <w:szCs w:val="24"/>
          <w:highlight w:val="none"/>
          <w:shd w:val="clear" w:color="auto" w:fill="auto"/>
        </w:rPr>
        <w:t>宣布评标结果，开标会议结束。</w:t>
      </w:r>
    </w:p>
    <w:p>
      <w:pPr>
        <w:pStyle w:val="2"/>
        <w:snapToGrid w:val="0"/>
        <w:spacing w:line="360" w:lineRule="auto"/>
        <w:outlineLvl w:val="1"/>
        <w:rPr>
          <w:rFonts w:asciiTheme="minorEastAsia" w:hAnsiTheme="minorEastAsia" w:eastAsiaTheme="minorEastAsia"/>
          <w:b/>
          <w:color w:val="auto"/>
          <w:sz w:val="24"/>
          <w:szCs w:val="24"/>
          <w:highlight w:val="none"/>
          <w:shd w:val="clear" w:color="auto" w:fill="auto"/>
        </w:rPr>
      </w:pPr>
      <w:r>
        <w:rPr>
          <w:rFonts w:hint="eastAsia" w:asciiTheme="minorEastAsia" w:hAnsiTheme="minorEastAsia" w:eastAsiaTheme="minorEastAsia"/>
          <w:b/>
          <w:color w:val="auto"/>
          <w:sz w:val="24"/>
          <w:szCs w:val="24"/>
          <w:highlight w:val="none"/>
          <w:shd w:val="clear" w:color="auto" w:fill="auto"/>
          <w:lang w:eastAsia="zh-CN"/>
        </w:rPr>
        <w:t>五</w:t>
      </w:r>
      <w:r>
        <w:rPr>
          <w:rFonts w:hint="eastAsia" w:asciiTheme="minorEastAsia" w:hAnsiTheme="minorEastAsia" w:eastAsiaTheme="minorEastAsia"/>
          <w:b/>
          <w:color w:val="auto"/>
          <w:sz w:val="24"/>
          <w:szCs w:val="24"/>
          <w:highlight w:val="none"/>
          <w:shd w:val="clear" w:color="auto" w:fill="auto"/>
        </w:rPr>
        <w:t>、评标</w:t>
      </w:r>
    </w:p>
    <w:p>
      <w:pPr>
        <w:pStyle w:val="2"/>
        <w:snapToGrid w:val="0"/>
        <w:spacing w:line="360" w:lineRule="auto"/>
        <w:ind w:left="720" w:leftChars="228" w:hanging="241" w:hangingChars="100"/>
        <w:rPr>
          <w:rFonts w:asciiTheme="minorEastAsia" w:hAnsiTheme="minorEastAsia" w:eastAsiaTheme="minorEastAsia"/>
          <w:b/>
          <w:color w:val="auto"/>
          <w:sz w:val="24"/>
          <w:szCs w:val="24"/>
          <w:highlight w:val="none"/>
          <w:shd w:val="clear" w:color="auto" w:fill="auto"/>
        </w:rPr>
      </w:pPr>
      <w:r>
        <w:rPr>
          <w:rFonts w:asciiTheme="minorEastAsia" w:hAnsiTheme="minorEastAsia" w:eastAsiaTheme="minorEastAsia"/>
          <w:b/>
          <w:color w:val="auto"/>
          <w:sz w:val="24"/>
          <w:szCs w:val="24"/>
          <w:highlight w:val="none"/>
          <w:shd w:val="clear" w:color="auto" w:fill="auto"/>
        </w:rPr>
        <w:t>（一）组建评标委员会</w:t>
      </w:r>
    </w:p>
    <w:p>
      <w:pPr>
        <w:pStyle w:val="2"/>
        <w:snapToGrid w:val="0"/>
        <w:spacing w:line="360" w:lineRule="auto"/>
        <w:ind w:firstLine="480" w:firstLineChars="200"/>
        <w:rPr>
          <w:rFonts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本项目评标委员会由政府采购评审专家</w:t>
      </w:r>
      <w:r>
        <w:rPr>
          <w:rFonts w:hint="eastAsia" w:asciiTheme="minorEastAsia" w:hAnsiTheme="minorEastAsia" w:eastAsiaTheme="minorEastAsia"/>
          <w:color w:val="auto"/>
          <w:sz w:val="24"/>
          <w:szCs w:val="24"/>
          <w:highlight w:val="none"/>
          <w:shd w:val="clear" w:color="auto" w:fill="auto"/>
        </w:rPr>
        <w:t>和采购单位评审代表</w:t>
      </w:r>
      <w:r>
        <w:rPr>
          <w:rFonts w:asciiTheme="minorEastAsia" w:hAnsiTheme="minorEastAsia" w:eastAsiaTheme="minorEastAsia"/>
          <w:color w:val="auto"/>
          <w:sz w:val="24"/>
          <w:szCs w:val="24"/>
          <w:highlight w:val="none"/>
          <w:shd w:val="clear" w:color="auto" w:fill="auto"/>
        </w:rPr>
        <w:t>组成。</w:t>
      </w:r>
    </w:p>
    <w:p>
      <w:pPr>
        <w:pStyle w:val="2"/>
        <w:snapToGrid w:val="0"/>
        <w:spacing w:line="360" w:lineRule="auto"/>
        <w:ind w:left="720" w:leftChars="228" w:hanging="241" w:hangingChars="100"/>
        <w:rPr>
          <w:rFonts w:asciiTheme="minorEastAsia" w:hAnsiTheme="minorEastAsia" w:eastAsiaTheme="minorEastAsia"/>
          <w:b/>
          <w:color w:val="auto"/>
          <w:sz w:val="24"/>
          <w:szCs w:val="24"/>
          <w:highlight w:val="none"/>
          <w:shd w:val="clear" w:color="auto" w:fill="auto"/>
        </w:rPr>
      </w:pPr>
      <w:r>
        <w:rPr>
          <w:rFonts w:asciiTheme="minorEastAsia" w:hAnsiTheme="minorEastAsia" w:eastAsiaTheme="minorEastAsia"/>
          <w:b/>
          <w:color w:val="auto"/>
          <w:sz w:val="24"/>
          <w:szCs w:val="24"/>
          <w:highlight w:val="none"/>
          <w:shd w:val="clear" w:color="auto" w:fill="auto"/>
        </w:rPr>
        <w:t>（</w:t>
      </w:r>
      <w:r>
        <w:rPr>
          <w:rFonts w:hint="eastAsia" w:asciiTheme="minorEastAsia" w:hAnsiTheme="minorEastAsia" w:eastAsiaTheme="minorEastAsia"/>
          <w:b/>
          <w:color w:val="auto"/>
          <w:sz w:val="24"/>
          <w:szCs w:val="24"/>
          <w:highlight w:val="none"/>
          <w:shd w:val="clear" w:color="auto" w:fill="auto"/>
        </w:rPr>
        <w:t>二</w:t>
      </w:r>
      <w:r>
        <w:rPr>
          <w:rFonts w:asciiTheme="minorEastAsia" w:hAnsiTheme="minorEastAsia" w:eastAsiaTheme="minorEastAsia"/>
          <w:b/>
          <w:color w:val="auto"/>
          <w:sz w:val="24"/>
          <w:szCs w:val="24"/>
          <w:highlight w:val="none"/>
          <w:shd w:val="clear" w:color="auto" w:fill="auto"/>
        </w:rPr>
        <w:t>）</w:t>
      </w:r>
      <w:r>
        <w:rPr>
          <w:rFonts w:asciiTheme="minorEastAsia" w:hAnsiTheme="minorEastAsia" w:eastAsiaTheme="minorEastAsia"/>
          <w:b/>
          <w:bCs/>
          <w:color w:val="auto"/>
          <w:sz w:val="24"/>
          <w:szCs w:val="24"/>
          <w:highlight w:val="none"/>
          <w:shd w:val="clear" w:color="auto" w:fill="auto"/>
        </w:rPr>
        <w:t>评标程序</w:t>
      </w:r>
    </w:p>
    <w:p>
      <w:pPr>
        <w:snapToGrid w:val="0"/>
        <w:spacing w:line="360" w:lineRule="auto"/>
        <w:ind w:firstLine="472" w:firstLineChars="196"/>
        <w:rPr>
          <w:rFonts w:asciiTheme="minorEastAsia" w:hAnsiTheme="minorEastAsia" w:eastAsiaTheme="minorEastAsia"/>
          <w:b/>
          <w:bCs/>
          <w:color w:val="auto"/>
          <w:sz w:val="24"/>
          <w:szCs w:val="24"/>
          <w:highlight w:val="none"/>
          <w:shd w:val="clear" w:color="auto" w:fill="auto"/>
        </w:rPr>
      </w:pPr>
      <w:r>
        <w:rPr>
          <w:rFonts w:hint="eastAsia" w:asciiTheme="minorEastAsia" w:hAnsiTheme="minorEastAsia" w:eastAsiaTheme="minorEastAsia"/>
          <w:b/>
          <w:bCs/>
          <w:color w:val="auto"/>
          <w:sz w:val="24"/>
          <w:szCs w:val="24"/>
          <w:highlight w:val="none"/>
          <w:shd w:val="clear" w:color="auto" w:fill="auto"/>
        </w:rPr>
        <w:t>1、资格</w:t>
      </w:r>
      <w:r>
        <w:rPr>
          <w:rFonts w:asciiTheme="minorEastAsia" w:hAnsiTheme="minorEastAsia" w:eastAsiaTheme="minorEastAsia"/>
          <w:b/>
          <w:bCs/>
          <w:color w:val="auto"/>
          <w:sz w:val="24"/>
          <w:szCs w:val="24"/>
          <w:highlight w:val="none"/>
          <w:shd w:val="clear" w:color="auto" w:fill="auto"/>
        </w:rPr>
        <w:t>审查</w:t>
      </w:r>
    </w:p>
    <w:p>
      <w:pPr>
        <w:pStyle w:val="18"/>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公开招标采购项目开标结束后，采购人或者</w:t>
      </w:r>
      <w:r>
        <w:rPr>
          <w:rFonts w:hint="eastAsia" w:asciiTheme="minorEastAsia" w:hAnsiTheme="minorEastAsia" w:eastAsiaTheme="minorEastAsia"/>
          <w:color w:val="auto"/>
          <w:sz w:val="24"/>
          <w:szCs w:val="24"/>
          <w:highlight w:val="none"/>
          <w:shd w:val="clear" w:color="auto" w:fill="auto"/>
          <w:lang w:eastAsia="zh-CN"/>
        </w:rPr>
        <w:t>采购组织机构</w:t>
      </w:r>
      <w:r>
        <w:rPr>
          <w:rFonts w:asciiTheme="minorEastAsia" w:hAnsiTheme="minorEastAsia" w:eastAsiaTheme="minorEastAsia"/>
          <w:color w:val="auto"/>
          <w:sz w:val="24"/>
          <w:szCs w:val="24"/>
          <w:highlight w:val="none"/>
          <w:shd w:val="clear" w:color="auto" w:fill="auto"/>
        </w:rPr>
        <w:t>应当依法对投标人的资格进行审查</w:t>
      </w:r>
      <w:r>
        <w:rPr>
          <w:rFonts w:hint="eastAsia" w:asciiTheme="minorEastAsia" w:hAnsiTheme="minorEastAsia" w:eastAsiaTheme="minorEastAsia"/>
          <w:color w:val="auto"/>
          <w:sz w:val="24"/>
          <w:szCs w:val="24"/>
          <w:highlight w:val="none"/>
          <w:shd w:val="clear" w:color="auto" w:fill="auto"/>
          <w:lang w:eastAsia="zh-CN"/>
        </w:rPr>
        <w:t>，对审查发现无效的</w:t>
      </w:r>
      <w:r>
        <w:rPr>
          <w:rFonts w:hint="eastAsia" w:asciiTheme="minorEastAsia" w:hAnsiTheme="minorEastAsia" w:eastAsiaTheme="minorEastAsia"/>
          <w:color w:val="auto"/>
          <w:sz w:val="24"/>
          <w:szCs w:val="24"/>
          <w:highlight w:val="none"/>
          <w:shd w:val="clear" w:color="auto" w:fill="auto"/>
        </w:rPr>
        <w:t>进行必要的询标，结束后公布无效投标的投标人名单、投标无效的原因</w:t>
      </w:r>
      <w:r>
        <w:rPr>
          <w:rFonts w:asciiTheme="minorEastAsia" w:hAnsiTheme="minorEastAsia" w:eastAsiaTheme="minorEastAsia"/>
          <w:color w:val="auto"/>
          <w:sz w:val="24"/>
          <w:szCs w:val="24"/>
          <w:highlight w:val="none"/>
          <w:shd w:val="clear" w:color="auto" w:fill="auto"/>
        </w:rPr>
        <w:t>。</w:t>
      </w:r>
    </w:p>
    <w:p>
      <w:pPr>
        <w:pStyle w:val="18"/>
        <w:spacing w:before="0" w:beforeAutospacing="0" w:after="0" w:afterAutospacing="0" w:line="360" w:lineRule="auto"/>
        <w:ind w:firstLine="472" w:firstLineChars="196"/>
        <w:jc w:val="both"/>
        <w:rPr>
          <w:rFonts w:hint="default" w:asciiTheme="minorEastAsia" w:hAnsiTheme="minorEastAsia" w:eastAsiaTheme="minorEastAsia"/>
          <w:b/>
          <w:bCs/>
          <w:color w:val="auto"/>
          <w:sz w:val="24"/>
          <w:szCs w:val="24"/>
          <w:highlight w:val="none"/>
          <w:shd w:val="clear" w:color="auto" w:fill="auto"/>
        </w:rPr>
      </w:pPr>
      <w:r>
        <w:rPr>
          <w:rFonts w:asciiTheme="minorEastAsia" w:hAnsiTheme="minorEastAsia" w:eastAsiaTheme="minorEastAsia"/>
          <w:b/>
          <w:bCs/>
          <w:color w:val="auto"/>
          <w:sz w:val="24"/>
          <w:szCs w:val="24"/>
          <w:highlight w:val="none"/>
          <w:shd w:val="clear" w:color="auto" w:fill="auto"/>
        </w:rPr>
        <w:t>2、</w:t>
      </w:r>
      <w:r>
        <w:rPr>
          <w:rFonts w:hint="eastAsia" w:asciiTheme="minorEastAsia" w:hAnsiTheme="minorEastAsia" w:eastAsiaTheme="minorEastAsia"/>
          <w:b/>
          <w:bCs/>
          <w:color w:val="auto"/>
          <w:sz w:val="24"/>
          <w:szCs w:val="24"/>
          <w:highlight w:val="none"/>
          <w:shd w:val="clear" w:color="auto" w:fill="auto"/>
          <w:lang w:eastAsia="zh-CN"/>
        </w:rPr>
        <w:t>符合性</w:t>
      </w:r>
      <w:r>
        <w:rPr>
          <w:rFonts w:asciiTheme="minorEastAsia" w:hAnsiTheme="minorEastAsia" w:eastAsiaTheme="minorEastAsia"/>
          <w:b/>
          <w:bCs/>
          <w:color w:val="auto"/>
          <w:sz w:val="24"/>
          <w:szCs w:val="24"/>
          <w:highlight w:val="none"/>
          <w:shd w:val="clear" w:color="auto" w:fill="auto"/>
        </w:rPr>
        <w:t>审查</w:t>
      </w:r>
    </w:p>
    <w:p>
      <w:pPr>
        <w:pStyle w:val="18"/>
        <w:spacing w:before="0" w:beforeAutospacing="0" w:after="0" w:afterAutospacing="0" w:line="360" w:lineRule="auto"/>
        <w:ind w:firstLine="480" w:firstLineChars="200"/>
        <w:jc w:val="both"/>
        <w:rPr>
          <w:rFonts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评标委员会应当对符合资格的投标人的投标文件进行符合性审查，以确定其是否满足招标文件的实质性要求</w:t>
      </w:r>
      <w:r>
        <w:rPr>
          <w:rFonts w:hint="eastAsia" w:asciiTheme="minorEastAsia" w:hAnsiTheme="minorEastAsia" w:eastAsiaTheme="minorEastAsia"/>
          <w:color w:val="auto"/>
          <w:sz w:val="24"/>
          <w:szCs w:val="24"/>
          <w:highlight w:val="none"/>
          <w:shd w:val="clear" w:color="auto" w:fill="auto"/>
          <w:lang w:eastAsia="zh-CN"/>
        </w:rPr>
        <w:t>，对审查发现无效的</w:t>
      </w:r>
      <w:r>
        <w:rPr>
          <w:rFonts w:hint="eastAsia" w:asciiTheme="minorEastAsia" w:hAnsiTheme="minorEastAsia" w:eastAsiaTheme="minorEastAsia"/>
          <w:color w:val="auto"/>
          <w:sz w:val="24"/>
          <w:szCs w:val="24"/>
          <w:highlight w:val="none"/>
          <w:shd w:val="clear" w:color="auto" w:fill="auto"/>
        </w:rPr>
        <w:t>进行必要的询标，结束后公布无效投标的投标人名单、投标无效的原因</w:t>
      </w:r>
      <w:r>
        <w:rPr>
          <w:rFonts w:asciiTheme="minorEastAsia" w:hAnsiTheme="minorEastAsia" w:eastAsiaTheme="minorEastAsia"/>
          <w:color w:val="auto"/>
          <w:sz w:val="24"/>
          <w:szCs w:val="24"/>
          <w:highlight w:val="none"/>
          <w:shd w:val="clear" w:color="auto" w:fill="auto"/>
        </w:rPr>
        <w:t>。</w:t>
      </w:r>
    </w:p>
    <w:p>
      <w:pPr>
        <w:pStyle w:val="18"/>
        <w:spacing w:before="0" w:beforeAutospacing="0" w:after="0" w:afterAutospacing="0" w:line="360" w:lineRule="auto"/>
        <w:ind w:firstLine="482" w:firstLineChars="200"/>
        <w:jc w:val="both"/>
        <w:rPr>
          <w:rFonts w:hint="default" w:asciiTheme="minorEastAsia" w:hAnsiTheme="minorEastAsia" w:eastAsiaTheme="minorEastAsia"/>
          <w:color w:val="auto"/>
          <w:sz w:val="24"/>
          <w:szCs w:val="24"/>
          <w:highlight w:val="none"/>
          <w:shd w:val="clear" w:color="auto" w:fill="auto"/>
        </w:rPr>
      </w:pPr>
      <w:r>
        <w:rPr>
          <w:rFonts w:hint="eastAsia" w:asciiTheme="minorEastAsia" w:hAnsiTheme="minorEastAsia" w:eastAsiaTheme="minorEastAsia"/>
          <w:b/>
          <w:bCs/>
          <w:color w:val="auto"/>
          <w:sz w:val="24"/>
          <w:szCs w:val="24"/>
          <w:highlight w:val="none"/>
          <w:shd w:val="clear" w:color="auto" w:fill="auto"/>
          <w:lang w:val="en-US" w:eastAsia="zh-CN"/>
        </w:rPr>
        <w:t>3</w:t>
      </w:r>
      <w:r>
        <w:rPr>
          <w:rFonts w:asciiTheme="minorEastAsia" w:hAnsiTheme="minorEastAsia" w:eastAsiaTheme="minorEastAsia"/>
          <w:b/>
          <w:bCs/>
          <w:color w:val="auto"/>
          <w:sz w:val="24"/>
          <w:szCs w:val="24"/>
          <w:highlight w:val="none"/>
          <w:shd w:val="clear" w:color="auto" w:fill="auto"/>
        </w:rPr>
        <w:t>、</w:t>
      </w:r>
      <w:r>
        <w:rPr>
          <w:rFonts w:hint="default" w:ascii="Arial" w:hAnsi="Arial" w:eastAsia="宋体" w:cs="Arial"/>
          <w:b/>
          <w:bCs/>
          <w:color w:val="auto"/>
          <w:sz w:val="24"/>
          <w:szCs w:val="24"/>
          <w:highlight w:val="none"/>
          <w:shd w:val="clear" w:color="auto" w:fill="auto"/>
        </w:rPr>
        <w:t>综合比较与评价</w:t>
      </w:r>
    </w:p>
    <w:p>
      <w:pPr>
        <w:pStyle w:val="18"/>
        <w:spacing w:before="0" w:beforeAutospacing="0" w:after="0" w:afterAutospacing="0" w:line="360" w:lineRule="auto"/>
        <w:ind w:firstLine="360" w:firstLineChars="150"/>
        <w:jc w:val="both"/>
        <w:rPr>
          <w:rFonts w:hint="default"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sz w:val="24"/>
          <w:szCs w:val="24"/>
          <w:highlight w:val="none"/>
          <w:shd w:val="clear" w:color="auto" w:fill="auto"/>
          <w:lang w:val="en-US" w:eastAsia="zh-CN"/>
        </w:rPr>
        <w:t>1</w:t>
      </w:r>
      <w:r>
        <w:rPr>
          <w:rFonts w:asciiTheme="minorEastAsia" w:hAnsiTheme="minorEastAsia" w:eastAsiaTheme="minorEastAsia"/>
          <w:color w:val="auto"/>
          <w:sz w:val="24"/>
          <w:szCs w:val="24"/>
          <w:highlight w:val="none"/>
          <w:shd w:val="clear" w:color="auto" w:fill="auto"/>
        </w:rPr>
        <w:t>）对于投标文件中含义不明确、同类问题表述不一致或者有明显文字和计算错误的内容，评标委员会应当以书面形式要求投标人作出必要的澄清、说明或者补正。</w:t>
      </w:r>
    </w:p>
    <w:p>
      <w:pPr>
        <w:pStyle w:val="18"/>
        <w:spacing w:before="0" w:beforeAutospacing="0" w:after="0" w:afterAutospacing="0" w:line="360" w:lineRule="auto"/>
        <w:ind w:firstLine="360" w:firstLineChars="150"/>
        <w:jc w:val="both"/>
        <w:rPr>
          <w:rFonts w:hint="default"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sz w:val="24"/>
          <w:szCs w:val="24"/>
          <w:highlight w:val="none"/>
          <w:shd w:val="clear" w:color="auto" w:fill="auto"/>
          <w:lang w:val="en-US" w:eastAsia="zh-CN"/>
        </w:rPr>
        <w:t>2</w:t>
      </w:r>
      <w:r>
        <w:rPr>
          <w:rFonts w:asciiTheme="minorEastAsia" w:hAnsiTheme="minorEastAsia" w:eastAsiaTheme="minorEastAsia"/>
          <w:color w:val="auto"/>
          <w:sz w:val="24"/>
          <w:szCs w:val="24"/>
          <w:highlight w:val="none"/>
          <w:shd w:val="clear" w:color="auto" w:fill="auto"/>
        </w:rPr>
        <w:t>）评标委员会应当按照招标文件中规定的评标方法和标准，对符合性审查合格的投标文件进行商务和技术评估，综合比较与评价。</w:t>
      </w:r>
    </w:p>
    <w:p>
      <w:pPr>
        <w:snapToGrid w:val="0"/>
        <w:spacing w:line="360" w:lineRule="auto"/>
        <w:ind w:firstLine="360" w:firstLineChars="150"/>
        <w:rPr>
          <w:rFonts w:hint="eastAsia" w:asciiTheme="minorEastAsia" w:hAnsiTheme="minorEastAsia" w:eastAsiaTheme="minorEastAsia"/>
          <w:color w:val="auto"/>
          <w:kern w:val="0"/>
          <w:sz w:val="24"/>
          <w:szCs w:val="24"/>
          <w:highlight w:val="none"/>
          <w:shd w:val="clear" w:color="auto" w:fill="auto"/>
          <w:lang w:eastAsia="zh-CN"/>
        </w:rPr>
      </w:pPr>
      <w:r>
        <w:rPr>
          <w:rFonts w:hint="eastAsia" w:asciiTheme="minorEastAsia" w:hAnsiTheme="minorEastAsia" w:eastAsiaTheme="minorEastAsia"/>
          <w:color w:val="auto"/>
          <w:kern w:val="0"/>
          <w:sz w:val="24"/>
          <w:szCs w:val="24"/>
          <w:highlight w:val="none"/>
          <w:shd w:val="clear" w:color="auto" w:fill="auto"/>
        </w:rPr>
        <w:t>（</w:t>
      </w:r>
      <w:r>
        <w:rPr>
          <w:rFonts w:hint="eastAsia" w:asciiTheme="minorEastAsia" w:hAnsiTheme="minorEastAsia" w:eastAsiaTheme="minorEastAsia"/>
          <w:color w:val="auto"/>
          <w:kern w:val="0"/>
          <w:sz w:val="24"/>
          <w:szCs w:val="24"/>
          <w:highlight w:val="none"/>
          <w:shd w:val="clear" w:color="auto" w:fill="auto"/>
          <w:lang w:val="en-US" w:eastAsia="zh-CN"/>
        </w:rPr>
        <w:t>3</w:t>
      </w:r>
      <w:r>
        <w:rPr>
          <w:rFonts w:hint="eastAsia" w:asciiTheme="minorEastAsia" w:hAnsiTheme="minorEastAsia" w:eastAsiaTheme="minorEastAsia"/>
          <w:color w:val="auto"/>
          <w:kern w:val="0"/>
          <w:sz w:val="24"/>
          <w:szCs w:val="24"/>
          <w:highlight w:val="none"/>
          <w:shd w:val="clear" w:color="auto" w:fill="auto"/>
        </w:rPr>
        <w:t>）评标时，评标委员会各成员应当独立对每个投标人的投标文件进行评价，并汇总每个投标人的得分。</w:t>
      </w:r>
    </w:p>
    <w:p>
      <w:pPr>
        <w:numPr>
          <w:ilvl w:val="-1"/>
          <w:numId w:val="0"/>
        </w:numPr>
        <w:snapToGrid w:val="0"/>
        <w:spacing w:line="360" w:lineRule="auto"/>
        <w:ind w:firstLine="482" w:firstLineChars="200"/>
        <w:rPr>
          <w:rFonts w:hint="eastAsia" w:ascii="Arial" w:hAnsi="Arial" w:cs="Arial"/>
          <w:b/>
          <w:bCs/>
          <w:color w:val="auto"/>
          <w:sz w:val="24"/>
          <w:szCs w:val="24"/>
          <w:highlight w:val="none"/>
          <w:shd w:val="clear" w:color="auto" w:fill="auto"/>
          <w:lang w:eastAsia="zh-CN"/>
        </w:rPr>
      </w:pPr>
      <w:r>
        <w:rPr>
          <w:rFonts w:hint="eastAsia" w:ascii="Arial" w:hAnsi="Arial" w:cs="Arial"/>
          <w:b/>
          <w:bCs/>
          <w:color w:val="auto"/>
          <w:sz w:val="24"/>
          <w:szCs w:val="24"/>
          <w:highlight w:val="none"/>
          <w:shd w:val="clear" w:color="auto" w:fill="auto"/>
          <w:lang w:val="en-US" w:eastAsia="zh-CN"/>
        </w:rPr>
        <w:t>4、</w:t>
      </w:r>
      <w:r>
        <w:rPr>
          <w:rFonts w:hint="eastAsia" w:ascii="Arial" w:hAnsi="Arial" w:cs="Arial"/>
          <w:b/>
          <w:bCs/>
          <w:color w:val="auto"/>
          <w:sz w:val="24"/>
          <w:szCs w:val="24"/>
          <w:highlight w:val="none"/>
          <w:shd w:val="clear" w:color="auto" w:fill="auto"/>
          <w:lang w:eastAsia="zh-CN"/>
        </w:rPr>
        <w:t>得分确认及评审报告编写</w:t>
      </w:r>
    </w:p>
    <w:p>
      <w:pPr>
        <w:pStyle w:val="2"/>
        <w:snapToGrid w:val="0"/>
        <w:spacing w:line="360" w:lineRule="auto"/>
        <w:ind w:firstLine="420" w:firstLineChars="175"/>
        <w:rPr>
          <w:rFonts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sz w:val="24"/>
          <w:szCs w:val="24"/>
          <w:highlight w:val="none"/>
          <w:shd w:val="clear" w:color="auto" w:fill="auto"/>
          <w:lang w:val="en-US" w:eastAsia="zh-CN"/>
        </w:rPr>
        <w:t>1</w:t>
      </w: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sz w:val="24"/>
          <w:szCs w:val="24"/>
          <w:highlight w:val="none"/>
          <w:shd w:val="clear" w:color="auto" w:fill="auto"/>
          <w:lang w:eastAsia="zh-CN"/>
        </w:rPr>
        <w:t>评标委员会对报价文件进行复核，对于系统计算出的</w:t>
      </w:r>
      <w:r>
        <w:rPr>
          <w:rFonts w:hint="eastAsia" w:asciiTheme="minorEastAsia" w:hAnsiTheme="minorEastAsia" w:eastAsiaTheme="minorEastAsia"/>
          <w:color w:val="auto"/>
          <w:sz w:val="24"/>
          <w:szCs w:val="24"/>
          <w:highlight w:val="none"/>
          <w:shd w:val="clear" w:color="auto" w:fill="auto"/>
        </w:rPr>
        <w:t>价格分及总得分</w:t>
      </w:r>
      <w:r>
        <w:rPr>
          <w:rFonts w:hint="eastAsia" w:asciiTheme="minorEastAsia" w:hAnsiTheme="minorEastAsia" w:eastAsiaTheme="minorEastAsia"/>
          <w:color w:val="auto"/>
          <w:sz w:val="24"/>
          <w:szCs w:val="24"/>
          <w:highlight w:val="none"/>
          <w:shd w:val="clear" w:color="auto" w:fill="auto"/>
          <w:lang w:eastAsia="zh-CN"/>
        </w:rPr>
        <w:t>进行确认</w:t>
      </w:r>
      <w:r>
        <w:rPr>
          <w:rFonts w:hint="eastAsia" w:asciiTheme="minorEastAsia" w:hAnsiTheme="minorEastAsia" w:eastAsiaTheme="minorEastAsia"/>
          <w:color w:val="auto"/>
          <w:sz w:val="24"/>
          <w:szCs w:val="24"/>
          <w:highlight w:val="none"/>
          <w:shd w:val="clear" w:color="auto" w:fill="auto"/>
        </w:rPr>
        <w:t>；</w:t>
      </w:r>
    </w:p>
    <w:p>
      <w:pPr>
        <w:pStyle w:val="18"/>
        <w:spacing w:before="0" w:beforeAutospacing="0" w:after="0" w:afterAutospacing="0" w:line="360" w:lineRule="auto"/>
        <w:ind w:firstLine="420" w:firstLineChars="175"/>
        <w:jc w:val="both"/>
        <w:rPr>
          <w:rFonts w:hint="default" w:asciiTheme="minorEastAsia" w:hAnsiTheme="minorEastAsia" w:eastAsiaTheme="minorEastAsia"/>
          <w:color w:val="auto"/>
          <w:sz w:val="24"/>
          <w:szCs w:val="24"/>
          <w:highlight w:val="none"/>
          <w:shd w:val="clear" w:color="auto" w:fill="auto"/>
        </w:rPr>
      </w:pP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sz w:val="24"/>
          <w:szCs w:val="24"/>
          <w:highlight w:val="none"/>
          <w:shd w:val="clear" w:color="auto" w:fill="auto"/>
          <w:lang w:val="en-US" w:eastAsia="zh-CN"/>
        </w:rPr>
        <w:t>2</w:t>
      </w:r>
      <w:r>
        <w:rPr>
          <w:rFonts w:asciiTheme="minorEastAsia" w:hAnsiTheme="minorEastAsia" w:eastAsiaTheme="minorEastAsia"/>
          <w:color w:val="auto"/>
          <w:sz w:val="24"/>
          <w:szCs w:val="24"/>
          <w:highlight w:val="none"/>
          <w:shd w:val="clear" w:color="auto" w:fill="auto"/>
        </w:rPr>
        <w:t>）评标委员会应当按照招标文件中规定的评标方法和标准，对符合性审查合格的投标文件进行商务和技术评估，综合比较与评价。</w:t>
      </w:r>
    </w:p>
    <w:p>
      <w:pPr>
        <w:snapToGrid w:val="0"/>
        <w:spacing w:line="360" w:lineRule="auto"/>
        <w:ind w:firstLine="480" w:firstLineChars="200"/>
        <w:rPr>
          <w:rFonts w:hint="eastAsia" w:ascii="Arial" w:hAnsi="Arial" w:cs="Arial"/>
          <w:b/>
          <w:bCs/>
          <w:color w:val="auto"/>
          <w:sz w:val="24"/>
          <w:szCs w:val="24"/>
          <w:highlight w:val="none"/>
          <w:shd w:val="clear" w:color="auto" w:fill="auto"/>
          <w:lang w:eastAsia="zh-CN"/>
        </w:rPr>
      </w:pP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sz w:val="24"/>
          <w:szCs w:val="24"/>
          <w:highlight w:val="none"/>
          <w:shd w:val="clear" w:color="auto" w:fill="auto"/>
          <w:lang w:val="en-US" w:eastAsia="zh-CN"/>
        </w:rPr>
        <w:t>3</w:t>
      </w:r>
      <w:r>
        <w:rPr>
          <w:rFonts w:asciiTheme="minorEastAsia" w:hAnsiTheme="minorEastAsia" w:eastAsiaTheme="minorEastAsia"/>
          <w:color w:val="auto"/>
          <w:sz w:val="24"/>
          <w:szCs w:val="24"/>
          <w:highlight w:val="none"/>
          <w:shd w:val="clear" w:color="auto" w:fill="auto"/>
        </w:rPr>
        <w:t>）</w:t>
      </w:r>
      <w:r>
        <w:rPr>
          <w:rFonts w:hint="eastAsia" w:asciiTheme="minorEastAsia" w:hAnsiTheme="minorEastAsia" w:eastAsiaTheme="minorEastAsia"/>
          <w:color w:val="auto"/>
          <w:kern w:val="0"/>
          <w:sz w:val="24"/>
          <w:szCs w:val="24"/>
          <w:highlight w:val="none"/>
          <w:shd w:val="clear" w:color="auto" w:fill="auto"/>
        </w:rPr>
        <w:t>评标委员会</w:t>
      </w:r>
      <w:r>
        <w:rPr>
          <w:rFonts w:asciiTheme="minorEastAsia" w:hAnsiTheme="minorEastAsia" w:eastAsiaTheme="minorEastAsia"/>
          <w:color w:val="auto"/>
          <w:sz w:val="24"/>
          <w:szCs w:val="24"/>
          <w:highlight w:val="none"/>
          <w:shd w:val="clear" w:color="auto" w:fill="auto"/>
        </w:rPr>
        <w:t>按评标原则</w:t>
      </w:r>
      <w:r>
        <w:rPr>
          <w:rFonts w:hint="eastAsia" w:asciiTheme="minorEastAsia" w:hAnsiTheme="minorEastAsia" w:eastAsiaTheme="minorEastAsia"/>
          <w:color w:val="auto"/>
          <w:sz w:val="24"/>
          <w:szCs w:val="24"/>
          <w:highlight w:val="none"/>
          <w:shd w:val="clear" w:color="auto" w:fill="auto"/>
          <w:lang w:eastAsia="zh-CN"/>
        </w:rPr>
        <w:t>及得分情况</w:t>
      </w:r>
      <w:r>
        <w:rPr>
          <w:rFonts w:hint="eastAsia" w:asciiTheme="minorEastAsia" w:hAnsiTheme="minorEastAsia" w:eastAsiaTheme="minorEastAsia"/>
          <w:color w:val="auto"/>
          <w:sz w:val="24"/>
          <w:szCs w:val="24"/>
          <w:highlight w:val="none"/>
          <w:shd w:val="clear" w:color="auto" w:fill="auto"/>
        </w:rPr>
        <w:t>编写评审报告</w:t>
      </w:r>
      <w:r>
        <w:rPr>
          <w:rFonts w:hint="eastAsia" w:asciiTheme="minorEastAsia" w:hAnsiTheme="minorEastAsia" w:eastAsiaTheme="minorEastAsia"/>
          <w:color w:val="auto"/>
          <w:sz w:val="24"/>
          <w:szCs w:val="24"/>
          <w:highlight w:val="none"/>
          <w:shd w:val="clear" w:color="auto" w:fill="auto"/>
          <w:lang w:eastAsia="zh-CN"/>
        </w:rPr>
        <w:t>。</w:t>
      </w:r>
    </w:p>
    <w:p>
      <w:pPr>
        <w:numPr>
          <w:ilvl w:val="-1"/>
          <w:numId w:val="0"/>
        </w:numPr>
        <w:snapToGrid w:val="0"/>
        <w:spacing w:line="360" w:lineRule="auto"/>
        <w:ind w:firstLine="482" w:firstLineChars="200"/>
        <w:rPr>
          <w:rFonts w:hint="eastAsia" w:asciiTheme="minorEastAsia" w:hAnsiTheme="minorEastAsia" w:eastAsiaTheme="minorEastAsia"/>
          <w:b/>
          <w:color w:val="auto"/>
          <w:kern w:val="0"/>
          <w:sz w:val="24"/>
          <w:szCs w:val="24"/>
          <w:highlight w:val="none"/>
          <w:shd w:val="clear" w:color="auto" w:fill="auto"/>
        </w:rPr>
      </w:pPr>
      <w:r>
        <w:rPr>
          <w:rFonts w:hint="eastAsia" w:asciiTheme="minorEastAsia" w:hAnsiTheme="minorEastAsia" w:eastAsiaTheme="minorEastAsia"/>
          <w:b/>
          <w:color w:val="auto"/>
          <w:kern w:val="0"/>
          <w:sz w:val="24"/>
          <w:szCs w:val="24"/>
          <w:highlight w:val="none"/>
          <w:shd w:val="clear" w:color="auto" w:fill="auto"/>
          <w:lang w:val="en-US" w:eastAsia="zh-CN"/>
        </w:rPr>
        <w:t>5、</w:t>
      </w:r>
      <w:r>
        <w:rPr>
          <w:rFonts w:hint="eastAsia" w:asciiTheme="minorEastAsia" w:hAnsiTheme="minorEastAsia" w:eastAsiaTheme="minorEastAsia"/>
          <w:b/>
          <w:color w:val="auto"/>
          <w:kern w:val="0"/>
          <w:sz w:val="24"/>
          <w:szCs w:val="24"/>
          <w:highlight w:val="none"/>
          <w:shd w:val="clear" w:color="auto" w:fill="auto"/>
          <w:lang w:eastAsia="zh-CN"/>
        </w:rPr>
        <w:t>评价</w:t>
      </w:r>
    </w:p>
    <w:p>
      <w:pPr>
        <w:snapToGrid w:val="0"/>
        <w:spacing w:line="360" w:lineRule="auto"/>
        <w:ind w:firstLine="480" w:firstLineChars="200"/>
        <w:rPr>
          <w:rFonts w:asciiTheme="minorEastAsia" w:hAnsiTheme="minorEastAsia" w:eastAsiaTheme="minorEastAsia"/>
          <w:b/>
          <w:color w:val="auto"/>
          <w:kern w:val="0"/>
          <w:sz w:val="24"/>
          <w:szCs w:val="24"/>
          <w:highlight w:val="none"/>
          <w:shd w:val="clear" w:color="auto" w:fill="auto"/>
        </w:rPr>
      </w:pPr>
      <w:r>
        <w:rPr>
          <w:rFonts w:hint="eastAsia" w:asciiTheme="minorEastAsia" w:hAnsiTheme="minorEastAsia" w:eastAsiaTheme="minorEastAsia"/>
          <w:color w:val="auto"/>
          <w:sz w:val="24"/>
          <w:szCs w:val="24"/>
          <w:highlight w:val="none"/>
          <w:shd w:val="clear" w:color="auto" w:fill="auto"/>
          <w:lang w:eastAsia="zh-CN"/>
        </w:rPr>
        <w:t>采购组织机构</w:t>
      </w:r>
      <w:r>
        <w:rPr>
          <w:rFonts w:hint="eastAsia" w:asciiTheme="minorEastAsia" w:hAnsiTheme="minorEastAsia" w:eastAsiaTheme="minorEastAsia"/>
          <w:color w:val="auto"/>
          <w:sz w:val="24"/>
          <w:szCs w:val="24"/>
          <w:highlight w:val="none"/>
          <w:shd w:val="clear" w:color="auto" w:fill="auto"/>
        </w:rPr>
        <w:t>对评标委员会评审专家进行评价。</w:t>
      </w:r>
    </w:p>
    <w:p>
      <w:pPr>
        <w:snapToGrid w:val="0"/>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b/>
          <w:color w:val="auto"/>
          <w:sz w:val="24"/>
          <w:szCs w:val="24"/>
          <w:highlight w:val="none"/>
        </w:rPr>
        <w:t>（三）澄清问题的形式</w:t>
      </w:r>
    </w:p>
    <w:p>
      <w:pPr>
        <w:snapToGrid w:val="0"/>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color w:val="auto"/>
          <w:sz w:val="24"/>
          <w:szCs w:val="24"/>
          <w:highlight w:val="none"/>
        </w:rPr>
        <w:t>投标人的澄清、说明或者补正应当采用书面形式，并加盖公章，或者由法定代理人或其授权的代表</w:t>
      </w:r>
      <w:r>
        <w:rPr>
          <w:rFonts w:hint="eastAsia" w:asciiTheme="minorEastAsia" w:hAnsiTheme="minorEastAsia"/>
          <w:color w:val="auto"/>
          <w:sz w:val="24"/>
          <w:szCs w:val="24"/>
          <w:highlight w:val="none"/>
          <w:lang w:eastAsia="zh-CN"/>
        </w:rPr>
        <w:t>签字</w:t>
      </w:r>
      <w:r>
        <w:rPr>
          <w:rFonts w:hint="eastAsia" w:asciiTheme="minorEastAsia" w:hAnsiTheme="minorEastAsia"/>
          <w:color w:val="auto"/>
          <w:sz w:val="24"/>
          <w:szCs w:val="24"/>
          <w:highlight w:val="none"/>
        </w:rPr>
        <w:t>，并不得超出投标文件的范围或者改变投标文件的实质性内容。</w:t>
      </w:r>
    </w:p>
    <w:p>
      <w:pPr>
        <w:pStyle w:val="2"/>
        <w:snapToGrid w:val="0"/>
        <w:spacing w:line="360" w:lineRule="auto"/>
        <w:ind w:left="720" w:leftChars="228" w:hanging="241" w:hangingChars="1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（四）错误修正</w:t>
      </w:r>
    </w:p>
    <w:p>
      <w:pPr>
        <w:pStyle w:val="18"/>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投标文件报价出现前后不一致的，除招标文件另有规定外，按照下列规定修正：</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1、投标文件中开标一览表（报价表）内容与投标文件中相应内容不一致的，以开标一览表（报价表）为准；</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2、大写金额和小写金额不一致的，以大写金额为准；</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3、单价金额小数点或者百分比有明显错位的，以开标一览表的总价为准，并修改单价；</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4、总价金额与按单价汇总金额不一致的，以单价金额计算结果为准。</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同时出现两种以上不一致的，按照前款规定的顺序修正。修正应当采用书面形式，并加盖公章，或者由法定代表人或其授权的代表</w:t>
      </w:r>
      <w:r>
        <w:rPr>
          <w:rFonts w:hint="eastAsia" w:asciiTheme="minorEastAsia" w:hAnsiTheme="minorEastAsia" w:eastAsiaTheme="minorEastAsia"/>
          <w:color w:val="auto"/>
          <w:sz w:val="24"/>
          <w:szCs w:val="24"/>
          <w:highlight w:val="none"/>
          <w:lang w:eastAsia="zh-CN"/>
        </w:rPr>
        <w:t>签字</w:t>
      </w:r>
      <w:r>
        <w:rPr>
          <w:rFonts w:asciiTheme="minorEastAsia" w:hAnsiTheme="minorEastAsia" w:eastAsiaTheme="minorEastAsia"/>
          <w:color w:val="auto"/>
          <w:sz w:val="24"/>
          <w:szCs w:val="24"/>
          <w:highlight w:val="none"/>
        </w:rPr>
        <w:t>。修正后的报价经投标人确认后产生约束力，投标人不确认的，其投标无效。</w:t>
      </w:r>
    </w:p>
    <w:p>
      <w:pPr>
        <w:pStyle w:val="18"/>
        <w:spacing w:before="0" w:beforeAutospacing="0" w:after="0" w:afterAutospacing="0" w:line="360" w:lineRule="auto"/>
        <w:ind w:firstLine="361" w:firstLineChars="150"/>
        <w:jc w:val="both"/>
        <w:rPr>
          <w:rFonts w:hint="default" w:asciiTheme="minorEastAsia" w:hAnsiTheme="minorEastAsia" w:eastAsiaTheme="minorEastAsia"/>
          <w:b/>
          <w:color w:val="auto"/>
          <w:sz w:val="24"/>
          <w:szCs w:val="24"/>
          <w:highlight w:val="none"/>
        </w:rPr>
      </w:pPr>
      <w:r>
        <w:rPr>
          <w:rFonts w:asciiTheme="minorEastAsia" w:hAnsiTheme="minorEastAsia" w:eastAsiaTheme="minorEastAsia"/>
          <w:b/>
          <w:bCs/>
          <w:color w:val="auto"/>
          <w:sz w:val="24"/>
          <w:szCs w:val="24"/>
          <w:highlight w:val="none"/>
        </w:rPr>
        <w:t>（五）</w:t>
      </w:r>
      <w:r>
        <w:rPr>
          <w:rFonts w:asciiTheme="minorEastAsia" w:hAnsiTheme="minorEastAsia" w:eastAsiaTheme="minorEastAsia"/>
          <w:b/>
          <w:color w:val="auto"/>
          <w:sz w:val="24"/>
          <w:szCs w:val="24"/>
          <w:highlight w:val="none"/>
        </w:rPr>
        <w:t>投标人存在下列情况之一的，投标无效</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1、未按照招标文件的规定提交投标保证金的。</w:t>
      </w:r>
    </w:p>
    <w:p>
      <w:pPr>
        <w:adjustRightInd w:val="0"/>
        <w:snapToGrid w:val="0"/>
        <w:spacing w:line="360" w:lineRule="auto"/>
        <w:ind w:left="4" w:firstLine="470" w:firstLineChars="196"/>
        <w:jc w:val="left"/>
        <w:rPr>
          <w:rFonts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kern w:val="0"/>
          <w:sz w:val="24"/>
          <w:szCs w:val="24"/>
          <w:highlight w:val="none"/>
        </w:rPr>
        <w:t>2、资格证明文件或商务与技术文件</w:t>
      </w:r>
      <w:r>
        <w:rPr>
          <w:rFonts w:hint="eastAsia" w:asciiTheme="minorEastAsia" w:hAnsiTheme="minorEastAsia" w:eastAsiaTheme="minorEastAsia"/>
          <w:color w:val="auto"/>
          <w:kern w:val="0"/>
          <w:sz w:val="24"/>
          <w:szCs w:val="24"/>
          <w:highlight w:val="none"/>
          <w:lang w:eastAsia="zh-CN"/>
        </w:rPr>
        <w:t>跟</w:t>
      </w:r>
      <w:r>
        <w:rPr>
          <w:rFonts w:hint="eastAsia" w:asciiTheme="minorEastAsia" w:hAnsiTheme="minorEastAsia" w:eastAsiaTheme="minorEastAsia"/>
          <w:color w:val="auto"/>
          <w:kern w:val="0"/>
          <w:sz w:val="24"/>
          <w:szCs w:val="24"/>
          <w:highlight w:val="none"/>
        </w:rPr>
        <w:t>报价文件出现混装或在资格证明文件或商务与技术文件中出现投标报价的，或者报价文件中报价</w:t>
      </w:r>
      <w:r>
        <w:rPr>
          <w:rFonts w:hint="eastAsia" w:asciiTheme="minorEastAsia" w:hAnsiTheme="minorEastAsia" w:eastAsiaTheme="minorEastAsia"/>
          <w:color w:val="auto"/>
          <w:kern w:val="0"/>
          <w:sz w:val="24"/>
          <w:szCs w:val="24"/>
          <w:highlight w:val="none"/>
          <w:lang w:eastAsia="zh-CN"/>
        </w:rPr>
        <w:t>的</w:t>
      </w:r>
      <w:r>
        <w:rPr>
          <w:rFonts w:hint="eastAsia" w:asciiTheme="minorEastAsia" w:hAnsiTheme="minorEastAsia" w:eastAsiaTheme="minorEastAsia"/>
          <w:color w:val="auto"/>
          <w:kern w:val="0"/>
          <w:sz w:val="24"/>
          <w:szCs w:val="24"/>
          <w:highlight w:val="none"/>
        </w:rPr>
        <w:t>货物</w:t>
      </w:r>
      <w:r>
        <w:rPr>
          <w:rFonts w:hint="eastAsia" w:asciiTheme="minorEastAsia" w:hAnsiTheme="minorEastAsia" w:eastAsiaTheme="minorEastAsia"/>
          <w:color w:val="auto"/>
          <w:kern w:val="0"/>
          <w:sz w:val="24"/>
          <w:szCs w:val="24"/>
          <w:highlight w:val="none"/>
          <w:lang w:eastAsia="zh-CN"/>
        </w:rPr>
        <w:t>跟</w:t>
      </w:r>
      <w:r>
        <w:rPr>
          <w:rFonts w:hint="eastAsia" w:asciiTheme="minorEastAsia" w:hAnsiTheme="minorEastAsia" w:eastAsiaTheme="minorEastAsia"/>
          <w:color w:val="auto"/>
          <w:kern w:val="0"/>
          <w:sz w:val="24"/>
          <w:szCs w:val="24"/>
          <w:highlight w:val="none"/>
        </w:rPr>
        <w:t>商务与技术文件中的投标货物出现重大偏差的；</w:t>
      </w:r>
    </w:p>
    <w:p>
      <w:pPr>
        <w:pStyle w:val="18"/>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3、不具备招标文件中规定的资格要求的。</w:t>
      </w:r>
      <w:r>
        <w:rPr>
          <w:rFonts w:hint="default" w:asciiTheme="minorEastAsia" w:hAnsiTheme="minorEastAsia" w:eastAsiaTheme="minorEastAsia"/>
          <w:color w:val="auto"/>
          <w:sz w:val="24"/>
          <w:szCs w:val="24"/>
          <w:highlight w:val="none"/>
        </w:rPr>
        <w:tab/>
      </w:r>
    </w:p>
    <w:p>
      <w:pPr>
        <w:pStyle w:val="18"/>
        <w:adjustRightInd w:val="0"/>
        <w:snapToGrid w:val="0"/>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4、投标文件含有采购人不能接受的附加条件的。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color w:val="auto"/>
          <w:kern w:val="0"/>
          <w:sz w:val="24"/>
          <w:szCs w:val="24"/>
          <w:highlight w:val="none"/>
        </w:rPr>
      </w:pPr>
      <w:r>
        <w:rPr>
          <w:rFonts w:hint="eastAsia" w:asciiTheme="minorEastAsia" w:hAnsiTheme="minorEastAsia" w:eastAsiaTheme="minorEastAsia"/>
          <w:color w:val="auto"/>
          <w:kern w:val="0"/>
          <w:sz w:val="24"/>
          <w:szCs w:val="24"/>
          <w:highlight w:val="none"/>
        </w:rPr>
        <w:t>5</w:t>
      </w:r>
      <w:r>
        <w:rPr>
          <w:rFonts w:hint="eastAsia" w:asciiTheme="minorEastAsia" w:hAnsiTheme="minorEastAsia" w:eastAsiaTheme="minorEastAsia"/>
          <w:color w:val="auto"/>
          <w:sz w:val="24"/>
          <w:szCs w:val="24"/>
          <w:highlight w:val="none"/>
        </w:rPr>
        <w:t>、投标代表人未能出具身份证明或与法定代表人授权委托人身份不符的；</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xml:space="preserve">7、报价超过招标文件中规定的预算金额/最高限价。 </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8、主要性能参数指标负偏离项（含）</w:t>
      </w:r>
      <w:r>
        <w:rPr>
          <w:bCs/>
          <w:color w:val="auto"/>
          <w:sz w:val="24"/>
          <w:szCs w:val="24"/>
          <w:highlight w:val="none"/>
          <w:u w:val="single"/>
          <w:lang w:val="zh-CN"/>
        </w:rPr>
        <w:t xml:space="preserve"> </w:t>
      </w:r>
      <w:r>
        <w:rPr>
          <w:bCs/>
          <w:color w:val="auto"/>
          <w:sz w:val="24"/>
          <w:szCs w:val="24"/>
          <w:highlight w:val="none"/>
          <w:u w:val="single"/>
        </w:rPr>
        <w:t xml:space="preserve"> </w:t>
      </w:r>
      <w:r>
        <w:rPr>
          <w:rFonts w:hint="eastAsia"/>
          <w:bCs/>
          <w:color w:val="auto"/>
          <w:sz w:val="24"/>
          <w:szCs w:val="24"/>
          <w:highlight w:val="none"/>
          <w:u w:val="single"/>
          <w:lang w:val="en-US" w:eastAsia="zh-CN"/>
        </w:rPr>
        <w:t>1</w:t>
      </w:r>
      <w:r>
        <w:rPr>
          <w:bCs/>
          <w:color w:val="auto"/>
          <w:sz w:val="24"/>
          <w:szCs w:val="24"/>
          <w:highlight w:val="none"/>
          <w:u w:val="single"/>
        </w:rPr>
        <w:t xml:space="preserve"> </w:t>
      </w:r>
      <w:r>
        <w:rPr>
          <w:bCs/>
          <w:color w:val="auto"/>
          <w:sz w:val="24"/>
          <w:szCs w:val="24"/>
          <w:highlight w:val="none"/>
          <w:u w:val="single"/>
          <w:lang w:val="zh-CN"/>
        </w:rPr>
        <w:t xml:space="preserve"> </w:t>
      </w:r>
      <w:r>
        <w:rPr>
          <w:rFonts w:asciiTheme="minorEastAsia" w:hAnsiTheme="minorEastAsia" w:eastAsiaTheme="minorEastAsia"/>
          <w:color w:val="auto"/>
          <w:sz w:val="24"/>
          <w:szCs w:val="24"/>
          <w:highlight w:val="none"/>
        </w:rPr>
        <w:t>以上的。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9、投标参数未如实填写，完全复制粘贴招标参数的。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10、投标文件提供虚假材料的。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w:t>
      </w:r>
      <w:r>
        <w:rPr>
          <w:rFonts w:asciiTheme="minorEastAsia" w:hAnsiTheme="minorEastAsia" w:eastAsiaTheme="minorEastAsia"/>
          <w:color w:val="auto"/>
          <w:kern w:val="0"/>
          <w:sz w:val="24"/>
          <w:szCs w:val="24"/>
          <w:highlight w:val="none"/>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auto"/>
          <w:kern w:val="0"/>
          <w:sz w:val="24"/>
          <w:szCs w:val="24"/>
          <w:highlight w:val="none"/>
        </w:rPr>
        <w:t>，并移送采购监管部门</w:t>
      </w:r>
      <w:r>
        <w:rPr>
          <w:rFonts w:asciiTheme="minorEastAsia" w:hAnsiTheme="minorEastAsia" w:eastAsiaTheme="minorEastAsia"/>
          <w:color w:val="auto"/>
          <w:kern w:val="0"/>
          <w:sz w:val="24"/>
          <w:szCs w:val="24"/>
          <w:highlight w:val="none"/>
        </w:rPr>
        <w:t>：</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（1）不同投标人的投标文件由同一单位或者个人编制；</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（2）不同投标人委托同一单位或者个人办理投标事宜；</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（3）不同投标人的投标文件载明的项目管理成员或者联系人员为同一人；</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（4）不同投标人的投标文件异常一致或者投标报价呈规律性差异；</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（5）不同投标人的投标文件相互混装；</w:t>
      </w:r>
    </w:p>
    <w:p>
      <w:pPr>
        <w:pStyle w:val="18"/>
        <w:spacing w:before="0" w:beforeAutospacing="0" w:after="0" w:afterAutospacing="0" w:line="360" w:lineRule="auto"/>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（6）不同投标人的投标保证金从同一单位或者个人的账户转出。</w:t>
      </w:r>
    </w:p>
    <w:p>
      <w:pPr>
        <w:autoSpaceDE w:val="0"/>
        <w:autoSpaceDN w:val="0"/>
        <w:adjustRightInd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12、不符合法律、法规和招标文件中规定的其他实质性要求的（招标文件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中打“▲”内容及被拒绝的条款）。</w:t>
      </w:r>
    </w:p>
    <w:p>
      <w:pPr>
        <w:autoSpaceDE w:val="0"/>
        <w:autoSpaceDN w:val="0"/>
        <w:adjustRightInd w:val="0"/>
        <w:spacing w:line="360" w:lineRule="auto"/>
        <w:ind w:left="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b/>
          <w:color w:val="auto"/>
          <w:kern w:val="0"/>
          <w:sz w:val="24"/>
          <w:szCs w:val="24"/>
          <w:highlight w:val="none"/>
        </w:rPr>
        <w:t>（六）有下列情况之一的，本次招标作为废标处理</w:t>
      </w:r>
    </w:p>
    <w:p>
      <w:pPr>
        <w:pStyle w:val="18"/>
        <w:spacing w:before="0" w:beforeAutospacing="0" w:after="0" w:afterAutospacing="0" w:line="360" w:lineRule="auto"/>
        <w:ind w:firstLine="600" w:firstLineChars="25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1、出现影响采购公正的违法、违规行为的；</w:t>
      </w:r>
    </w:p>
    <w:p>
      <w:pPr>
        <w:pStyle w:val="18"/>
        <w:spacing w:before="0" w:beforeAutospacing="0" w:after="0" w:afterAutospacing="0" w:line="360" w:lineRule="auto"/>
        <w:ind w:firstLine="600" w:firstLineChars="250"/>
        <w:jc w:val="both"/>
        <w:rPr>
          <w:rFonts w:hint="default" w:asciiTheme="minorEastAsia" w:hAnsiTheme="minorEastAsia" w:eastAsiaTheme="minorEastAsia"/>
          <w:b/>
          <w:bCs/>
          <w:color w:val="auto"/>
          <w:sz w:val="24"/>
          <w:szCs w:val="24"/>
          <w:highlight w:val="none"/>
        </w:rPr>
      </w:pPr>
      <w:r>
        <w:rPr>
          <w:rFonts w:asciiTheme="minorEastAsia" w:hAnsiTheme="minorEastAsia" w:eastAsiaTheme="minorEastAsia"/>
          <w:color w:val="auto"/>
          <w:sz w:val="24"/>
          <w:szCs w:val="24"/>
          <w:highlight w:val="none"/>
        </w:rPr>
        <w:t xml:space="preserve">2、评标委员会发现招标文件存在歧义、重大缺陷导致评标工作无法进行，或者招标文件内容违反国家有关强制性规定的； </w:t>
      </w:r>
    </w:p>
    <w:p>
      <w:pPr>
        <w:pStyle w:val="18"/>
        <w:spacing w:before="0" w:beforeAutospacing="0" w:after="0" w:afterAutospacing="0" w:line="360" w:lineRule="auto"/>
        <w:ind w:firstLine="600" w:firstLineChars="25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3、因重大变故，采购任务取消的；</w:t>
      </w:r>
    </w:p>
    <w:p>
      <w:pPr>
        <w:pStyle w:val="18"/>
        <w:spacing w:before="0" w:beforeAutospacing="0" w:after="0" w:afterAutospacing="0" w:line="360" w:lineRule="auto"/>
        <w:ind w:firstLine="600" w:firstLineChars="25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4、法律、法规和招标文件规定的其他导致评标结果无效的。</w:t>
      </w:r>
    </w:p>
    <w:p>
      <w:pPr>
        <w:pStyle w:val="2"/>
        <w:tabs>
          <w:tab w:val="left" w:pos="630"/>
        </w:tabs>
        <w:snapToGrid w:val="0"/>
        <w:spacing w:line="360" w:lineRule="auto"/>
        <w:ind w:firstLine="472" w:firstLineChars="196"/>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t>（</w:t>
      </w:r>
      <w:r>
        <w:rPr>
          <w:rFonts w:hint="eastAsia" w:asciiTheme="minorEastAsia" w:hAnsiTheme="minorEastAsia" w:eastAsiaTheme="minorEastAsia"/>
          <w:b/>
          <w:color w:val="auto"/>
          <w:sz w:val="24"/>
          <w:szCs w:val="24"/>
          <w:highlight w:val="none"/>
        </w:rPr>
        <w:t>七</w:t>
      </w:r>
      <w:r>
        <w:rPr>
          <w:rFonts w:asciiTheme="minorEastAsia" w:hAnsiTheme="minorEastAsia" w:eastAsiaTheme="minorEastAsia"/>
          <w:b/>
          <w:color w:val="auto"/>
          <w:sz w:val="24"/>
          <w:szCs w:val="24"/>
          <w:highlight w:val="none"/>
        </w:rPr>
        <w:t>）评标原则和评标办法</w:t>
      </w:r>
    </w:p>
    <w:p>
      <w:pPr>
        <w:pStyle w:val="2"/>
        <w:snapToGrid w:val="0"/>
        <w:spacing w:line="360" w:lineRule="auto"/>
        <w:ind w:firstLine="600" w:firstLineChars="250"/>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
        <w:snapToGrid w:val="0"/>
        <w:spacing w:line="360" w:lineRule="auto"/>
        <w:ind w:firstLine="600" w:firstLineChars="250"/>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2</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评标办法。具体评标内容及评分标准等详见《第</w:t>
      </w:r>
      <w:r>
        <w:rPr>
          <w:rFonts w:hint="eastAsia" w:asciiTheme="minorEastAsia" w:hAnsiTheme="minorEastAsia" w:eastAsiaTheme="minorEastAsia"/>
          <w:color w:val="auto"/>
          <w:sz w:val="24"/>
          <w:szCs w:val="24"/>
          <w:highlight w:val="none"/>
          <w:lang w:eastAsia="zh-CN"/>
        </w:rPr>
        <w:t>三章</w:t>
      </w:r>
      <w:r>
        <w:rPr>
          <w:rFonts w:asciiTheme="minorEastAsia" w:hAnsiTheme="minorEastAsia" w:eastAsiaTheme="minorEastAsia"/>
          <w:color w:val="auto"/>
          <w:sz w:val="24"/>
          <w:szCs w:val="24"/>
          <w:highlight w:val="none"/>
        </w:rPr>
        <w:t>：评标</w:t>
      </w:r>
      <w:r>
        <w:rPr>
          <w:rFonts w:hint="eastAsia" w:asciiTheme="minorEastAsia" w:hAnsiTheme="minorEastAsia" w:eastAsiaTheme="minorEastAsia"/>
          <w:color w:val="auto"/>
          <w:sz w:val="24"/>
          <w:szCs w:val="24"/>
          <w:highlight w:val="none"/>
        </w:rPr>
        <w:t>方</w:t>
      </w:r>
      <w:r>
        <w:rPr>
          <w:rFonts w:asciiTheme="minorEastAsia" w:hAnsiTheme="minorEastAsia" w:eastAsiaTheme="minorEastAsia"/>
          <w:color w:val="auto"/>
          <w:sz w:val="24"/>
          <w:szCs w:val="24"/>
          <w:highlight w:val="none"/>
        </w:rPr>
        <w:t>法及评分标准》。</w:t>
      </w:r>
    </w:p>
    <w:p>
      <w:pPr>
        <w:pStyle w:val="2"/>
        <w:snapToGrid w:val="0"/>
        <w:spacing w:line="360" w:lineRule="auto"/>
        <w:ind w:firstLine="472" w:firstLineChars="196"/>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t>（</w:t>
      </w:r>
      <w:r>
        <w:rPr>
          <w:rFonts w:hint="eastAsia" w:asciiTheme="minorEastAsia" w:hAnsiTheme="minorEastAsia" w:eastAsiaTheme="minorEastAsia"/>
          <w:b/>
          <w:color w:val="auto"/>
          <w:sz w:val="24"/>
          <w:szCs w:val="24"/>
          <w:highlight w:val="none"/>
        </w:rPr>
        <w:t>八</w:t>
      </w:r>
      <w:r>
        <w:rPr>
          <w:rFonts w:asciiTheme="minorEastAsia" w:hAnsiTheme="minorEastAsia" w:eastAsiaTheme="minorEastAsia"/>
          <w:b/>
          <w:color w:val="auto"/>
          <w:sz w:val="24"/>
          <w:szCs w:val="24"/>
          <w:highlight w:val="none"/>
        </w:rPr>
        <w:t>）评标过程的监控</w:t>
      </w:r>
    </w:p>
    <w:p>
      <w:pPr>
        <w:pStyle w:val="18"/>
        <w:spacing w:before="0" w:beforeAutospacing="0" w:after="0" w:afterAutospacing="0" w:line="360" w:lineRule="auto"/>
        <w:ind w:firstLine="480" w:firstLineChars="200"/>
        <w:jc w:val="both"/>
        <w:rPr>
          <w:rFonts w:hint="default"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本项目评标过程实行全程录音、录像监控，政府采购监管部门</w:t>
      </w:r>
      <w:r>
        <w:rPr>
          <w:rFonts w:hint="eastAsia" w:asciiTheme="minorEastAsia" w:hAnsiTheme="minorEastAsia" w:eastAsiaTheme="minorEastAsia"/>
          <w:color w:val="auto"/>
          <w:sz w:val="24"/>
          <w:szCs w:val="24"/>
          <w:highlight w:val="none"/>
          <w:lang w:eastAsia="zh-CN"/>
        </w:rPr>
        <w:t>视情</w:t>
      </w:r>
      <w:r>
        <w:rPr>
          <w:rFonts w:asciiTheme="minorEastAsia" w:hAnsiTheme="minorEastAsia" w:eastAsiaTheme="minorEastAsia"/>
          <w:color w:val="auto"/>
          <w:sz w:val="24"/>
          <w:szCs w:val="24"/>
          <w:highlight w:val="none"/>
        </w:rPr>
        <w:t>进行现场监督，投标人在评标过程中所进行的试图影响评标结果的不公正活动，可能导致其投标被拒绝。</w:t>
      </w:r>
    </w:p>
    <w:p>
      <w:pPr>
        <w:pStyle w:val="18"/>
        <w:spacing w:before="0" w:beforeAutospacing="0" w:after="0" w:afterAutospacing="0" w:line="360" w:lineRule="auto"/>
        <w:ind w:firstLine="361" w:firstLineChars="150"/>
        <w:jc w:val="both"/>
        <w:rPr>
          <w:rFonts w:hint="default"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lang w:eastAsia="zh-CN"/>
        </w:rPr>
        <w:t>六</w:t>
      </w:r>
      <w:r>
        <w:rPr>
          <w:rFonts w:asciiTheme="minorEastAsia" w:hAnsiTheme="minorEastAsia" w:eastAsiaTheme="minorEastAsia"/>
          <w:b/>
          <w:color w:val="auto"/>
          <w:sz w:val="24"/>
          <w:szCs w:val="24"/>
          <w:highlight w:val="none"/>
        </w:rPr>
        <w:t>、定标</w:t>
      </w:r>
    </w:p>
    <w:p>
      <w:pPr>
        <w:pStyle w:val="18"/>
        <w:spacing w:before="0" w:beforeAutospacing="0" w:after="0" w:afterAutospacing="0" w:line="360" w:lineRule="auto"/>
        <w:ind w:firstLine="480" w:firstLineChars="200"/>
        <w:jc w:val="both"/>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w:t>
      </w:r>
      <w:r>
        <w:rPr>
          <w:color w:val="auto"/>
          <w:sz w:val="24"/>
          <w:szCs w:val="24"/>
          <w:highlight w:val="none"/>
        </w:rPr>
        <w:t>确定中标供应商。</w:t>
      </w:r>
      <w:r>
        <w:rPr>
          <w:rFonts w:asciiTheme="minorEastAsia" w:hAnsiTheme="minorEastAsia" w:eastAsiaTheme="minorEastAsia"/>
          <w:color w:val="auto"/>
          <w:sz w:val="24"/>
          <w:szCs w:val="24"/>
          <w:highlight w:val="none"/>
        </w:rPr>
        <w:t>评标委员会根据采购单位的</w:t>
      </w:r>
      <w:r>
        <w:rPr>
          <w:rFonts w:hint="eastAsia"/>
          <w:color w:val="auto"/>
          <w:sz w:val="24"/>
          <w:szCs w:val="24"/>
          <w:highlight w:val="none"/>
          <w:lang w:eastAsia="zh-CN"/>
        </w:rPr>
        <w:t>《授权意见确认书》</w:t>
      </w:r>
      <w:r>
        <w:rPr>
          <w:rFonts w:asciiTheme="minorEastAsia" w:hAnsiTheme="minorEastAsia" w:eastAsiaTheme="minorEastAsia"/>
          <w:color w:val="auto"/>
          <w:sz w:val="24"/>
          <w:szCs w:val="24"/>
          <w:highlight w:val="none"/>
        </w:rPr>
        <w:t>，推荐中标候选人或确定中标人。其中推荐中标候选人的，</w:t>
      </w:r>
      <w:r>
        <w:rPr>
          <w:rFonts w:hint="eastAsia" w:asciiTheme="minorEastAsia" w:hAnsiTheme="minorEastAsia" w:eastAsiaTheme="minorEastAsia"/>
          <w:color w:val="auto"/>
          <w:sz w:val="24"/>
          <w:szCs w:val="24"/>
          <w:highlight w:val="none"/>
          <w:lang w:eastAsia="zh-CN"/>
        </w:rPr>
        <w:t>采购组织机构</w:t>
      </w:r>
      <w:r>
        <w:rPr>
          <w:rFonts w:asciiTheme="minorEastAsia" w:hAnsiTheme="minorEastAsia" w:eastAsiaTheme="minorEastAsia"/>
          <w:color w:val="auto"/>
          <w:sz w:val="24"/>
          <w:szCs w:val="24"/>
          <w:highlight w:val="none"/>
        </w:rPr>
        <w:t>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auto"/>
          <w:kern w:val="0"/>
          <w:sz w:val="24"/>
          <w:szCs w:val="24"/>
          <w:highlight w:val="none"/>
        </w:rPr>
      </w:pPr>
      <w:r>
        <w:rPr>
          <w:rFonts w:asciiTheme="minorEastAsia" w:hAnsiTheme="minorEastAsia" w:eastAsiaTheme="minorEastAsia"/>
          <w:color w:val="auto"/>
          <w:sz w:val="24"/>
          <w:szCs w:val="24"/>
          <w:highlight w:val="none"/>
        </w:rPr>
        <w:t>2、</w:t>
      </w:r>
      <w:r>
        <w:rPr>
          <w:rFonts w:hint="eastAsia" w:ascii="宋体" w:hAnsi="宋体"/>
          <w:color w:val="auto"/>
          <w:kern w:val="0"/>
          <w:sz w:val="24"/>
          <w:szCs w:val="24"/>
          <w:highlight w:val="none"/>
        </w:rPr>
        <w:t>发布</w:t>
      </w:r>
      <w:r>
        <w:rPr>
          <w:color w:val="auto"/>
          <w:sz w:val="24"/>
          <w:szCs w:val="24"/>
          <w:highlight w:val="none"/>
        </w:rPr>
        <w:t>中标</w:t>
      </w:r>
      <w:r>
        <w:rPr>
          <w:rFonts w:hint="eastAsia" w:ascii="宋体" w:hAnsi="宋体"/>
          <w:color w:val="auto"/>
          <w:kern w:val="0"/>
          <w:sz w:val="24"/>
          <w:szCs w:val="24"/>
          <w:highlight w:val="none"/>
        </w:rPr>
        <w:t>结果公告。采购组织机构应当自中标人</w:t>
      </w:r>
      <w:r>
        <w:rPr>
          <w:rFonts w:ascii="宋体" w:hAnsi="宋体"/>
          <w:color w:val="auto"/>
          <w:kern w:val="0"/>
          <w:sz w:val="24"/>
          <w:szCs w:val="24"/>
          <w:highlight w:val="none"/>
        </w:rPr>
        <w:t>确定</w:t>
      </w:r>
      <w:r>
        <w:rPr>
          <w:rFonts w:hint="eastAsia" w:ascii="宋体" w:hAnsi="宋体"/>
          <w:color w:val="auto"/>
          <w:kern w:val="0"/>
          <w:sz w:val="24"/>
          <w:szCs w:val="24"/>
          <w:highlight w:val="none"/>
        </w:rPr>
        <w:t>之日起</w:t>
      </w:r>
      <w:r>
        <w:rPr>
          <w:rFonts w:ascii="宋体" w:hAnsi="宋体"/>
          <w:color w:val="auto"/>
          <w:kern w:val="0"/>
          <w:sz w:val="24"/>
          <w:szCs w:val="24"/>
          <w:highlight w:val="none"/>
        </w:rPr>
        <w:t>2个工作日内</w:t>
      </w:r>
      <w:r>
        <w:rPr>
          <w:rFonts w:hint="eastAsia" w:ascii="宋体" w:hAnsi="宋体"/>
          <w:color w:val="auto"/>
          <w:kern w:val="0"/>
          <w:sz w:val="24"/>
          <w:szCs w:val="24"/>
          <w:highlight w:val="none"/>
        </w:rPr>
        <w:t>，</w:t>
      </w:r>
      <w:r>
        <w:rPr>
          <w:rFonts w:ascii="宋体" w:hAnsi="宋体"/>
          <w:color w:val="auto"/>
          <w:kern w:val="0"/>
          <w:sz w:val="24"/>
          <w:szCs w:val="24"/>
          <w:highlight w:val="none"/>
        </w:rPr>
        <w:t>在省级以上财政部门指定的媒体及相关网站</w:t>
      </w:r>
      <w:r>
        <w:rPr>
          <w:rFonts w:hint="eastAsia" w:ascii="宋体" w:hAnsi="宋体"/>
          <w:color w:val="auto"/>
          <w:kern w:val="0"/>
          <w:sz w:val="24"/>
          <w:szCs w:val="24"/>
          <w:highlight w:val="none"/>
        </w:rPr>
        <w:t>上</w:t>
      </w:r>
      <w:r>
        <w:rPr>
          <w:rFonts w:ascii="宋体" w:hAnsi="宋体"/>
          <w:color w:val="auto"/>
          <w:kern w:val="0"/>
          <w:sz w:val="24"/>
          <w:szCs w:val="24"/>
          <w:highlight w:val="none"/>
        </w:rPr>
        <w:t>公告</w:t>
      </w:r>
      <w:r>
        <w:rPr>
          <w:rFonts w:hint="eastAsia" w:ascii="宋体" w:hAnsi="宋体"/>
          <w:color w:val="auto"/>
          <w:kern w:val="0"/>
          <w:sz w:val="24"/>
          <w:szCs w:val="24"/>
          <w:highlight w:val="none"/>
        </w:rPr>
        <w:t>中标结果，招标文件应当随中标结果同时公告。</w:t>
      </w:r>
    </w:p>
    <w:p>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3、发出中标通知书。采购组织机构在发布中标结果的同时，向中标人发出中标通知书。</w:t>
      </w:r>
    </w:p>
    <w:p>
      <w:pPr>
        <w:spacing w:line="360" w:lineRule="auto"/>
        <w:ind w:firstLine="482" w:firstLineChars="200"/>
        <w:rPr>
          <w:rFonts w:hint="eastAsia" w:ascii="宋体" w:hAnsi="宋体"/>
          <w:color w:val="auto"/>
          <w:kern w:val="0"/>
          <w:sz w:val="24"/>
          <w:szCs w:val="24"/>
          <w:highlight w:val="none"/>
        </w:rPr>
      </w:pPr>
      <w:r>
        <w:rPr>
          <w:rFonts w:hint="eastAsia" w:asciiTheme="minorEastAsia" w:hAnsiTheme="minorEastAsia" w:eastAsiaTheme="minorEastAsia"/>
          <w:b/>
          <w:color w:val="auto"/>
          <w:sz w:val="24"/>
          <w:szCs w:val="24"/>
          <w:highlight w:val="none"/>
          <w:lang w:eastAsia="zh-CN"/>
        </w:rPr>
        <w:t>七</w:t>
      </w:r>
      <w:r>
        <w:rPr>
          <w:rFonts w:asciiTheme="minorEastAsia" w:hAnsiTheme="minorEastAsia" w:eastAsiaTheme="minorEastAsia"/>
          <w:b/>
          <w:color w:val="auto"/>
          <w:sz w:val="24"/>
          <w:szCs w:val="24"/>
          <w:highlight w:val="none"/>
        </w:rPr>
        <w:t>、</w:t>
      </w:r>
      <w:r>
        <w:rPr>
          <w:rFonts w:hint="eastAsia" w:ascii="宋体" w:hAnsi="宋体"/>
          <w:b/>
          <w:color w:val="auto"/>
          <w:kern w:val="0"/>
          <w:sz w:val="24"/>
          <w:szCs w:val="24"/>
          <w:highlight w:val="none"/>
        </w:rPr>
        <w:t>合同签订及公告</w:t>
      </w:r>
    </w:p>
    <w:p>
      <w:pPr>
        <w:spacing w:line="360" w:lineRule="auto"/>
        <w:ind w:firstLine="482" w:firstLineChars="200"/>
        <w:rPr>
          <w:rFonts w:ascii="宋体" w:hAnsi="宋体"/>
          <w:b/>
          <w:color w:val="auto"/>
          <w:kern w:val="0"/>
          <w:sz w:val="24"/>
          <w:szCs w:val="24"/>
          <w:highlight w:val="none"/>
        </w:rPr>
      </w:pPr>
      <w:r>
        <w:rPr>
          <w:rFonts w:hint="eastAsia" w:ascii="宋体" w:hAnsi="宋体"/>
          <w:b/>
          <w:color w:val="auto"/>
          <w:sz w:val="24"/>
          <w:szCs w:val="24"/>
          <w:highlight w:val="none"/>
        </w:rPr>
        <w:t>（一）签订合同</w:t>
      </w:r>
    </w:p>
    <w:p>
      <w:pPr>
        <w:pStyle w:val="18"/>
        <w:spacing w:before="0" w:beforeAutospacing="0" w:after="0" w:afterAutospacing="0" w:line="360" w:lineRule="auto"/>
        <w:ind w:firstLine="600" w:firstLineChars="250"/>
        <w:jc w:val="both"/>
        <w:rPr>
          <w:rFonts w:hint="default"/>
          <w:color w:val="auto"/>
          <w:sz w:val="24"/>
          <w:szCs w:val="24"/>
          <w:highlight w:val="none"/>
        </w:rPr>
      </w:pPr>
      <w:r>
        <w:rPr>
          <w:color w:val="auto"/>
          <w:sz w:val="24"/>
          <w:szCs w:val="24"/>
          <w:highlight w:val="none"/>
        </w:rPr>
        <w:t>1、采购人应当自中标通知书发出之日起10个工作日内，按照招标文件和中标人投标文件的规定，与中标人签订书面合同。所签订的合同不得对招标文件确定的事项和中标人投标文件作实质性修改。</w:t>
      </w:r>
    </w:p>
    <w:p>
      <w:pPr>
        <w:pStyle w:val="18"/>
        <w:spacing w:before="0" w:beforeAutospacing="0" w:after="0" w:afterAutospacing="0" w:line="360" w:lineRule="auto"/>
        <w:ind w:firstLine="600" w:firstLineChars="250"/>
        <w:jc w:val="both"/>
        <w:rPr>
          <w:rFonts w:hint="default"/>
          <w:color w:val="auto"/>
          <w:sz w:val="24"/>
          <w:szCs w:val="24"/>
          <w:highlight w:val="none"/>
        </w:rPr>
      </w:pPr>
      <w:r>
        <w:rPr>
          <w:color w:val="auto"/>
          <w:sz w:val="24"/>
          <w:szCs w:val="24"/>
          <w:highlight w:val="none"/>
        </w:rPr>
        <w:t>2、采购人不得向中标人提出任何不合理的要求作为签订合同的条件。</w:t>
      </w:r>
    </w:p>
    <w:p>
      <w:pPr>
        <w:pStyle w:val="18"/>
        <w:spacing w:before="0" w:beforeAutospacing="0" w:after="0" w:afterAutospacing="0" w:line="360" w:lineRule="auto"/>
        <w:ind w:firstLine="600" w:firstLineChars="250"/>
        <w:jc w:val="both"/>
        <w:rPr>
          <w:rFonts w:hint="default"/>
          <w:color w:val="auto"/>
          <w:sz w:val="24"/>
          <w:szCs w:val="24"/>
          <w:highlight w:val="none"/>
        </w:rPr>
      </w:pPr>
      <w:r>
        <w:rPr>
          <w:color w:val="auto"/>
          <w:sz w:val="24"/>
          <w:szCs w:val="24"/>
          <w:highlight w:val="none"/>
        </w:rPr>
        <w:t>3、中标供应商无故拖延、拒签合同的,投标保证金将不予退还并取消中标资格。</w:t>
      </w:r>
    </w:p>
    <w:p>
      <w:pPr>
        <w:pStyle w:val="18"/>
        <w:spacing w:before="0" w:beforeAutospacing="0" w:after="0" w:afterAutospacing="0" w:line="360" w:lineRule="auto"/>
        <w:ind w:firstLine="480" w:firstLineChars="200"/>
        <w:jc w:val="both"/>
        <w:rPr>
          <w:rFonts w:hint="default"/>
          <w:color w:val="auto"/>
          <w:sz w:val="24"/>
          <w:szCs w:val="24"/>
          <w:highlight w:val="none"/>
        </w:rPr>
      </w:pPr>
      <w:r>
        <w:rPr>
          <w:color w:val="auto"/>
          <w:sz w:val="24"/>
          <w:szCs w:val="24"/>
          <w:highlight w:val="none"/>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8"/>
        <w:spacing w:line="360" w:lineRule="auto"/>
        <w:ind w:firstLine="480" w:firstLineChars="200"/>
        <w:rPr>
          <w:rFonts w:hint="default" w:cs="仿宋_GB2312"/>
          <w:color w:val="auto"/>
          <w:sz w:val="24"/>
          <w:szCs w:val="24"/>
          <w:highlight w:val="none"/>
        </w:rPr>
      </w:pPr>
      <w:r>
        <w:rPr>
          <w:color w:val="auto"/>
          <w:sz w:val="24"/>
          <w:szCs w:val="24"/>
          <w:highlight w:val="none"/>
        </w:rPr>
        <w:t>5、询问或者质疑事项可能影响中标结果的，采购人应当暂停签订合同，已经签订合同的，应当中止履行合同（中标结果的质疑期为中标结果公告期限届满之日起七个工作日）。</w:t>
      </w:r>
    </w:p>
    <w:p>
      <w:pPr>
        <w:pStyle w:val="18"/>
        <w:spacing w:line="360" w:lineRule="auto"/>
        <w:ind w:firstLine="424" w:firstLineChars="176"/>
        <w:rPr>
          <w:rFonts w:hint="default" w:cs="仿宋_GB2312"/>
          <w:b/>
          <w:color w:val="auto"/>
          <w:sz w:val="24"/>
          <w:szCs w:val="24"/>
          <w:highlight w:val="none"/>
        </w:rPr>
      </w:pPr>
      <w:r>
        <w:rPr>
          <w:b/>
          <w:color w:val="auto"/>
          <w:sz w:val="24"/>
          <w:szCs w:val="24"/>
          <w:highlight w:val="none"/>
        </w:rPr>
        <w:t>（二）合同公告及备案</w:t>
      </w:r>
    </w:p>
    <w:p>
      <w:pPr>
        <w:pStyle w:val="12"/>
        <w:spacing w:line="360" w:lineRule="auto"/>
        <w:ind w:left="0" w:leftChars="0"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1、采购人应当自政府采购合同签订之日起2个工作日内，</w:t>
      </w:r>
      <w:r>
        <w:rPr>
          <w:rFonts w:ascii="宋体" w:hAnsi="宋体"/>
          <w:color w:val="auto"/>
          <w:kern w:val="0"/>
          <w:sz w:val="24"/>
          <w:szCs w:val="24"/>
          <w:highlight w:val="none"/>
        </w:rPr>
        <w:t>在省级以上财政部门指定的</w:t>
      </w:r>
      <w:r>
        <w:rPr>
          <w:rFonts w:hint="eastAsia" w:ascii="宋体" w:hAnsi="宋体"/>
          <w:color w:val="auto"/>
          <w:kern w:val="0"/>
          <w:sz w:val="24"/>
          <w:szCs w:val="24"/>
          <w:highlight w:val="none"/>
        </w:rPr>
        <w:t>政府采购信息发布</w:t>
      </w:r>
      <w:r>
        <w:rPr>
          <w:rFonts w:ascii="宋体" w:hAnsi="宋体"/>
          <w:color w:val="auto"/>
          <w:kern w:val="0"/>
          <w:sz w:val="24"/>
          <w:szCs w:val="24"/>
          <w:highlight w:val="none"/>
        </w:rPr>
        <w:t>媒体及相关网站</w:t>
      </w:r>
      <w:r>
        <w:rPr>
          <w:rFonts w:hint="eastAsia" w:ascii="宋体" w:hAnsi="宋体"/>
          <w:color w:val="auto"/>
          <w:kern w:val="0"/>
          <w:sz w:val="24"/>
          <w:szCs w:val="24"/>
          <w:highlight w:val="none"/>
        </w:rPr>
        <w:t>上</w:t>
      </w:r>
      <w:r>
        <w:rPr>
          <w:rFonts w:ascii="宋体" w:hAnsi="宋体"/>
          <w:color w:val="auto"/>
          <w:kern w:val="0"/>
          <w:sz w:val="24"/>
          <w:szCs w:val="24"/>
          <w:highlight w:val="none"/>
        </w:rPr>
        <w:t>公告</w:t>
      </w:r>
      <w:r>
        <w:rPr>
          <w:rFonts w:hint="eastAsia" w:ascii="宋体" w:hAnsi="宋体"/>
          <w:color w:val="auto"/>
          <w:sz w:val="24"/>
          <w:szCs w:val="24"/>
          <w:highlight w:val="none"/>
        </w:rPr>
        <w:t>。</w:t>
      </w:r>
    </w:p>
    <w:p>
      <w:pPr>
        <w:pStyle w:val="12"/>
        <w:spacing w:line="360" w:lineRule="auto"/>
        <w:ind w:left="0"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2、采购人应当自政府采购合同签订之日起7个工作日内，将政府采购合同副本报同级人民政府财政部门备案以及采购组织机构存档。</w:t>
      </w:r>
    </w:p>
    <w:p>
      <w:pPr>
        <w:spacing w:line="360" w:lineRule="auto"/>
        <w:ind w:firstLine="482" w:firstLineChars="200"/>
        <w:rPr>
          <w:rFonts w:hint="eastAsia" w:cs="Times New Roman" w:asciiTheme="minorEastAsia" w:hAnsiTheme="minorEastAsia" w:eastAsiaTheme="minorEastAsia"/>
          <w:b/>
          <w:color w:val="auto"/>
          <w:sz w:val="24"/>
          <w:szCs w:val="24"/>
          <w:highlight w:val="none"/>
          <w:lang w:eastAsia="zh-CN"/>
        </w:rPr>
      </w:pPr>
      <w:r>
        <w:rPr>
          <w:rFonts w:hint="eastAsia" w:cs="Times New Roman" w:asciiTheme="minorEastAsia" w:hAnsiTheme="minorEastAsia" w:eastAsiaTheme="minorEastAsia"/>
          <w:b/>
          <w:color w:val="auto"/>
          <w:sz w:val="24"/>
          <w:szCs w:val="24"/>
          <w:highlight w:val="none"/>
          <w:lang w:eastAsia="zh-CN"/>
        </w:rPr>
        <w:t>八、招标代理服务费</w:t>
      </w:r>
    </w:p>
    <w:p>
      <w:pPr>
        <w:autoSpaceDE w:val="0"/>
        <w:autoSpaceDN w:val="0"/>
        <w:adjustRightInd w:val="0"/>
        <w:spacing w:line="450" w:lineRule="atLeast"/>
        <w:ind w:firstLine="440" w:firstLineChars="200"/>
        <w:textAlignment w:val="bottom"/>
        <w:rPr>
          <w:rFonts w:ascii="宋体" w:eastAsia="宋体"/>
          <w:bCs/>
          <w:color w:val="auto"/>
          <w:sz w:val="22"/>
          <w:highlight w:val="none"/>
        </w:rPr>
      </w:pPr>
      <w:r>
        <w:rPr>
          <w:rFonts w:hint="eastAsia" w:ascii="宋体" w:eastAsia="宋体"/>
          <w:color w:val="auto"/>
          <w:sz w:val="22"/>
          <w:highlight w:val="none"/>
        </w:rPr>
        <w:t>中标供应商在领取中标通知书同时</w:t>
      </w:r>
      <w:r>
        <w:rPr>
          <w:rFonts w:hint="eastAsia" w:ascii="宋体" w:eastAsia="宋体"/>
          <w:b/>
          <w:color w:val="auto"/>
          <w:sz w:val="22"/>
          <w:highlight w:val="none"/>
        </w:rPr>
        <w:t>向采购代理机构支付标</w:t>
      </w:r>
      <w:r>
        <w:rPr>
          <w:rFonts w:hint="eastAsia" w:ascii="宋体" w:eastAsia="宋体"/>
          <w:b/>
          <w:color w:val="auto"/>
          <w:sz w:val="22"/>
          <w:highlight w:val="none"/>
          <w:lang w:val="en-US" w:eastAsia="zh-CN"/>
        </w:rPr>
        <w:t>15</w:t>
      </w:r>
      <w:r>
        <w:rPr>
          <w:rFonts w:hint="eastAsia" w:ascii="宋体" w:eastAsia="宋体"/>
          <w:b/>
          <w:color w:val="auto"/>
          <w:sz w:val="22"/>
          <w:highlight w:val="none"/>
        </w:rPr>
        <w:t>000元的招标代理服务费</w:t>
      </w:r>
      <w:r>
        <w:rPr>
          <w:rFonts w:hint="eastAsia" w:ascii="宋体" w:eastAsia="宋体"/>
          <w:color w:val="auto"/>
          <w:sz w:val="22"/>
          <w:highlight w:val="none"/>
        </w:rPr>
        <w:t>，招标代理服务费包含在投标总价中。</w:t>
      </w:r>
    </w:p>
    <w:p>
      <w:pPr>
        <w:autoSpaceDE w:val="0"/>
        <w:autoSpaceDN w:val="0"/>
        <w:adjustRightInd w:val="0"/>
        <w:spacing w:line="450" w:lineRule="atLeast"/>
        <w:ind w:firstLine="440" w:firstLineChars="200"/>
        <w:textAlignment w:val="bottom"/>
        <w:rPr>
          <w:rFonts w:ascii="宋体" w:eastAsia="宋体"/>
          <w:b/>
          <w:color w:val="auto"/>
          <w:sz w:val="22"/>
          <w:highlight w:val="none"/>
        </w:rPr>
      </w:pPr>
      <w:r>
        <w:rPr>
          <w:rFonts w:hint="eastAsia" w:ascii="宋体" w:eastAsia="宋体"/>
          <w:color w:val="auto"/>
          <w:sz w:val="22"/>
          <w:highlight w:val="none"/>
        </w:rPr>
        <w:t>招标代理服务费汇入以下帐号：</w:t>
      </w:r>
    </w:p>
    <w:p>
      <w:pPr>
        <w:autoSpaceDE w:val="0"/>
        <w:autoSpaceDN w:val="0"/>
        <w:adjustRightInd w:val="0"/>
        <w:spacing w:line="450" w:lineRule="atLeast"/>
        <w:ind w:firstLine="440" w:firstLineChars="200"/>
        <w:textAlignment w:val="bottom"/>
        <w:rPr>
          <w:rFonts w:ascii="宋体" w:eastAsia="宋体"/>
          <w:color w:val="auto"/>
          <w:sz w:val="22"/>
          <w:highlight w:val="none"/>
        </w:rPr>
      </w:pPr>
      <w:r>
        <w:rPr>
          <w:rFonts w:ascii="Calibri" w:hAnsi="Calibri" w:eastAsia="宋体" w:cs="Calibri"/>
          <w:color w:val="auto"/>
          <w:sz w:val="22"/>
          <w:highlight w:val="none"/>
        </w:rPr>
        <w:t></w:t>
      </w:r>
      <w:r>
        <w:rPr>
          <w:rFonts w:ascii="宋体" w:eastAsia="宋体"/>
          <w:color w:val="auto"/>
          <w:sz w:val="22"/>
          <w:highlight w:val="none"/>
        </w:rPr>
        <w:tab/>
      </w:r>
      <w:r>
        <w:rPr>
          <w:rFonts w:hint="eastAsia" w:ascii="宋体" w:eastAsia="宋体"/>
          <w:color w:val="auto"/>
          <w:sz w:val="22"/>
          <w:highlight w:val="none"/>
        </w:rPr>
        <w:t>开户银行：中国工商银行玉环支行</w:t>
      </w:r>
    </w:p>
    <w:p>
      <w:pPr>
        <w:autoSpaceDE w:val="0"/>
        <w:autoSpaceDN w:val="0"/>
        <w:adjustRightInd w:val="0"/>
        <w:spacing w:line="450" w:lineRule="atLeast"/>
        <w:ind w:firstLine="440" w:firstLineChars="200"/>
        <w:textAlignment w:val="bottom"/>
        <w:rPr>
          <w:rFonts w:ascii="宋体" w:eastAsia="宋体"/>
          <w:color w:val="auto"/>
          <w:sz w:val="22"/>
          <w:highlight w:val="none"/>
        </w:rPr>
      </w:pPr>
      <w:r>
        <w:rPr>
          <w:rFonts w:ascii="Calibri" w:hAnsi="Calibri" w:eastAsia="宋体" w:cs="Calibri"/>
          <w:color w:val="auto"/>
          <w:sz w:val="22"/>
          <w:highlight w:val="none"/>
        </w:rPr>
        <w:t></w:t>
      </w:r>
      <w:r>
        <w:rPr>
          <w:rFonts w:ascii="宋体" w:eastAsia="宋体"/>
          <w:color w:val="auto"/>
          <w:sz w:val="22"/>
          <w:highlight w:val="none"/>
        </w:rPr>
        <w:tab/>
      </w:r>
      <w:r>
        <w:rPr>
          <w:rFonts w:hint="eastAsia" w:ascii="宋体" w:eastAsia="宋体"/>
          <w:color w:val="auto"/>
          <w:sz w:val="22"/>
          <w:highlight w:val="none"/>
        </w:rPr>
        <w:t>开户名称：台州恒信工程造价咨询有限公司</w:t>
      </w:r>
    </w:p>
    <w:p>
      <w:pPr>
        <w:autoSpaceDE w:val="0"/>
        <w:autoSpaceDN w:val="0"/>
        <w:adjustRightInd w:val="0"/>
        <w:spacing w:line="450" w:lineRule="atLeast"/>
        <w:ind w:firstLine="440" w:firstLineChars="200"/>
        <w:textAlignment w:val="bottom"/>
        <w:rPr>
          <w:rFonts w:ascii="宋体" w:eastAsia="宋体"/>
          <w:b/>
          <w:color w:val="auto"/>
          <w:sz w:val="22"/>
          <w:highlight w:val="none"/>
        </w:rPr>
      </w:pPr>
      <w:r>
        <w:rPr>
          <w:rFonts w:hint="eastAsia" w:ascii="宋体" w:eastAsia="宋体"/>
          <w:color w:val="auto"/>
          <w:sz w:val="22"/>
          <w:highlight w:val="none"/>
        </w:rPr>
        <w:tab/>
      </w:r>
      <w:r>
        <w:rPr>
          <w:rFonts w:hint="eastAsia" w:ascii="宋体" w:eastAsia="宋体"/>
          <w:color w:val="auto"/>
          <w:sz w:val="22"/>
          <w:highlight w:val="none"/>
        </w:rPr>
        <w:t>开户帐号：</w:t>
      </w:r>
      <w:r>
        <w:rPr>
          <w:rFonts w:ascii="宋体" w:eastAsia="宋体"/>
          <w:color w:val="auto"/>
          <w:sz w:val="22"/>
          <w:highlight w:val="none"/>
        </w:rPr>
        <w:t>1207081109045089355</w:t>
      </w:r>
    </w:p>
    <w:p>
      <w:pPr>
        <w:pStyle w:val="11"/>
        <w:rPr>
          <w:rFonts w:hint="eastAsia" w:ascii="宋体" w:hAnsi="宋体"/>
          <w:color w:val="auto"/>
          <w:sz w:val="24"/>
          <w:szCs w:val="24"/>
          <w:highlight w:val="none"/>
        </w:rPr>
      </w:pPr>
      <w:r>
        <w:rPr>
          <w:rFonts w:hint="eastAsia" w:ascii="宋体"/>
          <w:color w:val="auto"/>
          <w:sz w:val="22"/>
          <w:szCs w:val="22"/>
          <w:highlight w:val="none"/>
        </w:rPr>
        <w:t>中标供应商未按规定交纳招标代理服务费，将没收其投标保证金，取消其中标资格。</w:t>
      </w:r>
    </w:p>
    <w:p>
      <w:pPr>
        <w:pStyle w:val="12"/>
        <w:spacing w:line="360" w:lineRule="auto"/>
        <w:ind w:left="0" w:leftChars="0" w:firstLine="480" w:firstLineChars="200"/>
        <w:rPr>
          <w:rFonts w:hint="eastAsia" w:ascii="宋体" w:hAnsi="宋体"/>
          <w:color w:val="auto"/>
          <w:sz w:val="24"/>
          <w:szCs w:val="24"/>
          <w:highlight w:val="none"/>
        </w:rPr>
      </w:pPr>
    </w:p>
    <w:p>
      <w:pPr>
        <w:spacing w:line="360" w:lineRule="auto"/>
        <w:rPr>
          <w:rFonts w:asciiTheme="minorEastAsia" w:hAnsiTheme="minorEastAsia" w:eastAsiaTheme="minorEastAsia"/>
          <w:b/>
          <w:color w:val="auto"/>
          <w:sz w:val="28"/>
          <w:szCs w:val="28"/>
          <w:highlight w:val="none"/>
        </w:rPr>
      </w:pPr>
    </w:p>
    <w:p>
      <w:pPr>
        <w:numPr>
          <w:ilvl w:val="0"/>
          <w:numId w:val="5"/>
        </w:numPr>
        <w:spacing w:line="360" w:lineRule="auto"/>
        <w:jc w:val="center"/>
        <w:rPr>
          <w:rFonts w:asciiTheme="minorEastAsia" w:hAnsiTheme="minorEastAsia" w:eastAsiaTheme="minorEastAsia"/>
          <w:b/>
          <w:color w:val="auto"/>
          <w:sz w:val="36"/>
          <w:szCs w:val="36"/>
          <w:highlight w:val="none"/>
        </w:rPr>
        <w:sectPr>
          <w:headerReference r:id="rId3" w:type="default"/>
          <w:pgSz w:w="11906" w:h="16838"/>
          <w:pgMar w:top="1440" w:right="1800" w:bottom="1440" w:left="1800" w:header="851" w:footer="992" w:gutter="0"/>
          <w:cols w:space="425" w:num="1"/>
          <w:docGrid w:type="lines" w:linePitch="312" w:charSpace="0"/>
        </w:sectPr>
      </w:pPr>
    </w:p>
    <w:p>
      <w:pPr>
        <w:numPr>
          <w:ilvl w:val="0"/>
          <w:numId w:val="5"/>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评标办法及评分标准</w:t>
      </w:r>
    </w:p>
    <w:p>
      <w:pPr>
        <w:autoSpaceDE w:val="0"/>
        <w:autoSpaceDN w:val="0"/>
        <w:spacing w:line="360" w:lineRule="auto"/>
        <w:ind w:firstLine="480" w:firstLineChars="200"/>
        <w:rPr>
          <w:rFonts w:asciiTheme="minorEastAsia" w:hAnsiTheme="minorEastAsia" w:eastAsiaTheme="minorEastAsia"/>
          <w:b/>
          <w:i/>
          <w:color w:val="auto"/>
          <w:kern w:val="0"/>
          <w:sz w:val="24"/>
          <w:highlight w:val="none"/>
        </w:rPr>
      </w:pPr>
      <w:r>
        <w:rPr>
          <w:rFonts w:hint="eastAsia" w:asciiTheme="minorEastAsia" w:hAnsiTheme="minorEastAsia" w:eastAsiaTheme="minorEastAsia"/>
          <w:color w:val="auto"/>
          <w:kern w:val="0"/>
          <w:sz w:val="24"/>
          <w:highlight w:val="none"/>
        </w:rPr>
        <w:t>一、采购组织机构将组织评标委员会，对投标人提供的投标文件进行综合评审。</w:t>
      </w:r>
    </w:p>
    <w:p>
      <w:pPr>
        <w:autoSpaceDE w:val="0"/>
        <w:autoSpaceDN w:val="0"/>
        <w:adjustRightInd w:val="0"/>
        <w:spacing w:line="360" w:lineRule="auto"/>
        <w:ind w:left="19" w:leftChars="9" w:firstLine="458" w:firstLineChars="191"/>
        <w:jc w:val="left"/>
        <w:rPr>
          <w:rFonts w:ascii="宋体" w:hAnsi="宋体"/>
          <w:color w:val="auto"/>
          <w:kern w:val="0"/>
          <w:sz w:val="24"/>
          <w:highlight w:val="none"/>
          <w:lang w:val="zh-CN"/>
        </w:rPr>
      </w:pPr>
      <w:r>
        <w:rPr>
          <w:rFonts w:hint="eastAsia" w:asciiTheme="minorEastAsia" w:hAnsiTheme="minorEastAsia" w:eastAsiaTheme="minorEastAsia"/>
          <w:color w:val="auto"/>
          <w:kern w:val="0"/>
          <w:sz w:val="24"/>
          <w:highlight w:val="none"/>
        </w:rPr>
        <w:t>二、本次招标项目的评标方法为综合评分法，</w:t>
      </w:r>
      <w:r>
        <w:rPr>
          <w:rFonts w:hint="eastAsia" w:ascii="宋体" w:hAnsi="宋体"/>
          <w:color w:val="auto"/>
          <w:kern w:val="0"/>
          <w:sz w:val="24"/>
          <w:highlight w:val="none"/>
        </w:rPr>
        <w:t>总计100分。报价评分30分，</w:t>
      </w:r>
      <w:r>
        <w:rPr>
          <w:rFonts w:hint="eastAsia" w:ascii="宋体"/>
          <w:bCs/>
          <w:color w:val="auto"/>
          <w:sz w:val="24"/>
          <w:highlight w:val="none"/>
          <w:lang w:val="zh-CN"/>
        </w:rPr>
        <w:t>商务与技术</w:t>
      </w:r>
      <w:r>
        <w:rPr>
          <w:rFonts w:hint="eastAsia" w:ascii="宋体" w:hAnsi="宋体"/>
          <w:color w:val="auto"/>
          <w:kern w:val="0"/>
          <w:sz w:val="24"/>
          <w:highlight w:val="none"/>
        </w:rPr>
        <w:t>综合评分 70分。</w:t>
      </w:r>
    </w:p>
    <w:p>
      <w:pPr>
        <w:autoSpaceDE w:val="0"/>
        <w:autoSpaceDN w:val="0"/>
        <w:adjustRightInd w:val="0"/>
        <w:spacing w:line="360" w:lineRule="auto"/>
        <w:ind w:right="84" w:firstLine="472"/>
        <w:rPr>
          <w:rFonts w:ascii="宋体"/>
          <w:bCs/>
          <w:color w:val="auto"/>
          <w:sz w:val="24"/>
          <w:highlight w:val="none"/>
          <w:lang w:val="zh-CN"/>
        </w:rPr>
      </w:pPr>
      <w:r>
        <w:rPr>
          <w:rFonts w:hint="eastAsia" w:ascii="宋体"/>
          <w:bCs/>
          <w:color w:val="auto"/>
          <w:sz w:val="24"/>
          <w:highlight w:val="none"/>
          <w:lang w:val="zh-CN"/>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bCs/>
          <w:color w:val="auto"/>
          <w:sz w:val="24"/>
          <w:highlight w:val="none"/>
          <w:shd w:val="clear" w:color="FFFFFF" w:fill="D9D9D9"/>
          <w:lang w:val="zh-CN"/>
        </w:rPr>
      </w:pPr>
      <w:r>
        <w:rPr>
          <w:rFonts w:hint="eastAsia" w:ascii="宋体"/>
          <w:bCs/>
          <w:color w:val="auto"/>
          <w:sz w:val="24"/>
          <w:highlight w:val="none"/>
          <w:lang w:val="zh-CN"/>
        </w:rPr>
        <w:t>（二）各投标人商务与技术文件</w:t>
      </w:r>
      <w:r>
        <w:rPr>
          <w:rFonts w:hint="eastAsia" w:ascii="宋体"/>
          <w:color w:val="auto"/>
          <w:kern w:val="0"/>
          <w:sz w:val="24"/>
          <w:highlight w:val="none"/>
          <w:lang w:val="zh-CN"/>
        </w:rPr>
        <w:t>得分按照评标委员会成</w:t>
      </w:r>
      <w:r>
        <w:rPr>
          <w:rFonts w:hint="eastAsia" w:ascii="宋体"/>
          <w:bCs/>
          <w:color w:val="auto"/>
          <w:sz w:val="24"/>
          <w:highlight w:val="none"/>
          <w:lang w:val="zh-CN"/>
        </w:rPr>
        <w:t>员的独立评分结果汇总后的算术平均分计算，计算公式为：</w:t>
      </w:r>
    </w:p>
    <w:p>
      <w:pPr>
        <w:autoSpaceDE w:val="0"/>
        <w:autoSpaceDN w:val="0"/>
        <w:adjustRightInd w:val="0"/>
        <w:spacing w:line="360" w:lineRule="auto"/>
        <w:ind w:right="84" w:firstLine="472"/>
        <w:rPr>
          <w:rFonts w:ascii="宋体"/>
          <w:bCs/>
          <w:color w:val="auto"/>
          <w:sz w:val="24"/>
          <w:highlight w:val="none"/>
          <w:shd w:val="clear" w:color="FFFFFF" w:fill="D9D9D9"/>
          <w:lang w:val="zh-CN"/>
        </w:rPr>
      </w:pPr>
      <w:r>
        <w:rPr>
          <w:rFonts w:hint="eastAsia" w:ascii="宋体" w:hAnsi="宋体"/>
          <w:color w:val="auto"/>
          <w:sz w:val="24"/>
          <w:highlight w:val="none"/>
        </w:rPr>
        <w:t>商务与技术文件得分</w:t>
      </w:r>
      <w:r>
        <w:rPr>
          <w:rFonts w:hint="eastAsia" w:ascii="宋体"/>
          <w:bCs/>
          <w:color w:val="auto"/>
          <w:sz w:val="24"/>
          <w:highlight w:val="none"/>
          <w:lang w:val="zh-CN"/>
        </w:rPr>
        <w:t>=评标委员会所有成员评分合计数/评标委员会组成人员数。</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bCs/>
          <w:color w:val="auto"/>
          <w:sz w:val="24"/>
          <w:highlight w:val="none"/>
          <w:lang w:val="zh-CN"/>
        </w:rPr>
        <w:t>（三）</w:t>
      </w:r>
      <w:r>
        <w:rPr>
          <w:rFonts w:hint="eastAsia" w:ascii="宋体"/>
          <w:color w:val="auto"/>
          <w:sz w:val="24"/>
          <w:highlight w:val="none"/>
          <w:lang w:val="zh-CN"/>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olor w:val="auto"/>
          <w:sz w:val="24"/>
          <w:highlight w:val="none"/>
          <w:u w:val="single"/>
        </w:rPr>
      </w:pPr>
      <w:r>
        <w:rPr>
          <w:rFonts w:hint="eastAsia"/>
          <w:color w:val="auto"/>
          <w:sz w:val="24"/>
          <w:highlight w:val="none"/>
          <w:u w:val="single"/>
        </w:rPr>
        <w:t>投标报价得</w:t>
      </w:r>
      <w:r>
        <w:rPr>
          <w:color w:val="auto"/>
          <w:sz w:val="24"/>
          <w:highlight w:val="none"/>
          <w:u w:val="single"/>
        </w:rPr>
        <w:t>分=(评标基准价／投</w:t>
      </w:r>
      <w:r>
        <w:rPr>
          <w:rFonts w:ascii="宋体" w:hAnsi="宋体"/>
          <w:color w:val="auto"/>
          <w:sz w:val="24"/>
          <w:highlight w:val="none"/>
          <w:u w:val="single"/>
        </w:rPr>
        <w:t>标报价)×</w:t>
      </w:r>
      <w:r>
        <w:rPr>
          <w:rFonts w:hint="eastAsia" w:ascii="宋体" w:hAnsi="宋体"/>
          <w:color w:val="auto"/>
          <w:sz w:val="24"/>
          <w:highlight w:val="none"/>
          <w:u w:val="single"/>
        </w:rPr>
        <w:t>30 %</w:t>
      </w:r>
      <w:r>
        <w:rPr>
          <w:rFonts w:ascii="宋体" w:hAnsi="宋体"/>
          <w:color w:val="auto"/>
          <w:sz w:val="24"/>
          <w:highlight w:val="none"/>
          <w:u w:val="single"/>
        </w:rPr>
        <w:t>×100</w:t>
      </w:r>
      <w:r>
        <w:rPr>
          <w:rFonts w:hint="eastAsia" w:ascii="宋体" w:hAnsi="宋体"/>
          <w:color w:val="auto"/>
          <w:sz w:val="24"/>
          <w:highlight w:val="none"/>
          <w:u w:val="single"/>
        </w:rPr>
        <w:t xml:space="preserve"> 。</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四、如综合得分相同，投标报价低者为先；如综合得分且投标报价相同的，货物类采购项目以技术性能得分较高者为先，服务类采购项目以实力信誉及业绩得分较高者为先。</w:t>
      </w:r>
    </w:p>
    <w:p>
      <w:pPr>
        <w:jc w:val="center"/>
        <w:rPr>
          <w:rFonts w:hint="eastAsia"/>
          <w:b/>
          <w:color w:val="auto"/>
          <w:sz w:val="32"/>
          <w:szCs w:val="32"/>
          <w:highlight w:val="none"/>
        </w:rPr>
        <w:sectPr>
          <w:pgSz w:w="11906" w:h="16838"/>
          <w:pgMar w:top="1440" w:right="1800" w:bottom="1440" w:left="1800" w:header="851" w:footer="992" w:gutter="0"/>
          <w:cols w:space="425" w:num="1"/>
          <w:docGrid w:type="lines" w:linePitch="312" w:charSpace="0"/>
        </w:sectPr>
      </w:pPr>
    </w:p>
    <w:p>
      <w:pPr>
        <w:numPr>
          <w:ilvl w:val="0"/>
          <w:numId w:val="8"/>
        </w:numPr>
        <w:spacing w:line="360" w:lineRule="auto"/>
        <w:ind w:firstLine="424" w:firstLineChars="177"/>
        <w:rPr>
          <w:rFonts w:ascii="宋体" w:hAnsi="宋体" w:eastAsia="宋体"/>
          <w:color w:val="auto"/>
          <w:sz w:val="24"/>
          <w:szCs w:val="24"/>
          <w:highlight w:val="none"/>
        </w:rPr>
      </w:pPr>
      <w:r>
        <w:rPr>
          <w:rFonts w:hint="eastAsia" w:ascii="宋体"/>
          <w:bCs/>
          <w:color w:val="auto"/>
          <w:sz w:val="24"/>
          <w:highlight w:val="none"/>
          <w:lang w:val="zh-CN"/>
        </w:rPr>
        <w:t>商务与技术</w:t>
      </w:r>
      <w:r>
        <w:rPr>
          <w:rFonts w:hint="eastAsia" w:ascii="宋体" w:hAnsi="宋体" w:eastAsia="宋体"/>
          <w:color w:val="auto"/>
          <w:sz w:val="24"/>
          <w:szCs w:val="24"/>
          <w:highlight w:val="none"/>
        </w:rPr>
        <w:t>评分（70分）</w:t>
      </w:r>
    </w:p>
    <w:tbl>
      <w:tblPr>
        <w:tblStyle w:val="20"/>
        <w:tblW w:w="8564"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72"/>
        <w:gridCol w:w="5993"/>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65" w:type="dxa"/>
            <w:shd w:val="clear" w:color="auto" w:fill="auto"/>
            <w:vAlign w:val="center"/>
          </w:tcPr>
          <w:p>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72" w:type="dxa"/>
            <w:shd w:val="clear" w:color="auto" w:fill="auto"/>
            <w:vAlign w:val="center"/>
          </w:tcPr>
          <w:p>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评分项目</w:t>
            </w:r>
          </w:p>
        </w:tc>
        <w:tc>
          <w:tcPr>
            <w:tcW w:w="5993" w:type="dxa"/>
            <w:shd w:val="clear" w:color="auto" w:fill="auto"/>
            <w:vAlign w:val="center"/>
          </w:tcPr>
          <w:p>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评分内容</w:t>
            </w:r>
          </w:p>
        </w:tc>
        <w:tc>
          <w:tcPr>
            <w:tcW w:w="734" w:type="dxa"/>
            <w:shd w:val="clear" w:color="auto" w:fill="auto"/>
            <w:vAlign w:val="center"/>
          </w:tcPr>
          <w:p>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72"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技术方案</w:t>
            </w: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根据投标人详细阐述系统的总体架构、功能模块、实现思路和关键技术，结合亮点特色等技术方案进行综合评分。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根据投标人对玉环现有智能交通系统的了解情况、与现有平台的对接兼容方案描述的合理性、先进性等进行综合评分。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根据投标人对项目前期准备情况、对前端点位建设的了解程度、现场踏勘及资料整理的详细程度等进行综合评分。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000000" w:fill="FFFFFF"/>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针对玉环交通管理及智能交通系统建设现状，结合玉环发展需求，考虑未来玉环交警进行综合、全面交通管理的思路及规划，并提出针对性建设建议。根据投标人提供规划的可行性、前瞻性、先进性等综合评分。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072"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设备配置选型情况</w:t>
            </w: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根据投标人所投前端各子系统设备、中心配套存储等设备选型整体系统性能、兼容性，满足招标技术要求中的规格参数要求等情况进行综合评分。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65"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072"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施工组织计划</w:t>
            </w: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根据投标人工期满足性情况综合评分。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根据施工方案（包括施工计划、安全保证措施、质量保证措施、进度保证措施）合理性等综合评分。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072"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运维保障能力</w:t>
            </w: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根据运营服务整体方案的情况，包括后续服务技术、运营专职服务人员及其他装备等保障方案情况进行综合评分。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服务于此次项目的项目负责人具备信息系统项目管理师资格证书或PMP资格证书或CCIE或HCIE或H3CTE工程师证书的，得2分，没有不得分。证书复印件加盖公章，并提供在投标人处的6个月（含）以上社保证明复印件加盖公章，不提供社保证明复印件不得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服务于此次项目的实施团队的专业素质、技术能力等综合进行评分。必须提供项目管理团队成员在投标人处的6个月（含）以上社保证明复印件加盖公章，不提供该项不得分；相关人员的学历、职称、所获其他证书等的需提供证书复印件加盖投标人公章。</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根据投标人本地化服务能力，以及日常巡检方案、应急抢修措施及响应时间等进行酌情打分。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65"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072" w:type="dxa"/>
            <w:vMerge w:val="restart"/>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企业实力</w:t>
            </w: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根据投标人整体实力进行综合评分。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根据投标人2015年1月1日至今智能交通等项目业绩，合同金额500万（含）以上的每个得3分，合同金额300万（含）-500万的每个得2分，合同金额100万（含）-200万的每个得1分，满分3分。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65" w:type="dxa"/>
            <w:vMerge w:val="continue"/>
            <w:vAlign w:val="center"/>
          </w:tcPr>
          <w:p>
            <w:pPr>
              <w:widowControl/>
              <w:jc w:val="left"/>
              <w:rPr>
                <w:rFonts w:ascii="宋体" w:hAnsi="宋体" w:eastAsia="宋体" w:cs="宋体"/>
                <w:color w:val="auto"/>
                <w:kern w:val="0"/>
                <w:sz w:val="24"/>
                <w:szCs w:val="24"/>
                <w:highlight w:val="none"/>
              </w:rPr>
            </w:pPr>
          </w:p>
        </w:tc>
        <w:tc>
          <w:tcPr>
            <w:tcW w:w="1072" w:type="dxa"/>
            <w:vMerge w:val="continue"/>
            <w:vAlign w:val="center"/>
          </w:tcPr>
          <w:p>
            <w:pPr>
              <w:widowControl/>
              <w:jc w:val="left"/>
              <w:rPr>
                <w:rFonts w:ascii="宋体" w:hAnsi="宋体" w:eastAsia="宋体" w:cs="宋体"/>
                <w:color w:val="auto"/>
                <w:kern w:val="0"/>
                <w:sz w:val="24"/>
                <w:szCs w:val="24"/>
                <w:highlight w:val="none"/>
              </w:rPr>
            </w:pP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重约守信：连续3年以上（包括3年）被评为守合同重信用单位或具有企业资信等级AAA，得1分；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65"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072"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方案现场讲解及专家问答</w:t>
            </w:r>
          </w:p>
        </w:tc>
        <w:tc>
          <w:tcPr>
            <w:tcW w:w="5993" w:type="dxa"/>
            <w:shd w:val="clear" w:color="auto" w:fill="auto"/>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根据投标人对本项目的理解程度、项目建设思路、服务交警实战应用、保障本项目顺利实施等做详细讲解，并回答专家提问，综合评分。</w:t>
            </w:r>
          </w:p>
        </w:tc>
        <w:tc>
          <w:tcPr>
            <w:tcW w:w="734" w:type="dxa"/>
            <w:shd w:val="clear" w:color="auto" w:fill="auto"/>
            <w:vAlign w:val="center"/>
          </w:tcPr>
          <w:p>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r>
    </w:tbl>
    <w:p>
      <w:pPr>
        <w:numPr>
          <w:ilvl w:val="0"/>
          <w:numId w:val="5"/>
        </w:numPr>
        <w:spacing w:line="360" w:lineRule="auto"/>
        <w:jc w:val="center"/>
        <w:rPr>
          <w:rFonts w:asciiTheme="minorEastAsia" w:hAnsiTheme="minorEastAsia" w:eastAsiaTheme="minorEastAsia"/>
          <w:b/>
          <w:color w:val="auto"/>
          <w:sz w:val="36"/>
          <w:szCs w:val="36"/>
          <w:highlight w:val="none"/>
        </w:rPr>
        <w:sectPr>
          <w:pgSz w:w="11906" w:h="16838"/>
          <w:pgMar w:top="1440" w:right="1800" w:bottom="1440" w:left="1800" w:header="851" w:footer="992" w:gutter="0"/>
          <w:cols w:space="425" w:num="1"/>
          <w:docGrid w:type="lines" w:linePitch="312" w:charSpace="0"/>
        </w:sectPr>
      </w:pPr>
    </w:p>
    <w:p>
      <w:pPr>
        <w:numPr>
          <w:ilvl w:val="0"/>
          <w:numId w:val="5"/>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公开招标需求</w:t>
      </w:r>
    </w:p>
    <w:p>
      <w:pPr>
        <w:pStyle w:val="3"/>
        <w:snapToGrid w:val="0"/>
        <w:spacing w:before="0" w:after="0" w:line="360" w:lineRule="auto"/>
        <w:ind w:left="432" w:hanging="432"/>
        <w:jc w:val="both"/>
        <w:rPr>
          <w:color w:val="auto"/>
          <w:highlight w:val="none"/>
        </w:rPr>
      </w:pPr>
      <w:bookmarkStart w:id="1" w:name="_Toc10102451"/>
      <w:r>
        <w:rPr>
          <w:rFonts w:hint="eastAsia"/>
          <w:color w:val="auto"/>
          <w:highlight w:val="none"/>
        </w:rPr>
        <w:t>项目概述</w:t>
      </w:r>
      <w:bookmarkEnd w:id="1"/>
    </w:p>
    <w:p>
      <w:pPr>
        <w:pStyle w:val="4"/>
        <w:snapToGrid w:val="0"/>
        <w:spacing w:before="0" w:after="0" w:line="360" w:lineRule="auto"/>
        <w:ind w:left="576" w:hanging="576"/>
        <w:rPr>
          <w:color w:val="auto"/>
          <w:highlight w:val="none"/>
        </w:rPr>
      </w:pPr>
      <w:bookmarkStart w:id="2" w:name="_Toc277754881"/>
      <w:bookmarkStart w:id="3" w:name="_Toc10102452"/>
      <w:bookmarkStart w:id="4" w:name="_Toc340254282"/>
      <w:bookmarkStart w:id="5" w:name="_Toc389773279"/>
      <w:r>
        <w:rPr>
          <w:rFonts w:hint="eastAsia"/>
          <w:color w:val="auto"/>
          <w:highlight w:val="none"/>
        </w:rPr>
        <w:t>项目</w:t>
      </w:r>
      <w:r>
        <w:rPr>
          <w:color w:val="auto"/>
          <w:highlight w:val="none"/>
        </w:rPr>
        <w:t>背景</w:t>
      </w:r>
      <w:bookmarkEnd w:id="2"/>
      <w:bookmarkEnd w:id="3"/>
      <w:bookmarkEnd w:id="4"/>
      <w:bookmarkEnd w:id="5"/>
    </w:p>
    <w:p>
      <w:pPr>
        <w:snapToGrid w:val="0"/>
        <w:spacing w:line="360" w:lineRule="auto"/>
        <w:ind w:firstLine="480" w:firstLineChars="200"/>
        <w:rPr>
          <w:color w:val="auto"/>
          <w:sz w:val="24"/>
          <w:szCs w:val="21"/>
          <w:highlight w:val="none"/>
        </w:rPr>
      </w:pPr>
      <w:r>
        <w:rPr>
          <w:rFonts w:hint="eastAsia"/>
          <w:color w:val="auto"/>
          <w:sz w:val="24"/>
          <w:szCs w:val="21"/>
          <w:highlight w:val="none"/>
        </w:rPr>
        <w:t>玉环市为了深入贯彻落实台州市委市政府关于“平安台州”建设的决策部署，创造良好的道路交通环境和祥和的社会环境，正逐步在玉环市全市范围内开展“天眼工程”项目建设工作。此次建设在保证项目的先进性、规范性的前提下，能够有效的满足玉环交通管理的实际需求，为落实市政度决策部署迈出了坚实的一步。</w:t>
      </w:r>
    </w:p>
    <w:p>
      <w:pPr>
        <w:snapToGrid w:val="0"/>
        <w:spacing w:line="360" w:lineRule="auto"/>
        <w:ind w:firstLine="480" w:firstLineChars="200"/>
        <w:rPr>
          <w:color w:val="auto"/>
          <w:sz w:val="24"/>
          <w:szCs w:val="21"/>
          <w:highlight w:val="none"/>
        </w:rPr>
      </w:pPr>
      <w:r>
        <w:rPr>
          <w:rFonts w:hint="eastAsia"/>
          <w:color w:val="auto"/>
          <w:sz w:val="24"/>
          <w:szCs w:val="21"/>
          <w:highlight w:val="none"/>
        </w:rPr>
        <w:t>为完善玉环市智慧交通的整体布局，突出交通管理的先进性，优化交通反馈的及时性，在天眼工程（一期）项目基础上，进一步优化建设，提升玉环交通管理整体水平。</w:t>
      </w:r>
    </w:p>
    <w:p>
      <w:pPr>
        <w:pStyle w:val="4"/>
        <w:snapToGrid w:val="0"/>
        <w:spacing w:before="0" w:after="0" w:line="360" w:lineRule="auto"/>
        <w:ind w:left="576" w:hanging="576"/>
        <w:rPr>
          <w:color w:val="auto"/>
          <w:highlight w:val="none"/>
        </w:rPr>
      </w:pPr>
      <w:bookmarkStart w:id="6" w:name="_Toc10102453"/>
      <w:r>
        <w:rPr>
          <w:rFonts w:hint="eastAsia"/>
          <w:color w:val="auto"/>
          <w:highlight w:val="none"/>
        </w:rPr>
        <w:t>建设目标与内容</w:t>
      </w:r>
      <w:bookmarkEnd w:id="6"/>
    </w:p>
    <w:p>
      <w:pPr>
        <w:pStyle w:val="5"/>
        <w:snapToGrid w:val="0"/>
        <w:spacing w:before="0" w:after="0" w:line="360" w:lineRule="auto"/>
        <w:ind w:left="720" w:hanging="720"/>
        <w:rPr>
          <w:color w:val="auto"/>
          <w:highlight w:val="none"/>
        </w:rPr>
      </w:pPr>
      <w:bookmarkStart w:id="7" w:name="_Toc10102454"/>
      <w:r>
        <w:rPr>
          <w:rFonts w:hint="eastAsia"/>
          <w:color w:val="auto"/>
          <w:highlight w:val="none"/>
        </w:rPr>
        <w:t>建设目标</w:t>
      </w:r>
      <w:bookmarkEnd w:id="7"/>
    </w:p>
    <w:p>
      <w:pPr>
        <w:snapToGrid w:val="0"/>
        <w:spacing w:line="360" w:lineRule="auto"/>
        <w:ind w:firstLine="480" w:firstLineChars="200"/>
        <w:rPr>
          <w:color w:val="auto"/>
          <w:sz w:val="24"/>
          <w:szCs w:val="21"/>
          <w:highlight w:val="none"/>
        </w:rPr>
      </w:pPr>
      <w:r>
        <w:rPr>
          <w:rFonts w:hint="eastAsia"/>
          <w:color w:val="auto"/>
          <w:sz w:val="24"/>
          <w:szCs w:val="21"/>
          <w:highlight w:val="none"/>
        </w:rPr>
        <w:t>改善城市交通：通过完善天眼项目建设，改造项目建设范围之外的点位，并全面布设不同类型的电子警察系统，使智慧交通设施在玉环市内做到全面覆盖，有效改善交通秩序，减少交通违法行为，从而使城市交通事故发生率得到有效较低。</w:t>
      </w:r>
    </w:p>
    <w:p>
      <w:pPr>
        <w:snapToGrid w:val="0"/>
        <w:spacing w:line="360" w:lineRule="auto"/>
        <w:ind w:firstLine="480" w:firstLineChars="200"/>
        <w:rPr>
          <w:color w:val="auto"/>
          <w:sz w:val="24"/>
          <w:szCs w:val="21"/>
          <w:highlight w:val="none"/>
        </w:rPr>
      </w:pPr>
      <w:r>
        <w:rPr>
          <w:rFonts w:hint="eastAsia"/>
          <w:color w:val="auto"/>
          <w:sz w:val="24"/>
          <w:szCs w:val="21"/>
          <w:highlight w:val="none"/>
        </w:rPr>
        <w:t>提升交管水平：通过天眼项目（二期）建设，增加交通态势分析子系统和警用摩托勤务管理系统，将极大地提高交警交通执法水平，降低公安交通管理部门劳动强度，同时也将进一步实现对交通管理主要业务的信息化监管，有效提高玉环交警的科学管理水平。</w:t>
      </w:r>
    </w:p>
    <w:p>
      <w:pPr>
        <w:pStyle w:val="5"/>
        <w:snapToGrid w:val="0"/>
        <w:spacing w:before="0" w:after="0" w:line="360" w:lineRule="auto"/>
        <w:ind w:left="720" w:hanging="720"/>
        <w:rPr>
          <w:color w:val="auto"/>
          <w:highlight w:val="none"/>
        </w:rPr>
      </w:pPr>
      <w:bookmarkStart w:id="8" w:name="_Toc10102455"/>
      <w:r>
        <w:rPr>
          <w:rFonts w:hint="eastAsia"/>
          <w:color w:val="auto"/>
          <w:highlight w:val="none"/>
        </w:rPr>
        <w:t>建设内容</w:t>
      </w:r>
      <w:bookmarkEnd w:id="8"/>
    </w:p>
    <w:p>
      <w:pPr>
        <w:snapToGrid w:val="0"/>
        <w:spacing w:line="360" w:lineRule="auto"/>
        <w:ind w:firstLine="480" w:firstLineChars="200"/>
        <w:rPr>
          <w:color w:val="auto"/>
          <w:sz w:val="24"/>
          <w:szCs w:val="21"/>
          <w:highlight w:val="none"/>
        </w:rPr>
      </w:pPr>
      <w:r>
        <w:rPr>
          <w:rFonts w:hint="eastAsia"/>
          <w:color w:val="auto"/>
          <w:sz w:val="24"/>
          <w:szCs w:val="21"/>
          <w:highlight w:val="none"/>
        </w:rPr>
        <w:t>本次建设内容主要包括五大方面：</w:t>
      </w:r>
    </w:p>
    <w:p>
      <w:pPr>
        <w:numPr>
          <w:ilvl w:val="0"/>
          <w:numId w:val="9"/>
        </w:numPr>
        <w:snapToGrid w:val="0"/>
        <w:spacing w:line="360" w:lineRule="auto"/>
        <w:rPr>
          <w:color w:val="auto"/>
          <w:sz w:val="24"/>
          <w:highlight w:val="none"/>
        </w:rPr>
      </w:pPr>
      <w:r>
        <w:rPr>
          <w:rFonts w:hint="eastAsia"/>
          <w:color w:val="auto"/>
          <w:sz w:val="24"/>
          <w:highlight w:val="none"/>
        </w:rPr>
        <w:t>交通运行态势分析子系统</w:t>
      </w:r>
    </w:p>
    <w:p>
      <w:pPr>
        <w:numPr>
          <w:ilvl w:val="0"/>
          <w:numId w:val="9"/>
        </w:numPr>
        <w:snapToGrid w:val="0"/>
        <w:spacing w:line="360" w:lineRule="auto"/>
        <w:rPr>
          <w:color w:val="auto"/>
          <w:sz w:val="24"/>
          <w:highlight w:val="none"/>
        </w:rPr>
      </w:pPr>
      <w:r>
        <w:rPr>
          <w:rFonts w:hint="eastAsia"/>
          <w:color w:val="auto"/>
          <w:sz w:val="24"/>
          <w:highlight w:val="none"/>
        </w:rPr>
        <w:t>市区中队警用摩托勤务管理子系统</w:t>
      </w:r>
    </w:p>
    <w:p>
      <w:pPr>
        <w:numPr>
          <w:ilvl w:val="0"/>
          <w:numId w:val="9"/>
        </w:numPr>
        <w:snapToGrid w:val="0"/>
        <w:spacing w:line="360" w:lineRule="auto"/>
        <w:rPr>
          <w:color w:val="auto"/>
          <w:sz w:val="24"/>
          <w:highlight w:val="none"/>
        </w:rPr>
      </w:pPr>
      <w:r>
        <w:rPr>
          <w:rFonts w:hint="eastAsia"/>
          <w:color w:val="auto"/>
          <w:sz w:val="24"/>
          <w:highlight w:val="none"/>
        </w:rPr>
        <w:t>数字勤务中心升级建设</w:t>
      </w:r>
    </w:p>
    <w:p>
      <w:pPr>
        <w:numPr>
          <w:ilvl w:val="0"/>
          <w:numId w:val="9"/>
        </w:numPr>
        <w:snapToGrid w:val="0"/>
        <w:spacing w:line="360" w:lineRule="auto"/>
        <w:rPr>
          <w:color w:val="auto"/>
          <w:sz w:val="24"/>
          <w:highlight w:val="none"/>
        </w:rPr>
      </w:pPr>
      <w:r>
        <w:rPr>
          <w:rFonts w:hint="eastAsia"/>
          <w:color w:val="auto"/>
          <w:sz w:val="24"/>
          <w:highlight w:val="none"/>
        </w:rPr>
        <w:t>机动车不礼让行人抓拍子系统</w:t>
      </w:r>
    </w:p>
    <w:p>
      <w:pPr>
        <w:numPr>
          <w:ilvl w:val="0"/>
          <w:numId w:val="9"/>
        </w:numPr>
        <w:snapToGrid w:val="0"/>
        <w:spacing w:line="360" w:lineRule="auto"/>
        <w:rPr>
          <w:color w:val="auto"/>
          <w:sz w:val="24"/>
          <w:highlight w:val="none"/>
        </w:rPr>
      </w:pPr>
      <w:r>
        <w:rPr>
          <w:rFonts w:hint="eastAsia"/>
          <w:color w:val="auto"/>
          <w:sz w:val="24"/>
          <w:highlight w:val="none"/>
        </w:rPr>
        <w:t>违法停车抓拍子系统</w:t>
      </w:r>
    </w:p>
    <w:p>
      <w:pPr>
        <w:pStyle w:val="5"/>
        <w:snapToGrid w:val="0"/>
        <w:spacing w:before="0" w:after="0" w:line="360" w:lineRule="auto"/>
        <w:ind w:left="720" w:hanging="720"/>
        <w:rPr>
          <w:color w:val="auto"/>
          <w:highlight w:val="none"/>
        </w:rPr>
      </w:pPr>
      <w:bookmarkStart w:id="9" w:name="_Toc10102456"/>
      <w:r>
        <w:rPr>
          <w:rFonts w:hint="eastAsia"/>
          <w:color w:val="auto"/>
          <w:highlight w:val="none"/>
        </w:rPr>
        <w:t>工程界面</w:t>
      </w:r>
      <w:bookmarkEnd w:id="9"/>
    </w:p>
    <w:p>
      <w:pPr>
        <w:snapToGrid w:val="0"/>
        <w:spacing w:line="360" w:lineRule="auto"/>
        <w:ind w:firstLine="480" w:firstLineChars="200"/>
        <w:rPr>
          <w:color w:val="auto"/>
          <w:sz w:val="24"/>
          <w:szCs w:val="21"/>
          <w:highlight w:val="none"/>
        </w:rPr>
      </w:pPr>
      <w:r>
        <w:rPr>
          <w:rFonts w:hint="eastAsia"/>
          <w:color w:val="auto"/>
          <w:sz w:val="24"/>
          <w:szCs w:val="21"/>
          <w:highlight w:val="none"/>
        </w:rPr>
        <w:t>玉环</w:t>
      </w:r>
      <w:r>
        <w:rPr>
          <w:color w:val="auto"/>
          <w:sz w:val="24"/>
          <w:szCs w:val="21"/>
          <w:highlight w:val="none"/>
        </w:rPr>
        <w:t>市智能交通系统</w:t>
      </w:r>
      <w:r>
        <w:rPr>
          <w:rFonts w:hint="eastAsia"/>
          <w:color w:val="auto"/>
          <w:sz w:val="24"/>
          <w:szCs w:val="21"/>
          <w:highlight w:val="none"/>
        </w:rPr>
        <w:t>现状</w:t>
      </w:r>
      <w:r>
        <w:rPr>
          <w:color w:val="auto"/>
          <w:sz w:val="24"/>
          <w:szCs w:val="21"/>
          <w:highlight w:val="none"/>
        </w:rPr>
        <w:t>整体部署在</w:t>
      </w:r>
      <w:r>
        <w:rPr>
          <w:rFonts w:hint="eastAsia"/>
          <w:color w:val="auto"/>
          <w:sz w:val="24"/>
          <w:szCs w:val="21"/>
          <w:highlight w:val="none"/>
        </w:rPr>
        <w:t>交警大队中心平台系统</w:t>
      </w:r>
      <w:r>
        <w:rPr>
          <w:color w:val="auto"/>
          <w:sz w:val="24"/>
          <w:szCs w:val="21"/>
          <w:highlight w:val="none"/>
        </w:rPr>
        <w:t>中，外场交通设施</w:t>
      </w:r>
      <w:r>
        <w:rPr>
          <w:rFonts w:hint="eastAsia"/>
          <w:color w:val="auto"/>
          <w:sz w:val="24"/>
          <w:szCs w:val="21"/>
          <w:highlight w:val="none"/>
        </w:rPr>
        <w:t>通过现有通讯网络</w:t>
      </w:r>
      <w:r>
        <w:rPr>
          <w:color w:val="auto"/>
          <w:sz w:val="24"/>
          <w:szCs w:val="21"/>
          <w:highlight w:val="none"/>
        </w:rPr>
        <w:t>方式实现中心平台的联网接入</w:t>
      </w:r>
      <w:r>
        <w:rPr>
          <w:rFonts w:hint="eastAsia"/>
          <w:color w:val="auto"/>
          <w:sz w:val="24"/>
          <w:szCs w:val="21"/>
          <w:highlight w:val="none"/>
        </w:rPr>
        <w:t>。</w:t>
      </w:r>
      <w:r>
        <w:rPr>
          <w:color w:val="auto"/>
          <w:sz w:val="24"/>
          <w:szCs w:val="21"/>
          <w:highlight w:val="none"/>
        </w:rPr>
        <w:t>本次</w:t>
      </w:r>
      <w:r>
        <w:rPr>
          <w:rFonts w:hint="eastAsia"/>
          <w:color w:val="auto"/>
          <w:sz w:val="24"/>
          <w:szCs w:val="21"/>
          <w:highlight w:val="none"/>
        </w:rPr>
        <w:t>建设</w:t>
      </w:r>
      <w:r>
        <w:rPr>
          <w:color w:val="auto"/>
          <w:sz w:val="24"/>
          <w:szCs w:val="21"/>
          <w:highlight w:val="none"/>
        </w:rPr>
        <w:t>对工程新增联网设施所需通信带宽、可靠性指标等提出</w:t>
      </w:r>
      <w:r>
        <w:rPr>
          <w:rFonts w:hint="eastAsia"/>
          <w:color w:val="auto"/>
          <w:sz w:val="24"/>
          <w:szCs w:val="21"/>
          <w:highlight w:val="none"/>
        </w:rPr>
        <w:t>建设</w:t>
      </w:r>
      <w:r>
        <w:rPr>
          <w:color w:val="auto"/>
          <w:sz w:val="24"/>
          <w:szCs w:val="21"/>
          <w:highlight w:val="none"/>
        </w:rPr>
        <w:t>要求</w:t>
      </w:r>
      <w:r>
        <w:rPr>
          <w:rFonts w:hint="eastAsia"/>
          <w:color w:val="auto"/>
          <w:sz w:val="24"/>
          <w:szCs w:val="21"/>
          <w:highlight w:val="none"/>
        </w:rPr>
        <w:t>，并将</w:t>
      </w:r>
      <w:r>
        <w:rPr>
          <w:color w:val="auto"/>
          <w:sz w:val="24"/>
          <w:szCs w:val="21"/>
          <w:highlight w:val="none"/>
        </w:rPr>
        <w:t>新增</w:t>
      </w:r>
      <w:r>
        <w:rPr>
          <w:rFonts w:hint="eastAsia"/>
          <w:color w:val="auto"/>
          <w:sz w:val="24"/>
          <w:szCs w:val="21"/>
          <w:highlight w:val="none"/>
        </w:rPr>
        <w:t>的礼让行人抓拍、违停抓拍等系统通过通讯网络接入中心平台。</w:t>
      </w:r>
    </w:p>
    <w:p>
      <w:pPr>
        <w:pStyle w:val="4"/>
        <w:snapToGrid w:val="0"/>
        <w:spacing w:before="0" w:after="0" w:line="360" w:lineRule="auto"/>
        <w:ind w:left="576" w:hanging="576"/>
        <w:rPr>
          <w:color w:val="auto"/>
          <w:highlight w:val="none"/>
        </w:rPr>
      </w:pPr>
      <w:bookmarkStart w:id="10" w:name="_Toc10102457"/>
      <w:r>
        <w:rPr>
          <w:rFonts w:hint="eastAsia"/>
          <w:color w:val="auto"/>
          <w:highlight w:val="none"/>
        </w:rPr>
        <w:t>建设原则与依据</w:t>
      </w:r>
      <w:bookmarkEnd w:id="10"/>
    </w:p>
    <w:p>
      <w:pPr>
        <w:pStyle w:val="5"/>
        <w:snapToGrid w:val="0"/>
        <w:spacing w:before="0" w:after="0" w:line="360" w:lineRule="auto"/>
        <w:ind w:left="720" w:hanging="720"/>
        <w:rPr>
          <w:color w:val="auto"/>
          <w:highlight w:val="none"/>
        </w:rPr>
      </w:pPr>
      <w:bookmarkStart w:id="11" w:name="_Toc10102458"/>
      <w:r>
        <w:rPr>
          <w:rFonts w:hint="eastAsia"/>
          <w:color w:val="auto"/>
          <w:highlight w:val="none"/>
        </w:rPr>
        <w:t>建设原则</w:t>
      </w:r>
      <w:bookmarkEnd w:id="11"/>
    </w:p>
    <w:p>
      <w:pPr>
        <w:numPr>
          <w:ilvl w:val="0"/>
          <w:numId w:val="10"/>
        </w:numPr>
        <w:snapToGrid w:val="0"/>
        <w:spacing w:line="360" w:lineRule="auto"/>
        <w:rPr>
          <w:color w:val="auto"/>
          <w:sz w:val="24"/>
          <w:szCs w:val="21"/>
          <w:highlight w:val="none"/>
        </w:rPr>
      </w:pPr>
      <w:r>
        <w:rPr>
          <w:rFonts w:hint="eastAsia"/>
          <w:color w:val="auto"/>
          <w:sz w:val="24"/>
          <w:szCs w:val="21"/>
          <w:highlight w:val="none"/>
        </w:rPr>
        <w:t>兼容性原则</w:t>
      </w:r>
    </w:p>
    <w:p>
      <w:pPr>
        <w:snapToGrid w:val="0"/>
        <w:spacing w:line="360" w:lineRule="auto"/>
        <w:ind w:firstLine="480" w:firstLineChars="200"/>
        <w:rPr>
          <w:color w:val="auto"/>
          <w:sz w:val="24"/>
          <w:szCs w:val="21"/>
          <w:highlight w:val="none"/>
        </w:rPr>
      </w:pPr>
      <w:r>
        <w:rPr>
          <w:rFonts w:hint="eastAsia"/>
          <w:color w:val="auto"/>
          <w:sz w:val="24"/>
          <w:szCs w:val="21"/>
          <w:highlight w:val="none"/>
        </w:rPr>
        <w:t>方案中所采用的软、硬件、各种设备等必须能无缝接入玉环市现有交通管控平台，保证外场设施与玉环市智能交通管控平台全面兼容。</w:t>
      </w:r>
    </w:p>
    <w:p>
      <w:pPr>
        <w:numPr>
          <w:ilvl w:val="0"/>
          <w:numId w:val="10"/>
        </w:numPr>
        <w:snapToGrid w:val="0"/>
        <w:spacing w:line="360" w:lineRule="auto"/>
        <w:rPr>
          <w:color w:val="auto"/>
          <w:sz w:val="24"/>
          <w:szCs w:val="21"/>
          <w:highlight w:val="none"/>
        </w:rPr>
      </w:pPr>
      <w:r>
        <w:rPr>
          <w:rFonts w:hint="eastAsia"/>
          <w:color w:val="auto"/>
          <w:sz w:val="24"/>
          <w:szCs w:val="21"/>
          <w:highlight w:val="none"/>
        </w:rPr>
        <w:t>标准化原则</w:t>
      </w:r>
    </w:p>
    <w:p>
      <w:pPr>
        <w:snapToGrid w:val="0"/>
        <w:spacing w:line="360" w:lineRule="auto"/>
        <w:ind w:firstLine="480" w:firstLineChars="200"/>
        <w:rPr>
          <w:color w:val="auto"/>
          <w:sz w:val="24"/>
          <w:szCs w:val="21"/>
          <w:highlight w:val="none"/>
        </w:rPr>
      </w:pPr>
      <w:r>
        <w:rPr>
          <w:rFonts w:hint="eastAsia"/>
          <w:color w:val="auto"/>
          <w:sz w:val="24"/>
          <w:szCs w:val="21"/>
          <w:highlight w:val="none"/>
        </w:rPr>
        <w:t>符合国家、浙江省和台州市有关政策、法规和相关的技术规范和标准。</w:t>
      </w:r>
    </w:p>
    <w:p>
      <w:pPr>
        <w:numPr>
          <w:ilvl w:val="0"/>
          <w:numId w:val="10"/>
        </w:numPr>
        <w:snapToGrid w:val="0"/>
        <w:spacing w:line="360" w:lineRule="auto"/>
        <w:rPr>
          <w:color w:val="auto"/>
          <w:sz w:val="24"/>
          <w:szCs w:val="21"/>
          <w:highlight w:val="none"/>
        </w:rPr>
      </w:pPr>
      <w:r>
        <w:rPr>
          <w:rFonts w:hint="eastAsia"/>
          <w:color w:val="auto"/>
          <w:sz w:val="24"/>
          <w:szCs w:val="21"/>
          <w:highlight w:val="none"/>
        </w:rPr>
        <w:t>稳定性可靠性原则</w:t>
      </w:r>
    </w:p>
    <w:p>
      <w:pPr>
        <w:snapToGrid w:val="0"/>
        <w:spacing w:line="360" w:lineRule="auto"/>
        <w:ind w:firstLine="480" w:firstLineChars="200"/>
        <w:rPr>
          <w:color w:val="auto"/>
          <w:sz w:val="24"/>
          <w:szCs w:val="21"/>
          <w:highlight w:val="none"/>
        </w:rPr>
      </w:pPr>
      <w:r>
        <w:rPr>
          <w:rFonts w:hint="eastAsia"/>
          <w:color w:val="auto"/>
          <w:sz w:val="24"/>
          <w:szCs w:val="21"/>
          <w:highlight w:val="none"/>
        </w:rPr>
        <w:t>核心硬件全部选用国内或国际知名专业厂商的成熟的、高可靠性产品，确保设备能长期稳定可靠地运行，尽最大限度地减少设备故障的发生。</w:t>
      </w:r>
    </w:p>
    <w:p>
      <w:pPr>
        <w:numPr>
          <w:ilvl w:val="0"/>
          <w:numId w:val="10"/>
        </w:numPr>
        <w:snapToGrid w:val="0"/>
        <w:spacing w:line="360" w:lineRule="auto"/>
        <w:rPr>
          <w:color w:val="auto"/>
          <w:sz w:val="24"/>
          <w:szCs w:val="21"/>
          <w:highlight w:val="none"/>
        </w:rPr>
      </w:pPr>
      <w:r>
        <w:rPr>
          <w:rFonts w:hint="eastAsia"/>
          <w:color w:val="auto"/>
          <w:sz w:val="24"/>
          <w:szCs w:val="21"/>
          <w:highlight w:val="none"/>
        </w:rPr>
        <w:t>先进性原则</w:t>
      </w:r>
    </w:p>
    <w:p>
      <w:pPr>
        <w:snapToGrid w:val="0"/>
        <w:spacing w:line="360" w:lineRule="auto"/>
        <w:ind w:firstLine="480" w:firstLineChars="200"/>
        <w:rPr>
          <w:color w:val="auto"/>
          <w:sz w:val="24"/>
          <w:szCs w:val="21"/>
          <w:highlight w:val="none"/>
        </w:rPr>
      </w:pPr>
      <w:r>
        <w:rPr>
          <w:rFonts w:hint="eastAsia"/>
          <w:color w:val="auto"/>
          <w:sz w:val="24"/>
          <w:szCs w:val="21"/>
          <w:highlight w:val="none"/>
        </w:rPr>
        <w:t>在保证可靠性的基础上选用最新的技术及设备，确保技术及设备具备先进性。</w:t>
      </w:r>
    </w:p>
    <w:p>
      <w:pPr>
        <w:numPr>
          <w:ilvl w:val="0"/>
          <w:numId w:val="10"/>
        </w:numPr>
        <w:snapToGrid w:val="0"/>
        <w:spacing w:line="360" w:lineRule="auto"/>
        <w:rPr>
          <w:color w:val="auto"/>
          <w:sz w:val="24"/>
          <w:szCs w:val="21"/>
          <w:highlight w:val="none"/>
        </w:rPr>
      </w:pPr>
      <w:r>
        <w:rPr>
          <w:rFonts w:hint="eastAsia"/>
          <w:color w:val="auto"/>
          <w:sz w:val="24"/>
          <w:szCs w:val="21"/>
          <w:highlight w:val="none"/>
        </w:rPr>
        <w:t>经济性原则</w:t>
      </w:r>
    </w:p>
    <w:p>
      <w:pPr>
        <w:snapToGrid w:val="0"/>
        <w:spacing w:line="360" w:lineRule="auto"/>
        <w:ind w:firstLine="480" w:firstLineChars="200"/>
        <w:rPr>
          <w:color w:val="auto"/>
          <w:sz w:val="24"/>
          <w:szCs w:val="21"/>
          <w:highlight w:val="none"/>
        </w:rPr>
      </w:pPr>
      <w:r>
        <w:rPr>
          <w:rFonts w:hint="eastAsia"/>
          <w:color w:val="auto"/>
          <w:sz w:val="24"/>
          <w:szCs w:val="21"/>
          <w:highlight w:val="none"/>
        </w:rPr>
        <w:t>选用经济、实用的设备，提高设备的复用率，避免重复投资。</w:t>
      </w:r>
    </w:p>
    <w:p>
      <w:pPr>
        <w:pStyle w:val="5"/>
        <w:snapToGrid w:val="0"/>
        <w:spacing w:before="0" w:after="0" w:line="360" w:lineRule="auto"/>
        <w:ind w:left="720" w:hanging="720"/>
        <w:rPr>
          <w:color w:val="auto"/>
          <w:highlight w:val="none"/>
        </w:rPr>
      </w:pPr>
      <w:bookmarkStart w:id="12" w:name="_Toc10102459"/>
      <w:r>
        <w:rPr>
          <w:rFonts w:hint="eastAsia"/>
          <w:color w:val="auto"/>
          <w:highlight w:val="none"/>
        </w:rPr>
        <w:t>建设依据</w:t>
      </w:r>
      <w:bookmarkEnd w:id="12"/>
    </w:p>
    <w:p>
      <w:pPr>
        <w:numPr>
          <w:ilvl w:val="0"/>
          <w:numId w:val="4"/>
        </w:numPr>
        <w:snapToGrid w:val="0"/>
        <w:spacing w:line="360" w:lineRule="auto"/>
        <w:ind w:left="480" w:hanging="480"/>
        <w:rPr>
          <w:color w:val="auto"/>
          <w:sz w:val="24"/>
          <w:highlight w:val="none"/>
        </w:rPr>
      </w:pPr>
      <w:r>
        <w:rPr>
          <w:rFonts w:hint="eastAsia"/>
          <w:color w:val="auto"/>
          <w:sz w:val="24"/>
          <w:highlight w:val="none"/>
        </w:rPr>
        <w:t>《安全防范视频监控联网系统信息传输、交换、控制技术要求》（GB/T</w:t>
      </w:r>
      <w:r>
        <w:rPr>
          <w:color w:val="auto"/>
          <w:sz w:val="24"/>
          <w:highlight w:val="none"/>
        </w:rPr>
        <w:t> </w:t>
      </w:r>
      <w:r>
        <w:rPr>
          <w:rFonts w:hint="eastAsia"/>
          <w:color w:val="auto"/>
          <w:sz w:val="24"/>
          <w:highlight w:val="none"/>
        </w:rPr>
        <w:t>28181）；</w:t>
      </w:r>
    </w:p>
    <w:p>
      <w:pPr>
        <w:numPr>
          <w:ilvl w:val="0"/>
          <w:numId w:val="4"/>
        </w:numPr>
        <w:snapToGrid w:val="0"/>
        <w:spacing w:line="360" w:lineRule="auto"/>
        <w:ind w:left="480" w:hanging="480"/>
        <w:rPr>
          <w:color w:val="auto"/>
          <w:sz w:val="24"/>
          <w:highlight w:val="none"/>
        </w:rPr>
      </w:pPr>
      <w:r>
        <w:rPr>
          <w:rFonts w:hint="eastAsia"/>
          <w:color w:val="auto"/>
          <w:sz w:val="24"/>
          <w:highlight w:val="none"/>
        </w:rPr>
        <w:t>《城市监控报警联网系统系列标准》（GA/T 669系列标准）；</w:t>
      </w:r>
    </w:p>
    <w:p>
      <w:pPr>
        <w:numPr>
          <w:ilvl w:val="0"/>
          <w:numId w:val="4"/>
        </w:numPr>
        <w:snapToGrid w:val="0"/>
        <w:spacing w:line="360" w:lineRule="auto"/>
        <w:ind w:left="480" w:hanging="480"/>
        <w:rPr>
          <w:color w:val="auto"/>
          <w:sz w:val="24"/>
          <w:highlight w:val="none"/>
        </w:rPr>
      </w:pPr>
      <w:r>
        <w:rPr>
          <w:rFonts w:hint="eastAsia"/>
          <w:color w:val="auto"/>
          <w:sz w:val="24"/>
          <w:highlight w:val="none"/>
        </w:rPr>
        <w:t>《公安信息通信网边界接入平台安全规范（试行）—视频接入部分》（公科信[2011]5号）；</w:t>
      </w:r>
    </w:p>
    <w:p>
      <w:pPr>
        <w:numPr>
          <w:ilvl w:val="0"/>
          <w:numId w:val="4"/>
        </w:numPr>
        <w:snapToGrid w:val="0"/>
        <w:spacing w:line="360" w:lineRule="auto"/>
        <w:ind w:left="480" w:hanging="480"/>
        <w:rPr>
          <w:color w:val="auto"/>
          <w:sz w:val="24"/>
          <w:highlight w:val="none"/>
        </w:rPr>
      </w:pPr>
      <w:r>
        <w:rPr>
          <w:rFonts w:hint="eastAsia"/>
          <w:color w:val="auto"/>
          <w:sz w:val="24"/>
          <w:highlight w:val="none"/>
        </w:rPr>
        <w:t>《公安交通管理外场设备基础设施施工通用要求》（GA</w:t>
      </w:r>
      <w:r>
        <w:rPr>
          <w:color w:val="auto"/>
          <w:sz w:val="24"/>
          <w:highlight w:val="none"/>
        </w:rPr>
        <w:t>/T652-2017</w:t>
      </w:r>
      <w:r>
        <w:rPr>
          <w:rFonts w:hint="eastAsia"/>
          <w:color w:val="auto"/>
          <w:sz w:val="24"/>
          <w:highlight w:val="none"/>
        </w:rPr>
        <w:t>）；</w:t>
      </w:r>
    </w:p>
    <w:p>
      <w:pPr>
        <w:numPr>
          <w:ilvl w:val="0"/>
          <w:numId w:val="4"/>
        </w:numPr>
        <w:snapToGrid w:val="0"/>
        <w:spacing w:line="360" w:lineRule="auto"/>
        <w:ind w:left="480" w:hanging="480"/>
        <w:rPr>
          <w:color w:val="auto"/>
          <w:sz w:val="24"/>
          <w:highlight w:val="none"/>
        </w:rPr>
      </w:pPr>
      <w:r>
        <w:rPr>
          <w:rFonts w:hint="eastAsia"/>
          <w:color w:val="auto"/>
          <w:sz w:val="24"/>
          <w:highlight w:val="none"/>
        </w:rPr>
        <w:t>《电子信息系统机房设计规范》（GB 50174-2008）</w:t>
      </w:r>
    </w:p>
    <w:p>
      <w:pPr>
        <w:numPr>
          <w:ilvl w:val="0"/>
          <w:numId w:val="4"/>
        </w:numPr>
        <w:snapToGrid w:val="0"/>
        <w:spacing w:line="360" w:lineRule="auto"/>
        <w:ind w:left="480" w:hanging="480"/>
        <w:rPr>
          <w:color w:val="auto"/>
          <w:sz w:val="24"/>
          <w:highlight w:val="none"/>
        </w:rPr>
      </w:pPr>
      <w:r>
        <w:rPr>
          <w:rFonts w:hint="eastAsia"/>
          <w:color w:val="auto"/>
          <w:sz w:val="24"/>
          <w:highlight w:val="none"/>
        </w:rPr>
        <w:t>《安全防范监控数字视音频编解码技术要求》（GB/T</w:t>
      </w:r>
      <w:r>
        <w:rPr>
          <w:color w:val="auto"/>
          <w:sz w:val="24"/>
          <w:highlight w:val="none"/>
        </w:rPr>
        <w:t> </w:t>
      </w:r>
      <w:r>
        <w:rPr>
          <w:rFonts w:hint="eastAsia"/>
          <w:color w:val="auto"/>
          <w:sz w:val="24"/>
          <w:highlight w:val="none"/>
        </w:rPr>
        <w:t>25724）</w:t>
      </w:r>
    </w:p>
    <w:p>
      <w:pPr>
        <w:numPr>
          <w:ilvl w:val="0"/>
          <w:numId w:val="4"/>
        </w:numPr>
        <w:snapToGrid w:val="0"/>
        <w:spacing w:line="360" w:lineRule="auto"/>
        <w:ind w:left="480" w:hanging="480"/>
        <w:rPr>
          <w:color w:val="auto"/>
          <w:sz w:val="24"/>
          <w:highlight w:val="none"/>
        </w:rPr>
      </w:pPr>
      <w:r>
        <w:rPr>
          <w:rFonts w:hint="eastAsia"/>
          <w:color w:val="auto"/>
          <w:sz w:val="24"/>
          <w:highlight w:val="none"/>
        </w:rPr>
        <w:t>《浙江省社会治安动态视频监控系统技术规范》（DB33/T502-2004）</w:t>
      </w:r>
    </w:p>
    <w:p>
      <w:pPr>
        <w:numPr>
          <w:ilvl w:val="0"/>
          <w:numId w:val="4"/>
        </w:numPr>
        <w:snapToGrid w:val="0"/>
        <w:spacing w:line="360" w:lineRule="auto"/>
        <w:ind w:left="480" w:hanging="480"/>
        <w:rPr>
          <w:color w:val="auto"/>
          <w:sz w:val="24"/>
          <w:highlight w:val="none"/>
        </w:rPr>
      </w:pPr>
      <w:r>
        <w:rPr>
          <w:rFonts w:hint="eastAsia"/>
          <w:color w:val="auto"/>
          <w:sz w:val="24"/>
          <w:highlight w:val="none"/>
        </w:rPr>
        <w:t>《安全防范系统通用图形符号》（GA/T74-2000）</w:t>
      </w:r>
    </w:p>
    <w:p>
      <w:pPr>
        <w:numPr>
          <w:ilvl w:val="0"/>
          <w:numId w:val="4"/>
        </w:numPr>
        <w:snapToGrid w:val="0"/>
        <w:spacing w:line="360" w:lineRule="auto"/>
        <w:ind w:left="480" w:hanging="480"/>
        <w:rPr>
          <w:color w:val="auto"/>
          <w:sz w:val="24"/>
          <w:highlight w:val="none"/>
        </w:rPr>
      </w:pPr>
      <w:r>
        <w:rPr>
          <w:rFonts w:hint="eastAsia"/>
          <w:color w:val="auto"/>
          <w:sz w:val="24"/>
          <w:highlight w:val="none"/>
        </w:rPr>
        <w:t>《安全防范系统》（浙江省地方标准DB33/T334-2011）</w:t>
      </w:r>
    </w:p>
    <w:p>
      <w:pPr>
        <w:numPr>
          <w:ilvl w:val="0"/>
          <w:numId w:val="4"/>
        </w:numPr>
        <w:snapToGrid w:val="0"/>
        <w:spacing w:line="360" w:lineRule="auto"/>
        <w:ind w:left="480" w:hanging="480"/>
        <w:rPr>
          <w:color w:val="auto"/>
          <w:sz w:val="24"/>
          <w:highlight w:val="none"/>
        </w:rPr>
      </w:pPr>
      <w:r>
        <w:rPr>
          <w:rFonts w:hint="eastAsia"/>
          <w:color w:val="auto"/>
          <w:sz w:val="24"/>
          <w:highlight w:val="none"/>
        </w:rPr>
        <w:t>《公安交通指挥系统建设技术规范》GA/T445—2010</w:t>
      </w:r>
    </w:p>
    <w:p>
      <w:pPr>
        <w:numPr>
          <w:ilvl w:val="0"/>
          <w:numId w:val="4"/>
        </w:numPr>
        <w:snapToGrid w:val="0"/>
        <w:spacing w:line="360" w:lineRule="auto"/>
        <w:ind w:left="480" w:hanging="480"/>
        <w:rPr>
          <w:color w:val="auto"/>
          <w:sz w:val="24"/>
          <w:highlight w:val="none"/>
        </w:rPr>
      </w:pPr>
      <w:r>
        <w:rPr>
          <w:rFonts w:hint="eastAsia"/>
          <w:color w:val="auto"/>
          <w:sz w:val="24"/>
          <w:highlight w:val="none"/>
        </w:rPr>
        <w:t>《公路车辆智能监测记录系统通用技术条件》GA/T497-2016</w:t>
      </w:r>
    </w:p>
    <w:p>
      <w:pPr>
        <w:numPr>
          <w:ilvl w:val="0"/>
          <w:numId w:val="4"/>
        </w:numPr>
        <w:snapToGrid w:val="0"/>
        <w:spacing w:line="360" w:lineRule="auto"/>
        <w:ind w:left="480" w:hanging="480"/>
        <w:rPr>
          <w:color w:val="auto"/>
          <w:sz w:val="24"/>
          <w:highlight w:val="none"/>
        </w:rPr>
      </w:pPr>
      <w:r>
        <w:rPr>
          <w:rFonts w:hint="eastAsia"/>
          <w:color w:val="auto"/>
          <w:sz w:val="24"/>
          <w:highlight w:val="none"/>
        </w:rPr>
        <w:t>《闯红灯自动记录系统通用技术条件》GA/T 496—2014</w:t>
      </w:r>
    </w:p>
    <w:p>
      <w:pPr>
        <w:numPr>
          <w:ilvl w:val="0"/>
          <w:numId w:val="4"/>
        </w:numPr>
        <w:snapToGrid w:val="0"/>
        <w:spacing w:line="360" w:lineRule="auto"/>
        <w:ind w:left="480" w:hanging="480"/>
        <w:rPr>
          <w:color w:val="auto"/>
          <w:sz w:val="24"/>
          <w:highlight w:val="none"/>
        </w:rPr>
      </w:pPr>
      <w:r>
        <w:rPr>
          <w:rFonts w:hint="eastAsia"/>
          <w:color w:val="auto"/>
          <w:sz w:val="24"/>
          <w:highlight w:val="none"/>
        </w:rPr>
        <w:t>《机动车号牌图像自动识别技术规范》GA/T 833—20</w:t>
      </w:r>
      <w:r>
        <w:rPr>
          <w:color w:val="auto"/>
          <w:sz w:val="24"/>
          <w:highlight w:val="none"/>
        </w:rPr>
        <w:t>16</w:t>
      </w:r>
    </w:p>
    <w:p>
      <w:pPr>
        <w:numPr>
          <w:ilvl w:val="0"/>
          <w:numId w:val="4"/>
        </w:numPr>
        <w:snapToGrid w:val="0"/>
        <w:spacing w:line="360" w:lineRule="auto"/>
        <w:ind w:left="480" w:hanging="480"/>
        <w:rPr>
          <w:color w:val="auto"/>
          <w:sz w:val="24"/>
          <w:highlight w:val="none"/>
        </w:rPr>
      </w:pPr>
      <w:r>
        <w:rPr>
          <w:rFonts w:hint="eastAsia"/>
          <w:color w:val="auto"/>
          <w:sz w:val="24"/>
          <w:highlight w:val="none"/>
        </w:rPr>
        <w:t>《道路交通安全违法行为图像取证技术规范》GA/T 832—2014</w:t>
      </w:r>
    </w:p>
    <w:p>
      <w:pPr>
        <w:numPr>
          <w:ilvl w:val="0"/>
          <w:numId w:val="4"/>
        </w:numPr>
        <w:snapToGrid w:val="0"/>
        <w:spacing w:line="360" w:lineRule="auto"/>
        <w:ind w:left="480" w:hanging="480"/>
        <w:rPr>
          <w:color w:val="auto"/>
          <w:sz w:val="24"/>
          <w:highlight w:val="none"/>
        </w:rPr>
      </w:pPr>
      <w:r>
        <w:rPr>
          <w:rFonts w:hint="eastAsia"/>
          <w:color w:val="auto"/>
          <w:sz w:val="24"/>
          <w:highlight w:val="none"/>
        </w:rPr>
        <w:t>《交通技术监控成像补光装置通用技术条件》GA/T1202—2014</w:t>
      </w:r>
    </w:p>
    <w:p>
      <w:pPr>
        <w:numPr>
          <w:ilvl w:val="0"/>
          <w:numId w:val="4"/>
        </w:numPr>
        <w:snapToGrid w:val="0"/>
        <w:spacing w:line="360" w:lineRule="auto"/>
        <w:ind w:left="480" w:hanging="480"/>
        <w:rPr>
          <w:color w:val="auto"/>
          <w:sz w:val="24"/>
          <w:highlight w:val="none"/>
        </w:rPr>
      </w:pPr>
      <w:r>
        <w:rPr>
          <w:rFonts w:hint="eastAsia"/>
          <w:color w:val="auto"/>
          <w:sz w:val="24"/>
          <w:highlight w:val="none"/>
        </w:rPr>
        <w:t>《公安交通控制系统工程设计制图规范》（GA/T515）</w:t>
      </w:r>
    </w:p>
    <w:p>
      <w:pPr>
        <w:numPr>
          <w:ilvl w:val="0"/>
          <w:numId w:val="4"/>
        </w:numPr>
        <w:snapToGrid w:val="0"/>
        <w:spacing w:line="360" w:lineRule="auto"/>
        <w:ind w:left="480" w:hanging="480"/>
        <w:rPr>
          <w:color w:val="auto"/>
          <w:sz w:val="24"/>
          <w:highlight w:val="none"/>
        </w:rPr>
      </w:pPr>
      <w:r>
        <w:rPr>
          <w:rFonts w:hint="eastAsia"/>
          <w:color w:val="auto"/>
          <w:sz w:val="24"/>
          <w:highlight w:val="none"/>
        </w:rPr>
        <w:t>《台州公安天网工程技术规范》（台公金盾[2009]1号）</w:t>
      </w:r>
    </w:p>
    <w:p>
      <w:pPr>
        <w:numPr>
          <w:ilvl w:val="0"/>
          <w:numId w:val="4"/>
        </w:numPr>
        <w:snapToGrid w:val="0"/>
        <w:spacing w:line="360" w:lineRule="auto"/>
        <w:ind w:left="480" w:hanging="480"/>
        <w:rPr>
          <w:color w:val="auto"/>
          <w:sz w:val="24"/>
          <w:highlight w:val="none"/>
        </w:rPr>
      </w:pPr>
      <w:r>
        <w:rPr>
          <w:rFonts w:hint="eastAsia"/>
          <w:color w:val="auto"/>
          <w:sz w:val="24"/>
          <w:highlight w:val="none"/>
        </w:rPr>
        <w:t>《玉环市人民政府市长办公会议纪要》（[</w:t>
      </w:r>
      <w:r>
        <w:rPr>
          <w:color w:val="auto"/>
          <w:sz w:val="24"/>
          <w:highlight w:val="none"/>
        </w:rPr>
        <w:t>2018]4</w:t>
      </w:r>
      <w:r>
        <w:rPr>
          <w:rFonts w:hint="eastAsia"/>
          <w:color w:val="auto"/>
          <w:sz w:val="24"/>
          <w:highlight w:val="none"/>
        </w:rPr>
        <w:t>号）</w:t>
      </w:r>
    </w:p>
    <w:p>
      <w:pPr>
        <w:numPr>
          <w:ilvl w:val="0"/>
          <w:numId w:val="4"/>
        </w:numPr>
        <w:snapToGrid w:val="0"/>
        <w:spacing w:line="360" w:lineRule="auto"/>
        <w:ind w:left="480" w:hanging="480"/>
        <w:rPr>
          <w:color w:val="auto"/>
          <w:sz w:val="24"/>
          <w:highlight w:val="none"/>
        </w:rPr>
      </w:pPr>
      <w:r>
        <w:rPr>
          <w:rFonts w:hint="eastAsia"/>
          <w:color w:val="auto"/>
          <w:sz w:val="24"/>
          <w:highlight w:val="none"/>
        </w:rPr>
        <w:t>国家、地方政府相关规定、规范和行业的标准要求。</w:t>
      </w:r>
    </w:p>
    <w:p>
      <w:pPr>
        <w:pStyle w:val="3"/>
        <w:snapToGrid w:val="0"/>
        <w:spacing w:before="0" w:after="0" w:line="360" w:lineRule="auto"/>
        <w:ind w:left="432" w:hanging="432"/>
        <w:jc w:val="both"/>
        <w:rPr>
          <w:color w:val="auto"/>
          <w:highlight w:val="none"/>
        </w:rPr>
      </w:pPr>
      <w:bookmarkStart w:id="13" w:name="_Toc10102463"/>
      <w:r>
        <w:rPr>
          <w:rFonts w:hint="eastAsia"/>
          <w:color w:val="auto"/>
          <w:highlight w:val="none"/>
        </w:rPr>
        <w:t>系统总体架构</w:t>
      </w:r>
      <w:bookmarkEnd w:id="13"/>
    </w:p>
    <w:p>
      <w:pPr>
        <w:jc w:val="center"/>
        <w:rPr>
          <w:color w:val="auto"/>
          <w:highlight w:val="none"/>
          <w:lang w:val="zh-CN"/>
        </w:rPr>
      </w:pPr>
      <w:r>
        <w:rPr>
          <w:color w:val="auto"/>
          <w:highlight w:val="none"/>
          <w:lang w:val="zh-CN"/>
        </w:rPr>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485640" cy="3914140"/>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85640" cy="3914140"/>
                    </a:xfrm>
                    <a:prstGeom prst="rect">
                      <a:avLst/>
                    </a:prstGeom>
                    <a:noFill/>
                  </pic:spPr>
                </pic:pic>
              </a:graphicData>
            </a:graphic>
          </wp:anchor>
        </w:drawing>
      </w:r>
      <w:r>
        <w:rPr>
          <w:color w:val="auto"/>
          <w:highlight w:val="none"/>
          <w:lang w:val="zh-CN"/>
        </w:rPr>
        <mc:AlternateContent>
          <mc:Choice Requires="wps">
            <w:drawing>
              <wp:inline distT="0" distB="0" distL="114300" distR="114300">
                <wp:extent cx="4488815" cy="3918585"/>
                <wp:effectExtent l="0" t="0" r="0" b="0"/>
                <wp:docPr id="84" name="矩形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8815" cy="3918585"/>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style="height:308.55pt;width:353.45pt;" filled="f" stroked="f" coordsize="21600,21600" o:gfxdata="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epJ31wAAAAUBAAAPAAAAAAAAAAEAIAAAACIAAABkcnMvZG93bnJldi54bWxQ&#10;SwECFAAUAAAACACHTuJAXrJavvgBAADTAwAADgAAAAAAAAABACAAAAAmAQAAZHJzL2Uyb0RvYy54&#10;bWxQSwUGAAAAAAYABgBZAQAAkAUAAAAA&#10;">
                <v:fill on="f" focussize="0,0"/>
                <v:stroke on="f"/>
                <v:imagedata o:title=""/>
                <o:lock v:ext="edit" aspectratio="t"/>
                <w10:wrap type="none"/>
                <w10:anchorlock/>
              </v:rect>
            </w:pict>
          </mc:Fallback>
        </mc:AlternateContent>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1</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系统架构图</w:t>
      </w:r>
    </w:p>
    <w:p>
      <w:pPr>
        <w:rPr>
          <w:color w:val="auto"/>
          <w:highlight w:val="none"/>
          <w:lang w:val="zh-CN"/>
        </w:rPr>
      </w:pPr>
    </w:p>
    <w:p>
      <w:pPr>
        <w:snapToGrid w:val="0"/>
        <w:spacing w:line="360" w:lineRule="auto"/>
        <w:ind w:firstLine="480" w:firstLineChars="200"/>
        <w:rPr>
          <w:color w:val="auto"/>
          <w:sz w:val="24"/>
          <w:highlight w:val="none"/>
        </w:rPr>
      </w:pPr>
      <w:r>
        <w:rPr>
          <w:rFonts w:hint="eastAsia"/>
          <w:color w:val="auto"/>
          <w:sz w:val="24"/>
          <w:highlight w:val="none"/>
        </w:rPr>
        <w:t>本次玉环市天眼工程（二期）建设项目，数据来源、网络架构及相机布局均沿用一期技术路线进行建设。除了数字勤务中心升级建设之外，包括交通运行态势分析子系统、市区中队警用摩托勤务管理子系统、机动车不礼让行人抓拍子系统、违法停车抓拍子系统四大系统，其总体架构如上图所示。</w:t>
      </w:r>
    </w:p>
    <w:p>
      <w:pPr>
        <w:snapToGrid w:val="0"/>
        <w:spacing w:line="360" w:lineRule="auto"/>
        <w:ind w:firstLine="480" w:firstLineChars="200"/>
        <w:rPr>
          <w:rFonts w:ascii="宋体" w:hAnsi="宋体"/>
          <w:color w:val="auto"/>
          <w:sz w:val="24"/>
          <w:highlight w:val="none"/>
        </w:rPr>
      </w:pPr>
      <w:r>
        <w:rPr>
          <w:rFonts w:hint="eastAsia"/>
          <w:color w:val="auto"/>
          <w:sz w:val="24"/>
          <w:highlight w:val="none"/>
        </w:rPr>
        <w:t>前端交通态势系统流量采集设备、礼让行人电警、违停电警系统采集的违法记录、图片、视频等信息和玉环现有交通管控平台无缝对接，</w:t>
      </w:r>
      <w:r>
        <w:rPr>
          <w:rFonts w:hint="eastAsia" w:ascii="宋体" w:hAnsi="宋体"/>
          <w:color w:val="auto"/>
          <w:sz w:val="24"/>
          <w:highlight w:val="none"/>
        </w:rPr>
        <w:t>然后交通管控</w:t>
      </w:r>
      <w:r>
        <w:rPr>
          <w:rFonts w:ascii="宋体" w:hAnsi="宋体"/>
          <w:color w:val="auto"/>
          <w:sz w:val="24"/>
          <w:highlight w:val="none"/>
        </w:rPr>
        <w:t>平台</w:t>
      </w:r>
      <w:r>
        <w:rPr>
          <w:rFonts w:hint="eastAsia" w:ascii="宋体" w:hAnsi="宋体"/>
          <w:color w:val="auto"/>
          <w:sz w:val="24"/>
          <w:highlight w:val="none"/>
        </w:rPr>
        <w:t>推送流量数据、卡口过车数据给交通态势分析平台进行分析研判，之后再将结果返还到交通管控平台，用于后续诱导发布、报警提示等功能。</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按照上述方案进行平台设计，主要考虑以下几点：</w:t>
      </w:r>
    </w:p>
    <w:p>
      <w:pPr>
        <w:numPr>
          <w:ilvl w:val="0"/>
          <w:numId w:val="11"/>
        </w:numPr>
        <w:snapToGrid w:val="0"/>
        <w:spacing w:line="360" w:lineRule="auto"/>
        <w:rPr>
          <w:rFonts w:ascii="宋体" w:hAnsi="宋体"/>
          <w:color w:val="auto"/>
          <w:sz w:val="24"/>
          <w:highlight w:val="none"/>
        </w:rPr>
      </w:pPr>
      <w:r>
        <w:rPr>
          <w:rFonts w:hint="eastAsia" w:ascii="宋体" w:hAnsi="宋体"/>
          <w:color w:val="auto"/>
          <w:sz w:val="24"/>
          <w:highlight w:val="none"/>
        </w:rPr>
        <w:t>现有平台已经与前端多家厂商子系统完成对接，将作为玉环数据资源池，对数据进行统一管理和调配，不宜将前端子系统跟态势平台进行重新对接；</w:t>
      </w:r>
    </w:p>
    <w:p>
      <w:pPr>
        <w:numPr>
          <w:ilvl w:val="0"/>
          <w:numId w:val="11"/>
        </w:numPr>
        <w:snapToGrid w:val="0"/>
        <w:spacing w:line="360" w:lineRule="auto"/>
        <w:rPr>
          <w:rFonts w:ascii="宋体" w:hAnsi="宋体"/>
          <w:color w:val="auto"/>
          <w:sz w:val="24"/>
          <w:highlight w:val="none"/>
        </w:rPr>
      </w:pPr>
      <w:r>
        <w:rPr>
          <w:rFonts w:hint="eastAsia" w:ascii="宋体" w:hAnsi="宋体"/>
          <w:color w:val="auto"/>
          <w:sz w:val="24"/>
          <w:highlight w:val="none"/>
        </w:rPr>
        <w:t>交通管控平台与交通态势平台在平台层面的对接，要比前端设备直接和态势平台对接更加稳定；</w:t>
      </w:r>
    </w:p>
    <w:p>
      <w:pPr>
        <w:numPr>
          <w:ilvl w:val="0"/>
          <w:numId w:val="11"/>
        </w:numPr>
        <w:snapToGrid w:val="0"/>
        <w:spacing w:line="360" w:lineRule="auto"/>
        <w:rPr>
          <w:rFonts w:ascii="宋体" w:hAnsi="宋体"/>
          <w:color w:val="auto"/>
          <w:sz w:val="24"/>
          <w:highlight w:val="none"/>
        </w:rPr>
      </w:pPr>
      <w:r>
        <w:rPr>
          <w:rFonts w:hint="eastAsia" w:ascii="宋体" w:hAnsi="宋体"/>
          <w:color w:val="auto"/>
          <w:sz w:val="24"/>
          <w:highlight w:val="none"/>
        </w:rPr>
        <w:t>前端子系统数据进入现有平台后，依据设计方案内说明，平台会将雷达、卡口等数据推送给态势平台，可以同步实现态势平台对前端数据的实时处理、分析及推送。</w:t>
      </w:r>
    </w:p>
    <w:p>
      <w:pPr>
        <w:snapToGrid w:val="0"/>
        <w:spacing w:line="360" w:lineRule="auto"/>
        <w:ind w:firstLine="480" w:firstLineChars="200"/>
        <w:rPr>
          <w:color w:val="auto"/>
          <w:highlight w:val="none"/>
          <w:lang w:val="zh-CN"/>
        </w:rPr>
      </w:pPr>
      <w:r>
        <w:rPr>
          <w:rFonts w:hint="eastAsia" w:ascii="宋体" w:hAnsi="宋体"/>
          <w:color w:val="auto"/>
          <w:sz w:val="24"/>
          <w:highlight w:val="none"/>
        </w:rPr>
        <w:t>警用摩托勤务管理系统相对独立，接入前端铁骑数据。规划建设的城区中队勤务中心可在一定权限范围内可以对平台进行操作应用，并可获取相关交通态势数据，通过警用摩托勤务管理系统平台下发指令。针对管辖区域网格化划分功能，需在项目实施中进行具体沟通，确定划分管辖区域。</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此外，本次设计中增加了新的前端设备接入，需对现有中心平台进行软件及硬件的扩容，增补相应设备。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设计方案中，各类示意图（包括软件界面图、产品安装效果图等）的主要目的是为了更好地说明系统功能，无产品品牌、界面布局等方面的强制性要求。最终承建单位可以根据实际情况调整，以满足文字要求的功能为准。</w:t>
      </w:r>
    </w:p>
    <w:p>
      <w:pPr>
        <w:tabs>
          <w:tab w:val="left" w:pos="720"/>
        </w:tabs>
        <w:snapToGrid w:val="0"/>
        <w:spacing w:line="360" w:lineRule="auto"/>
        <w:rPr>
          <w:color w:val="auto"/>
          <w:sz w:val="24"/>
          <w:highlight w:val="none"/>
        </w:rPr>
      </w:pPr>
    </w:p>
    <w:p>
      <w:pPr>
        <w:snapToGrid w:val="0"/>
        <w:spacing w:line="360" w:lineRule="auto"/>
        <w:ind w:left="480"/>
        <w:rPr>
          <w:color w:val="auto"/>
          <w:sz w:val="24"/>
          <w:highlight w:val="none"/>
        </w:rPr>
      </w:pPr>
    </w:p>
    <w:p>
      <w:pPr>
        <w:pStyle w:val="3"/>
        <w:snapToGrid w:val="0"/>
        <w:spacing w:before="0" w:after="0" w:line="360" w:lineRule="auto"/>
        <w:ind w:left="432" w:hanging="432"/>
        <w:jc w:val="both"/>
        <w:rPr>
          <w:color w:val="auto"/>
          <w:highlight w:val="none"/>
        </w:rPr>
      </w:pPr>
      <w:bookmarkStart w:id="14" w:name="_Toc10102464"/>
      <w:r>
        <w:rPr>
          <w:rFonts w:hint="eastAsia"/>
          <w:color w:val="auto"/>
          <w:highlight w:val="none"/>
        </w:rPr>
        <w:t>各系统建设方案</w:t>
      </w:r>
      <w:bookmarkEnd w:id="14"/>
    </w:p>
    <w:p>
      <w:pPr>
        <w:pStyle w:val="4"/>
        <w:snapToGrid w:val="0"/>
        <w:spacing w:before="0" w:after="0" w:line="360" w:lineRule="auto"/>
        <w:ind w:left="576" w:hanging="576"/>
        <w:rPr>
          <w:color w:val="auto"/>
          <w:highlight w:val="none"/>
        </w:rPr>
      </w:pPr>
      <w:bookmarkStart w:id="15" w:name="_Toc10102465"/>
      <w:bookmarkStart w:id="16" w:name="_Toc536016011"/>
      <w:r>
        <w:rPr>
          <w:rFonts w:hint="eastAsia"/>
          <w:color w:val="auto"/>
          <w:highlight w:val="none"/>
        </w:rPr>
        <w:t>交通运行态势分析系统</w:t>
      </w:r>
      <w:bookmarkEnd w:id="15"/>
    </w:p>
    <w:p>
      <w:pPr>
        <w:pStyle w:val="5"/>
        <w:snapToGrid w:val="0"/>
        <w:spacing w:before="0" w:after="0" w:line="360" w:lineRule="auto"/>
        <w:ind w:left="720" w:hanging="720"/>
        <w:rPr>
          <w:color w:val="auto"/>
          <w:highlight w:val="none"/>
        </w:rPr>
      </w:pPr>
      <w:bookmarkStart w:id="17" w:name="_Toc10102466"/>
      <w:r>
        <w:rPr>
          <w:rFonts w:hint="eastAsia"/>
          <w:color w:val="auto"/>
          <w:highlight w:val="none"/>
        </w:rPr>
        <w:t>系统概述</w:t>
      </w:r>
      <w:bookmarkEnd w:id="17"/>
    </w:p>
    <w:p>
      <w:pPr>
        <w:snapToGrid w:val="0"/>
        <w:spacing w:line="360" w:lineRule="auto"/>
        <w:ind w:firstLine="480" w:firstLineChars="200"/>
        <w:rPr>
          <w:color w:val="auto"/>
          <w:sz w:val="24"/>
          <w:szCs w:val="21"/>
          <w:highlight w:val="none"/>
        </w:rPr>
      </w:pPr>
      <w:r>
        <w:rPr>
          <w:rFonts w:hint="eastAsia"/>
          <w:color w:val="auto"/>
          <w:sz w:val="24"/>
          <w:szCs w:val="21"/>
          <w:highlight w:val="none"/>
        </w:rPr>
        <w:t>本次方案计划建设的交通运行态势分析系统是基于交通大数据分析的交通信息服务系统。该系统能为玉环市道路提供实时运行路况，对城市道路的路况进行预测，从多个空间维度进行运行状态统计分析及周期性总结，反映城市道路的路网长期运行规律。</w:t>
      </w:r>
    </w:p>
    <w:p>
      <w:pPr>
        <w:pStyle w:val="5"/>
        <w:snapToGrid w:val="0"/>
        <w:spacing w:before="0" w:after="0" w:line="360" w:lineRule="auto"/>
        <w:ind w:left="720" w:hanging="720"/>
        <w:rPr>
          <w:color w:val="auto"/>
          <w:highlight w:val="none"/>
        </w:rPr>
      </w:pPr>
      <w:bookmarkStart w:id="18" w:name="_Toc10102467"/>
      <w:r>
        <w:rPr>
          <w:rFonts w:hint="eastAsia"/>
          <w:color w:val="auto"/>
          <w:highlight w:val="none"/>
        </w:rPr>
        <w:t>系统架构</w:t>
      </w:r>
      <w:bookmarkEnd w:id="18"/>
    </w:p>
    <w:p>
      <w:pPr>
        <w:snapToGrid w:val="0"/>
        <w:spacing w:line="360" w:lineRule="auto"/>
        <w:ind w:firstLine="480" w:firstLineChars="200"/>
        <w:rPr>
          <w:color w:val="auto"/>
          <w:sz w:val="24"/>
          <w:szCs w:val="21"/>
          <w:highlight w:val="none"/>
        </w:rPr>
      </w:pPr>
      <w:r>
        <w:rPr>
          <w:rFonts w:hint="eastAsia"/>
          <w:color w:val="auto"/>
          <w:sz w:val="24"/>
          <w:szCs w:val="21"/>
          <w:highlight w:val="none"/>
        </w:rPr>
        <w:t>交通运行态势分析系统接入大量的交通信息数据，可以获取全城路面状况，应用功能丰富，可实现区域化管理与统一协调指挥。态势分析平台用于城市交通基础能力评估和辅助决策。态势分析平台获取卡口抓拍、流量采集等数据，将前端设备采集的道路信息，如路段、区域的车辆速度、流量等信息汇集，态势分析平台利用态势节点服务器和态势数据管理服务器进行整合</w:t>
      </w:r>
      <w:r>
        <w:rPr>
          <w:rFonts w:hint="eastAsia"/>
          <w:color w:val="auto"/>
          <w:sz w:val="24"/>
          <w:szCs w:val="21"/>
          <w:highlight w:val="none"/>
          <w:lang w:eastAsia="zh-CN"/>
        </w:rPr>
        <w:t>、</w:t>
      </w:r>
      <w:r>
        <w:rPr>
          <w:rFonts w:hint="eastAsia"/>
          <w:color w:val="auto"/>
          <w:sz w:val="24"/>
          <w:szCs w:val="21"/>
          <w:highlight w:val="none"/>
        </w:rPr>
        <w:t>分析</w:t>
      </w:r>
      <w:r>
        <w:rPr>
          <w:rFonts w:hint="eastAsia"/>
          <w:color w:val="auto"/>
          <w:sz w:val="24"/>
          <w:szCs w:val="21"/>
          <w:highlight w:val="none"/>
          <w:lang w:eastAsia="zh-CN"/>
        </w:rPr>
        <w:t>、</w:t>
      </w:r>
      <w:r>
        <w:rPr>
          <w:rFonts w:hint="eastAsia"/>
          <w:color w:val="auto"/>
          <w:sz w:val="24"/>
          <w:szCs w:val="21"/>
          <w:highlight w:val="none"/>
        </w:rPr>
        <w:t>输出。</w:t>
      </w:r>
    </w:p>
    <w:p>
      <w:pPr>
        <w:pStyle w:val="5"/>
        <w:snapToGrid w:val="0"/>
        <w:spacing w:before="0" w:after="0" w:line="360" w:lineRule="auto"/>
        <w:ind w:left="720" w:hanging="720"/>
        <w:rPr>
          <w:color w:val="auto"/>
          <w:highlight w:val="none"/>
        </w:rPr>
      </w:pPr>
      <w:bookmarkStart w:id="19" w:name="_Toc10102468"/>
      <w:r>
        <w:rPr>
          <w:rFonts w:hint="eastAsia"/>
          <w:color w:val="auto"/>
          <w:highlight w:val="none"/>
        </w:rPr>
        <w:t>建设布局</w:t>
      </w:r>
      <w:bookmarkEnd w:id="19"/>
    </w:p>
    <w:p>
      <w:pPr>
        <w:snapToGrid w:val="0"/>
        <w:spacing w:line="360" w:lineRule="auto"/>
        <w:ind w:firstLine="480" w:firstLineChars="200"/>
        <w:rPr>
          <w:color w:val="auto"/>
          <w:sz w:val="24"/>
          <w:szCs w:val="21"/>
          <w:highlight w:val="none"/>
        </w:rPr>
      </w:pPr>
      <w:r>
        <w:rPr>
          <w:rFonts w:hint="eastAsia"/>
          <w:color w:val="auto"/>
          <w:sz w:val="24"/>
          <w:szCs w:val="21"/>
          <w:highlight w:val="none"/>
        </w:rPr>
        <w:t>为精准把握玉环市主要进城道路的态势情况以及情况，为玉环交警协调分配城区交通管理资源提供指挥的数据依据，计划对玉环市主要城区道路补充部分视频雷达车检器，设备主要用于提供道路车流量、平均车速等道路数据，为态势分析提供数据支撑。具体点位如下。</w:t>
      </w:r>
    </w:p>
    <w:p>
      <w:pPr>
        <w:snapToGrid w:val="0"/>
        <w:spacing w:line="360" w:lineRule="auto"/>
        <w:jc w:val="center"/>
        <w:rPr>
          <w:color w:val="auto"/>
          <w:sz w:val="24"/>
          <w:szCs w:val="21"/>
          <w:highlight w:val="none"/>
        </w:rPr>
      </w:pPr>
      <w:r>
        <w:rPr>
          <w:rFonts w:hint="eastAsia"/>
          <w:color w:val="auto"/>
          <w:sz w:val="24"/>
          <w:szCs w:val="21"/>
          <w:highlight w:val="none"/>
        </w:rPr>
        <w:t>表</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表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1</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交通态势雷达点位表</w:t>
      </w:r>
    </w:p>
    <w:tbl>
      <w:tblPr>
        <w:tblStyle w:val="20"/>
        <w:tblW w:w="7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60"/>
        <w:gridCol w:w="112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000000" w:fill="92D050"/>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编号</w:t>
            </w:r>
          </w:p>
        </w:tc>
        <w:tc>
          <w:tcPr>
            <w:tcW w:w="3460" w:type="dxa"/>
            <w:shd w:val="clear" w:color="000000" w:fill="92D050"/>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点位路段及路口</w:t>
            </w:r>
          </w:p>
        </w:tc>
        <w:tc>
          <w:tcPr>
            <w:tcW w:w="1120" w:type="dxa"/>
            <w:shd w:val="clear" w:color="000000" w:fill="92D050"/>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方向</w:t>
            </w:r>
          </w:p>
        </w:tc>
        <w:tc>
          <w:tcPr>
            <w:tcW w:w="1080" w:type="dxa"/>
            <w:shd w:val="clear" w:color="000000" w:fill="92D050"/>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数量</w:t>
            </w:r>
          </w:p>
        </w:tc>
        <w:tc>
          <w:tcPr>
            <w:tcW w:w="1080" w:type="dxa"/>
            <w:shd w:val="clear" w:color="000000" w:fill="92D050"/>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三谭路（玉环车站）</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三潭路康育路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三潭路（广陵路城中路）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4</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三谭路（城中路广陵路）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5</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三潭路（南山村）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6</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三潭路西山村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7</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双港路机械厂</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8</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城中路日立空调</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9</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城中路长乐路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10</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城中路富侨足浴</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11</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城中路中国银行</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12</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玉兴路喜年华</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13</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玉兴路农商行</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14</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玉兴路玉城中学</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东向西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15</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玉兴路康玉路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西向东</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16</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广陵路财政局</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17</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广陵路华鸿家园</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18</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广陵路公安局路口</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19</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广陵路康复医院</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20</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榴岛大道城南社区坎门方向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东向西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21</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榴岛大道珠港大道路口</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东向西</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22</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榴岛大道城南社区市区方向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西向东</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23</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榴岛大道三潭路市区方向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24</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榴岛大道青少年宫（天网杆）</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25</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榴岛大道加油站</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26</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榴岛大道东城路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27</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榴岛大道明建路</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南向北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28</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文旦大道绕城路交叉口</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29</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绕城路宁昊刚业路口</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30</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绕城路别克4S店</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31</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文旦大道城东村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32</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文旦大道犁头嘴</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33</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文旦大道机电园区</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34</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文旦大道白岩村</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35</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文旦大道大屏处</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36</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文旦大道高架桥下</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37</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大桥中段位置和尾段</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38</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大桥天网杆</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北向南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39</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226省道龙翔</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40</w:t>
            </w:r>
          </w:p>
        </w:tc>
        <w:tc>
          <w:tcPr>
            <w:tcW w:w="346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滨江大道黄金海岸</w:t>
            </w:r>
          </w:p>
        </w:tc>
        <w:tc>
          <w:tcPr>
            <w:tcW w:w="1120" w:type="dxa"/>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南北</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借杆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41</w:t>
            </w:r>
          </w:p>
        </w:tc>
        <w:tc>
          <w:tcPr>
            <w:tcW w:w="4580" w:type="dxa"/>
            <w:gridSpan w:val="2"/>
            <w:shd w:val="clear" w:color="auto" w:fill="auto"/>
            <w:noWrap/>
            <w:vAlign w:val="center"/>
          </w:tcPr>
          <w:p>
            <w:pPr>
              <w:snapToGrid w:val="0"/>
              <w:spacing w:line="360" w:lineRule="auto"/>
              <w:rPr>
                <w:rFonts w:cs="宋体"/>
                <w:color w:val="auto"/>
                <w:kern w:val="0"/>
                <w:sz w:val="24"/>
                <w:highlight w:val="none"/>
              </w:rPr>
            </w:pPr>
            <w:r>
              <w:rPr>
                <w:rFonts w:hint="eastAsia" w:cs="宋体"/>
                <w:color w:val="auto"/>
                <w:kern w:val="0"/>
                <w:sz w:val="24"/>
                <w:highlight w:val="none"/>
              </w:rPr>
              <w:t>总数量</w:t>
            </w:r>
          </w:p>
        </w:tc>
        <w:tc>
          <w:tcPr>
            <w:tcW w:w="1080" w:type="dxa"/>
            <w:shd w:val="clear" w:color="auto" w:fill="auto"/>
            <w:noWrap/>
            <w:vAlign w:val="center"/>
          </w:tcPr>
          <w:p>
            <w:pPr>
              <w:snapToGrid w:val="0"/>
              <w:spacing w:line="360" w:lineRule="auto"/>
              <w:jc w:val="center"/>
              <w:rPr>
                <w:rFonts w:cs="宋体"/>
                <w:color w:val="auto"/>
                <w:kern w:val="0"/>
                <w:sz w:val="24"/>
                <w:highlight w:val="none"/>
              </w:rPr>
            </w:pPr>
            <w:r>
              <w:rPr>
                <w:rFonts w:hint="eastAsia" w:cs="宋体"/>
                <w:color w:val="auto"/>
                <w:kern w:val="0"/>
                <w:sz w:val="24"/>
                <w:highlight w:val="none"/>
              </w:rPr>
              <w:t>55</w:t>
            </w:r>
          </w:p>
        </w:tc>
        <w:tc>
          <w:tcPr>
            <w:tcW w:w="1080" w:type="dxa"/>
            <w:shd w:val="clear" w:color="auto" w:fill="auto"/>
            <w:noWrap/>
            <w:vAlign w:val="center"/>
          </w:tcPr>
          <w:p>
            <w:pPr>
              <w:snapToGrid w:val="0"/>
              <w:spacing w:line="360" w:lineRule="auto"/>
              <w:jc w:val="center"/>
              <w:rPr>
                <w:rFonts w:cs="宋体"/>
                <w:color w:val="auto"/>
                <w:kern w:val="0"/>
                <w:sz w:val="24"/>
                <w:highlight w:val="none"/>
              </w:rPr>
            </w:pPr>
          </w:p>
        </w:tc>
      </w:tr>
    </w:tbl>
    <w:p>
      <w:pPr>
        <w:pStyle w:val="6"/>
        <w:keepLines w:val="0"/>
        <w:adjustRightInd w:val="0"/>
        <w:snapToGrid w:val="0"/>
        <w:spacing w:before="0" w:after="0" w:line="360" w:lineRule="auto"/>
        <w:ind w:left="864" w:hanging="864"/>
        <w:jc w:val="left"/>
        <w:rPr>
          <w:color w:val="auto"/>
          <w:highlight w:val="none"/>
        </w:rPr>
      </w:pPr>
      <w:bookmarkStart w:id="20" w:name="_Toc5268242"/>
      <w:r>
        <w:rPr>
          <w:rFonts w:hint="eastAsia"/>
          <w:color w:val="auto"/>
          <w:highlight w:val="none"/>
        </w:rPr>
        <w:t>三潭路主要流量监测点位分布</w:t>
      </w:r>
      <w:bookmarkEnd w:id="20"/>
    </w:p>
    <w:p>
      <w:pPr>
        <w:rPr>
          <w:color w:val="auto"/>
          <w:highlight w:val="none"/>
        </w:rPr>
      </w:pPr>
      <w:r>
        <w:rPr>
          <w:color w:val="auto"/>
          <w:highlight w:val="none"/>
        </w:rPr>
        <w:drawing>
          <wp:inline distT="0" distB="0" distL="0" distR="0">
            <wp:extent cx="5272405" cy="3063875"/>
            <wp:effectExtent l="0" t="0" r="4445" b="3175"/>
            <wp:docPr id="79" name="图片 79" descr="C:\Users\yaohuasheng\Desktop\三潭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yaohuasheng\Desktop\三潭路.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3063875"/>
                    </a:xfrm>
                    <a:prstGeom prst="rect">
                      <a:avLst/>
                    </a:prstGeom>
                    <a:noFill/>
                    <a:ln>
                      <a:noFill/>
                    </a:ln>
                  </pic:spPr>
                </pic:pic>
              </a:graphicData>
            </a:graphic>
          </wp:inline>
        </w:drawing>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2</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三潭路点位</w:t>
      </w:r>
    </w:p>
    <w:p>
      <w:pPr>
        <w:pStyle w:val="6"/>
        <w:keepLines w:val="0"/>
        <w:adjustRightInd w:val="0"/>
        <w:snapToGrid w:val="0"/>
        <w:spacing w:before="0" w:after="0" w:line="360" w:lineRule="auto"/>
        <w:ind w:left="864" w:hanging="864"/>
        <w:jc w:val="left"/>
        <w:rPr>
          <w:color w:val="auto"/>
          <w:highlight w:val="none"/>
        </w:rPr>
      </w:pPr>
      <w:bookmarkStart w:id="21" w:name="_Toc5268243"/>
      <w:r>
        <w:rPr>
          <w:rFonts w:hint="eastAsia"/>
          <w:color w:val="auto"/>
          <w:highlight w:val="none"/>
        </w:rPr>
        <w:t>城中路主要流量监测点位分布</w:t>
      </w:r>
      <w:bookmarkEnd w:id="21"/>
    </w:p>
    <w:p>
      <w:pPr>
        <w:rPr>
          <w:color w:val="auto"/>
          <w:highlight w:val="none"/>
        </w:rPr>
      </w:pPr>
      <w:r>
        <w:rPr>
          <w:color w:val="auto"/>
          <w:highlight w:val="none"/>
        </w:rPr>
        <w:drawing>
          <wp:inline distT="0" distB="0" distL="0" distR="0">
            <wp:extent cx="5272405" cy="5165725"/>
            <wp:effectExtent l="0" t="0" r="4445" b="158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2405" cy="5165725"/>
                    </a:xfrm>
                    <a:prstGeom prst="rect">
                      <a:avLst/>
                    </a:prstGeom>
                    <a:noFill/>
                    <a:ln>
                      <a:noFill/>
                    </a:ln>
                  </pic:spPr>
                </pic:pic>
              </a:graphicData>
            </a:graphic>
          </wp:inline>
        </w:drawing>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3</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城中路点位</w:t>
      </w:r>
    </w:p>
    <w:p>
      <w:pPr>
        <w:pStyle w:val="6"/>
        <w:keepLines w:val="0"/>
        <w:adjustRightInd w:val="0"/>
        <w:snapToGrid w:val="0"/>
        <w:spacing w:before="0" w:after="0" w:line="360" w:lineRule="auto"/>
        <w:ind w:left="864" w:hanging="864"/>
        <w:jc w:val="left"/>
        <w:rPr>
          <w:color w:val="auto"/>
          <w:highlight w:val="none"/>
        </w:rPr>
      </w:pPr>
      <w:bookmarkStart w:id="22" w:name="_Toc5268244"/>
      <w:r>
        <w:rPr>
          <w:rFonts w:hint="eastAsia"/>
          <w:color w:val="auto"/>
          <w:highlight w:val="none"/>
        </w:rPr>
        <w:t>玉兴路主要流量监测点位分布</w:t>
      </w:r>
      <w:bookmarkEnd w:id="22"/>
    </w:p>
    <w:p>
      <w:pPr>
        <w:rPr>
          <w:color w:val="auto"/>
          <w:highlight w:val="none"/>
        </w:rPr>
      </w:pPr>
      <w:r>
        <w:rPr>
          <w:color w:val="auto"/>
          <w:highlight w:val="none"/>
        </w:rPr>
        <w:drawing>
          <wp:inline distT="0" distB="0" distL="0" distR="0">
            <wp:extent cx="5272405" cy="2957195"/>
            <wp:effectExtent l="0" t="0" r="4445" b="146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2405" cy="2957195"/>
                    </a:xfrm>
                    <a:prstGeom prst="rect">
                      <a:avLst/>
                    </a:prstGeom>
                    <a:noFill/>
                    <a:ln>
                      <a:noFill/>
                    </a:ln>
                  </pic:spPr>
                </pic:pic>
              </a:graphicData>
            </a:graphic>
          </wp:inline>
        </w:drawing>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4</w:t>
      </w:r>
      <w:r>
        <w:rPr>
          <w:color w:val="auto"/>
          <w:sz w:val="24"/>
          <w:szCs w:val="21"/>
          <w:highlight w:val="none"/>
        </w:rPr>
        <w:fldChar w:fldCharType="end"/>
      </w:r>
      <w:r>
        <w:rPr>
          <w:rFonts w:hint="eastAsia"/>
          <w:color w:val="auto"/>
          <w:sz w:val="24"/>
          <w:szCs w:val="21"/>
          <w:highlight w:val="none"/>
        </w:rPr>
        <w:t xml:space="preserve"> 玉兴路点位</w:t>
      </w:r>
    </w:p>
    <w:p>
      <w:pPr>
        <w:rPr>
          <w:color w:val="auto"/>
          <w:highlight w:val="none"/>
        </w:rPr>
      </w:pPr>
    </w:p>
    <w:p>
      <w:pPr>
        <w:pStyle w:val="6"/>
        <w:keepLines w:val="0"/>
        <w:adjustRightInd w:val="0"/>
        <w:snapToGrid w:val="0"/>
        <w:spacing w:before="0" w:after="0" w:line="360" w:lineRule="auto"/>
        <w:ind w:left="864" w:hanging="864"/>
        <w:jc w:val="left"/>
        <w:rPr>
          <w:color w:val="auto"/>
          <w:highlight w:val="none"/>
        </w:rPr>
      </w:pPr>
      <w:bookmarkStart w:id="23" w:name="_Toc5268245"/>
      <w:r>
        <w:rPr>
          <w:rFonts w:hint="eastAsia"/>
          <w:color w:val="auto"/>
          <w:highlight w:val="none"/>
        </w:rPr>
        <w:t>广陵路主要流量监测点位分布</w:t>
      </w:r>
      <w:bookmarkEnd w:id="23"/>
    </w:p>
    <w:p>
      <w:pPr>
        <w:jc w:val="center"/>
        <w:rPr>
          <w:color w:val="auto"/>
          <w:highlight w:val="none"/>
        </w:rPr>
      </w:pPr>
      <w:r>
        <w:rPr>
          <w:color w:val="auto"/>
          <w:highlight w:val="none"/>
        </w:rPr>
        <w:drawing>
          <wp:inline distT="0" distB="0" distL="0" distR="0">
            <wp:extent cx="5272405" cy="5783580"/>
            <wp:effectExtent l="0" t="0" r="4445"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2405" cy="5783580"/>
                    </a:xfrm>
                    <a:prstGeom prst="rect">
                      <a:avLst/>
                    </a:prstGeom>
                    <a:noFill/>
                    <a:ln>
                      <a:noFill/>
                    </a:ln>
                  </pic:spPr>
                </pic:pic>
              </a:graphicData>
            </a:graphic>
          </wp:inline>
        </w:drawing>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5</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广陵路点位</w:t>
      </w:r>
    </w:p>
    <w:p>
      <w:pPr>
        <w:rPr>
          <w:color w:val="auto"/>
          <w:highlight w:val="none"/>
        </w:rPr>
      </w:pPr>
    </w:p>
    <w:p>
      <w:pPr>
        <w:pStyle w:val="6"/>
        <w:keepLines w:val="0"/>
        <w:adjustRightInd w:val="0"/>
        <w:snapToGrid w:val="0"/>
        <w:spacing w:before="0" w:after="0" w:line="360" w:lineRule="auto"/>
        <w:ind w:left="864" w:hanging="864"/>
        <w:jc w:val="left"/>
        <w:rPr>
          <w:color w:val="auto"/>
          <w:highlight w:val="none"/>
        </w:rPr>
      </w:pPr>
      <w:bookmarkStart w:id="24" w:name="_Toc5268246"/>
      <w:r>
        <w:rPr>
          <w:rFonts w:hint="eastAsia"/>
          <w:color w:val="auto"/>
          <w:highlight w:val="none"/>
        </w:rPr>
        <w:t>榴岛大道主要流量监测点位</w:t>
      </w:r>
      <w:bookmarkEnd w:id="24"/>
    </w:p>
    <w:p>
      <w:pPr>
        <w:rPr>
          <w:color w:val="auto"/>
          <w:highlight w:val="none"/>
        </w:rPr>
      </w:pPr>
      <w:r>
        <w:rPr>
          <w:color w:val="auto"/>
          <w:highlight w:val="none"/>
        </w:rPr>
        <w:drawing>
          <wp:inline distT="0" distB="0" distL="0" distR="0">
            <wp:extent cx="5272405" cy="5332095"/>
            <wp:effectExtent l="0" t="0" r="444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2405" cy="5332095"/>
                    </a:xfrm>
                    <a:prstGeom prst="rect">
                      <a:avLst/>
                    </a:prstGeom>
                    <a:noFill/>
                    <a:ln>
                      <a:noFill/>
                    </a:ln>
                  </pic:spPr>
                </pic:pic>
              </a:graphicData>
            </a:graphic>
          </wp:inline>
        </w:drawing>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6</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榴岛大道点位</w:t>
      </w:r>
    </w:p>
    <w:p>
      <w:pPr>
        <w:rPr>
          <w:color w:val="auto"/>
          <w:highlight w:val="none"/>
        </w:rPr>
      </w:pPr>
    </w:p>
    <w:p>
      <w:pPr>
        <w:pStyle w:val="6"/>
        <w:keepLines w:val="0"/>
        <w:adjustRightInd w:val="0"/>
        <w:snapToGrid w:val="0"/>
        <w:spacing w:before="0" w:after="0" w:line="360" w:lineRule="auto"/>
        <w:ind w:left="864" w:hanging="864"/>
        <w:jc w:val="left"/>
        <w:rPr>
          <w:color w:val="auto"/>
          <w:highlight w:val="none"/>
        </w:rPr>
      </w:pPr>
      <w:bookmarkStart w:id="25" w:name="_Toc5268247"/>
      <w:r>
        <w:rPr>
          <w:rFonts w:hint="eastAsia"/>
          <w:color w:val="auto"/>
          <w:highlight w:val="none"/>
        </w:rPr>
        <w:t>文旦大道点位主要流量监测</w:t>
      </w:r>
      <w:bookmarkEnd w:id="25"/>
      <w:r>
        <w:rPr>
          <w:rFonts w:hint="eastAsia"/>
          <w:color w:val="auto"/>
          <w:highlight w:val="none"/>
        </w:rPr>
        <w:t>点位</w:t>
      </w:r>
    </w:p>
    <w:p>
      <w:pPr>
        <w:rPr>
          <w:color w:val="auto"/>
          <w:highlight w:val="none"/>
        </w:rPr>
      </w:pPr>
      <w:r>
        <w:rPr>
          <w:color w:val="auto"/>
          <w:highlight w:val="none"/>
        </w:rPr>
        <w:drawing>
          <wp:inline distT="0" distB="0" distL="0" distR="0">
            <wp:extent cx="5272405" cy="5509895"/>
            <wp:effectExtent l="0" t="0" r="4445" b="146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2405" cy="5509895"/>
                    </a:xfrm>
                    <a:prstGeom prst="rect">
                      <a:avLst/>
                    </a:prstGeom>
                    <a:noFill/>
                    <a:ln>
                      <a:noFill/>
                    </a:ln>
                  </pic:spPr>
                </pic:pic>
              </a:graphicData>
            </a:graphic>
          </wp:inline>
        </w:drawing>
      </w:r>
    </w:p>
    <w:p>
      <w:pPr>
        <w:jc w:val="center"/>
        <w:rPr>
          <w:color w:val="auto"/>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7</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文旦大道点位</w:t>
      </w:r>
    </w:p>
    <w:p>
      <w:pPr>
        <w:rPr>
          <w:color w:val="auto"/>
          <w:highlight w:val="none"/>
        </w:rPr>
      </w:pPr>
    </w:p>
    <w:p>
      <w:pPr>
        <w:pStyle w:val="5"/>
        <w:snapToGrid w:val="0"/>
        <w:spacing w:before="0" w:after="0" w:line="360" w:lineRule="auto"/>
        <w:ind w:left="720" w:hanging="720"/>
        <w:rPr>
          <w:color w:val="auto"/>
          <w:highlight w:val="none"/>
        </w:rPr>
      </w:pPr>
      <w:bookmarkStart w:id="26" w:name="_Toc342311439"/>
      <w:bookmarkStart w:id="27" w:name="_Toc267076357"/>
      <w:bookmarkStart w:id="28" w:name="_Toc262720226"/>
      <w:bookmarkStart w:id="29" w:name="_Toc9697"/>
      <w:bookmarkStart w:id="30" w:name="_Toc10102469"/>
      <w:bookmarkStart w:id="31" w:name="_Toc20637"/>
      <w:bookmarkStart w:id="32" w:name="_Toc15933_WPSOffice_Level1"/>
      <w:bookmarkStart w:id="33" w:name="_Toc5268223"/>
      <w:r>
        <w:rPr>
          <w:rFonts w:hint="eastAsia"/>
          <w:color w:val="auto"/>
          <w:highlight w:val="none"/>
        </w:rPr>
        <w:t>系统功能</w:t>
      </w:r>
      <w:bookmarkEnd w:id="26"/>
      <w:bookmarkEnd w:id="27"/>
      <w:bookmarkEnd w:id="28"/>
      <w:bookmarkEnd w:id="29"/>
      <w:bookmarkEnd w:id="30"/>
      <w:bookmarkEnd w:id="31"/>
      <w:bookmarkEnd w:id="32"/>
      <w:bookmarkEnd w:id="33"/>
    </w:p>
    <w:p>
      <w:pPr>
        <w:pStyle w:val="6"/>
        <w:keepLines w:val="0"/>
        <w:adjustRightInd w:val="0"/>
        <w:snapToGrid w:val="0"/>
        <w:spacing w:before="0" w:after="0" w:line="360" w:lineRule="auto"/>
        <w:ind w:left="864" w:hanging="864"/>
        <w:jc w:val="left"/>
        <w:rPr>
          <w:color w:val="auto"/>
          <w:highlight w:val="none"/>
        </w:rPr>
      </w:pPr>
      <w:bookmarkStart w:id="34" w:name="_Toc5268226"/>
      <w:bookmarkStart w:id="35" w:name="_Toc16952"/>
      <w:r>
        <w:rPr>
          <w:rFonts w:hint="eastAsia"/>
          <w:color w:val="auto"/>
          <w:highlight w:val="none"/>
        </w:rPr>
        <w:t>多维指标</w:t>
      </w:r>
      <w:bookmarkEnd w:id="34"/>
      <w:bookmarkEnd w:id="35"/>
    </w:p>
    <w:p>
      <w:pPr>
        <w:snapToGrid w:val="0"/>
        <w:spacing w:line="360" w:lineRule="auto"/>
        <w:ind w:firstLine="480" w:firstLineChars="200"/>
        <w:rPr>
          <w:color w:val="auto"/>
          <w:sz w:val="24"/>
          <w:szCs w:val="21"/>
          <w:highlight w:val="none"/>
        </w:rPr>
      </w:pPr>
      <w:r>
        <w:rPr>
          <w:rFonts w:hint="eastAsia"/>
          <w:color w:val="auto"/>
          <w:sz w:val="24"/>
          <w:szCs w:val="21"/>
          <w:highlight w:val="none"/>
        </w:rPr>
        <w:t>多维指标是围绕着交通流态势下的多维指标体系建立的核心应用，包括指标监测、指标检索和统计分析三个子模块。本模块通过地图展现、统计图表展现、事件报警和检索等功能，从指标维度实现对道路情况以及交通运行状态的多维把控和分析研判，帮助交通管理部门精准提取交通情报，辅助交通决策和指挥。</w:t>
      </w:r>
    </w:p>
    <w:p>
      <w:pPr>
        <w:snapToGrid w:val="0"/>
        <w:spacing w:line="360" w:lineRule="auto"/>
        <w:ind w:firstLine="480" w:firstLineChars="200"/>
        <w:rPr>
          <w:color w:val="auto"/>
          <w:sz w:val="24"/>
          <w:highlight w:val="none"/>
        </w:rPr>
      </w:pPr>
      <w:r>
        <w:rPr>
          <w:rFonts w:hint="eastAsia"/>
          <w:color w:val="auto"/>
          <w:sz w:val="24"/>
          <w:highlight w:val="none"/>
        </w:rPr>
        <w:t>指标监测模块以多维度的态势交通流指标覆盖全城路网，通过监测指标变化，展示交通对象的运行状态。指标的多维度体现在空间与时间双重组合的体系上，以路段、道路、区域为交通对象，按照历史、实时、预测三个时间维度分别展现。</w:t>
      </w:r>
    </w:p>
    <w:p>
      <w:pPr>
        <w:numPr>
          <w:ilvl w:val="0"/>
          <w:numId w:val="12"/>
        </w:numPr>
        <w:snapToGrid w:val="0"/>
        <w:spacing w:line="360" w:lineRule="auto"/>
        <w:rPr>
          <w:color w:val="auto"/>
          <w:sz w:val="24"/>
          <w:highlight w:val="none"/>
        </w:rPr>
      </w:pPr>
      <w:r>
        <w:rPr>
          <w:rFonts w:hint="eastAsia"/>
          <w:color w:val="auto"/>
          <w:sz w:val="24"/>
          <w:highlight w:val="none"/>
        </w:rPr>
        <w:t>路段运行监测指标</w:t>
      </w:r>
    </w:p>
    <w:p>
      <w:pPr>
        <w:snapToGrid w:val="0"/>
        <w:spacing w:line="360" w:lineRule="auto"/>
        <w:ind w:firstLine="420"/>
        <w:rPr>
          <w:color w:val="auto"/>
          <w:sz w:val="24"/>
          <w:highlight w:val="none"/>
        </w:rPr>
      </w:pPr>
      <w:r>
        <w:rPr>
          <w:rFonts w:hint="eastAsia"/>
          <w:color w:val="auto"/>
          <w:sz w:val="24"/>
          <w:highlight w:val="none"/>
        </w:rPr>
        <w:t>路段监测指标包括行程速度、旅行时间等，展现了车道转向流量的对比趋势图表，还可显示路段长度、车道数、最大通行能力等路段基础属性。地图上显示了路段上的监测设备和路段交通运行的畅通与拥堵状态。</w:t>
      </w:r>
    </w:p>
    <w:p>
      <w:pPr>
        <w:numPr>
          <w:ilvl w:val="0"/>
          <w:numId w:val="12"/>
        </w:numPr>
        <w:snapToGrid w:val="0"/>
        <w:spacing w:line="360" w:lineRule="auto"/>
        <w:rPr>
          <w:color w:val="auto"/>
          <w:sz w:val="24"/>
          <w:highlight w:val="none"/>
        </w:rPr>
      </w:pPr>
      <w:r>
        <w:rPr>
          <w:rFonts w:hint="eastAsia"/>
          <w:color w:val="auto"/>
          <w:sz w:val="24"/>
          <w:highlight w:val="none"/>
        </w:rPr>
        <w:t>道路运行监测指标</w:t>
      </w:r>
    </w:p>
    <w:p>
      <w:pPr>
        <w:snapToGrid w:val="0"/>
        <w:spacing w:line="360" w:lineRule="auto"/>
        <w:ind w:firstLine="420"/>
        <w:rPr>
          <w:color w:val="auto"/>
          <w:sz w:val="24"/>
          <w:highlight w:val="none"/>
        </w:rPr>
      </w:pPr>
      <w:r>
        <w:rPr>
          <w:rFonts w:hint="eastAsia"/>
          <w:color w:val="auto"/>
          <w:sz w:val="24"/>
          <w:highlight w:val="none"/>
        </w:rPr>
        <w:t>道路维度下，通过旅行时间、行程速度等指标进行道路监测。显示道路等级、以及各路段流量列表，在地图上展示道路位置和整条道路上的监测设备。</w:t>
      </w:r>
    </w:p>
    <w:p>
      <w:pPr>
        <w:numPr>
          <w:ilvl w:val="0"/>
          <w:numId w:val="12"/>
        </w:numPr>
        <w:snapToGrid w:val="0"/>
        <w:spacing w:line="360" w:lineRule="auto"/>
        <w:rPr>
          <w:color w:val="auto"/>
          <w:sz w:val="24"/>
          <w:highlight w:val="none"/>
        </w:rPr>
      </w:pPr>
      <w:r>
        <w:rPr>
          <w:rFonts w:hint="eastAsia"/>
          <w:color w:val="auto"/>
          <w:sz w:val="24"/>
          <w:highlight w:val="none"/>
        </w:rPr>
        <w:t>区域交通运行监测指标</w:t>
      </w:r>
    </w:p>
    <w:p>
      <w:pPr>
        <w:snapToGrid w:val="0"/>
        <w:spacing w:line="360" w:lineRule="auto"/>
        <w:ind w:firstLine="420"/>
        <w:rPr>
          <w:color w:val="auto"/>
          <w:sz w:val="24"/>
          <w:highlight w:val="none"/>
        </w:rPr>
      </w:pPr>
      <w:r>
        <w:rPr>
          <w:rFonts w:hint="eastAsia"/>
          <w:color w:val="auto"/>
          <w:sz w:val="24"/>
          <w:highlight w:val="none"/>
        </w:rPr>
        <w:t>每个行政区或交警管理辖区的交通运行状态，通过区域拥堵指数等指标进行监测，显示拥堵指数趋势图，并在地图上展现全区路网的畅通与拥堵状态。</w:t>
      </w:r>
    </w:p>
    <w:p>
      <w:pPr>
        <w:numPr>
          <w:ilvl w:val="0"/>
          <w:numId w:val="12"/>
        </w:numPr>
        <w:snapToGrid w:val="0"/>
        <w:spacing w:line="360" w:lineRule="auto"/>
        <w:rPr>
          <w:color w:val="auto"/>
          <w:sz w:val="24"/>
          <w:highlight w:val="none"/>
        </w:rPr>
      </w:pPr>
      <w:r>
        <w:rPr>
          <w:rFonts w:hint="eastAsia"/>
          <w:color w:val="auto"/>
          <w:sz w:val="24"/>
          <w:highlight w:val="none"/>
        </w:rPr>
        <w:t>预警报警</w:t>
      </w:r>
    </w:p>
    <w:p>
      <w:pPr>
        <w:snapToGrid w:val="0"/>
        <w:spacing w:line="360" w:lineRule="auto"/>
        <w:ind w:firstLine="480" w:firstLineChars="200"/>
        <w:rPr>
          <w:color w:val="auto"/>
          <w:sz w:val="24"/>
          <w:highlight w:val="none"/>
        </w:rPr>
      </w:pPr>
      <w:r>
        <w:rPr>
          <w:rFonts w:hint="eastAsia"/>
          <w:color w:val="auto"/>
          <w:sz w:val="24"/>
          <w:highlight w:val="none"/>
        </w:rPr>
        <w:t>主动预警报警通过构建模型挖掘指标变化规律，实现对城市交通状况的自动报警，主要包括突发性拥堵报警和常发性拥堵报报警两类。报警将会以信息推送的方式主动显示，报警等级越高，报警发生时间越新，排在越前面。点击报警记录，在地图上定位至该报警，并显示报警类型、报警发生位置、过去一个小时的流量或速度的变化折线图以及报警处理结果框。</w:t>
      </w:r>
    </w:p>
    <w:p>
      <w:pPr>
        <w:snapToGrid w:val="0"/>
        <w:spacing w:line="360" w:lineRule="auto"/>
        <w:ind w:firstLine="480" w:firstLineChars="200"/>
        <w:rPr>
          <w:color w:val="auto"/>
          <w:sz w:val="24"/>
          <w:highlight w:val="none"/>
        </w:rPr>
      </w:pPr>
      <w:r>
        <w:rPr>
          <w:rFonts w:hint="eastAsia"/>
          <w:color w:val="auto"/>
          <w:sz w:val="24"/>
          <w:highlight w:val="none"/>
        </w:rPr>
        <w:t>基于多维交通指标的预警报警，能够及时发现各类交通异常事件，协助执勤民警快速响应，提升勤务安排效能。</w:t>
      </w:r>
    </w:p>
    <w:p>
      <w:pPr>
        <w:numPr>
          <w:ilvl w:val="0"/>
          <w:numId w:val="12"/>
        </w:numPr>
        <w:snapToGrid w:val="0"/>
        <w:spacing w:line="360" w:lineRule="auto"/>
        <w:rPr>
          <w:color w:val="auto"/>
          <w:sz w:val="24"/>
          <w:highlight w:val="none"/>
        </w:rPr>
      </w:pPr>
      <w:r>
        <w:rPr>
          <w:rFonts w:hint="eastAsia"/>
          <w:color w:val="auto"/>
          <w:sz w:val="24"/>
          <w:highlight w:val="none"/>
        </w:rPr>
        <w:t>历史回放</w:t>
      </w:r>
    </w:p>
    <w:p>
      <w:pPr>
        <w:snapToGrid w:val="0"/>
        <w:spacing w:line="360" w:lineRule="auto"/>
        <w:ind w:firstLine="480" w:firstLineChars="200"/>
        <w:rPr>
          <w:color w:val="auto"/>
          <w:sz w:val="24"/>
          <w:highlight w:val="none"/>
        </w:rPr>
      </w:pPr>
      <w:r>
        <w:rPr>
          <w:rFonts w:hint="eastAsia"/>
          <w:color w:val="auto"/>
          <w:sz w:val="24"/>
          <w:highlight w:val="none"/>
        </w:rPr>
        <w:t>历史回放功能对历史的交通流指标进行可视化的回放，回放的交通流指标包括路段的路段流量等指标；道路的旅行时间、行程速度等指标；区域的拥堵指数、平均速度等指标。</w:t>
      </w:r>
    </w:p>
    <w:p>
      <w:pPr>
        <w:snapToGrid w:val="0"/>
        <w:spacing w:line="360" w:lineRule="auto"/>
        <w:ind w:firstLine="480" w:firstLineChars="200"/>
        <w:rPr>
          <w:color w:val="auto"/>
          <w:sz w:val="24"/>
          <w:highlight w:val="none"/>
        </w:rPr>
      </w:pPr>
      <w:r>
        <w:rPr>
          <w:rFonts w:hint="eastAsia"/>
          <w:color w:val="auto"/>
          <w:sz w:val="24"/>
          <w:highlight w:val="none"/>
        </w:rPr>
        <w:t>历史回放功能帮助交通管理者随时查询过去某一重点时刻、路段、道路、区域的运行状况，用于特殊事件分析研判。</w:t>
      </w:r>
    </w:p>
    <w:p>
      <w:pPr>
        <w:numPr>
          <w:ilvl w:val="0"/>
          <w:numId w:val="12"/>
        </w:numPr>
        <w:snapToGrid w:val="0"/>
        <w:spacing w:line="360" w:lineRule="auto"/>
        <w:rPr>
          <w:color w:val="auto"/>
          <w:sz w:val="24"/>
          <w:highlight w:val="none"/>
        </w:rPr>
      </w:pPr>
      <w:r>
        <w:rPr>
          <w:rFonts w:hint="eastAsia"/>
          <w:color w:val="auto"/>
          <w:sz w:val="24"/>
          <w:highlight w:val="none"/>
        </w:rPr>
        <w:t>指标预测</w:t>
      </w:r>
    </w:p>
    <w:p>
      <w:pPr>
        <w:snapToGrid w:val="0"/>
        <w:spacing w:line="360" w:lineRule="auto"/>
        <w:ind w:firstLine="420"/>
        <w:rPr>
          <w:color w:val="auto"/>
          <w:sz w:val="24"/>
          <w:highlight w:val="none"/>
        </w:rPr>
      </w:pPr>
      <w:r>
        <w:rPr>
          <w:rFonts w:hint="eastAsia"/>
          <w:color w:val="auto"/>
          <w:sz w:val="24"/>
          <w:highlight w:val="none"/>
        </w:rPr>
        <w:t>指标预测分为长时预测、短时预测和节假日预测。长时预测基于海量历史数据，结合时间、空间相关性，可靠预测未来一周的交通运行状况；短时预测基于优化模式，选择符合规律的历史数据作为输入，准确预测未来半小时内的交通状况；节假日预测基于相关节假日的历史数据，结合城市交通流时空变化趋势，预测未来节假日交通状况。</w:t>
      </w:r>
    </w:p>
    <w:p>
      <w:pPr>
        <w:snapToGrid w:val="0"/>
        <w:spacing w:line="360" w:lineRule="auto"/>
        <w:ind w:firstLine="420"/>
        <w:rPr>
          <w:color w:val="auto"/>
          <w:sz w:val="24"/>
          <w:highlight w:val="none"/>
        </w:rPr>
      </w:pPr>
      <w:r>
        <w:rPr>
          <w:rFonts w:hint="eastAsia"/>
          <w:color w:val="auto"/>
          <w:sz w:val="24"/>
          <w:highlight w:val="none"/>
        </w:rPr>
        <w:t>指标预测为管理部门预先安排出警、派警等提供数据支持，帮助管理部门实现警力安排精准化、合理化、有效化。</w:t>
      </w:r>
    </w:p>
    <w:p>
      <w:pPr>
        <w:numPr>
          <w:ilvl w:val="0"/>
          <w:numId w:val="12"/>
        </w:numPr>
        <w:snapToGrid w:val="0"/>
        <w:spacing w:line="360" w:lineRule="auto"/>
        <w:rPr>
          <w:color w:val="auto"/>
          <w:sz w:val="24"/>
          <w:highlight w:val="none"/>
        </w:rPr>
      </w:pPr>
      <w:r>
        <w:rPr>
          <w:rFonts w:hint="eastAsia"/>
          <w:color w:val="auto"/>
          <w:sz w:val="24"/>
          <w:highlight w:val="none"/>
        </w:rPr>
        <w:t>指标检索</w:t>
      </w:r>
    </w:p>
    <w:p>
      <w:pPr>
        <w:snapToGrid w:val="0"/>
        <w:spacing w:line="360" w:lineRule="auto"/>
        <w:ind w:firstLine="420"/>
        <w:rPr>
          <w:color w:val="auto"/>
          <w:sz w:val="24"/>
          <w:highlight w:val="none"/>
        </w:rPr>
      </w:pPr>
      <w:r>
        <w:rPr>
          <w:rFonts w:hint="eastAsia"/>
          <w:color w:val="auto"/>
          <w:sz w:val="24"/>
          <w:highlight w:val="none"/>
        </w:rPr>
        <w:t>指标检索可对交通流指标、设备情况进行检索。支持时间和空间等多项条件联合检索，精确定位检索目标，还可定向溯源确定数据来源的设备。检索对象包括交叉口、路段、道路、区域。通过相关的对象自身的交通流指标进行条件检索，检索并关注的对象，并可关联到相关设备。帮助管理部门快速检索出关心的交通对象。</w:t>
      </w:r>
    </w:p>
    <w:p>
      <w:pPr>
        <w:snapToGrid w:val="0"/>
        <w:spacing w:line="360" w:lineRule="auto"/>
        <w:ind w:firstLine="420"/>
        <w:rPr>
          <w:color w:val="auto"/>
          <w:sz w:val="24"/>
          <w:highlight w:val="none"/>
        </w:rPr>
      </w:pPr>
      <w:r>
        <w:rPr>
          <w:rFonts w:hint="eastAsia"/>
          <w:color w:val="auto"/>
          <w:sz w:val="24"/>
          <w:highlight w:val="none"/>
        </w:rPr>
        <w:t>统计分析对交通运行的历史数据进行分析研判，从交叉口、路段、道路、区域四个维度的相关交通流指标，通过统计、排名、对比三种方式得到日研判、周会商、月分析和年四个维度的统计结果，帮助管理部门充分了解路段、道路、区域等交通对象的总体情况及变化趋势，为制定交通管理措施提供数据支持。</w:t>
      </w:r>
    </w:p>
    <w:p>
      <w:pPr>
        <w:pStyle w:val="6"/>
        <w:keepLines w:val="0"/>
        <w:adjustRightInd w:val="0"/>
        <w:snapToGrid w:val="0"/>
        <w:spacing w:before="0" w:after="0" w:line="360" w:lineRule="auto"/>
        <w:ind w:left="864" w:hanging="864"/>
        <w:jc w:val="left"/>
        <w:rPr>
          <w:color w:val="auto"/>
          <w:highlight w:val="none"/>
        </w:rPr>
      </w:pPr>
      <w:bookmarkStart w:id="36" w:name="_Toc5268227"/>
      <w:bookmarkStart w:id="37" w:name="_Toc26423"/>
      <w:r>
        <w:rPr>
          <w:rFonts w:hint="eastAsia"/>
          <w:color w:val="auto"/>
          <w:highlight w:val="none"/>
        </w:rPr>
        <w:t>出行分析</w:t>
      </w:r>
      <w:bookmarkEnd w:id="36"/>
      <w:bookmarkEnd w:id="37"/>
    </w:p>
    <w:p>
      <w:pPr>
        <w:snapToGrid w:val="0"/>
        <w:spacing w:line="360" w:lineRule="auto"/>
        <w:ind w:firstLine="420"/>
        <w:rPr>
          <w:color w:val="auto"/>
          <w:sz w:val="24"/>
          <w:highlight w:val="none"/>
        </w:rPr>
      </w:pPr>
      <w:r>
        <w:rPr>
          <w:rFonts w:hint="eastAsia"/>
          <w:color w:val="auto"/>
          <w:sz w:val="24"/>
          <w:highlight w:val="none"/>
        </w:rPr>
        <w:t>出行分析基于卡口过车数据构建全城车辆行驶轨迹，结合违章和事故数据，分析研判车辆画像和车流出行规律，辅助交通管理部门和车辆管理部门开展交通诱导、管控和重点车辆管理等工作。</w:t>
      </w:r>
    </w:p>
    <w:p>
      <w:pPr>
        <w:snapToGrid w:val="0"/>
        <w:spacing w:line="360" w:lineRule="auto"/>
        <w:ind w:firstLine="420"/>
        <w:rPr>
          <w:color w:val="auto"/>
          <w:sz w:val="24"/>
          <w:highlight w:val="none"/>
        </w:rPr>
      </w:pPr>
      <w:r>
        <w:rPr>
          <w:rFonts w:hint="eastAsia"/>
          <w:color w:val="auto"/>
          <w:sz w:val="24"/>
          <w:highlight w:val="none"/>
        </w:rPr>
        <w:t>本模块在地图上展现交叉口流入流出情况、路段来源去向情况和区域关键路径。通过对交叉口、路段和两个区域之间的车流进行分析，挖掘关键点位的出行关键路径，帮助交管部门加强对关键路径的管控，为提升关键路径通行效率实施诱导和分流等措施提供依据。</w:t>
      </w:r>
    </w:p>
    <w:p>
      <w:pPr>
        <w:numPr>
          <w:ilvl w:val="0"/>
          <w:numId w:val="13"/>
        </w:numPr>
        <w:snapToGrid w:val="0"/>
        <w:spacing w:line="360" w:lineRule="auto"/>
        <w:rPr>
          <w:color w:val="auto"/>
          <w:sz w:val="24"/>
          <w:highlight w:val="none"/>
        </w:rPr>
      </w:pPr>
      <w:r>
        <w:rPr>
          <w:rFonts w:hint="eastAsia"/>
          <w:color w:val="auto"/>
          <w:sz w:val="24"/>
          <w:highlight w:val="none"/>
        </w:rPr>
        <w:t>交叉口流入流出情况</w:t>
      </w:r>
    </w:p>
    <w:p>
      <w:pPr>
        <w:snapToGrid w:val="0"/>
        <w:spacing w:line="360" w:lineRule="auto"/>
        <w:ind w:firstLine="420"/>
        <w:rPr>
          <w:color w:val="auto"/>
          <w:sz w:val="24"/>
          <w:highlight w:val="none"/>
        </w:rPr>
      </w:pPr>
      <w:r>
        <w:rPr>
          <w:rFonts w:hint="eastAsia"/>
          <w:color w:val="auto"/>
          <w:sz w:val="24"/>
          <w:highlight w:val="none"/>
        </w:rPr>
        <w:t>通过分析流入或流出该交叉口的车流轨迹，结合中心交叉口上游或下游的周围交叉口的车流信息，获得流入流出中心交叉口不同时段的流量比例、车型分类等信息。</w:t>
      </w:r>
    </w:p>
    <w:p>
      <w:pPr>
        <w:snapToGrid w:val="0"/>
        <w:spacing w:line="360" w:lineRule="auto"/>
        <w:ind w:firstLine="420"/>
        <w:rPr>
          <w:color w:val="auto"/>
          <w:sz w:val="24"/>
          <w:highlight w:val="none"/>
        </w:rPr>
      </w:pPr>
      <w:r>
        <w:rPr>
          <w:rFonts w:hint="eastAsia"/>
          <w:color w:val="auto"/>
          <w:sz w:val="24"/>
          <w:highlight w:val="none"/>
        </w:rPr>
        <w:t>交叉口流入流出功能可针对常溢出或服务水平差且信号灯调节效果差的交叉口，帮助管理部门了解车辆的周围交叉口的流入情况，并为上下游重点交叉口的联调控制提供数据支持。</w:t>
      </w:r>
    </w:p>
    <w:p>
      <w:pPr>
        <w:numPr>
          <w:ilvl w:val="0"/>
          <w:numId w:val="13"/>
        </w:numPr>
        <w:snapToGrid w:val="0"/>
        <w:spacing w:line="360" w:lineRule="auto"/>
        <w:rPr>
          <w:color w:val="auto"/>
          <w:sz w:val="24"/>
          <w:highlight w:val="none"/>
        </w:rPr>
      </w:pPr>
      <w:r>
        <w:rPr>
          <w:rFonts w:hint="eastAsia"/>
          <w:color w:val="auto"/>
          <w:sz w:val="24"/>
          <w:highlight w:val="none"/>
        </w:rPr>
        <w:t>路段来源去向情况</w:t>
      </w:r>
    </w:p>
    <w:p>
      <w:pPr>
        <w:snapToGrid w:val="0"/>
        <w:spacing w:line="360" w:lineRule="auto"/>
        <w:ind w:firstLine="420"/>
        <w:rPr>
          <w:color w:val="auto"/>
          <w:sz w:val="24"/>
          <w:highlight w:val="none"/>
        </w:rPr>
      </w:pPr>
      <w:r>
        <w:rPr>
          <w:rFonts w:hint="eastAsia"/>
          <w:color w:val="auto"/>
          <w:sz w:val="24"/>
          <w:highlight w:val="none"/>
        </w:rPr>
        <w:t>通过分析通过中心路段上游或下游的周围路段的车流轨迹和交通流指标，获得流入流出中心路段不同时段的流量比例、车型分类、周围路段的拥堵情况和流量、速度等信息。</w:t>
      </w:r>
    </w:p>
    <w:p>
      <w:pPr>
        <w:snapToGrid w:val="0"/>
        <w:spacing w:line="360" w:lineRule="auto"/>
        <w:ind w:firstLine="420"/>
        <w:rPr>
          <w:color w:val="auto"/>
          <w:sz w:val="24"/>
          <w:highlight w:val="none"/>
        </w:rPr>
      </w:pPr>
      <w:r>
        <w:rPr>
          <w:rFonts w:hint="eastAsia"/>
          <w:color w:val="auto"/>
          <w:sz w:val="24"/>
          <w:highlight w:val="none"/>
        </w:rPr>
        <w:t>交叉口流入流出功能可针对拥堵或大流量路段，帮助管理部门掌握路段上下游的来源和去向情况，并为上下游重点路段的诱导及派警提供数据支持。</w:t>
      </w:r>
    </w:p>
    <w:p>
      <w:pPr>
        <w:numPr>
          <w:ilvl w:val="0"/>
          <w:numId w:val="13"/>
        </w:numPr>
        <w:snapToGrid w:val="0"/>
        <w:spacing w:line="360" w:lineRule="auto"/>
        <w:rPr>
          <w:color w:val="auto"/>
          <w:sz w:val="24"/>
          <w:highlight w:val="none"/>
        </w:rPr>
      </w:pPr>
      <w:r>
        <w:rPr>
          <w:rFonts w:hint="eastAsia"/>
          <w:color w:val="auto"/>
          <w:sz w:val="24"/>
          <w:highlight w:val="none"/>
        </w:rPr>
        <w:t>区域关键路径</w:t>
      </w:r>
    </w:p>
    <w:p>
      <w:pPr>
        <w:snapToGrid w:val="0"/>
        <w:spacing w:line="360" w:lineRule="auto"/>
        <w:ind w:firstLine="420"/>
        <w:rPr>
          <w:color w:val="auto"/>
          <w:sz w:val="24"/>
          <w:highlight w:val="none"/>
        </w:rPr>
      </w:pPr>
      <w:r>
        <w:rPr>
          <w:rFonts w:hint="eastAsia"/>
          <w:color w:val="auto"/>
          <w:sz w:val="24"/>
          <w:highlight w:val="none"/>
        </w:rPr>
        <w:t>基于卡口过车数据构建轨迹，分析流入或流出指定某个区域的车流量、关键路径和关键路径的车型分类；还可对两个区域之间的起终轨迹和途经轨迹进行合并统计，挖掘区域间出行的关键路径，显示关键路径的流量比例和车型分类。</w:t>
      </w:r>
    </w:p>
    <w:p>
      <w:pPr>
        <w:snapToGrid w:val="0"/>
        <w:spacing w:line="360" w:lineRule="auto"/>
        <w:ind w:firstLine="420"/>
        <w:rPr>
          <w:color w:val="auto"/>
          <w:sz w:val="24"/>
          <w:highlight w:val="none"/>
        </w:rPr>
      </w:pPr>
      <w:r>
        <w:rPr>
          <w:rFonts w:hint="eastAsia"/>
          <w:color w:val="auto"/>
          <w:sz w:val="24"/>
          <w:highlight w:val="none"/>
        </w:rPr>
        <w:t>区域关键路径帮助管理部门发现区域间出行的关键路径，为关键路段的限号限行等管控措施提供数据支持和效果评价。</w:t>
      </w:r>
    </w:p>
    <w:p>
      <w:pPr>
        <w:pStyle w:val="6"/>
        <w:keepLines w:val="0"/>
        <w:adjustRightInd w:val="0"/>
        <w:snapToGrid w:val="0"/>
        <w:spacing w:before="0" w:after="0" w:line="360" w:lineRule="auto"/>
        <w:ind w:left="864" w:hanging="864"/>
        <w:jc w:val="left"/>
        <w:rPr>
          <w:color w:val="auto"/>
          <w:highlight w:val="none"/>
        </w:rPr>
      </w:pPr>
      <w:bookmarkStart w:id="38" w:name="_Toc7685"/>
      <w:bookmarkStart w:id="39" w:name="_Toc5268228"/>
      <w:r>
        <w:rPr>
          <w:rFonts w:hint="eastAsia"/>
          <w:color w:val="auto"/>
          <w:highlight w:val="none"/>
        </w:rPr>
        <w:t>数据质量态势</w:t>
      </w:r>
      <w:bookmarkEnd w:id="38"/>
      <w:bookmarkEnd w:id="39"/>
    </w:p>
    <w:p>
      <w:pPr>
        <w:snapToGrid w:val="0"/>
        <w:spacing w:line="360" w:lineRule="auto"/>
        <w:ind w:firstLine="420"/>
        <w:rPr>
          <w:color w:val="auto"/>
          <w:sz w:val="24"/>
          <w:highlight w:val="none"/>
        </w:rPr>
      </w:pPr>
      <w:r>
        <w:rPr>
          <w:rFonts w:hint="eastAsia"/>
          <w:color w:val="auto"/>
          <w:sz w:val="24"/>
          <w:highlight w:val="none"/>
        </w:rPr>
        <w:t>本产品通过对接入流量检测仪等多种设备的数据进行精细化分析，从源头分析各个设备的数据质量，综合评价每个设备运行状态。</w:t>
      </w:r>
    </w:p>
    <w:p>
      <w:pPr>
        <w:snapToGrid w:val="0"/>
        <w:spacing w:line="360" w:lineRule="auto"/>
        <w:ind w:firstLine="420"/>
        <w:rPr>
          <w:color w:val="auto"/>
          <w:sz w:val="24"/>
          <w:highlight w:val="none"/>
        </w:rPr>
      </w:pPr>
      <w:r>
        <w:rPr>
          <w:rFonts w:hint="eastAsia"/>
          <w:color w:val="auto"/>
          <w:sz w:val="24"/>
          <w:highlight w:val="none"/>
        </w:rPr>
        <w:t>数据监测能让用户充分掌握接入设备的数据质量状况，帮助用户快速发现问题设备，同时也可支撑对指标的异常情况进行溯源分析。</w:t>
      </w:r>
    </w:p>
    <w:p>
      <w:pPr>
        <w:pStyle w:val="6"/>
        <w:keepLines w:val="0"/>
        <w:adjustRightInd w:val="0"/>
        <w:snapToGrid w:val="0"/>
        <w:spacing w:before="0" w:after="0" w:line="360" w:lineRule="auto"/>
        <w:ind w:left="864" w:hanging="864"/>
        <w:jc w:val="left"/>
        <w:rPr>
          <w:color w:val="auto"/>
          <w:highlight w:val="none"/>
        </w:rPr>
      </w:pPr>
      <w:bookmarkStart w:id="40" w:name="_Toc5268229"/>
      <w:bookmarkStart w:id="41" w:name="_Toc31084"/>
      <w:r>
        <w:rPr>
          <w:rFonts w:hint="eastAsia"/>
          <w:color w:val="auto"/>
          <w:highlight w:val="none"/>
        </w:rPr>
        <w:t>交通报告及可视化</w:t>
      </w:r>
      <w:bookmarkEnd w:id="40"/>
      <w:bookmarkEnd w:id="41"/>
    </w:p>
    <w:p>
      <w:pPr>
        <w:snapToGrid w:val="0"/>
        <w:spacing w:line="360" w:lineRule="auto"/>
        <w:ind w:firstLine="420"/>
        <w:rPr>
          <w:color w:val="auto"/>
          <w:sz w:val="24"/>
          <w:highlight w:val="none"/>
        </w:rPr>
      </w:pPr>
      <w:r>
        <w:rPr>
          <w:rFonts w:hint="eastAsia"/>
          <w:color w:val="auto"/>
          <w:sz w:val="24"/>
          <w:highlight w:val="none"/>
        </w:rPr>
        <w:t>交通指标信息通过可通过两种不同的方式进行展示，一种是数据可视化，另一种是交通报告，可视化和交通报告可以根据用户的需求进行定制开发。</w:t>
      </w:r>
    </w:p>
    <w:p>
      <w:pPr>
        <w:snapToGrid w:val="0"/>
        <w:spacing w:line="360" w:lineRule="auto"/>
        <w:ind w:firstLine="420"/>
        <w:rPr>
          <w:color w:val="auto"/>
          <w:sz w:val="24"/>
          <w:highlight w:val="none"/>
        </w:rPr>
      </w:pPr>
      <w:r>
        <w:rPr>
          <w:rFonts w:hint="eastAsia"/>
          <w:color w:val="auto"/>
          <w:sz w:val="24"/>
          <w:highlight w:val="none"/>
        </w:rPr>
        <w:t>交通运行报告按周、月、年不同的时间维度自动生成报告。报告内容包括拥堵情况总体概述，全城和重点区域的拥堵指数、运行速度、拥堵时间和最拥堵路段排名。交通运行报告协助用户完成专业性量化分析城市交通运行状况。</w:t>
      </w:r>
    </w:p>
    <w:p>
      <w:pPr>
        <w:snapToGrid w:val="0"/>
        <w:spacing w:line="360" w:lineRule="auto"/>
        <w:ind w:firstLine="420"/>
        <w:rPr>
          <w:color w:val="auto"/>
          <w:sz w:val="24"/>
          <w:highlight w:val="none"/>
        </w:rPr>
      </w:pPr>
      <w:r>
        <w:rPr>
          <w:rFonts w:hint="eastAsia"/>
          <w:color w:val="auto"/>
          <w:sz w:val="24"/>
          <w:highlight w:val="none"/>
        </w:rPr>
        <w:t>数据可视化功能提供了1920×1080最为常用分辨率的展现，展示了包括交叉口、路段、道路到区域不同维度的交通流指标的可视化页面。数据可视化可用于交警指挥中心的大屏展示，辅助交警进行可视化指挥、成果展示和决策支持。</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预警提示</w:t>
      </w:r>
    </w:p>
    <w:p>
      <w:pPr>
        <w:pStyle w:val="46"/>
        <w:snapToGrid w:val="0"/>
        <w:ind w:firstLine="480"/>
        <w:rPr>
          <w:rFonts w:hint="eastAsia"/>
          <w:color w:val="auto"/>
          <w:highlight w:val="none"/>
        </w:rPr>
      </w:pPr>
      <w:r>
        <w:rPr>
          <w:rFonts w:hint="eastAsia"/>
          <w:color w:val="auto"/>
          <w:highlight w:val="none"/>
        </w:rPr>
        <w:t>交通态势平台能够和玉环现有交通管控平台无缝对接，将不同层级的交通态势预警信息推送给交通管控平台，并由后者通过页面弹窗、定向信息等手段通知不同层级领导或交警工作人员。</w:t>
      </w:r>
    </w:p>
    <w:p>
      <w:pPr>
        <w:pStyle w:val="46"/>
        <w:snapToGrid w:val="0"/>
        <w:ind w:left="0" w:leftChars="0" w:firstLine="0" w:firstLineChars="0"/>
        <w:rPr>
          <w:rFonts w:hint="default" w:ascii="宋体" w:hAnsi="宋体" w:eastAsia="宋体" w:cs="宋体"/>
          <w:color w:val="auto"/>
          <w:lang w:val="en-US" w:eastAsia="zh-CN"/>
        </w:rPr>
      </w:pPr>
      <w:r>
        <w:rPr>
          <w:rFonts w:hint="eastAsia" w:ascii="宋体" w:hAnsi="宋体" w:eastAsia="宋体" w:cs="宋体"/>
          <w:b/>
          <w:bCs/>
          <w:color w:val="auto"/>
          <w:lang w:val="en-US" w:eastAsia="zh-CN"/>
        </w:rPr>
        <w:t>★</w:t>
      </w:r>
      <w:r>
        <w:rPr>
          <w:rFonts w:hint="eastAsia" w:cs="宋体"/>
          <w:b/>
          <w:bCs/>
          <w:color w:val="auto"/>
          <w:lang w:val="en-US" w:eastAsia="zh-CN"/>
        </w:rPr>
        <w:t>态势平台数据接入包括（视频专网前端数据及互联网道路拥堵状态数据）。</w:t>
      </w:r>
    </w:p>
    <w:p>
      <w:pPr>
        <w:pStyle w:val="46"/>
        <w:snapToGrid w:val="0"/>
        <w:ind w:firstLine="480"/>
        <w:rPr>
          <w:rFonts w:hint="eastAsia"/>
          <w:color w:val="auto"/>
          <w:highlight w:val="none"/>
        </w:rPr>
      </w:pPr>
    </w:p>
    <w:p>
      <w:pPr>
        <w:pStyle w:val="5"/>
        <w:snapToGrid w:val="0"/>
        <w:spacing w:before="0" w:after="0" w:line="360" w:lineRule="auto"/>
        <w:ind w:left="720" w:hanging="720"/>
        <w:rPr>
          <w:color w:val="auto"/>
          <w:highlight w:val="none"/>
        </w:rPr>
      </w:pPr>
      <w:bookmarkStart w:id="42" w:name="_Toc10102470"/>
      <w:r>
        <w:rPr>
          <w:rFonts w:hint="eastAsia"/>
          <w:color w:val="auto"/>
          <w:highlight w:val="none"/>
        </w:rPr>
        <w:t>主要设备参数性能</w:t>
      </w:r>
      <w:bookmarkEnd w:id="42"/>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lang w:eastAsia="zh-CN"/>
        </w:rPr>
        <w:t>智能交通雷达视频车检设备</w:t>
      </w:r>
    </w:p>
    <w:p>
      <w:pPr>
        <w:pStyle w:val="46"/>
        <w:snapToGrid w:val="0"/>
        <w:ind w:firstLine="480"/>
        <w:rPr>
          <w:rFonts w:hint="eastAsia"/>
          <w:color w:val="auto"/>
          <w:highlight w:val="none"/>
        </w:rPr>
      </w:pPr>
      <w:r>
        <w:rPr>
          <w:rFonts w:hint="eastAsia"/>
          <w:color w:val="auto"/>
          <w:highlight w:val="none"/>
        </w:rPr>
        <w:t>“具有高清视频车检器和高频微波雷达”，可实现对低速/静止目标检测全天候高捕获，覆盖200米，四车道，128个目标，“视频+雷达相配合”，速度距离更精准。</w:t>
      </w:r>
    </w:p>
    <w:p>
      <w:pPr>
        <w:pStyle w:val="46"/>
        <w:snapToGrid w:val="0"/>
        <w:ind w:firstLine="480"/>
        <w:rPr>
          <w:color w:val="auto"/>
          <w:highlight w:val="none"/>
        </w:rPr>
      </w:pPr>
      <w:r>
        <w:rPr>
          <w:rFonts w:hint="eastAsia"/>
          <w:color w:val="auto"/>
          <w:highlight w:val="none"/>
        </w:rPr>
        <w:t>主要技术</w:t>
      </w:r>
      <w:r>
        <w:rPr>
          <w:color w:val="auto"/>
          <w:highlight w:val="none"/>
        </w:rPr>
        <w:t>指标</w:t>
      </w:r>
      <w:r>
        <w:rPr>
          <w:rFonts w:hint="eastAsia"/>
          <w:color w:val="auto"/>
          <w:highlight w:val="none"/>
        </w:rPr>
        <w:t>：</w:t>
      </w:r>
    </w:p>
    <w:p>
      <w:pPr>
        <w:pStyle w:val="46"/>
        <w:numPr>
          <w:ilvl w:val="0"/>
          <w:numId w:val="14"/>
        </w:numPr>
        <w:snapToGrid w:val="0"/>
        <w:ind w:left="0" w:firstLine="480"/>
        <w:rPr>
          <w:color w:val="auto"/>
          <w:highlight w:val="none"/>
        </w:rPr>
      </w:pPr>
      <w:r>
        <w:rPr>
          <w:color w:val="auto"/>
          <w:highlight w:val="none"/>
        </w:rPr>
        <w:t>2</w:t>
      </w:r>
      <w:r>
        <w:rPr>
          <w:rFonts w:hint="eastAsia"/>
          <w:color w:val="auto"/>
          <w:highlight w:val="none"/>
        </w:rPr>
        <w:t>0</w:t>
      </w:r>
      <w:r>
        <w:rPr>
          <w:color w:val="auto"/>
          <w:highlight w:val="none"/>
        </w:rPr>
        <w:t>0</w:t>
      </w:r>
      <w:r>
        <w:rPr>
          <w:rFonts w:hint="eastAsia"/>
          <w:color w:val="auto"/>
          <w:highlight w:val="none"/>
        </w:rPr>
        <w:t>万像素</w:t>
      </w:r>
      <w:r>
        <w:rPr>
          <w:color w:val="auto"/>
          <w:highlight w:val="none"/>
        </w:rPr>
        <w:t xml:space="preserve"> 1</w:t>
      </w:r>
      <w:r>
        <w:rPr>
          <w:rFonts w:hint="eastAsia"/>
          <w:color w:val="auto"/>
          <w:highlight w:val="none"/>
        </w:rPr>
        <w:t>/1.8</w:t>
      </w:r>
      <w:r>
        <w:rPr>
          <w:color w:val="auto"/>
          <w:highlight w:val="none"/>
        </w:rPr>
        <w:t>"</w:t>
      </w:r>
      <w:r>
        <w:rPr>
          <w:rFonts w:hint="eastAsia"/>
          <w:color w:val="auto"/>
          <w:highlight w:val="none"/>
        </w:rPr>
        <w:t xml:space="preserve"> 逐行扫描CMOS实时图像、“</w:t>
      </w:r>
      <w:r>
        <w:rPr>
          <w:color w:val="auto"/>
          <w:highlight w:val="none"/>
        </w:rPr>
        <w:t>视频和雷达</w:t>
      </w:r>
      <w:r>
        <w:rPr>
          <w:rFonts w:hint="eastAsia"/>
          <w:color w:val="auto"/>
          <w:highlight w:val="none"/>
        </w:rPr>
        <w:t>配合”，输出</w:t>
      </w:r>
      <w:r>
        <w:rPr>
          <w:color w:val="auto"/>
          <w:highlight w:val="none"/>
        </w:rPr>
        <w:t>车道、车流量、速度、状态、</w:t>
      </w:r>
      <w:r>
        <w:rPr>
          <w:rFonts w:hint="eastAsia"/>
          <w:color w:val="auto"/>
          <w:highlight w:val="none"/>
        </w:rPr>
        <w:t>队列</w:t>
      </w:r>
      <w:r>
        <w:rPr>
          <w:color w:val="auto"/>
          <w:highlight w:val="none"/>
        </w:rPr>
        <w:t>、时</w:t>
      </w:r>
      <w:r>
        <w:rPr>
          <w:rFonts w:hint="eastAsia"/>
          <w:color w:val="auto"/>
          <w:highlight w:val="none"/>
        </w:rPr>
        <w:t>距、</w:t>
      </w:r>
      <w:r>
        <w:rPr>
          <w:color w:val="auto"/>
          <w:highlight w:val="none"/>
        </w:rPr>
        <w:t>间距、区域停车</w:t>
      </w:r>
      <w:r>
        <w:rPr>
          <w:rFonts w:hint="eastAsia"/>
          <w:color w:val="auto"/>
          <w:highlight w:val="none"/>
        </w:rPr>
        <w:t>数、</w:t>
      </w:r>
      <w:r>
        <w:rPr>
          <w:color w:val="auto"/>
          <w:highlight w:val="none"/>
        </w:rPr>
        <w:t>空间占有率以及时间占有率等多项交通数据，支持智能动态</w:t>
      </w:r>
      <w:r>
        <w:rPr>
          <w:rFonts w:hint="eastAsia"/>
          <w:color w:val="auto"/>
          <w:highlight w:val="none"/>
        </w:rPr>
        <w:t>信息</w:t>
      </w:r>
      <w:r>
        <w:rPr>
          <w:color w:val="auto"/>
          <w:highlight w:val="none"/>
        </w:rPr>
        <w:t>实时显示。</w:t>
      </w:r>
    </w:p>
    <w:p>
      <w:pPr>
        <w:pStyle w:val="46"/>
        <w:numPr>
          <w:ilvl w:val="0"/>
          <w:numId w:val="14"/>
        </w:numPr>
        <w:snapToGrid w:val="0"/>
        <w:ind w:left="0" w:firstLine="480"/>
        <w:rPr>
          <w:color w:val="auto"/>
          <w:highlight w:val="none"/>
        </w:rPr>
      </w:pPr>
      <w:r>
        <w:rPr>
          <w:rFonts w:hint="eastAsia"/>
          <w:color w:val="auto"/>
          <w:highlight w:val="none"/>
        </w:rPr>
        <w:t>支持</w:t>
      </w:r>
      <w:r>
        <w:rPr>
          <w:color w:val="auto"/>
          <w:highlight w:val="none"/>
        </w:rPr>
        <w:t>四车道</w:t>
      </w:r>
      <w:r>
        <w:rPr>
          <w:rFonts w:hint="eastAsia"/>
          <w:color w:val="auto"/>
          <w:highlight w:val="none"/>
        </w:rPr>
        <w:t>数据</w:t>
      </w:r>
      <w:r>
        <w:rPr>
          <w:color w:val="auto"/>
          <w:highlight w:val="none"/>
        </w:rPr>
        <w:t>输出</w:t>
      </w:r>
      <w:r>
        <w:rPr>
          <w:rFonts w:hint="eastAsia"/>
          <w:color w:val="auto"/>
          <w:highlight w:val="none"/>
        </w:rPr>
        <w:t>，支持128个</w:t>
      </w:r>
      <w:r>
        <w:rPr>
          <w:color w:val="auto"/>
          <w:highlight w:val="none"/>
        </w:rPr>
        <w:t>目标</w:t>
      </w:r>
      <w:r>
        <w:rPr>
          <w:rFonts w:hint="eastAsia"/>
          <w:color w:val="auto"/>
          <w:highlight w:val="none"/>
        </w:rPr>
        <w:t>同时</w:t>
      </w:r>
      <w:r>
        <w:rPr>
          <w:color w:val="auto"/>
          <w:highlight w:val="none"/>
        </w:rPr>
        <w:t>检测、支持</w:t>
      </w:r>
      <w:r>
        <w:rPr>
          <w:rFonts w:hint="eastAsia"/>
          <w:color w:val="auto"/>
          <w:highlight w:val="none"/>
        </w:rPr>
        <w:t>场景</w:t>
      </w:r>
      <w:r>
        <w:rPr>
          <w:color w:val="auto"/>
          <w:highlight w:val="none"/>
        </w:rPr>
        <w:t>前后覆盖</w:t>
      </w:r>
      <w:r>
        <w:rPr>
          <w:rFonts w:hint="eastAsia"/>
          <w:color w:val="auto"/>
          <w:highlight w:val="none"/>
        </w:rPr>
        <w:t>200米</w:t>
      </w:r>
    </w:p>
    <w:p>
      <w:pPr>
        <w:pStyle w:val="46"/>
        <w:numPr>
          <w:ilvl w:val="0"/>
          <w:numId w:val="14"/>
        </w:numPr>
        <w:snapToGrid w:val="0"/>
        <w:ind w:left="0" w:firstLine="480"/>
        <w:rPr>
          <w:color w:val="auto"/>
          <w:highlight w:val="none"/>
        </w:rPr>
      </w:pPr>
      <w:r>
        <w:rPr>
          <w:rFonts w:hint="eastAsia"/>
          <w:color w:val="auto"/>
          <w:highlight w:val="none"/>
        </w:rPr>
        <w:t>支持车道流量统计功能</w:t>
      </w:r>
    </w:p>
    <w:p>
      <w:pPr>
        <w:pStyle w:val="46"/>
        <w:numPr>
          <w:ilvl w:val="0"/>
          <w:numId w:val="14"/>
        </w:numPr>
        <w:snapToGrid w:val="0"/>
        <w:ind w:left="0" w:firstLine="480"/>
        <w:rPr>
          <w:color w:val="auto"/>
          <w:highlight w:val="none"/>
        </w:rPr>
      </w:pPr>
      <w:r>
        <w:rPr>
          <w:rFonts w:hint="eastAsia"/>
          <w:color w:val="auto"/>
          <w:highlight w:val="none"/>
        </w:rPr>
        <w:t>支持平均车速统计和</w:t>
      </w:r>
      <w:r>
        <w:rPr>
          <w:color w:val="auto"/>
          <w:highlight w:val="none"/>
        </w:rPr>
        <w:t>目标车速显示功能</w:t>
      </w:r>
    </w:p>
    <w:p>
      <w:pPr>
        <w:pStyle w:val="46"/>
        <w:numPr>
          <w:ilvl w:val="0"/>
          <w:numId w:val="14"/>
        </w:numPr>
        <w:snapToGrid w:val="0"/>
        <w:ind w:left="0" w:firstLine="480"/>
        <w:rPr>
          <w:color w:val="auto"/>
          <w:highlight w:val="none"/>
        </w:rPr>
      </w:pPr>
      <w:r>
        <w:rPr>
          <w:rFonts w:hint="eastAsia"/>
          <w:color w:val="auto"/>
          <w:highlight w:val="none"/>
        </w:rPr>
        <w:t>支持车头</w:t>
      </w:r>
      <w:r>
        <w:rPr>
          <w:color w:val="auto"/>
          <w:highlight w:val="none"/>
        </w:rPr>
        <w:t>时距</w:t>
      </w:r>
      <w:r>
        <w:rPr>
          <w:rFonts w:hint="eastAsia"/>
          <w:color w:val="auto"/>
          <w:highlight w:val="none"/>
        </w:rPr>
        <w:t>和</w:t>
      </w:r>
      <w:r>
        <w:rPr>
          <w:color w:val="auto"/>
          <w:highlight w:val="none"/>
        </w:rPr>
        <w:t>间距统计功能</w:t>
      </w:r>
    </w:p>
    <w:p>
      <w:pPr>
        <w:pStyle w:val="46"/>
        <w:numPr>
          <w:ilvl w:val="0"/>
          <w:numId w:val="14"/>
        </w:numPr>
        <w:snapToGrid w:val="0"/>
        <w:ind w:left="0" w:firstLine="480"/>
        <w:rPr>
          <w:color w:val="auto"/>
          <w:highlight w:val="none"/>
        </w:rPr>
      </w:pPr>
      <w:r>
        <w:rPr>
          <w:rFonts w:hint="eastAsia"/>
          <w:color w:val="auto"/>
          <w:highlight w:val="none"/>
        </w:rPr>
        <w:t>支持车道</w:t>
      </w:r>
      <w:r>
        <w:rPr>
          <w:color w:val="auto"/>
          <w:highlight w:val="none"/>
        </w:rPr>
        <w:t>时间占有率和空间占有率统计功能</w:t>
      </w:r>
    </w:p>
    <w:p>
      <w:pPr>
        <w:pStyle w:val="46"/>
        <w:numPr>
          <w:ilvl w:val="0"/>
          <w:numId w:val="14"/>
        </w:numPr>
        <w:snapToGrid w:val="0"/>
        <w:ind w:left="0" w:firstLine="480"/>
        <w:rPr>
          <w:color w:val="auto"/>
          <w:highlight w:val="none"/>
        </w:rPr>
      </w:pPr>
      <w:r>
        <w:rPr>
          <w:rFonts w:hint="eastAsia"/>
          <w:color w:val="auto"/>
          <w:highlight w:val="none"/>
        </w:rPr>
        <w:t>支持</w:t>
      </w:r>
      <w:r>
        <w:rPr>
          <w:color w:val="auto"/>
          <w:highlight w:val="none"/>
        </w:rPr>
        <w:t>车道排队长度识别</w:t>
      </w:r>
      <w:r>
        <w:rPr>
          <w:rFonts w:hint="eastAsia"/>
          <w:color w:val="auto"/>
          <w:highlight w:val="none"/>
        </w:rPr>
        <w:t>和</w:t>
      </w:r>
      <w:r>
        <w:rPr>
          <w:color w:val="auto"/>
          <w:highlight w:val="none"/>
        </w:rPr>
        <w:t>统计功能</w:t>
      </w:r>
    </w:p>
    <w:p>
      <w:pPr>
        <w:pStyle w:val="46"/>
        <w:numPr>
          <w:ilvl w:val="0"/>
          <w:numId w:val="14"/>
        </w:numPr>
        <w:snapToGrid w:val="0"/>
        <w:ind w:left="0" w:firstLine="480"/>
        <w:rPr>
          <w:color w:val="auto"/>
          <w:highlight w:val="none"/>
        </w:rPr>
      </w:pPr>
      <w:r>
        <w:rPr>
          <w:rFonts w:hint="eastAsia"/>
          <w:color w:val="auto"/>
          <w:highlight w:val="none"/>
        </w:rPr>
        <w:t>支持</w:t>
      </w:r>
      <w:r>
        <w:rPr>
          <w:color w:val="auto"/>
          <w:highlight w:val="none"/>
        </w:rPr>
        <w:t>车辆类型识别和</w:t>
      </w:r>
      <w:r>
        <w:rPr>
          <w:rFonts w:hint="eastAsia"/>
          <w:color w:val="auto"/>
          <w:highlight w:val="none"/>
        </w:rPr>
        <w:t>统计</w:t>
      </w:r>
      <w:r>
        <w:rPr>
          <w:color w:val="auto"/>
          <w:highlight w:val="none"/>
        </w:rPr>
        <w:t>功能</w:t>
      </w:r>
    </w:p>
    <w:p>
      <w:pPr>
        <w:pStyle w:val="46"/>
        <w:numPr>
          <w:ilvl w:val="0"/>
          <w:numId w:val="14"/>
        </w:numPr>
        <w:snapToGrid w:val="0"/>
        <w:ind w:left="0" w:firstLine="480"/>
        <w:rPr>
          <w:color w:val="auto"/>
          <w:highlight w:val="none"/>
        </w:rPr>
      </w:pPr>
      <w:r>
        <w:rPr>
          <w:rFonts w:hint="eastAsia"/>
          <w:color w:val="auto"/>
          <w:highlight w:val="none"/>
        </w:rPr>
        <w:t>支持</w:t>
      </w:r>
      <w:r>
        <w:rPr>
          <w:color w:val="auto"/>
          <w:highlight w:val="none"/>
        </w:rPr>
        <w:t>车道</w:t>
      </w:r>
      <w:r>
        <w:rPr>
          <w:rFonts w:hint="eastAsia"/>
          <w:color w:val="auto"/>
          <w:highlight w:val="none"/>
        </w:rPr>
        <w:t>通行</w:t>
      </w:r>
      <w:r>
        <w:rPr>
          <w:color w:val="auto"/>
          <w:highlight w:val="none"/>
        </w:rPr>
        <w:t>状态识别</w:t>
      </w:r>
      <w:r>
        <w:rPr>
          <w:rFonts w:hint="eastAsia"/>
          <w:color w:val="auto"/>
          <w:highlight w:val="none"/>
        </w:rPr>
        <w:t>和</w:t>
      </w:r>
      <w:r>
        <w:rPr>
          <w:color w:val="auto"/>
          <w:highlight w:val="none"/>
        </w:rPr>
        <w:t>统计功能</w:t>
      </w:r>
    </w:p>
    <w:p>
      <w:pPr>
        <w:pStyle w:val="46"/>
        <w:numPr>
          <w:ilvl w:val="0"/>
          <w:numId w:val="14"/>
        </w:numPr>
        <w:snapToGrid w:val="0"/>
        <w:ind w:left="0" w:firstLine="480"/>
        <w:rPr>
          <w:color w:val="auto"/>
          <w:highlight w:val="none"/>
        </w:rPr>
      </w:pPr>
      <w:r>
        <w:rPr>
          <w:rFonts w:hint="eastAsia"/>
          <w:color w:val="auto"/>
          <w:highlight w:val="none"/>
        </w:rPr>
        <w:t>支持</w:t>
      </w:r>
      <w:r>
        <w:rPr>
          <w:rFonts w:hint="eastAsia"/>
          <w:color w:val="auto"/>
          <w:highlight w:val="none"/>
          <w:lang w:eastAsia="zh-CN"/>
        </w:rPr>
        <w:t>车辆视频抓拍和车牌识别功能</w:t>
      </w:r>
    </w:p>
    <w:p>
      <w:pPr>
        <w:pStyle w:val="46"/>
        <w:numPr>
          <w:ilvl w:val="0"/>
          <w:numId w:val="14"/>
        </w:numPr>
        <w:snapToGrid w:val="0"/>
        <w:ind w:left="0" w:firstLine="480"/>
        <w:rPr>
          <w:color w:val="auto"/>
          <w:highlight w:val="none"/>
        </w:rPr>
      </w:pPr>
      <w:r>
        <w:rPr>
          <w:rFonts w:hint="eastAsia"/>
          <w:color w:val="auto"/>
          <w:highlight w:val="none"/>
        </w:rPr>
        <w:t>通讯</w:t>
      </w:r>
      <w:r>
        <w:rPr>
          <w:color w:val="auto"/>
          <w:highlight w:val="none"/>
        </w:rPr>
        <w:t>接口：</w:t>
      </w:r>
      <w:r>
        <w:rPr>
          <w:rFonts w:hint="eastAsia"/>
          <w:color w:val="auto"/>
          <w:highlight w:val="none"/>
        </w:rPr>
        <w:t>支持RJ45 10M/100M</w:t>
      </w:r>
      <w:r>
        <w:rPr>
          <w:color w:val="auto"/>
          <w:highlight w:val="none"/>
        </w:rPr>
        <w:t>/1000M</w:t>
      </w:r>
      <w:r>
        <w:rPr>
          <w:rFonts w:hint="eastAsia"/>
          <w:color w:val="auto"/>
          <w:highlight w:val="none"/>
        </w:rPr>
        <w:t>自适应以太网口，RS-485接口，RS-232接口</w:t>
      </w:r>
    </w:p>
    <w:p>
      <w:pPr>
        <w:pStyle w:val="46"/>
        <w:numPr>
          <w:ilvl w:val="0"/>
          <w:numId w:val="14"/>
        </w:numPr>
        <w:snapToGrid w:val="0"/>
        <w:ind w:left="0" w:firstLine="480"/>
        <w:rPr>
          <w:color w:val="auto"/>
          <w:highlight w:val="none"/>
        </w:rPr>
      </w:pPr>
      <w:r>
        <w:rPr>
          <w:rFonts w:hint="eastAsia"/>
          <w:color w:val="auto"/>
          <w:highlight w:val="none"/>
        </w:rPr>
        <w:t>工作温度</w:t>
      </w:r>
      <w:r>
        <w:rPr>
          <w:color w:val="auto"/>
          <w:highlight w:val="none"/>
        </w:rPr>
        <w:t>和</w:t>
      </w:r>
      <w:r>
        <w:rPr>
          <w:rFonts w:hint="eastAsia"/>
          <w:color w:val="auto"/>
          <w:highlight w:val="none"/>
        </w:rPr>
        <w:t>湿度</w:t>
      </w:r>
      <w:r>
        <w:rPr>
          <w:color w:val="auto"/>
          <w:highlight w:val="none"/>
        </w:rPr>
        <w:t>：</w:t>
      </w:r>
      <w:r>
        <w:rPr>
          <w:rFonts w:hint="eastAsia"/>
          <w:color w:val="auto"/>
          <w:highlight w:val="none"/>
        </w:rPr>
        <w:t>-30℃~70℃，湿度小于95%(无凝结)</w:t>
      </w:r>
    </w:p>
    <w:p>
      <w:pPr>
        <w:pStyle w:val="46"/>
        <w:numPr>
          <w:ilvl w:val="0"/>
          <w:numId w:val="14"/>
        </w:numPr>
        <w:snapToGrid w:val="0"/>
        <w:ind w:left="0" w:firstLine="480"/>
        <w:rPr>
          <w:color w:val="auto"/>
          <w:highlight w:val="none"/>
        </w:rPr>
      </w:pPr>
      <w:r>
        <w:rPr>
          <w:rFonts w:hint="eastAsia"/>
          <w:color w:val="auto"/>
          <w:highlight w:val="none"/>
        </w:rPr>
        <w:t>电源</w:t>
      </w:r>
      <w:r>
        <w:rPr>
          <w:color w:val="auto"/>
          <w:highlight w:val="none"/>
        </w:rPr>
        <w:t>：</w:t>
      </w:r>
      <w:r>
        <w:rPr>
          <w:rFonts w:hint="eastAsia"/>
          <w:color w:val="auto"/>
          <w:highlight w:val="none"/>
        </w:rPr>
        <w:t>AC24V±10</w:t>
      </w:r>
      <w:r>
        <w:rPr>
          <w:color w:val="auto"/>
          <w:highlight w:val="none"/>
        </w:rPr>
        <w:t>%</w:t>
      </w:r>
      <w:r>
        <w:rPr>
          <w:rFonts w:hint="eastAsia"/>
          <w:color w:val="auto"/>
          <w:highlight w:val="none"/>
        </w:rPr>
        <w:t>；</w:t>
      </w:r>
      <w:r>
        <w:rPr>
          <w:color w:val="auto"/>
          <w:highlight w:val="none"/>
        </w:rPr>
        <w:t>功耗：</w:t>
      </w:r>
      <w:r>
        <w:rPr>
          <w:rFonts w:hint="eastAsia"/>
          <w:color w:val="auto"/>
          <w:highlight w:val="none"/>
        </w:rPr>
        <w:t>25</w:t>
      </w:r>
      <w:r>
        <w:rPr>
          <w:color w:val="auto"/>
          <w:highlight w:val="none"/>
        </w:rPr>
        <w:t>W MAX</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数据接入、系统应用部署和数据库服务服务器</w:t>
      </w:r>
    </w:p>
    <w:p>
      <w:pPr>
        <w:snapToGrid w:val="0"/>
        <w:spacing w:line="360" w:lineRule="auto"/>
        <w:ind w:firstLine="480" w:firstLineChars="200"/>
        <w:rPr>
          <w:color w:val="auto"/>
          <w:sz w:val="24"/>
          <w:szCs w:val="21"/>
          <w:highlight w:val="none"/>
        </w:rPr>
      </w:pPr>
      <w:r>
        <w:rPr>
          <w:rFonts w:hint="eastAsia"/>
          <w:color w:val="auto"/>
          <w:sz w:val="24"/>
          <w:szCs w:val="21"/>
          <w:highlight w:val="none"/>
        </w:rPr>
        <w:t>4114(10核2.2GHz)×2/128GB DDR4/600G 10K SAS×2（raid1）/1.2T 10K SAS×8（raid 10）/SAS_HBA/1GbE×4+10GbE×2/2U电源：1+1冗余电源，操作系统：CentOS 6.8标准版</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大数据分析计算服务器</w:t>
      </w:r>
    </w:p>
    <w:p>
      <w:pPr>
        <w:snapToGrid w:val="0"/>
        <w:spacing w:line="360" w:lineRule="auto"/>
        <w:ind w:firstLine="480" w:firstLineChars="200"/>
        <w:rPr>
          <w:color w:val="auto"/>
          <w:sz w:val="24"/>
          <w:szCs w:val="21"/>
          <w:highlight w:val="none"/>
        </w:rPr>
      </w:pPr>
      <w:r>
        <w:rPr>
          <w:rFonts w:hint="eastAsia"/>
          <w:color w:val="auto"/>
          <w:sz w:val="24"/>
          <w:szCs w:val="21"/>
          <w:highlight w:val="none"/>
        </w:rPr>
        <w:t>4114(10核2.2GHz)×2/128GB DDR4/600G 10K SAS×2（raid1）/1.2T 10K SAS×8（raid 10）/SAS_HBA/1GbE×4+10GbE×2/2U电源：1+1冗余电源，操作系统：CentOS 6.8标准版</w:t>
      </w:r>
    </w:p>
    <w:p>
      <w:pPr>
        <w:pStyle w:val="4"/>
        <w:snapToGrid w:val="0"/>
        <w:spacing w:before="0" w:after="0" w:line="360" w:lineRule="auto"/>
        <w:ind w:left="576" w:hanging="576"/>
        <w:rPr>
          <w:color w:val="auto"/>
          <w:highlight w:val="none"/>
        </w:rPr>
      </w:pPr>
      <w:bookmarkStart w:id="43" w:name="_Toc5268230"/>
      <w:bookmarkStart w:id="44" w:name="_Toc4419423"/>
      <w:bookmarkStart w:id="45" w:name="_Toc10102471"/>
      <w:r>
        <w:rPr>
          <w:rFonts w:hint="eastAsia"/>
          <w:color w:val="auto"/>
          <w:highlight w:val="none"/>
        </w:rPr>
        <w:t>市区中队警用摩托勤务管理</w:t>
      </w:r>
      <w:bookmarkEnd w:id="43"/>
      <w:bookmarkEnd w:id="44"/>
      <w:r>
        <w:rPr>
          <w:rFonts w:hint="eastAsia"/>
          <w:color w:val="auto"/>
          <w:highlight w:val="none"/>
        </w:rPr>
        <w:t>系统</w:t>
      </w:r>
      <w:bookmarkEnd w:id="45"/>
    </w:p>
    <w:p>
      <w:pPr>
        <w:pStyle w:val="5"/>
        <w:snapToGrid w:val="0"/>
        <w:spacing w:before="0" w:after="0" w:line="360" w:lineRule="auto"/>
        <w:ind w:left="720" w:hanging="720"/>
        <w:rPr>
          <w:color w:val="auto"/>
          <w:highlight w:val="none"/>
        </w:rPr>
      </w:pPr>
      <w:bookmarkStart w:id="46" w:name="_Toc4419424"/>
      <w:bookmarkStart w:id="47" w:name="_Toc10102472"/>
      <w:bookmarkStart w:id="48" w:name="_Toc510426758"/>
      <w:r>
        <w:rPr>
          <w:rFonts w:hint="eastAsia"/>
          <w:color w:val="auto"/>
          <w:highlight w:val="none"/>
        </w:rPr>
        <w:t>系统概述</w:t>
      </w:r>
      <w:bookmarkEnd w:id="46"/>
      <w:bookmarkEnd w:id="47"/>
      <w:bookmarkEnd w:id="48"/>
    </w:p>
    <w:p>
      <w:pPr>
        <w:pStyle w:val="47"/>
        <w:snapToGrid w:val="0"/>
        <w:ind w:firstLine="480"/>
        <w:rPr>
          <w:rFonts w:ascii="宋体" w:hAnsi="宋体"/>
          <w:color w:val="auto"/>
          <w:highlight w:val="none"/>
        </w:rPr>
      </w:pPr>
      <w:r>
        <w:rPr>
          <w:rFonts w:hint="eastAsia" w:ascii="宋体" w:hAnsi="宋体"/>
          <w:color w:val="auto"/>
          <w:highlight w:val="none"/>
        </w:rPr>
        <w:t>为保证玉环主干道路的顺利通行，玉环交警市区中队配有警用摩托，为保证相关设备和执勤人员的执勤效率更加规范化、合理化，本次方案计划为市区中队设计一到警用摩托勤务管理系统。系统通过采集录入本地警力资源，实现警务资源排班和警务出勤考核功能，进而为指挥中心实现扁平化指挥，快速警力调度提供有力保障。</w:t>
      </w:r>
    </w:p>
    <w:p>
      <w:pPr>
        <w:pStyle w:val="5"/>
        <w:snapToGrid w:val="0"/>
        <w:spacing w:before="0" w:after="0" w:line="360" w:lineRule="auto"/>
        <w:ind w:left="720" w:hanging="720"/>
        <w:rPr>
          <w:color w:val="auto"/>
          <w:highlight w:val="none"/>
        </w:rPr>
      </w:pPr>
      <w:bookmarkStart w:id="49" w:name="_Toc510426759"/>
      <w:bookmarkStart w:id="50" w:name="_Toc10102473"/>
      <w:bookmarkStart w:id="51" w:name="_Toc4419425"/>
      <w:r>
        <w:rPr>
          <w:rFonts w:hint="eastAsia"/>
          <w:color w:val="auto"/>
          <w:highlight w:val="none"/>
        </w:rPr>
        <w:t>系统功能</w:t>
      </w:r>
      <w:bookmarkEnd w:id="49"/>
      <w:bookmarkEnd w:id="50"/>
      <w:bookmarkEnd w:id="51"/>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警力资源定位</w:t>
      </w:r>
    </w:p>
    <w:p>
      <w:pPr>
        <w:pStyle w:val="47"/>
        <w:snapToGrid w:val="0"/>
        <w:ind w:firstLine="480"/>
        <w:rPr>
          <w:rFonts w:ascii="宋体" w:hAnsi="宋体"/>
          <w:color w:val="auto"/>
          <w:highlight w:val="none"/>
        </w:rPr>
      </w:pPr>
      <w:r>
        <w:rPr>
          <w:rFonts w:hint="eastAsia" w:ascii="宋体" w:hAnsi="宋体"/>
          <w:color w:val="auto"/>
          <w:highlight w:val="none"/>
        </w:rPr>
        <w:t>传统的指挥调度经常面临难以快速、真实、全面、直观的掌握警力资源状态、跟踪警力资源。本功能通过GIS地图定位警力位置，并实时下达指令进行指挥。</w:t>
      </w:r>
    </w:p>
    <w:p>
      <w:pPr>
        <w:pStyle w:val="47"/>
        <w:numPr>
          <w:ilvl w:val="0"/>
          <w:numId w:val="15"/>
        </w:numPr>
        <w:snapToGrid w:val="0"/>
        <w:ind w:firstLineChars="0"/>
        <w:rPr>
          <w:rFonts w:ascii="宋体" w:hAnsi="宋体"/>
          <w:color w:val="auto"/>
          <w:highlight w:val="none"/>
        </w:rPr>
      </w:pPr>
      <w:r>
        <w:rPr>
          <w:rFonts w:hint="eastAsia" w:ascii="宋体" w:hAnsi="宋体"/>
          <w:color w:val="auto"/>
          <w:highlight w:val="none"/>
        </w:rPr>
        <w:t>警力关注</w:t>
      </w:r>
    </w:p>
    <w:p>
      <w:pPr>
        <w:pStyle w:val="47"/>
        <w:snapToGrid w:val="0"/>
        <w:ind w:firstLine="480"/>
        <w:rPr>
          <w:color w:val="auto"/>
          <w:highlight w:val="none"/>
        </w:rPr>
      </w:pPr>
      <w:r>
        <w:rPr>
          <w:rFonts w:hint="eastAsia" w:ascii="宋体" w:hAnsi="宋体"/>
          <w:color w:val="auto"/>
          <w:highlight w:val="none"/>
        </w:rPr>
        <w:t>支持用户通过警力资源定位模块时依旧能查看关注的警力卫星定位设备在地图上的位置。可查看警力车辆的车速、行驶轨迹。</w:t>
      </w:r>
    </w:p>
    <w:p>
      <w:pPr>
        <w:pStyle w:val="47"/>
        <w:numPr>
          <w:ilvl w:val="0"/>
          <w:numId w:val="15"/>
        </w:numPr>
        <w:snapToGrid w:val="0"/>
        <w:ind w:firstLineChars="0"/>
        <w:rPr>
          <w:rFonts w:ascii="宋体" w:hAnsi="宋体"/>
          <w:color w:val="auto"/>
          <w:highlight w:val="none"/>
        </w:rPr>
      </w:pPr>
      <w:r>
        <w:rPr>
          <w:rFonts w:hint="eastAsia" w:ascii="宋体" w:hAnsi="宋体"/>
          <w:color w:val="auto"/>
          <w:highlight w:val="none"/>
        </w:rPr>
        <w:t>定位跟踪</w:t>
      </w:r>
    </w:p>
    <w:p>
      <w:pPr>
        <w:pStyle w:val="47"/>
        <w:snapToGrid w:val="0"/>
        <w:ind w:firstLine="480"/>
        <w:rPr>
          <w:rFonts w:ascii="宋体" w:hAnsi="宋体"/>
          <w:color w:val="auto"/>
          <w:highlight w:val="none"/>
        </w:rPr>
      </w:pPr>
      <w:r>
        <w:rPr>
          <w:rFonts w:hint="eastAsia" w:ascii="宋体" w:hAnsi="宋体"/>
          <w:color w:val="auto"/>
          <w:highlight w:val="none"/>
        </w:rPr>
        <w:t>当跟踪的设备不在视野范围内时，地图将会自动移动到设备在可视范围内；支持定位信息在线、离线等状态的展示。</w:t>
      </w:r>
    </w:p>
    <w:p>
      <w:pPr>
        <w:pStyle w:val="47"/>
        <w:numPr>
          <w:ilvl w:val="0"/>
          <w:numId w:val="15"/>
        </w:numPr>
        <w:snapToGrid w:val="0"/>
        <w:ind w:firstLineChars="0"/>
        <w:rPr>
          <w:rFonts w:ascii="宋体" w:hAnsi="宋体"/>
          <w:color w:val="auto"/>
          <w:highlight w:val="none"/>
        </w:rPr>
      </w:pPr>
      <w:r>
        <w:rPr>
          <w:rFonts w:hint="eastAsia" w:ascii="宋体" w:hAnsi="宋体"/>
          <w:color w:val="auto"/>
          <w:highlight w:val="none"/>
        </w:rPr>
        <w:t>视频监控</w:t>
      </w:r>
    </w:p>
    <w:p>
      <w:pPr>
        <w:pStyle w:val="47"/>
        <w:snapToGrid w:val="0"/>
        <w:ind w:firstLine="480"/>
        <w:rPr>
          <w:rFonts w:ascii="宋体" w:hAnsi="宋体"/>
          <w:color w:val="auto"/>
          <w:highlight w:val="none"/>
        </w:rPr>
      </w:pPr>
      <w:r>
        <w:rPr>
          <w:rFonts w:hint="eastAsia" w:ascii="宋体" w:hAnsi="宋体"/>
          <w:color w:val="auto"/>
          <w:highlight w:val="none"/>
        </w:rPr>
        <w:t>支持定位信息关联的视频预览、上墙等操作。</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排班管理</w:t>
      </w:r>
    </w:p>
    <w:p>
      <w:pPr>
        <w:pStyle w:val="47"/>
        <w:snapToGrid w:val="0"/>
        <w:ind w:firstLine="480"/>
        <w:rPr>
          <w:rFonts w:ascii="宋体" w:hAnsi="宋体"/>
          <w:color w:val="auto"/>
          <w:highlight w:val="none"/>
        </w:rPr>
      </w:pPr>
      <w:r>
        <w:rPr>
          <w:rFonts w:hint="eastAsia" w:ascii="宋体" w:hAnsi="宋体"/>
          <w:color w:val="auto"/>
          <w:highlight w:val="none"/>
        </w:rPr>
        <w:t>结合警力资源信息、人员请假信息，对所有值班和执勤人员进行排班。勤务管理的排班管理功能支持周模板、月模板、可通过此模块实现勤务警员的排班管理。支持周排班模板的复制，支持排班警员请假、调班管理、根据事件和勤务信息分配警员工作。</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勤务监控</w:t>
      </w:r>
    </w:p>
    <w:p>
      <w:pPr>
        <w:pStyle w:val="47"/>
        <w:snapToGrid w:val="0"/>
        <w:ind w:firstLine="480"/>
        <w:rPr>
          <w:rFonts w:ascii="宋体" w:hAnsi="宋体"/>
          <w:color w:val="auto"/>
          <w:highlight w:val="none"/>
        </w:rPr>
      </w:pPr>
      <w:r>
        <w:rPr>
          <w:rFonts w:hint="eastAsia" w:ascii="宋体" w:hAnsi="宋体"/>
          <w:color w:val="auto"/>
          <w:highlight w:val="none"/>
        </w:rPr>
        <w:t>勤务监控功能可实现用户在地图直观绘制警员出勤、巡逻路线，实现勤务路线的管理。</w:t>
      </w:r>
    </w:p>
    <w:p>
      <w:pPr>
        <w:pStyle w:val="47"/>
        <w:snapToGrid w:val="0"/>
        <w:ind w:firstLine="480"/>
        <w:rPr>
          <w:rFonts w:ascii="宋体" w:hAnsi="宋体"/>
          <w:color w:val="auto"/>
          <w:highlight w:val="none"/>
        </w:rPr>
      </w:pPr>
      <w:r>
        <w:rPr>
          <w:rFonts w:hint="eastAsia" w:ascii="宋体" w:hAnsi="宋体"/>
          <w:color w:val="auto"/>
          <w:highlight w:val="none"/>
        </w:rPr>
        <w:t>对配备有定位设备的警员、警车进行执勤跟踪，如果在执勤过程中发现收集到的定位信息偏离出勤路线一定范围，会自动判断越界报警，将报警信息上传中心。</w:t>
      </w:r>
    </w:p>
    <w:p>
      <w:pPr>
        <w:pStyle w:val="47"/>
        <w:snapToGrid w:val="0"/>
        <w:ind w:firstLine="480"/>
        <w:rPr>
          <w:rFonts w:ascii="宋体" w:hAnsi="宋体"/>
          <w:color w:val="auto"/>
          <w:highlight w:val="none"/>
        </w:rPr>
      </w:pPr>
      <w:r>
        <w:rPr>
          <w:rFonts w:hint="eastAsia" w:ascii="宋体" w:hAnsi="宋体"/>
          <w:color w:val="auto"/>
          <w:highlight w:val="none"/>
        </w:rPr>
        <w:t>系统支持移动警务车辆、手持终端定位信息在地图上的实时位置展示和历史轨迹回放，中心指挥调度人员可掌握警力资源分布情况、调阅移动警务车辆实时视频。</w:t>
      </w:r>
    </w:p>
    <w:p>
      <w:pPr>
        <w:pStyle w:val="5"/>
        <w:snapToGrid w:val="0"/>
        <w:spacing w:before="0" w:after="0" w:line="360" w:lineRule="auto"/>
        <w:ind w:left="720" w:hanging="720"/>
        <w:rPr>
          <w:color w:val="auto"/>
          <w:highlight w:val="none"/>
        </w:rPr>
      </w:pPr>
      <w:bookmarkStart w:id="52" w:name="_Toc10102474"/>
      <w:r>
        <w:rPr>
          <w:rFonts w:hint="eastAsia"/>
          <w:color w:val="auto"/>
          <w:highlight w:val="none"/>
        </w:rPr>
        <w:t>车载动态取证系统方案</w:t>
      </w:r>
      <w:bookmarkEnd w:id="52"/>
    </w:p>
    <w:p>
      <w:pPr>
        <w:pStyle w:val="47"/>
        <w:snapToGrid w:val="0"/>
        <w:ind w:firstLine="480"/>
        <w:rPr>
          <w:rFonts w:ascii="宋体" w:hAnsi="宋体"/>
          <w:color w:val="auto"/>
          <w:highlight w:val="none"/>
        </w:rPr>
      </w:pPr>
      <w:r>
        <w:rPr>
          <w:rFonts w:hint="eastAsia" w:ascii="宋体" w:hAnsi="宋体"/>
          <w:color w:val="auto"/>
          <w:highlight w:val="none"/>
        </w:rPr>
        <w:t>根据用户实际要求，为了进一步强化勤务体制改革，提高执勤效率，加强指挥中心与一线的联勤联动，实现高效勤务，灵活指挥的目的，建设一套车载动态取证系统。</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系统功能</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视频录像功能</w:t>
      </w:r>
    </w:p>
    <w:p>
      <w:pPr>
        <w:pStyle w:val="47"/>
        <w:snapToGrid w:val="0"/>
        <w:ind w:firstLine="480"/>
        <w:rPr>
          <w:rFonts w:ascii="宋体" w:hAnsi="宋体"/>
          <w:color w:val="auto"/>
          <w:highlight w:val="none"/>
        </w:rPr>
      </w:pPr>
      <w:r>
        <w:rPr>
          <w:rFonts w:hint="eastAsia" w:ascii="宋体" w:hAnsi="宋体"/>
          <w:color w:val="auto"/>
          <w:highlight w:val="none"/>
        </w:rPr>
        <w:t>移动前端均具有视频录像功能，支持全天候自动录像和手动录像。用户可通过客户端或显示屏现场观看录像和抓拍图片情况。用户可根据需要设置录像参数，可设置录像画质质量，像素，图像存储格式，录像打包时间等。</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车牌自动识别功能</w:t>
      </w:r>
    </w:p>
    <w:p>
      <w:pPr>
        <w:pStyle w:val="47"/>
        <w:snapToGrid w:val="0"/>
        <w:ind w:firstLine="480"/>
        <w:rPr>
          <w:rFonts w:ascii="宋体" w:hAnsi="宋体"/>
          <w:color w:val="auto"/>
          <w:highlight w:val="none"/>
        </w:rPr>
      </w:pPr>
      <w:r>
        <w:rPr>
          <w:rFonts w:hint="eastAsia" w:ascii="宋体" w:hAnsi="宋体"/>
          <w:color w:val="auto"/>
          <w:highlight w:val="none"/>
        </w:rPr>
        <w:t>工作在卡口取证模式下的设备前端，支持自动对车辆牌照进行识别，包括车牌号码、车牌颜色的识别。</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车辆图像记录功能</w:t>
      </w:r>
    </w:p>
    <w:p>
      <w:pPr>
        <w:pStyle w:val="47"/>
        <w:snapToGrid w:val="0"/>
        <w:ind w:firstLine="480"/>
        <w:rPr>
          <w:rFonts w:ascii="宋体" w:hAnsi="宋体"/>
          <w:color w:val="auto"/>
          <w:highlight w:val="none"/>
        </w:rPr>
      </w:pPr>
      <w:r>
        <w:rPr>
          <w:rFonts w:hint="eastAsia" w:ascii="宋体" w:hAnsi="宋体"/>
          <w:color w:val="auto"/>
          <w:highlight w:val="none"/>
        </w:rPr>
        <w:t>系统能够准确捕获、记录通行车辆信息。记录的车辆信息除包含图像信息外，还包括文本信息，如日期、时间（精确到毫秒）、地点（GPS）、号牌号码、号牌颜色、车身颜色等。车辆信息写入关联数据库，并将相关文本信息叠加到图片上。</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违法抓拍功能</w:t>
      </w:r>
    </w:p>
    <w:p>
      <w:pPr>
        <w:pStyle w:val="47"/>
        <w:snapToGrid w:val="0"/>
        <w:ind w:firstLine="480"/>
        <w:rPr>
          <w:rFonts w:ascii="宋体" w:hAnsi="宋体"/>
          <w:color w:val="auto"/>
          <w:highlight w:val="none"/>
        </w:rPr>
      </w:pPr>
      <w:r>
        <w:rPr>
          <w:rFonts w:hint="eastAsia" w:ascii="宋体" w:hAnsi="宋体"/>
          <w:color w:val="auto"/>
          <w:highlight w:val="none"/>
        </w:rPr>
        <w:t>车载取证云台支持自动抓拍车辆违法行为，如可以实现机占非、机动车占用专用车道等违法抓拍；车载全景云台可实现车辆违停行为的自动抓拍取证，自动记录车辆违法图像取证数据，并上传到中心平台。</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实时定位功能</w:t>
      </w:r>
    </w:p>
    <w:p>
      <w:pPr>
        <w:pStyle w:val="47"/>
        <w:snapToGrid w:val="0"/>
        <w:ind w:firstLine="480"/>
        <w:rPr>
          <w:rFonts w:ascii="宋体" w:hAnsi="宋体"/>
          <w:color w:val="auto"/>
          <w:highlight w:val="none"/>
        </w:rPr>
      </w:pPr>
      <w:r>
        <w:rPr>
          <w:rFonts w:hint="eastAsia" w:ascii="宋体" w:hAnsi="宋体"/>
          <w:color w:val="auto"/>
          <w:highlight w:val="none"/>
        </w:rPr>
        <w:t>前端设备支持GPS和北斗双模定位（选装），可实时定位警车、警员的实时位置信息并上报给中心进行存储。中心可实时查看前端设备的定位位置信息，并查询设备的历史定位轨迹信息。</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实时预览功能</w:t>
      </w:r>
    </w:p>
    <w:p>
      <w:pPr>
        <w:pStyle w:val="47"/>
        <w:snapToGrid w:val="0"/>
        <w:ind w:firstLine="480"/>
        <w:rPr>
          <w:rFonts w:ascii="宋体" w:hAnsi="宋体"/>
          <w:color w:val="auto"/>
          <w:highlight w:val="none"/>
        </w:rPr>
      </w:pPr>
      <w:r>
        <w:rPr>
          <w:rFonts w:hint="eastAsia" w:ascii="宋体" w:hAnsi="宋体"/>
          <w:color w:val="auto"/>
          <w:highlight w:val="none"/>
        </w:rPr>
        <w:t>系统支持实时预览在线的移动前端视频画面，为了保证传输视频画面的流量消耗，系统默认请求的是前端子码流传输。</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布控黑名单管理与同步功能</w:t>
      </w:r>
    </w:p>
    <w:p>
      <w:pPr>
        <w:pStyle w:val="47"/>
        <w:snapToGrid w:val="0"/>
        <w:ind w:firstLine="480"/>
        <w:rPr>
          <w:rFonts w:ascii="宋体" w:hAnsi="宋体"/>
          <w:color w:val="auto"/>
          <w:highlight w:val="none"/>
        </w:rPr>
      </w:pPr>
      <w:r>
        <w:rPr>
          <w:rFonts w:hint="eastAsia" w:ascii="宋体" w:hAnsi="宋体"/>
          <w:color w:val="auto"/>
          <w:highlight w:val="none"/>
        </w:rPr>
        <w:t>系统支持对车辆进行布控，可布控、撤控车辆号牌。成功布控后的车牌信息会自动同步到前端设备（前端设备每次开机后自动请求同步），撤控后的车牌信息会自动同步到前端进行删除。</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前端黑名单比对功能</w:t>
      </w:r>
    </w:p>
    <w:p>
      <w:pPr>
        <w:pStyle w:val="47"/>
        <w:snapToGrid w:val="0"/>
        <w:ind w:firstLine="480"/>
        <w:rPr>
          <w:rFonts w:ascii="宋体" w:hAnsi="宋体"/>
          <w:color w:val="auto"/>
          <w:highlight w:val="none"/>
        </w:rPr>
      </w:pPr>
      <w:r>
        <w:rPr>
          <w:rFonts w:hint="eastAsia" w:ascii="宋体" w:hAnsi="宋体"/>
          <w:color w:val="auto"/>
          <w:highlight w:val="none"/>
        </w:rPr>
        <w:t>前端同步车辆黑名单库信息后，会对黑名单信息进行加密并保存在本地。车辆在行驶过程中，会自动抓拍前方车辆信息并识别车牌（设备工作在卡口模式下），识别出来的车牌信息会实时与本地的黑名单信息进行比对，与黑名单信息比对成功后会进行实时报警。从抓拍、比对到报警耗时在2s内。比对成功的报警信息会实时通过语音等方式进行提醒。</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数据统计功能</w:t>
      </w:r>
    </w:p>
    <w:p>
      <w:pPr>
        <w:pStyle w:val="47"/>
        <w:snapToGrid w:val="0"/>
        <w:ind w:firstLine="480"/>
        <w:rPr>
          <w:rFonts w:ascii="宋体" w:hAnsi="宋体"/>
          <w:color w:val="auto"/>
          <w:highlight w:val="none"/>
        </w:rPr>
      </w:pPr>
      <w:r>
        <w:rPr>
          <w:rFonts w:hint="eastAsia" w:ascii="宋体" w:hAnsi="宋体"/>
          <w:color w:val="auto"/>
          <w:highlight w:val="none"/>
        </w:rPr>
        <w:t>系统支持按日、周、月统计前端设备车辆抓拍数量、违法数量以及布控报警数量，通过数据统计，可辅助交警用户勤务管理工作。</w:t>
      </w:r>
    </w:p>
    <w:p>
      <w:pPr>
        <w:pStyle w:val="47"/>
        <w:numPr>
          <w:ilvl w:val="0"/>
          <w:numId w:val="16"/>
        </w:numPr>
        <w:snapToGrid w:val="0"/>
        <w:ind w:firstLineChars="0"/>
        <w:rPr>
          <w:rFonts w:ascii="宋体" w:hAnsi="宋体"/>
          <w:color w:val="auto"/>
          <w:highlight w:val="none"/>
        </w:rPr>
      </w:pPr>
      <w:r>
        <w:rPr>
          <w:rFonts w:hint="eastAsia" w:ascii="宋体" w:hAnsi="宋体"/>
          <w:color w:val="auto"/>
          <w:highlight w:val="none"/>
        </w:rPr>
        <w:t>勤务管理功能</w:t>
      </w:r>
    </w:p>
    <w:p>
      <w:pPr>
        <w:pStyle w:val="47"/>
        <w:snapToGrid w:val="0"/>
        <w:ind w:firstLine="480"/>
        <w:rPr>
          <w:rFonts w:ascii="宋体" w:hAnsi="宋体"/>
          <w:color w:val="auto"/>
          <w:highlight w:val="none"/>
        </w:rPr>
      </w:pPr>
      <w:r>
        <w:rPr>
          <w:rFonts w:hint="eastAsia" w:ascii="宋体" w:hAnsi="宋体"/>
          <w:color w:val="auto"/>
          <w:highlight w:val="none"/>
        </w:rPr>
        <w:t>勤务管理专门为各单位日常警力安排而开发，勤务管理系统通过采集录入本地警力资源，实现警务资源排班和警务出勤考核功能，进而为指挥中心实现扁平化指挥，快速警力调度提供有力保障。</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应用场景</w:t>
      </w:r>
    </w:p>
    <w:p>
      <w:pPr>
        <w:pStyle w:val="47"/>
        <w:snapToGrid w:val="0"/>
        <w:ind w:firstLine="480"/>
        <w:rPr>
          <w:rFonts w:ascii="宋体" w:hAnsi="宋体"/>
          <w:color w:val="auto"/>
          <w:highlight w:val="none"/>
        </w:rPr>
      </w:pPr>
      <w:r>
        <w:rPr>
          <w:rFonts w:hint="eastAsia" w:ascii="宋体" w:hAnsi="宋体"/>
          <w:color w:val="auto"/>
          <w:highlight w:val="none"/>
        </w:rPr>
        <w:t>车载全景云台，支持车牌自动识别功能、支持车辆违停行为自动检测与抓拍功能、支持黑名单同步与前端实时比对功能。适用于交警用户用于对道路违停车辆进行抓拍取证，警员通过驾驶安装车载全景云台的车辆，即可对道路违停车辆进行快速抓拍取证。车载全景云台需要通过支架安装在车顶。</w:t>
      </w:r>
    </w:p>
    <w:p>
      <w:pPr>
        <w:pStyle w:val="47"/>
        <w:snapToGrid w:val="0"/>
        <w:ind w:firstLine="480"/>
        <w:rPr>
          <w:rFonts w:ascii="宋体" w:hAnsi="宋体"/>
          <w:color w:val="auto"/>
          <w:highlight w:val="none"/>
        </w:rPr>
      </w:pPr>
      <w:r>
        <w:rPr>
          <w:rFonts w:hint="eastAsia" w:ascii="宋体" w:hAnsi="宋体"/>
          <w:color w:val="auto"/>
          <w:highlight w:val="none"/>
        </w:rPr>
        <w:t>车载取证全景云台支持工作在移动卡口模式和违法取证模式。移动卡口模式，主要是用于卡口抓拍与移动缉查布控应用，云台会实时对画面中出现的车辆进行抓拍与识别，同时实时与本地的布控车辆黑名单库进行实时比对，一旦比对成功，会语音提示同时在显示屏显示对应布控信息。</w:t>
      </w:r>
    </w:p>
    <w:p>
      <w:pPr>
        <w:pStyle w:val="47"/>
        <w:snapToGrid w:val="0"/>
        <w:ind w:firstLine="480"/>
        <w:rPr>
          <w:rFonts w:ascii="宋体" w:hAnsi="宋体"/>
          <w:color w:val="auto"/>
          <w:highlight w:val="none"/>
        </w:rPr>
      </w:pPr>
      <w:r>
        <w:rPr>
          <w:rFonts w:hint="eastAsia" w:ascii="宋体" w:hAnsi="宋体"/>
          <w:color w:val="auto"/>
          <w:highlight w:val="none"/>
        </w:rPr>
        <w:t>违法取证模式，主要用于自动识别路侧车辆违法停车行为，实现对车辆违停行为的自动抓拍与取证，车载全景云台会自动抓拍车前和车后全景图片，然后对车牌进行特写实现车辆违法图片证据上传。</w:t>
      </w:r>
    </w:p>
    <w:p>
      <w:pPr>
        <w:pStyle w:val="47"/>
        <w:snapToGrid w:val="0"/>
        <w:ind w:firstLine="480"/>
        <w:rPr>
          <w:rFonts w:ascii="宋体" w:hAnsi="宋体"/>
          <w:color w:val="auto"/>
          <w:highlight w:val="none"/>
        </w:rPr>
      </w:pPr>
      <w:r>
        <w:rPr>
          <w:rFonts w:hint="eastAsia" w:ascii="宋体" w:hAnsi="宋体"/>
          <w:color w:val="auto"/>
          <w:highlight w:val="none"/>
        </w:rPr>
        <w:t>系统可以满足两种违法停车类型的取证：在《GA/T 1426-2017 机动车违法停车自动记录系统通用技术条件》中A类违法行为要求“2张图片拍摄间隔时间应大于10s，并能反映机动车无位移。”此时可设置车载取证云台抓拍模式为“一次抓拍即合成”，保持车速在20km/h左右，车载云台会自动捕获违停车辆的前部与后部车身全部特征并进行违法图片合成（可选多种合成/不合成方式），针对A类违法停车行为，车辆只需要行驶一次即可将对应车辆的违法停车行为进行记录与取证。</w:t>
      </w:r>
    </w:p>
    <w:p>
      <w:pPr>
        <w:pStyle w:val="47"/>
        <w:snapToGrid w:val="0"/>
        <w:ind w:firstLine="480"/>
        <w:rPr>
          <w:rFonts w:ascii="宋体" w:hAnsi="宋体"/>
          <w:color w:val="auto"/>
          <w:highlight w:val="none"/>
        </w:rPr>
      </w:pPr>
      <w:r>
        <w:rPr>
          <w:rFonts w:hint="eastAsia" w:ascii="宋体" w:hAnsi="宋体"/>
          <w:color w:val="auto"/>
          <w:highlight w:val="none"/>
        </w:rPr>
        <w:t>在《GA/T 1426-2017 机动车违法停车自动记录系统通用技术条件》中B类违法行为要求“2张图片拍摄间隔时间宜大于5min，并能反映机动车无位移。”</w:t>
      </w:r>
    </w:p>
    <w:p>
      <w:pPr>
        <w:pStyle w:val="47"/>
        <w:snapToGrid w:val="0"/>
        <w:ind w:firstLine="480"/>
        <w:rPr>
          <w:rFonts w:ascii="宋体" w:hAnsi="宋体"/>
          <w:color w:val="auto"/>
          <w:highlight w:val="none"/>
        </w:rPr>
      </w:pPr>
      <w:r>
        <w:rPr>
          <w:rFonts w:hint="eastAsia" w:ascii="宋体" w:hAnsi="宋体"/>
          <w:color w:val="auto"/>
          <w:highlight w:val="none"/>
        </w:rPr>
        <w:t>此时可以车载取证云台抓拍模式为“两次抓拍后合成”，云台第一次抓拍会捕获车辆的前部全部特征以及号牌信息，同时会在主机中进行记录，当警车第二次巡逻到此路段会抓拍车辆的后部全部特征以及号牌，同时与主机中记录的数据进行匹配，匹配成功后将图片进行合成，生成违法记录。如果匹配识别，则数据丢失。</w:t>
      </w:r>
    </w:p>
    <w:p>
      <w:pPr>
        <w:pStyle w:val="5"/>
        <w:snapToGrid w:val="0"/>
        <w:spacing w:before="0" w:after="0" w:line="360" w:lineRule="auto"/>
        <w:ind w:left="720" w:hanging="720"/>
        <w:rPr>
          <w:color w:val="auto"/>
          <w:highlight w:val="none"/>
        </w:rPr>
      </w:pPr>
      <w:bookmarkStart w:id="53" w:name="_Toc10102475"/>
      <w:r>
        <w:rPr>
          <w:rFonts w:hint="eastAsia"/>
          <w:color w:val="auto"/>
          <w:highlight w:val="none"/>
        </w:rPr>
        <w:t>主要设备参数性能</w:t>
      </w:r>
      <w:bookmarkEnd w:id="53"/>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铁骑勤务考核管理服务器</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4114(10核2.2GHz)×1</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32G DDR4</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600G SAS×2</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SAS_HBA</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1GbE×2</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550W(1+1)</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操作系统：Win Svr 2016 简中标版</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车载动态取证系统</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系统主要由取证主机、车载全景云台、手控器、高清触摸显示屏、三防平板组成。</w:t>
      </w:r>
    </w:p>
    <w:p>
      <w:pPr>
        <w:pStyle w:val="7"/>
        <w:keepNext/>
        <w:keepLines w:val="0"/>
        <w:adjustRightInd w:val="0"/>
        <w:snapToGrid w:val="0"/>
        <w:ind w:left="1008" w:hanging="1008"/>
        <w:jc w:val="left"/>
        <w:rPr>
          <w:color w:val="auto"/>
          <w:highlight w:val="none"/>
        </w:rPr>
      </w:pPr>
      <w:r>
        <w:rPr>
          <w:rFonts w:hint="eastAsia"/>
          <w:color w:val="auto"/>
          <w:highlight w:val="none"/>
        </w:rPr>
        <w:t>车载主机</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支持GA-T832《道路交通安全违法行为图像取证技术规范》，系统可对关键信息进行抓取并标记保存，标记时可选择不同违章类型对其进行保存，方便后期取证及搜索查看；</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全景云台摄像机接入</w:t>
      </w:r>
      <w:r>
        <w:rPr>
          <w:color w:val="auto"/>
          <w:sz w:val="24"/>
          <w:szCs w:val="21"/>
          <w:highlight w:val="none"/>
          <w:lang w:val="zh-CN"/>
        </w:rPr>
        <w:t>(</w:t>
      </w:r>
      <w:r>
        <w:rPr>
          <w:rFonts w:hint="eastAsia"/>
          <w:color w:val="auto"/>
          <w:sz w:val="24"/>
          <w:szCs w:val="21"/>
          <w:highlight w:val="none"/>
          <w:lang w:val="zh-CN"/>
        </w:rPr>
        <w:t>含</w:t>
      </w:r>
      <w:r>
        <w:rPr>
          <w:color w:val="auto"/>
          <w:sz w:val="24"/>
          <w:szCs w:val="21"/>
          <w:highlight w:val="none"/>
          <w:lang w:val="zh-CN"/>
        </w:rPr>
        <w:t>2</w:t>
      </w:r>
      <w:r>
        <w:rPr>
          <w:rFonts w:hint="eastAsia"/>
          <w:color w:val="auto"/>
          <w:sz w:val="24"/>
          <w:szCs w:val="21"/>
          <w:highlight w:val="none"/>
          <w:lang w:val="zh-CN"/>
        </w:rPr>
        <w:t>路前后</w:t>
      </w:r>
      <w:r>
        <w:rPr>
          <w:color w:val="auto"/>
          <w:sz w:val="24"/>
          <w:szCs w:val="21"/>
          <w:highlight w:val="none"/>
          <w:lang w:val="zh-CN"/>
        </w:rPr>
        <w:t>180°</w:t>
      </w:r>
      <w:r>
        <w:rPr>
          <w:rFonts w:hint="eastAsia"/>
          <w:color w:val="auto"/>
          <w:sz w:val="24"/>
          <w:szCs w:val="21"/>
          <w:highlight w:val="none"/>
          <w:lang w:val="zh-CN"/>
        </w:rPr>
        <w:t>拼接后的图像和</w:t>
      </w:r>
      <w:r>
        <w:rPr>
          <w:color w:val="auto"/>
          <w:sz w:val="24"/>
          <w:szCs w:val="21"/>
          <w:highlight w:val="none"/>
          <w:lang w:val="zh-CN"/>
        </w:rPr>
        <w:t>1</w:t>
      </w:r>
      <w:r>
        <w:rPr>
          <w:rFonts w:hint="eastAsia"/>
          <w:color w:val="auto"/>
          <w:sz w:val="24"/>
          <w:szCs w:val="21"/>
          <w:highlight w:val="none"/>
          <w:lang w:val="zh-CN"/>
        </w:rPr>
        <w:t>路云台摄像机</w:t>
      </w:r>
      <w:r>
        <w:rPr>
          <w:color w:val="auto"/>
          <w:sz w:val="24"/>
          <w:szCs w:val="21"/>
          <w:highlight w:val="none"/>
          <w:lang w:val="zh-CN"/>
        </w:rPr>
        <w:t>)</w:t>
      </w:r>
      <w:r>
        <w:rPr>
          <w:rFonts w:hint="eastAsia"/>
          <w:color w:val="auto"/>
          <w:sz w:val="24"/>
          <w:szCs w:val="21"/>
          <w:highlight w:val="none"/>
          <w:lang w:val="zh-CN"/>
        </w:rPr>
        <w:t>，4路IPC相机接入，主码流标准H.265码流，支持双码流；</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w:t>
      </w:r>
      <w:r>
        <w:rPr>
          <w:color w:val="auto"/>
          <w:sz w:val="24"/>
          <w:szCs w:val="21"/>
          <w:highlight w:val="none"/>
          <w:lang w:val="zh-CN"/>
        </w:rPr>
        <w:t>H.265</w:t>
      </w:r>
      <w:r>
        <w:rPr>
          <w:rFonts w:hint="eastAsia"/>
          <w:color w:val="auto"/>
          <w:sz w:val="24"/>
          <w:szCs w:val="21"/>
          <w:highlight w:val="none"/>
          <w:lang w:val="zh-CN"/>
        </w:rPr>
        <w:t>编码传输，提升无线网络传输效率；</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w:t>
      </w:r>
      <w:r>
        <w:rPr>
          <w:color w:val="auto"/>
          <w:sz w:val="24"/>
          <w:szCs w:val="21"/>
          <w:highlight w:val="none"/>
          <w:lang w:val="zh-CN"/>
        </w:rPr>
        <w:t>1</w:t>
      </w:r>
      <w:r>
        <w:rPr>
          <w:rFonts w:hint="eastAsia"/>
          <w:color w:val="auto"/>
          <w:sz w:val="24"/>
          <w:szCs w:val="21"/>
          <w:highlight w:val="none"/>
          <w:lang w:val="zh-CN"/>
        </w:rPr>
        <w:t>路</w:t>
      </w:r>
      <w:r>
        <w:rPr>
          <w:color w:val="auto"/>
          <w:sz w:val="24"/>
          <w:szCs w:val="21"/>
          <w:highlight w:val="none"/>
          <w:lang w:val="zh-CN"/>
        </w:rPr>
        <w:t>HDMI</w:t>
      </w:r>
      <w:r>
        <w:rPr>
          <w:rFonts w:hint="eastAsia"/>
          <w:color w:val="auto"/>
          <w:sz w:val="24"/>
          <w:szCs w:val="21"/>
          <w:highlight w:val="none"/>
          <w:lang w:val="zh-CN"/>
        </w:rPr>
        <w:t>和</w:t>
      </w:r>
      <w:r>
        <w:rPr>
          <w:color w:val="auto"/>
          <w:sz w:val="24"/>
          <w:szCs w:val="21"/>
          <w:highlight w:val="none"/>
          <w:lang w:val="zh-CN"/>
        </w:rPr>
        <w:t>1</w:t>
      </w:r>
      <w:r>
        <w:rPr>
          <w:rFonts w:hint="eastAsia"/>
          <w:color w:val="auto"/>
          <w:sz w:val="24"/>
          <w:szCs w:val="21"/>
          <w:highlight w:val="none"/>
          <w:lang w:val="zh-CN"/>
        </w:rPr>
        <w:t>路</w:t>
      </w:r>
      <w:r>
        <w:rPr>
          <w:color w:val="auto"/>
          <w:sz w:val="24"/>
          <w:szCs w:val="21"/>
          <w:highlight w:val="none"/>
          <w:lang w:val="zh-CN"/>
        </w:rPr>
        <w:t>VGA</w:t>
      </w:r>
      <w:r>
        <w:rPr>
          <w:rFonts w:hint="eastAsia"/>
          <w:color w:val="auto"/>
          <w:sz w:val="24"/>
          <w:szCs w:val="21"/>
          <w:highlight w:val="none"/>
          <w:lang w:val="zh-CN"/>
        </w:rPr>
        <w:t>（航空头接口）同源输出接口，最高分辨率可达</w:t>
      </w:r>
      <w:r>
        <w:rPr>
          <w:color w:val="auto"/>
          <w:sz w:val="24"/>
          <w:szCs w:val="21"/>
          <w:highlight w:val="none"/>
          <w:lang w:val="zh-CN"/>
        </w:rPr>
        <w:t>1920×1080</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IPC</w:t>
      </w:r>
      <w:r>
        <w:rPr>
          <w:rFonts w:hint="eastAsia"/>
          <w:color w:val="auto"/>
          <w:sz w:val="24"/>
          <w:szCs w:val="21"/>
          <w:highlight w:val="none"/>
          <w:lang w:val="zh-CN"/>
        </w:rPr>
        <w:t>通过</w:t>
      </w:r>
      <w:r>
        <w:rPr>
          <w:color w:val="auto"/>
          <w:sz w:val="24"/>
          <w:szCs w:val="21"/>
          <w:highlight w:val="none"/>
          <w:lang w:val="zh-CN"/>
        </w:rPr>
        <w:t>6</w:t>
      </w:r>
      <w:r>
        <w:rPr>
          <w:rFonts w:hint="eastAsia"/>
          <w:color w:val="auto"/>
          <w:sz w:val="24"/>
          <w:szCs w:val="21"/>
          <w:highlight w:val="none"/>
          <w:lang w:val="zh-CN"/>
        </w:rPr>
        <w:t>芯航空头接入，连接稳固可靠；</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能够同时接入</w:t>
      </w:r>
      <w:r>
        <w:rPr>
          <w:color w:val="auto"/>
          <w:sz w:val="24"/>
          <w:szCs w:val="21"/>
          <w:highlight w:val="none"/>
          <w:lang w:val="zh-CN"/>
        </w:rPr>
        <w:t>2</w:t>
      </w:r>
      <w:r>
        <w:rPr>
          <w:rFonts w:hint="eastAsia"/>
          <w:color w:val="auto"/>
          <w:sz w:val="24"/>
          <w:szCs w:val="21"/>
          <w:highlight w:val="none"/>
          <w:lang w:val="zh-CN"/>
        </w:rPr>
        <w:t>块</w:t>
      </w:r>
      <w:r>
        <w:rPr>
          <w:color w:val="auto"/>
          <w:sz w:val="24"/>
          <w:szCs w:val="21"/>
          <w:highlight w:val="none"/>
          <w:lang w:val="zh-CN"/>
        </w:rPr>
        <w:t>2.5</w:t>
      </w:r>
      <w:r>
        <w:rPr>
          <w:rFonts w:hint="eastAsia"/>
          <w:color w:val="auto"/>
          <w:sz w:val="24"/>
          <w:szCs w:val="21"/>
          <w:highlight w:val="none"/>
          <w:lang w:val="zh-CN"/>
        </w:rPr>
        <w:t>英寸</w:t>
      </w:r>
      <w:r>
        <w:rPr>
          <w:color w:val="auto"/>
          <w:sz w:val="24"/>
          <w:szCs w:val="21"/>
          <w:highlight w:val="none"/>
          <w:lang w:val="zh-CN"/>
        </w:rPr>
        <w:t>HDD/SSD</w:t>
      </w:r>
      <w:r>
        <w:rPr>
          <w:rFonts w:hint="eastAsia"/>
          <w:color w:val="auto"/>
          <w:sz w:val="24"/>
          <w:szCs w:val="21"/>
          <w:highlight w:val="none"/>
          <w:lang w:val="zh-CN"/>
        </w:rPr>
        <w:t>硬盘，接入方式为可插拔式，并采用空气囊硬盘减振技术；</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支持红外或白光补光模式，可满足全天候执法取证工作需求；</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路名叠加，有效记录取证录像地理信息；</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单点和多点触控，可实现触控菜单、触摸控球，并支持触控配置；</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无线集群对讲功能，实现点对点、群组间的短信和语音通信功能，实现点对点视频推送、视频对讲功能；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硬件设计上具备断电保护功能，在突然断电情况下可以启用超级电容，实现正常关机，有效避免数据丢失；</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内置</w:t>
      </w:r>
      <w:r>
        <w:rPr>
          <w:color w:val="auto"/>
          <w:sz w:val="24"/>
          <w:szCs w:val="21"/>
          <w:highlight w:val="none"/>
          <w:lang w:val="zh-CN"/>
        </w:rPr>
        <w:t>3G</w:t>
      </w:r>
      <w:r>
        <w:rPr>
          <w:rFonts w:hint="eastAsia"/>
          <w:color w:val="auto"/>
          <w:sz w:val="24"/>
          <w:szCs w:val="21"/>
          <w:highlight w:val="none"/>
          <w:lang w:val="zh-CN"/>
        </w:rPr>
        <w:t>或</w:t>
      </w:r>
      <w:r>
        <w:rPr>
          <w:color w:val="auto"/>
          <w:sz w:val="24"/>
          <w:szCs w:val="21"/>
          <w:highlight w:val="none"/>
          <w:lang w:val="zh-CN"/>
        </w:rPr>
        <w:t>4G</w:t>
      </w:r>
      <w:r>
        <w:rPr>
          <w:rFonts w:hint="eastAsia"/>
          <w:color w:val="auto"/>
          <w:sz w:val="24"/>
          <w:szCs w:val="21"/>
          <w:highlight w:val="none"/>
          <w:lang w:val="zh-CN"/>
        </w:rPr>
        <w:t>无线模块，预留</w:t>
      </w:r>
      <w:r>
        <w:rPr>
          <w:color w:val="auto"/>
          <w:sz w:val="24"/>
          <w:szCs w:val="21"/>
          <w:highlight w:val="none"/>
          <w:lang w:val="zh-CN"/>
        </w:rPr>
        <w:t>WIFI</w:t>
      </w:r>
      <w:r>
        <w:rPr>
          <w:rFonts w:hint="eastAsia"/>
          <w:color w:val="auto"/>
          <w:sz w:val="24"/>
          <w:szCs w:val="21"/>
          <w:highlight w:val="none"/>
          <w:lang w:val="zh-CN"/>
        </w:rPr>
        <w:t>模块，提供灵活的无线传输方案；通讯模块可插拔，方便网络模块升级；可支持双卡传输；</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硬盘盒自带智能温控模块，并具备</w:t>
      </w:r>
      <w:r>
        <w:rPr>
          <w:color w:val="auto"/>
          <w:sz w:val="24"/>
          <w:szCs w:val="21"/>
          <w:highlight w:val="none"/>
          <w:lang w:val="zh-CN"/>
        </w:rPr>
        <w:t>USB</w:t>
      </w:r>
      <w:r>
        <w:rPr>
          <w:rFonts w:hint="eastAsia"/>
          <w:color w:val="auto"/>
          <w:sz w:val="24"/>
          <w:szCs w:val="21"/>
          <w:highlight w:val="none"/>
          <w:lang w:val="zh-CN"/>
        </w:rPr>
        <w:t>数据导出接口；</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内置</w:t>
      </w:r>
      <w:r>
        <w:rPr>
          <w:color w:val="auto"/>
          <w:sz w:val="24"/>
          <w:szCs w:val="21"/>
          <w:highlight w:val="none"/>
          <w:lang w:val="zh-CN"/>
        </w:rPr>
        <w:t>GPS&amp;BD</w:t>
      </w:r>
      <w:r>
        <w:rPr>
          <w:rFonts w:hint="eastAsia"/>
          <w:color w:val="auto"/>
          <w:sz w:val="24"/>
          <w:szCs w:val="21"/>
          <w:highlight w:val="none"/>
          <w:lang w:val="zh-CN"/>
        </w:rPr>
        <w:t>高灵敏度卫星模块，同时支持全球</w:t>
      </w:r>
      <w:r>
        <w:rPr>
          <w:color w:val="auto"/>
          <w:sz w:val="24"/>
          <w:szCs w:val="21"/>
          <w:highlight w:val="none"/>
          <w:lang w:val="zh-CN"/>
        </w:rPr>
        <w:t>24</w:t>
      </w:r>
      <w:r>
        <w:rPr>
          <w:rFonts w:hint="eastAsia"/>
          <w:color w:val="auto"/>
          <w:sz w:val="24"/>
          <w:szCs w:val="21"/>
          <w:highlight w:val="none"/>
          <w:lang w:val="zh-CN"/>
        </w:rPr>
        <w:t>时区卫星同步校时，定位信息同步封装入录像码流中；</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主要接口均采用车载专用的航空插头，确保信号连接稳定；</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宽幅电源输入（</w:t>
      </w:r>
      <w:r>
        <w:rPr>
          <w:color w:val="auto"/>
          <w:sz w:val="24"/>
          <w:szCs w:val="21"/>
          <w:highlight w:val="none"/>
          <w:lang w:val="zh-CN"/>
        </w:rPr>
        <w:t>DC+8~+36V</w:t>
      </w:r>
      <w:r>
        <w:rPr>
          <w:rFonts w:hint="eastAsia"/>
          <w:color w:val="auto"/>
          <w:sz w:val="24"/>
          <w:szCs w:val="21"/>
          <w:highlight w:val="none"/>
          <w:lang w:val="zh-CN"/>
        </w:rPr>
        <w:t>），满足汽车电气特性要求；</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铝拉伸机箱，具备良好的车载工作环境适应性；</w:t>
      </w:r>
    </w:p>
    <w:p>
      <w:pPr>
        <w:pStyle w:val="7"/>
        <w:keepNext/>
        <w:keepLines w:val="0"/>
        <w:adjustRightInd w:val="0"/>
        <w:snapToGrid w:val="0"/>
        <w:ind w:left="1008" w:hanging="1008"/>
        <w:jc w:val="left"/>
        <w:rPr>
          <w:color w:val="auto"/>
          <w:highlight w:val="none"/>
        </w:rPr>
      </w:pPr>
      <w:r>
        <w:rPr>
          <w:color w:val="auto"/>
          <w:highlight w:val="none"/>
        </w:rPr>
        <w:t>车载全景云台相机</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采用</w:t>
      </w:r>
      <w:r>
        <w:rPr>
          <w:color w:val="auto"/>
          <w:sz w:val="24"/>
          <w:szCs w:val="21"/>
          <w:highlight w:val="none"/>
          <w:lang w:val="zh-CN"/>
        </w:rPr>
        <w:t>1/1.8”CMOS sensor</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6</w:t>
      </w:r>
      <w:r>
        <w:rPr>
          <w:rFonts w:hint="eastAsia"/>
          <w:color w:val="auto"/>
          <w:sz w:val="24"/>
          <w:szCs w:val="21"/>
          <w:highlight w:val="none"/>
          <w:lang w:val="zh-CN"/>
        </w:rPr>
        <w:t>个摄像头形成</w:t>
      </w:r>
      <w:r>
        <w:rPr>
          <w:color w:val="auto"/>
          <w:sz w:val="24"/>
          <w:szCs w:val="21"/>
          <w:highlight w:val="none"/>
          <w:lang w:val="zh-CN"/>
        </w:rPr>
        <w:t>360°</w:t>
      </w:r>
      <w:r>
        <w:rPr>
          <w:rFonts w:hint="eastAsia"/>
          <w:color w:val="auto"/>
          <w:sz w:val="24"/>
          <w:szCs w:val="21"/>
          <w:highlight w:val="none"/>
          <w:lang w:val="zh-CN"/>
        </w:rPr>
        <w:t>全景覆盖；</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三路拼接，形成前后两画面各覆盖</w:t>
      </w:r>
      <w:r>
        <w:rPr>
          <w:color w:val="auto"/>
          <w:sz w:val="24"/>
          <w:szCs w:val="21"/>
          <w:highlight w:val="none"/>
          <w:lang w:val="zh-CN"/>
        </w:rPr>
        <w:t>180°</w:t>
      </w:r>
      <w:r>
        <w:rPr>
          <w:rFonts w:hint="eastAsia"/>
          <w:color w:val="auto"/>
          <w:sz w:val="24"/>
          <w:szCs w:val="21"/>
          <w:highlight w:val="none"/>
          <w:lang w:val="zh-CN"/>
        </w:rPr>
        <w:t>，单路分辨率为</w:t>
      </w:r>
      <w:r>
        <w:rPr>
          <w:color w:val="auto"/>
          <w:sz w:val="24"/>
          <w:szCs w:val="21"/>
          <w:highlight w:val="none"/>
          <w:lang w:val="zh-CN"/>
        </w:rPr>
        <w:t>4096</w:t>
      </w:r>
      <w:r>
        <w:rPr>
          <w:rFonts w:hint="eastAsia"/>
          <w:color w:val="auto"/>
          <w:sz w:val="24"/>
          <w:szCs w:val="21"/>
          <w:highlight w:val="none"/>
          <w:lang w:val="zh-CN"/>
        </w:rPr>
        <w:t>×</w:t>
      </w:r>
      <w:r>
        <w:rPr>
          <w:color w:val="auto"/>
          <w:sz w:val="24"/>
          <w:szCs w:val="21"/>
          <w:highlight w:val="none"/>
          <w:lang w:val="zh-CN"/>
        </w:rPr>
        <w:t>1080</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200</w:t>
      </w:r>
      <w:r>
        <w:rPr>
          <w:rFonts w:hint="eastAsia"/>
          <w:color w:val="auto"/>
          <w:sz w:val="24"/>
          <w:szCs w:val="21"/>
          <w:highlight w:val="none"/>
          <w:lang w:val="zh-CN"/>
        </w:rPr>
        <w:t>万像素逐行扫描</w:t>
      </w:r>
      <w:r>
        <w:rPr>
          <w:color w:val="auto"/>
          <w:sz w:val="24"/>
          <w:szCs w:val="21"/>
          <w:highlight w:val="none"/>
          <w:lang w:val="zh-CN"/>
        </w:rPr>
        <w:t>1/1.8”CMOS sensor</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最大分辨率可达</w:t>
      </w:r>
      <w:r>
        <w:rPr>
          <w:color w:val="auto"/>
          <w:sz w:val="24"/>
          <w:szCs w:val="21"/>
          <w:highlight w:val="none"/>
          <w:lang w:val="zh-CN"/>
        </w:rPr>
        <w:t>1920</w:t>
      </w:r>
      <w:r>
        <w:rPr>
          <w:rFonts w:hint="eastAsia"/>
          <w:color w:val="auto"/>
          <w:sz w:val="24"/>
          <w:szCs w:val="21"/>
          <w:highlight w:val="none"/>
          <w:lang w:val="zh-CN"/>
        </w:rPr>
        <w:t>×</w:t>
      </w:r>
      <w:r>
        <w:rPr>
          <w:color w:val="auto"/>
          <w:sz w:val="24"/>
          <w:szCs w:val="21"/>
          <w:highlight w:val="none"/>
          <w:lang w:val="zh-CN"/>
        </w:rPr>
        <w:t>1080</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36</w:t>
      </w:r>
      <w:r>
        <w:rPr>
          <w:rFonts w:hint="eastAsia"/>
          <w:color w:val="auto"/>
          <w:sz w:val="24"/>
          <w:szCs w:val="21"/>
          <w:highlight w:val="none"/>
          <w:lang w:val="zh-CN"/>
        </w:rPr>
        <w:t>倍光学变倍，焦距为</w:t>
      </w:r>
      <w:r>
        <w:rPr>
          <w:color w:val="auto"/>
          <w:sz w:val="24"/>
          <w:szCs w:val="21"/>
          <w:highlight w:val="none"/>
          <w:lang w:val="zh-CN"/>
        </w:rPr>
        <w:t>5.7-205mm</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最低照度：</w:t>
      </w:r>
      <w:r>
        <w:rPr>
          <w:color w:val="auto"/>
          <w:sz w:val="24"/>
          <w:szCs w:val="21"/>
          <w:highlight w:val="none"/>
          <w:lang w:val="zh-CN"/>
        </w:rPr>
        <w:t>0.005Lux Lux@F1.5</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支持车牌识别，支持违停车辆自动前后抓拍取证，满足</w:t>
      </w:r>
      <w:r>
        <w:rPr>
          <w:color w:val="auto"/>
          <w:sz w:val="24"/>
          <w:szCs w:val="21"/>
          <w:highlight w:val="none"/>
          <w:lang w:val="zh-CN"/>
        </w:rPr>
        <w:t>832</w:t>
      </w:r>
      <w:r>
        <w:rPr>
          <w:rFonts w:hint="eastAsia"/>
          <w:color w:val="auto"/>
          <w:sz w:val="24"/>
          <w:szCs w:val="21"/>
          <w:highlight w:val="none"/>
          <w:lang w:val="zh-CN"/>
        </w:rPr>
        <w:t>违停取证规范；</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支持人脸识别；</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H.264/H.265</w:t>
      </w:r>
      <w:r>
        <w:rPr>
          <w:rFonts w:hint="eastAsia"/>
          <w:color w:val="auto"/>
          <w:sz w:val="24"/>
          <w:szCs w:val="21"/>
          <w:highlight w:val="none"/>
          <w:lang w:val="zh-CN"/>
        </w:rPr>
        <w:t>可选；</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w:t>
      </w:r>
      <w:r>
        <w:rPr>
          <w:color w:val="auto"/>
          <w:sz w:val="24"/>
          <w:szCs w:val="21"/>
          <w:highlight w:val="none"/>
          <w:lang w:val="zh-CN"/>
        </w:rPr>
        <w:t>3D</w:t>
      </w:r>
      <w:r>
        <w:rPr>
          <w:rFonts w:hint="eastAsia"/>
          <w:color w:val="auto"/>
          <w:sz w:val="24"/>
          <w:szCs w:val="21"/>
          <w:highlight w:val="none"/>
          <w:lang w:val="zh-CN"/>
        </w:rPr>
        <w:t>数字降噪，画面更加细腻；</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电子防抖；</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内置</w:t>
      </w:r>
      <w:r>
        <w:rPr>
          <w:color w:val="auto"/>
          <w:sz w:val="24"/>
          <w:szCs w:val="21"/>
          <w:highlight w:val="none"/>
          <w:lang w:val="zh-CN"/>
        </w:rPr>
        <w:t>WIFI</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内置</w:t>
      </w:r>
      <w:r>
        <w:rPr>
          <w:color w:val="auto"/>
          <w:sz w:val="24"/>
          <w:szCs w:val="21"/>
          <w:highlight w:val="none"/>
          <w:lang w:val="zh-CN"/>
        </w:rPr>
        <w:t>GPS</w:t>
      </w:r>
      <w:r>
        <w:rPr>
          <w:rFonts w:hint="eastAsia"/>
          <w:color w:val="auto"/>
          <w:sz w:val="24"/>
          <w:szCs w:val="21"/>
          <w:highlight w:val="none"/>
          <w:lang w:val="zh-CN"/>
        </w:rPr>
        <w: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白光补光，有效补光距离大于</w:t>
      </w:r>
      <w:r>
        <w:rPr>
          <w:color w:val="auto"/>
          <w:sz w:val="24"/>
          <w:szCs w:val="21"/>
          <w:highlight w:val="none"/>
          <w:lang w:val="zh-CN"/>
        </w:rPr>
        <w:t>60</w:t>
      </w:r>
      <w:r>
        <w:rPr>
          <w:rFonts w:hint="eastAsia"/>
          <w:color w:val="auto"/>
          <w:sz w:val="24"/>
          <w:szCs w:val="21"/>
          <w:highlight w:val="none"/>
          <w:lang w:val="zh-CN"/>
        </w:rPr>
        <w:t>米；</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可配置抗震器，实现车载安装；</w:t>
      </w:r>
    </w:p>
    <w:p>
      <w:pPr>
        <w:pStyle w:val="7"/>
        <w:keepNext/>
        <w:keepLines w:val="0"/>
        <w:adjustRightInd w:val="0"/>
        <w:snapToGrid w:val="0"/>
        <w:ind w:left="1008" w:hanging="1008"/>
        <w:jc w:val="left"/>
        <w:rPr>
          <w:color w:val="auto"/>
          <w:highlight w:val="none"/>
        </w:rPr>
      </w:pPr>
      <w:r>
        <w:rPr>
          <w:color w:val="auto"/>
          <w:highlight w:val="none"/>
        </w:rPr>
        <w:t>车载手控器</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支持取证主机GUI操作：录像、事件抓取、事件回放、参数设置、程序升级等；</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支持车载云台控制：变焦、聚焦、亮度、快门、补光、云台预置位等；</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支持电源锁，能控制整套系统的启动和关闭；</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四维摇杆设计，操作方便；</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按键背光支持绿色</w:t>
      </w:r>
      <w:r>
        <w:rPr>
          <w:color w:val="auto"/>
          <w:sz w:val="24"/>
          <w:szCs w:val="21"/>
          <w:highlight w:val="none"/>
          <w:lang w:val="zh-CN"/>
        </w:rPr>
        <w:t>/</w:t>
      </w:r>
      <w:r>
        <w:rPr>
          <w:rFonts w:hint="eastAsia"/>
          <w:color w:val="auto"/>
          <w:sz w:val="24"/>
          <w:szCs w:val="21"/>
          <w:highlight w:val="none"/>
          <w:lang w:val="zh-CN"/>
        </w:rPr>
        <w:t>红色双色显示；</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车载防震设计；</w:t>
      </w:r>
    </w:p>
    <w:p>
      <w:pPr>
        <w:pStyle w:val="7"/>
        <w:keepNext/>
        <w:keepLines w:val="0"/>
        <w:adjustRightInd w:val="0"/>
        <w:snapToGrid w:val="0"/>
        <w:ind w:left="1008" w:hanging="1008"/>
        <w:jc w:val="left"/>
        <w:rPr>
          <w:color w:val="auto"/>
          <w:highlight w:val="none"/>
        </w:rPr>
      </w:pPr>
      <w:r>
        <w:rPr>
          <w:color w:val="auto"/>
          <w:highlight w:val="none"/>
        </w:rPr>
        <w:t>车载高清液晶显示屏</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7寸液晶显示屏，采用LED背光；</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持高清画质；</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支持触摸屏操作；</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实时显示取证画面；</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显示菜单界面，便于方便快捷的设置车载设备参数；</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航空头接口设计，配备专用支架，适用于各种车载环境；</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TFT</w:t>
      </w:r>
      <w:r>
        <w:rPr>
          <w:rFonts w:hint="eastAsia"/>
          <w:color w:val="auto"/>
          <w:sz w:val="24"/>
          <w:szCs w:val="21"/>
          <w:highlight w:val="none"/>
          <w:lang w:val="zh-CN"/>
        </w:rPr>
        <w:t>材质，安全可靠性高；</w:t>
      </w:r>
    </w:p>
    <w:p>
      <w:pPr>
        <w:pStyle w:val="7"/>
        <w:keepNext/>
        <w:keepLines w:val="0"/>
        <w:adjustRightInd w:val="0"/>
        <w:snapToGrid w:val="0"/>
        <w:ind w:left="1008" w:hanging="1008"/>
        <w:jc w:val="left"/>
        <w:rPr>
          <w:color w:val="auto"/>
          <w:highlight w:val="none"/>
        </w:rPr>
      </w:pPr>
      <w:r>
        <w:rPr>
          <w:color w:val="auto"/>
          <w:highlight w:val="none"/>
        </w:rPr>
        <w:t>三防平板</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支持接收全景车载主机产生的布控报警信息</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屏幕：</w:t>
      </w:r>
      <w:r>
        <w:rPr>
          <w:color w:val="auto"/>
          <w:sz w:val="24"/>
          <w:szCs w:val="21"/>
          <w:highlight w:val="none"/>
          <w:lang w:val="zh-CN"/>
        </w:rPr>
        <w:t>7</w:t>
      </w:r>
      <w:r>
        <w:rPr>
          <w:rFonts w:hint="eastAsia"/>
          <w:color w:val="auto"/>
          <w:sz w:val="24"/>
          <w:szCs w:val="21"/>
          <w:highlight w:val="none"/>
          <w:lang w:val="zh-CN"/>
        </w:rPr>
        <w:t>寸</w:t>
      </w:r>
      <w:r>
        <w:rPr>
          <w:color w:val="auto"/>
          <w:sz w:val="24"/>
          <w:szCs w:val="21"/>
          <w:highlight w:val="none"/>
          <w:lang w:val="zh-CN"/>
        </w:rPr>
        <w:t>1280×800</w:t>
      </w:r>
      <w:r>
        <w:rPr>
          <w:rFonts w:hint="eastAsia"/>
          <w:color w:val="auto"/>
          <w:sz w:val="24"/>
          <w:szCs w:val="21"/>
          <w:highlight w:val="none"/>
          <w:lang w:val="zh-CN"/>
        </w:rPr>
        <w:t>触摸屏，支持多点电容触摸</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网络类型：单卡，</w:t>
      </w:r>
      <w:r>
        <w:rPr>
          <w:color w:val="auto"/>
          <w:sz w:val="24"/>
          <w:szCs w:val="21"/>
          <w:highlight w:val="none"/>
          <w:lang w:val="zh-CN"/>
        </w:rPr>
        <w:t>4G</w:t>
      </w:r>
      <w:r>
        <w:rPr>
          <w:rFonts w:hint="eastAsia"/>
          <w:color w:val="auto"/>
          <w:sz w:val="24"/>
          <w:szCs w:val="21"/>
          <w:highlight w:val="none"/>
          <w:lang w:val="zh-CN"/>
        </w:rPr>
        <w:t>全网通</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相机：后置</w:t>
      </w:r>
      <w:r>
        <w:rPr>
          <w:color w:val="auto"/>
          <w:sz w:val="24"/>
          <w:szCs w:val="21"/>
          <w:highlight w:val="none"/>
          <w:lang w:val="zh-CN"/>
        </w:rPr>
        <w:t>800</w:t>
      </w:r>
      <w:r>
        <w:rPr>
          <w:rFonts w:hint="eastAsia"/>
          <w:color w:val="auto"/>
          <w:sz w:val="24"/>
          <w:szCs w:val="21"/>
          <w:highlight w:val="none"/>
          <w:lang w:val="zh-CN"/>
        </w:rPr>
        <w:t>万像素防抖相机，前置</w:t>
      </w:r>
      <w:r>
        <w:rPr>
          <w:color w:val="auto"/>
          <w:sz w:val="24"/>
          <w:szCs w:val="21"/>
          <w:highlight w:val="none"/>
          <w:lang w:val="zh-CN"/>
        </w:rPr>
        <w:t>200</w:t>
      </w:r>
      <w:r>
        <w:rPr>
          <w:rFonts w:hint="eastAsia"/>
          <w:color w:val="auto"/>
          <w:sz w:val="24"/>
          <w:szCs w:val="21"/>
          <w:highlight w:val="none"/>
          <w:lang w:val="zh-CN"/>
        </w:rPr>
        <w:t>万像素相机</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蓝牙：</w:t>
      </w:r>
      <w:r>
        <w:rPr>
          <w:color w:val="auto"/>
          <w:sz w:val="24"/>
          <w:szCs w:val="21"/>
          <w:highlight w:val="none"/>
          <w:lang w:val="zh-CN"/>
        </w:rPr>
        <w:t>BT V4.0</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WAPI/WIFI</w:t>
      </w:r>
      <w:r>
        <w:rPr>
          <w:rFonts w:hint="eastAsia"/>
          <w:color w:val="auto"/>
          <w:sz w:val="24"/>
          <w:szCs w:val="21"/>
          <w:highlight w:val="none"/>
          <w:lang w:val="zh-CN"/>
        </w:rPr>
        <w:t>：</w:t>
      </w:r>
      <w:r>
        <w:rPr>
          <w:color w:val="auto"/>
          <w:sz w:val="24"/>
          <w:szCs w:val="21"/>
          <w:highlight w:val="none"/>
          <w:lang w:val="zh-CN"/>
        </w:rPr>
        <w:t>802.11a/b/g/n</w:t>
      </w:r>
      <w:r>
        <w:rPr>
          <w:rFonts w:hint="eastAsia"/>
          <w:color w:val="auto"/>
          <w:sz w:val="24"/>
          <w:szCs w:val="21"/>
          <w:highlight w:val="none"/>
          <w:lang w:val="zh-CN"/>
        </w:rPr>
        <w:t>，支持</w:t>
      </w:r>
      <w:r>
        <w:rPr>
          <w:color w:val="auto"/>
          <w:sz w:val="24"/>
          <w:szCs w:val="21"/>
          <w:highlight w:val="none"/>
          <w:lang w:val="zh-CN"/>
        </w:rPr>
        <w:t>2.4/5GHz</w:t>
      </w:r>
      <w:r>
        <w:rPr>
          <w:rFonts w:hint="eastAsia"/>
          <w:color w:val="auto"/>
          <w:sz w:val="24"/>
          <w:szCs w:val="21"/>
          <w:highlight w:val="none"/>
          <w:lang w:val="zh-CN"/>
        </w:rPr>
        <w:t>双频</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定位：</w:t>
      </w:r>
      <w:r>
        <w:rPr>
          <w:color w:val="auto"/>
          <w:sz w:val="24"/>
          <w:szCs w:val="21"/>
          <w:highlight w:val="none"/>
          <w:lang w:val="zh-CN"/>
        </w:rPr>
        <w:t>GPS/AGPS/GLONASS/</w:t>
      </w:r>
      <w:r>
        <w:rPr>
          <w:rFonts w:hint="eastAsia"/>
          <w:color w:val="auto"/>
          <w:sz w:val="24"/>
          <w:szCs w:val="21"/>
          <w:highlight w:val="none"/>
          <w:lang w:val="zh-CN"/>
        </w:rPr>
        <w:t>北斗</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电池容量：</w:t>
      </w:r>
      <w:r>
        <w:rPr>
          <w:color w:val="auto"/>
          <w:sz w:val="24"/>
          <w:szCs w:val="21"/>
          <w:highlight w:val="none"/>
          <w:lang w:val="zh-CN"/>
        </w:rPr>
        <w:t>7000mAh</w:t>
      </w:r>
    </w:p>
    <w:p>
      <w:pPr>
        <w:numPr>
          <w:ilvl w:val="0"/>
          <w:numId w:val="17"/>
        </w:numPr>
        <w:snapToGrid w:val="0"/>
        <w:spacing w:line="360" w:lineRule="auto"/>
        <w:ind w:left="709" w:hanging="371"/>
        <w:rPr>
          <w:color w:val="auto"/>
          <w:sz w:val="24"/>
          <w:szCs w:val="21"/>
          <w:highlight w:val="none"/>
          <w:lang w:val="zh-CN"/>
        </w:rPr>
      </w:pPr>
      <w:r>
        <w:rPr>
          <w:color w:val="auto"/>
          <w:sz w:val="24"/>
          <w:szCs w:val="21"/>
          <w:highlight w:val="none"/>
          <w:lang w:val="zh-CN"/>
        </w:rPr>
        <w:t>NFC</w:t>
      </w:r>
      <w:r>
        <w:rPr>
          <w:rFonts w:hint="eastAsia"/>
          <w:color w:val="auto"/>
          <w:sz w:val="24"/>
          <w:szCs w:val="21"/>
          <w:highlight w:val="none"/>
          <w:lang w:val="zh-CN"/>
        </w:rPr>
        <w:t>：支持</w:t>
      </w:r>
      <w:r>
        <w:rPr>
          <w:color w:val="auto"/>
          <w:sz w:val="24"/>
          <w:szCs w:val="21"/>
          <w:highlight w:val="none"/>
          <w:lang w:val="zh-CN"/>
        </w:rPr>
        <w:t>NXP PN548</w:t>
      </w:r>
      <w:r>
        <w:rPr>
          <w:rFonts w:hint="eastAsia"/>
          <w:color w:val="auto"/>
          <w:sz w:val="24"/>
          <w:szCs w:val="21"/>
          <w:highlight w:val="none"/>
          <w:lang w:val="zh-CN"/>
        </w:rPr>
        <w:t>芯片</w:t>
      </w:r>
      <w:r>
        <w:rPr>
          <w:color w:val="auto"/>
          <w:sz w:val="24"/>
          <w:szCs w:val="21"/>
          <w:highlight w:val="none"/>
          <w:lang w:val="zh-CN"/>
        </w:rPr>
        <w:t>13.56MHz</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传感器：重力加速</w:t>
      </w:r>
      <w:r>
        <w:rPr>
          <w:color w:val="auto"/>
          <w:sz w:val="24"/>
          <w:szCs w:val="21"/>
          <w:highlight w:val="none"/>
          <w:lang w:val="zh-CN"/>
        </w:rPr>
        <w:t>/</w:t>
      </w:r>
      <w:r>
        <w:rPr>
          <w:rFonts w:hint="eastAsia"/>
          <w:color w:val="auto"/>
          <w:sz w:val="24"/>
          <w:szCs w:val="21"/>
          <w:highlight w:val="none"/>
          <w:lang w:val="zh-CN"/>
        </w:rPr>
        <w:t>光距感应</w:t>
      </w:r>
      <w:r>
        <w:rPr>
          <w:color w:val="auto"/>
          <w:sz w:val="24"/>
          <w:szCs w:val="21"/>
          <w:highlight w:val="none"/>
          <w:lang w:val="zh-CN"/>
        </w:rPr>
        <w:t>/</w:t>
      </w:r>
      <w:r>
        <w:rPr>
          <w:rFonts w:hint="eastAsia"/>
          <w:color w:val="auto"/>
          <w:sz w:val="24"/>
          <w:szCs w:val="21"/>
          <w:highlight w:val="none"/>
          <w:lang w:val="zh-CN"/>
        </w:rPr>
        <w:t>陀螺仪</w:t>
      </w:r>
      <w:r>
        <w:rPr>
          <w:color w:val="auto"/>
          <w:sz w:val="24"/>
          <w:szCs w:val="21"/>
          <w:highlight w:val="none"/>
          <w:lang w:val="zh-CN"/>
        </w:rPr>
        <w:t>/</w:t>
      </w:r>
      <w:r>
        <w:rPr>
          <w:rFonts w:hint="eastAsia"/>
          <w:color w:val="auto"/>
          <w:sz w:val="24"/>
          <w:szCs w:val="21"/>
          <w:highlight w:val="none"/>
          <w:lang w:val="zh-CN"/>
        </w:rPr>
        <w:t>地磁</w:t>
      </w:r>
      <w:r>
        <w:rPr>
          <w:color w:val="auto"/>
          <w:sz w:val="24"/>
          <w:szCs w:val="21"/>
          <w:highlight w:val="none"/>
          <w:lang w:val="zh-CN"/>
        </w:rPr>
        <w:t>/</w:t>
      </w:r>
      <w:r>
        <w:rPr>
          <w:rFonts w:hint="eastAsia"/>
          <w:color w:val="auto"/>
          <w:sz w:val="24"/>
          <w:szCs w:val="21"/>
          <w:highlight w:val="none"/>
          <w:lang w:val="zh-CN"/>
        </w:rPr>
        <w:t>气压</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警用智能执法无人机</w:t>
      </w:r>
    </w:p>
    <w:p>
      <w:pPr>
        <w:pStyle w:val="47"/>
        <w:snapToGrid w:val="0"/>
        <w:ind w:firstLine="480"/>
        <w:rPr>
          <w:rFonts w:ascii="宋体" w:hAnsi="宋体"/>
          <w:color w:val="auto"/>
          <w:highlight w:val="none"/>
        </w:rPr>
      </w:pPr>
      <w:r>
        <w:rPr>
          <w:rFonts w:hint="eastAsia" w:ascii="宋体" w:hAnsi="宋体"/>
          <w:color w:val="auto"/>
          <w:highlight w:val="none"/>
        </w:rPr>
        <w:t>搭载4K 30倍变焦相机云台、高清图像链路传输系统、远程喊话器，由手持智能地面站与数传构成的智能自主巡逻、监视、预警喊话单兵作战系统。</w:t>
      </w:r>
    </w:p>
    <w:p>
      <w:pPr>
        <w:pStyle w:val="7"/>
        <w:keepNext/>
        <w:keepLines w:val="0"/>
        <w:adjustRightInd w:val="0"/>
        <w:snapToGrid w:val="0"/>
        <w:ind w:left="1008" w:hanging="1008"/>
        <w:jc w:val="left"/>
        <w:rPr>
          <w:color w:val="auto"/>
          <w:highlight w:val="none"/>
        </w:rPr>
      </w:pPr>
      <w:r>
        <w:rPr>
          <w:rFonts w:hint="eastAsia"/>
          <w:color w:val="auto"/>
          <w:highlight w:val="none"/>
        </w:rPr>
        <w:t>飞行器</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具备复杂天气、复杂地形等条件下的起降和飞行能力；</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具备夜航能力；</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具备倾转矢量控制飞行功能；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具备自动起降控制功能；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具备全自主和遥控飞行控制功能；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具备链路中断后自动返航功能；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具备飞行器以及所搭载传感器的故障检测、诊断、隔离功能；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具备失速保护功能（SFP）；</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具备翻机保护功能（AFP）；</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具备动力失效保护功能（EFP）；</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具备低高度保护功能（LAP）；</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具备应急航线自动生成及飞行功能（EMC）；</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具备进阶式失控保护功能（ADFS）；</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具备遥控遥测数据和视频数据的实时传输功能；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具备任务设备快速换装功能；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具备多点异地起降功能；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具备采、投绞盘自动化程序；</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具备毫米波雷达水面定高程序；</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续航能力：≥1.5h；</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任务载荷能力：≥</w:t>
      </w:r>
      <w:r>
        <w:rPr>
          <w:color w:val="auto"/>
          <w:sz w:val="24"/>
          <w:szCs w:val="21"/>
          <w:highlight w:val="none"/>
          <w:lang w:val="zh-CN"/>
        </w:rPr>
        <w:t>3</w:t>
      </w:r>
      <w:r>
        <w:rPr>
          <w:rFonts w:hint="eastAsia"/>
          <w:color w:val="auto"/>
          <w:sz w:val="24"/>
          <w:szCs w:val="21"/>
          <w:highlight w:val="none"/>
          <w:lang w:val="zh-CN"/>
        </w:rPr>
        <w:t>kg；</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通过矢量控制，旋翼垂直起飞，并在空中自主倾转为固定翼模式进行飞行；</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实用升限：≥4000m；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爬升率（起降阶段）：≥5m/s；</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飞行半径：≥</w:t>
      </w:r>
      <w:r>
        <w:rPr>
          <w:color w:val="auto"/>
          <w:sz w:val="24"/>
          <w:szCs w:val="21"/>
          <w:highlight w:val="none"/>
          <w:lang w:val="zh-CN"/>
        </w:rPr>
        <w:t>3</w:t>
      </w:r>
      <w:r>
        <w:rPr>
          <w:rFonts w:hint="eastAsia"/>
          <w:color w:val="auto"/>
          <w:sz w:val="24"/>
          <w:szCs w:val="21"/>
          <w:highlight w:val="none"/>
          <w:lang w:val="zh-CN"/>
        </w:rPr>
        <w:t>0km；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最大平飞速度：≥</w:t>
      </w:r>
      <w:r>
        <w:rPr>
          <w:color w:val="auto"/>
          <w:sz w:val="24"/>
          <w:szCs w:val="21"/>
          <w:highlight w:val="none"/>
          <w:lang w:val="zh-CN"/>
        </w:rPr>
        <w:t>15</w:t>
      </w:r>
      <w:r>
        <w:rPr>
          <w:rFonts w:hint="eastAsia"/>
          <w:color w:val="auto"/>
          <w:sz w:val="24"/>
          <w:szCs w:val="21"/>
          <w:highlight w:val="none"/>
          <w:lang w:val="zh-CN"/>
        </w:rPr>
        <w:t>0km/h；</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巡航速度：70km/h~1</w:t>
      </w:r>
      <w:r>
        <w:rPr>
          <w:color w:val="auto"/>
          <w:sz w:val="24"/>
          <w:szCs w:val="21"/>
          <w:highlight w:val="none"/>
          <w:lang w:val="zh-CN"/>
        </w:rPr>
        <w:t>2</w:t>
      </w:r>
      <w:r>
        <w:rPr>
          <w:rFonts w:hint="eastAsia"/>
          <w:color w:val="auto"/>
          <w:sz w:val="24"/>
          <w:szCs w:val="21"/>
          <w:highlight w:val="none"/>
          <w:lang w:val="zh-CN"/>
        </w:rPr>
        <w:t>0km/h；</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抗风能力：能够在不大于17m/s（七级风）风速情况下安全起降；</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机体结构寿命：不小于2000h飞行时间或8年；</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导航位置精度：≤10m；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中继通信：具备中继通信能力；</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供电能力：额定供电，不小于500w，电压51.12VDC±2%；</w:t>
      </w:r>
    </w:p>
    <w:p>
      <w:pPr>
        <w:pStyle w:val="7"/>
        <w:keepNext/>
        <w:keepLines w:val="0"/>
        <w:adjustRightInd w:val="0"/>
        <w:snapToGrid w:val="0"/>
        <w:ind w:left="1008" w:hanging="1008"/>
        <w:jc w:val="left"/>
        <w:rPr>
          <w:color w:val="auto"/>
          <w:highlight w:val="none"/>
        </w:rPr>
      </w:pPr>
      <w:r>
        <w:rPr>
          <w:color w:val="auto"/>
          <w:highlight w:val="none"/>
        </w:rPr>
        <w:t>4</w:t>
      </w:r>
      <w:r>
        <w:rPr>
          <w:rFonts w:hint="eastAsia"/>
          <w:color w:val="auto"/>
          <w:highlight w:val="none"/>
        </w:rPr>
        <w:t>k</w:t>
      </w:r>
      <w:r>
        <w:rPr>
          <w:color w:val="auto"/>
          <w:highlight w:val="none"/>
        </w:rPr>
        <w:t xml:space="preserve"> 30</w:t>
      </w:r>
      <w:r>
        <w:rPr>
          <w:rFonts w:hint="eastAsia"/>
          <w:color w:val="auto"/>
          <w:highlight w:val="none"/>
        </w:rPr>
        <w:t>倍变焦可见光相机云台</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总重量：&lt;720g（不含集线盒）；</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安装方式：相机云台一体机，可拆卸；</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对外接口：40pin接口（含HDMI和串口）或集线盒接口；</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三轴稳定系统：方位、横滚、俯仰；</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结构限位：方位轴：-290°~290°；横滚轴：-50°~50°；俯仰轴：-140°~50°；</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遥控角度：方位轴：-270°~270°；俯仰轴：-120°~30°；</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稳像精度：≤0.01°；</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航向随动：方位角跟随机体角度，俯仰轴和横滚轴稳像；</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有效像素：1240万；</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镜头：F1.5（广角）-F4.3（长焦）；</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焦距：f：6~180mm；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视场角：FOV68.4°（广角）-2.67°（长焦）；</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变焦模式：一键聚焦、手动对焦；</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数字变焦：4倍数字变焦；</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拍照分辨率：12M：4000×3000；4K：3840×2160（default）；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视频分辨率：UHD：4096×2160 30p；4K：3840×2160 30p（default）；FHD：1920×1080 30/60p；HD：1280×720 60p；</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图片存储格式：JPEG；</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录像存储格式：mp4；</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视频编码格式：H264/265；</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工作温度：-10℃~50℃。</w:t>
      </w:r>
    </w:p>
    <w:p>
      <w:pPr>
        <w:pStyle w:val="7"/>
        <w:keepNext/>
        <w:keepLines w:val="0"/>
        <w:adjustRightInd w:val="0"/>
        <w:snapToGrid w:val="0"/>
        <w:ind w:left="1008" w:hanging="1008"/>
        <w:jc w:val="left"/>
        <w:rPr>
          <w:color w:val="auto"/>
          <w:highlight w:val="none"/>
        </w:rPr>
      </w:pPr>
      <w:r>
        <w:rPr>
          <w:rFonts w:hint="eastAsia"/>
          <w:color w:val="auto"/>
          <w:highlight w:val="none"/>
        </w:rPr>
        <w:t>高清图传发射端</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传输发射距离：10~100km；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重量：80g；</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工作频率：170MHz~1500MHz（频率可定制）；</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调制格式：COFDM；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输出功率：≤30dBm，1dB步进（更大功率可定制）；</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信道带宽：2-8MHz，1MHz步进；</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子码载波调制方式：QPSK，16QAM，64QAM；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错误码率：1/2；2/3；3/4；5/6；7/8；</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保护间隔：1/32，1/16，1/8，1/4；</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视频码流：2Mbps~22Mbps；</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系统延时：300ms；</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传输距离：空对地通视范围（5-100）公里；</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压缩格式：H.264/MPEG-2；</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数据输入：UART；</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音视频输入：HDMI，CVBS；</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图像格式：HD1080P/I、720P及标清；</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图像帧率：24、50、60帧/秒，兼容其它帧率；</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输入电压范围：12~40VDC；</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工作温度：-20~+65℃；</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存储温度：-40~+70℃。</w:t>
      </w:r>
    </w:p>
    <w:p>
      <w:pPr>
        <w:pStyle w:val="7"/>
        <w:keepNext/>
        <w:keepLines w:val="0"/>
        <w:adjustRightInd w:val="0"/>
        <w:snapToGrid w:val="0"/>
        <w:ind w:left="1008" w:hanging="1008"/>
        <w:jc w:val="left"/>
        <w:rPr>
          <w:color w:val="auto"/>
          <w:highlight w:val="none"/>
        </w:rPr>
      </w:pPr>
      <w:r>
        <w:rPr>
          <w:rFonts w:hint="eastAsia"/>
          <w:color w:val="auto"/>
          <w:highlight w:val="none"/>
        </w:rPr>
        <w:t>高清图传接收端</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传输接收距离：5-100KM；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重量：120g；</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工作频率：170MHz~930MHz（频率可定制更高频率）；</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调制格式：COFDM；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输入电压范围：8~40VDC；</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信道带宽：6-8MHz，1MHz步进；</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子码载波调制方式：QPSK，16QAM，64QAM；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错误码率：1/2；2/3；3/4；5/6；7/8；</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保护间隔：1/32，1/16，1/8，1/4；</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输入阻抗：50Ω；</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接收技术：空间分级技术；</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接收极化：垂直极化，双天线接收；</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远程控制接口：UART/IR；</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视频输出接口：CVBS，HDMI，网口；</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视频宽高比：16：9；4：3；</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工作温度：-20~+50℃；</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存储温度：-40~+65℃；</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图像格式：HD1080P/I、720P及标清；</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图像帧率：24、50、60帧/秒，兼容其它帧率；</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红外控制：标准NEC遥控红外接收。</w:t>
      </w:r>
    </w:p>
    <w:p>
      <w:pPr>
        <w:pStyle w:val="7"/>
        <w:keepNext/>
        <w:keepLines w:val="0"/>
        <w:adjustRightInd w:val="0"/>
        <w:snapToGrid w:val="0"/>
        <w:ind w:left="1008" w:hanging="1008"/>
        <w:jc w:val="left"/>
        <w:rPr>
          <w:color w:val="auto"/>
          <w:highlight w:val="none"/>
        </w:rPr>
      </w:pPr>
      <w:r>
        <w:rPr>
          <w:rFonts w:hint="eastAsia"/>
          <w:color w:val="auto"/>
          <w:highlight w:val="none"/>
        </w:rPr>
        <w:t>远程喊话系统指标</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广播距离：500m；</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传输距离：15km（开阔环境）；</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语音输入接口：MIC输入或话咪接口；</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喇叭功率：30W；</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喇叭频率响应：350Hz~5kHz（-10dB）；</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喇叭可控转动范围：±360°连续；</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支持预录；</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支持快拆；</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工作电压：DC 20~52V；</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重量：600g；</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工作温度：-20~60℃。</w:t>
      </w:r>
    </w:p>
    <w:p>
      <w:pPr>
        <w:pStyle w:val="7"/>
        <w:keepNext/>
        <w:keepLines w:val="0"/>
        <w:adjustRightInd w:val="0"/>
        <w:snapToGrid w:val="0"/>
        <w:ind w:left="1008" w:hanging="1008"/>
        <w:jc w:val="left"/>
        <w:rPr>
          <w:color w:val="auto"/>
          <w:highlight w:val="none"/>
        </w:rPr>
      </w:pPr>
      <w:r>
        <w:rPr>
          <w:rFonts w:hint="eastAsia"/>
          <w:color w:val="auto"/>
          <w:highlight w:val="none"/>
        </w:rPr>
        <w:t>手持智能地面站</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14通道×2；</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通信频率：840MHZ/900MHZ；</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射频功率：1W（可调）；</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遥控距离：5-30公里（视环境而定）；</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电池容量：3.7V/7500mah；</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续航时间：满负荷工作3小时；</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整机重量：约1000g；</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遥控延时：10毫秒；</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电脑类型：Win10或Android5.1；</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处理器：Intel Z8350；</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内存：2GB/4GB DDR3；</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存储容量：32GB/64GB；</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显示屏：8寸IPS 320CCD；</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分辨率：1280×720；</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三防特性：IP67；</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外部接口：TF卡槽、USB口、3G卡槽；</w:t>
      </w:r>
    </w:p>
    <w:p>
      <w:pPr>
        <w:numPr>
          <w:ilvl w:val="0"/>
          <w:numId w:val="17"/>
        </w:numPr>
        <w:snapToGrid w:val="0"/>
        <w:spacing w:line="360" w:lineRule="auto"/>
        <w:ind w:left="709" w:hanging="371"/>
        <w:rPr>
          <w:color w:val="auto"/>
          <w:sz w:val="24"/>
          <w:szCs w:val="21"/>
          <w:highlight w:val="none"/>
          <w:lang w:val="zh-CN"/>
        </w:rPr>
      </w:pPr>
      <w:r>
        <w:rPr>
          <w:rFonts w:hint="eastAsia"/>
          <w:color w:val="auto"/>
          <w:sz w:val="24"/>
          <w:szCs w:val="21"/>
          <w:highlight w:val="none"/>
          <w:lang w:val="zh-CN"/>
        </w:rPr>
        <w:t>GPS模块：内置高精度GPS。</w:t>
      </w:r>
    </w:p>
    <w:p>
      <w:pPr>
        <w:pStyle w:val="4"/>
        <w:snapToGrid w:val="0"/>
        <w:spacing w:before="0" w:after="0" w:line="360" w:lineRule="auto"/>
        <w:ind w:left="576" w:hanging="576"/>
        <w:rPr>
          <w:color w:val="auto"/>
          <w:highlight w:val="none"/>
        </w:rPr>
      </w:pPr>
      <w:bookmarkStart w:id="54" w:name="_Toc10102476"/>
      <w:r>
        <w:rPr>
          <w:rFonts w:hint="eastAsia"/>
          <w:color w:val="auto"/>
          <w:highlight w:val="none"/>
        </w:rPr>
        <w:t>网络传输</w:t>
      </w:r>
      <w:bookmarkEnd w:id="54"/>
    </w:p>
    <w:p>
      <w:pPr>
        <w:snapToGrid w:val="0"/>
        <w:spacing w:line="360" w:lineRule="auto"/>
        <w:ind w:firstLine="480" w:firstLineChars="200"/>
        <w:rPr>
          <w:color w:val="auto"/>
          <w:sz w:val="24"/>
          <w:szCs w:val="21"/>
          <w:highlight w:val="none"/>
        </w:rPr>
      </w:pPr>
      <w:r>
        <w:rPr>
          <w:rFonts w:hint="eastAsia"/>
          <w:color w:val="auto"/>
          <w:sz w:val="24"/>
          <w:szCs w:val="21"/>
          <w:highlight w:val="none"/>
        </w:rPr>
        <w:t>玉环天眼（一期）项目中对中心网络架构进行了全新的建设：通过运营商机房的接入层交换机、玉环交警机房的汇聚层交换机和原有核心交换机，构成了层次清晰的传输网络；在视频网和公安网之间增加交互平台，确保数据、图片、视频传输的安全。</w:t>
      </w:r>
    </w:p>
    <w:p>
      <w:pPr>
        <w:jc w:val="center"/>
        <w:rPr>
          <w:color w:val="auto"/>
          <w:highlight w:val="none"/>
          <w:lang w:val="zh-CN"/>
        </w:rPr>
      </w:pPr>
      <w:r>
        <w:rPr>
          <w:rFonts w:ascii="等线" w:hAnsi="等线" w:eastAsia="等线"/>
          <w:color w:val="auto"/>
          <w:sz w:val="24"/>
          <w:highlight w:val="none"/>
        </w:rPr>
        <w:drawing>
          <wp:inline distT="0" distB="0" distL="0" distR="0">
            <wp:extent cx="5034915" cy="2612390"/>
            <wp:effectExtent l="0" t="0" r="13335" b="16510"/>
            <wp:docPr id="57" name="图片 57" descr="QQ图片2018111411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图片201811141137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34915" cy="2612390"/>
                    </a:xfrm>
                    <a:prstGeom prst="rect">
                      <a:avLst/>
                    </a:prstGeom>
                    <a:noFill/>
                    <a:ln>
                      <a:noFill/>
                    </a:ln>
                  </pic:spPr>
                </pic:pic>
              </a:graphicData>
            </a:graphic>
          </wp:inline>
        </w:drawing>
      </w:r>
    </w:p>
    <w:p>
      <w:pPr>
        <w:pStyle w:val="47"/>
        <w:snapToGrid w:val="0"/>
        <w:ind w:firstLine="199" w:firstLineChars="83"/>
        <w:jc w:val="center"/>
        <w:rPr>
          <w:rFonts w:ascii="宋体" w:hAnsi="宋体"/>
          <w:color w:val="auto"/>
          <w:highlight w:val="none"/>
        </w:rPr>
      </w:pPr>
      <w:r>
        <w:rPr>
          <w:rFonts w:hint="eastAsia" w:ascii="宋体" w:hAnsi="宋体"/>
          <w:color w:val="auto"/>
          <w:highlight w:val="none"/>
        </w:rPr>
        <w:t>图</w:t>
      </w: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SEQ 图 \* ARABIC</w:instrText>
      </w:r>
      <w:r>
        <w:rPr>
          <w:rFonts w:ascii="宋体" w:hAnsi="宋体"/>
          <w:color w:val="auto"/>
          <w:highlight w:val="none"/>
        </w:rPr>
        <w:instrText xml:space="preserve"> </w:instrText>
      </w:r>
      <w:r>
        <w:rPr>
          <w:rFonts w:ascii="宋体" w:hAnsi="宋体"/>
          <w:color w:val="auto"/>
          <w:highlight w:val="none"/>
        </w:rPr>
        <w:fldChar w:fldCharType="separate"/>
      </w:r>
      <w:r>
        <w:rPr>
          <w:rFonts w:ascii="宋体" w:hAnsi="宋体"/>
          <w:color w:val="auto"/>
          <w:highlight w:val="none"/>
        </w:rPr>
        <w:t>26</w:t>
      </w:r>
      <w:r>
        <w:rPr>
          <w:rFonts w:ascii="宋体" w:hAnsi="宋体"/>
          <w:color w:val="auto"/>
          <w:highlight w:val="none"/>
        </w:rPr>
        <w:fldChar w:fldCharType="end"/>
      </w:r>
      <w:r>
        <w:rPr>
          <w:rFonts w:ascii="宋体" w:hAnsi="宋体"/>
          <w:color w:val="auto"/>
          <w:highlight w:val="none"/>
        </w:rPr>
        <w:t xml:space="preserve"> </w:t>
      </w:r>
      <w:r>
        <w:rPr>
          <w:rFonts w:hint="eastAsia" w:ascii="宋体" w:hAnsi="宋体"/>
          <w:color w:val="auto"/>
          <w:highlight w:val="none"/>
        </w:rPr>
        <w:t>中心网络现状拓扑图与网络后期规划拓扑对比</w:t>
      </w:r>
    </w:p>
    <w:p>
      <w:pPr>
        <w:snapToGrid w:val="0"/>
        <w:spacing w:line="360" w:lineRule="auto"/>
        <w:ind w:firstLine="480" w:firstLineChars="200"/>
        <w:rPr>
          <w:color w:val="auto"/>
          <w:sz w:val="24"/>
          <w:szCs w:val="21"/>
          <w:highlight w:val="none"/>
        </w:rPr>
      </w:pPr>
      <w:r>
        <w:rPr>
          <w:rFonts w:hint="eastAsia"/>
          <w:color w:val="auto"/>
          <w:sz w:val="24"/>
          <w:szCs w:val="21"/>
          <w:highlight w:val="none"/>
        </w:rPr>
        <w:t>一期项目中已经完成了对前端接入中心网络扩容、交互平台改造升级、公安网和视频网准入系统建设、网络安全审计系统建设以及大楼综合布线系统和网络运维外包服务等项目。</w:t>
      </w:r>
    </w:p>
    <w:p>
      <w:pPr>
        <w:snapToGrid w:val="0"/>
        <w:spacing w:line="360" w:lineRule="auto"/>
        <w:ind w:firstLine="480" w:firstLineChars="200"/>
        <w:rPr>
          <w:color w:val="auto"/>
          <w:sz w:val="24"/>
          <w:szCs w:val="21"/>
          <w:highlight w:val="none"/>
        </w:rPr>
      </w:pPr>
      <w:r>
        <w:rPr>
          <w:rFonts w:hint="eastAsia"/>
          <w:color w:val="auto"/>
          <w:sz w:val="24"/>
          <w:szCs w:val="21"/>
          <w:highlight w:val="none"/>
        </w:rPr>
        <w:t>天眼二期项目中网络传输建设仅在一期项目建设的基础上，增加存储及交换机等中心设备，以实现对本次项目新建系统的储存和传输。</w:t>
      </w:r>
    </w:p>
    <w:p>
      <w:pPr>
        <w:pStyle w:val="4"/>
        <w:snapToGrid w:val="0"/>
        <w:spacing w:before="0" w:after="0" w:line="360" w:lineRule="auto"/>
        <w:ind w:left="576" w:hanging="576"/>
        <w:rPr>
          <w:color w:val="auto"/>
          <w:highlight w:val="none"/>
        </w:rPr>
      </w:pPr>
      <w:bookmarkStart w:id="55" w:name="_Toc10102477"/>
      <w:r>
        <w:rPr>
          <w:rFonts w:hint="eastAsia"/>
          <w:color w:val="auto"/>
          <w:highlight w:val="none"/>
        </w:rPr>
        <w:t>数字勤务中心升级建设</w:t>
      </w:r>
      <w:bookmarkEnd w:id="55"/>
    </w:p>
    <w:p>
      <w:pPr>
        <w:pStyle w:val="5"/>
        <w:snapToGrid w:val="0"/>
        <w:spacing w:before="0" w:after="0" w:line="360" w:lineRule="auto"/>
        <w:ind w:left="720" w:hanging="720"/>
        <w:rPr>
          <w:color w:val="auto"/>
          <w:highlight w:val="none"/>
        </w:rPr>
      </w:pPr>
      <w:bookmarkStart w:id="56" w:name="_Toc10102478"/>
      <w:r>
        <w:rPr>
          <w:rFonts w:hint="eastAsia"/>
          <w:color w:val="auto"/>
          <w:highlight w:val="none"/>
        </w:rPr>
        <w:t>系统概述</w:t>
      </w:r>
      <w:bookmarkEnd w:id="56"/>
    </w:p>
    <w:p>
      <w:pPr>
        <w:snapToGrid w:val="0"/>
        <w:spacing w:line="360" w:lineRule="auto"/>
        <w:ind w:firstLine="480" w:firstLineChars="200"/>
        <w:rPr>
          <w:color w:val="auto"/>
          <w:sz w:val="24"/>
          <w:szCs w:val="21"/>
          <w:highlight w:val="none"/>
        </w:rPr>
      </w:pPr>
      <w:r>
        <w:rPr>
          <w:rFonts w:hint="eastAsia"/>
          <w:color w:val="auto"/>
          <w:sz w:val="24"/>
          <w:szCs w:val="21"/>
          <w:highlight w:val="none"/>
        </w:rPr>
        <w:t>随着信息技术的快速发展，市区中队监控中心对信息显示的要求也越来越高，目前市区中队的监控中心设备老旧，无法满足中队日常指挥业务的需求，迫切希望借助目前最先进的大屏幕拼接显示技术，将各种监控系统的计算机图文信息和视频信号等进行集中显示，构建一个高效便捷的视频信息交流平台，满足自身的实时调度、会商、决策及信息反馈等需求。</w:t>
      </w:r>
    </w:p>
    <w:p>
      <w:pPr>
        <w:snapToGrid w:val="0"/>
        <w:spacing w:line="360" w:lineRule="auto"/>
        <w:ind w:firstLine="480" w:firstLineChars="200"/>
        <w:rPr>
          <w:color w:val="auto"/>
          <w:sz w:val="24"/>
          <w:szCs w:val="21"/>
          <w:highlight w:val="none"/>
        </w:rPr>
      </w:pPr>
      <w:r>
        <w:rPr>
          <w:rFonts w:hint="eastAsia"/>
          <w:color w:val="auto"/>
          <w:sz w:val="24"/>
          <w:szCs w:val="21"/>
          <w:highlight w:val="none"/>
        </w:rPr>
        <w:t>根据城区监控中心实际的使用要求和物理环境，本次设计一套LCD拼接显示系统方案，将国际卓越的高清显示技术、LCD拼接技术、多屏图像处理技术、多路信号切换技术、网络技术、集中控制技术等的应用集合为一体，使整套系统成为一个拥有高亮度、高清晰度、高智能化控制的液晶大屏幕拼接显示系统。</w:t>
      </w:r>
    </w:p>
    <w:p>
      <w:pPr>
        <w:snapToGrid w:val="0"/>
        <w:spacing w:line="360" w:lineRule="auto"/>
        <w:ind w:firstLine="480" w:firstLineChars="200"/>
        <w:rPr>
          <w:color w:val="auto"/>
          <w:sz w:val="24"/>
          <w:szCs w:val="21"/>
          <w:highlight w:val="none"/>
        </w:rPr>
      </w:pPr>
      <w:r>
        <w:rPr>
          <w:rFonts w:hint="eastAsia"/>
          <w:color w:val="auto"/>
          <w:sz w:val="24"/>
          <w:szCs w:val="21"/>
          <w:highlight w:val="none"/>
        </w:rPr>
        <w:t>整套系统的硬件、软件设计上充分考虑到系统的安全性、可靠性、可维护性和可扩展性，存储和处理能力满足远期扩展的要求。</w:t>
      </w:r>
    </w:p>
    <w:p>
      <w:pPr>
        <w:snapToGrid w:val="0"/>
        <w:spacing w:line="360" w:lineRule="auto"/>
        <w:ind w:firstLine="480" w:firstLineChars="200"/>
        <w:rPr>
          <w:color w:val="auto"/>
          <w:sz w:val="24"/>
          <w:szCs w:val="21"/>
          <w:highlight w:val="none"/>
        </w:rPr>
      </w:pPr>
      <w:r>
        <w:rPr>
          <w:rFonts w:hint="eastAsia"/>
          <w:color w:val="auto"/>
          <w:sz w:val="24"/>
          <w:szCs w:val="21"/>
          <w:highlight w:val="none"/>
        </w:rPr>
        <w:t>整个大屏系统可以分为以下几个部分：</w:t>
      </w:r>
    </w:p>
    <w:p>
      <w:pPr>
        <w:numPr>
          <w:ilvl w:val="0"/>
          <w:numId w:val="18"/>
        </w:numPr>
        <w:snapToGrid w:val="0"/>
        <w:spacing w:line="360" w:lineRule="auto"/>
        <w:rPr>
          <w:color w:val="auto"/>
          <w:sz w:val="24"/>
          <w:szCs w:val="21"/>
          <w:highlight w:val="none"/>
        </w:rPr>
      </w:pPr>
      <w:r>
        <w:rPr>
          <w:rFonts w:hint="eastAsia"/>
          <w:color w:val="auto"/>
          <w:sz w:val="24"/>
          <w:szCs w:val="21"/>
          <w:highlight w:val="none"/>
        </w:rPr>
        <w:t>前端系统</w:t>
      </w:r>
    </w:p>
    <w:p>
      <w:pPr>
        <w:snapToGrid w:val="0"/>
        <w:spacing w:line="360" w:lineRule="auto"/>
        <w:ind w:firstLine="480" w:firstLineChars="200"/>
        <w:rPr>
          <w:color w:val="auto"/>
          <w:sz w:val="24"/>
          <w:szCs w:val="21"/>
          <w:highlight w:val="none"/>
        </w:rPr>
      </w:pPr>
      <w:r>
        <w:rPr>
          <w:rFonts w:hint="eastAsia"/>
          <w:color w:val="auto"/>
          <w:sz w:val="24"/>
          <w:szCs w:val="21"/>
          <w:highlight w:val="none"/>
        </w:rPr>
        <w:t>大屏显示系统支持各类型信号的接入，如：模拟标清摄像机，高清数字摄像机，高清模拟摄像机，网络高清标清摄像机等。除接入远端摄像机之外，还能接入本地的VGA、BNC等</w:t>
      </w:r>
      <w:r>
        <w:rPr>
          <w:color w:val="auto"/>
          <w:sz w:val="24"/>
          <w:szCs w:val="21"/>
          <w:highlight w:val="none"/>
        </w:rPr>
        <w:t>模拟</w:t>
      </w:r>
      <w:r>
        <w:rPr>
          <w:rFonts w:hint="eastAsia"/>
          <w:color w:val="auto"/>
          <w:sz w:val="24"/>
          <w:szCs w:val="21"/>
          <w:highlight w:val="none"/>
        </w:rPr>
        <w:t>信号及</w:t>
      </w:r>
      <w:r>
        <w:rPr>
          <w:color w:val="auto"/>
          <w:sz w:val="24"/>
          <w:szCs w:val="21"/>
          <w:highlight w:val="none"/>
        </w:rPr>
        <w:t>DVI</w:t>
      </w:r>
      <w:r>
        <w:rPr>
          <w:rFonts w:hint="eastAsia"/>
          <w:color w:val="auto"/>
          <w:sz w:val="24"/>
          <w:szCs w:val="21"/>
          <w:highlight w:val="none"/>
        </w:rPr>
        <w:t>、HDMI等</w:t>
      </w:r>
      <w:r>
        <w:rPr>
          <w:color w:val="auto"/>
          <w:sz w:val="24"/>
          <w:szCs w:val="21"/>
          <w:highlight w:val="none"/>
        </w:rPr>
        <w:t>数字</w:t>
      </w:r>
      <w:r>
        <w:rPr>
          <w:rFonts w:hint="eastAsia"/>
          <w:color w:val="auto"/>
          <w:sz w:val="24"/>
          <w:szCs w:val="21"/>
          <w:highlight w:val="none"/>
        </w:rPr>
        <w:t>信号。满足用户所有信号类型的接入。</w:t>
      </w:r>
    </w:p>
    <w:p>
      <w:pPr>
        <w:numPr>
          <w:ilvl w:val="0"/>
          <w:numId w:val="18"/>
        </w:numPr>
        <w:snapToGrid w:val="0"/>
        <w:spacing w:line="360" w:lineRule="auto"/>
        <w:rPr>
          <w:color w:val="auto"/>
          <w:sz w:val="24"/>
          <w:szCs w:val="21"/>
          <w:highlight w:val="none"/>
        </w:rPr>
      </w:pPr>
      <w:r>
        <w:rPr>
          <w:rFonts w:hint="eastAsia"/>
          <w:color w:val="auto"/>
          <w:sz w:val="24"/>
          <w:szCs w:val="21"/>
          <w:highlight w:val="none"/>
        </w:rPr>
        <w:t>传输控制系统</w:t>
      </w:r>
    </w:p>
    <w:p>
      <w:pPr>
        <w:snapToGrid w:val="0"/>
        <w:spacing w:line="360" w:lineRule="auto"/>
        <w:ind w:firstLine="480" w:firstLineChars="200"/>
        <w:rPr>
          <w:color w:val="auto"/>
          <w:sz w:val="24"/>
          <w:szCs w:val="21"/>
          <w:highlight w:val="none"/>
        </w:rPr>
      </w:pPr>
      <w:r>
        <w:rPr>
          <w:rFonts w:hint="eastAsia"/>
          <w:color w:val="auto"/>
          <w:sz w:val="24"/>
          <w:szCs w:val="21"/>
          <w:highlight w:val="none"/>
        </w:rPr>
        <w:t>前端摄像机信号接入之后通过光纤，网络等手段实现远距离传输。通过在控制主机上安装拼接控制软件，可实现对整个大屏显示系统的控制与操作，可实现上墙显示信号的选择与控制。</w:t>
      </w:r>
    </w:p>
    <w:p>
      <w:pPr>
        <w:numPr>
          <w:ilvl w:val="0"/>
          <w:numId w:val="18"/>
        </w:numPr>
        <w:snapToGrid w:val="0"/>
        <w:spacing w:line="360" w:lineRule="auto"/>
        <w:rPr>
          <w:color w:val="auto"/>
          <w:sz w:val="24"/>
          <w:szCs w:val="21"/>
          <w:highlight w:val="none"/>
        </w:rPr>
      </w:pPr>
      <w:r>
        <w:rPr>
          <w:rFonts w:hint="eastAsia"/>
          <w:color w:val="auto"/>
          <w:sz w:val="24"/>
          <w:szCs w:val="21"/>
          <w:highlight w:val="none"/>
        </w:rPr>
        <w:t>显示系统</w:t>
      </w:r>
    </w:p>
    <w:p>
      <w:pPr>
        <w:snapToGrid w:val="0"/>
        <w:spacing w:line="360" w:lineRule="auto"/>
        <w:ind w:firstLine="480" w:firstLineChars="200"/>
        <w:rPr>
          <w:color w:val="auto"/>
          <w:sz w:val="24"/>
          <w:szCs w:val="21"/>
          <w:highlight w:val="none"/>
        </w:rPr>
      </w:pPr>
      <w:r>
        <w:rPr>
          <w:rFonts w:hint="eastAsia"/>
          <w:color w:val="auto"/>
          <w:sz w:val="24"/>
          <w:szCs w:val="21"/>
          <w:highlight w:val="none"/>
        </w:rPr>
        <w:t>大屏显示系统支持BNC信号，VGA信号，DVI信号，HDMI信号等多种信号的接入显示，通过控制软件对已选择需要上墙显示的信号进行显示，通过视频综合平台可实现信号的全屏显示，任意分割，开窗漫游，图像叠加，任意组合显示，图像拉伸缩放等一系列功能。</w:t>
      </w:r>
    </w:p>
    <w:p>
      <w:pPr>
        <w:pStyle w:val="5"/>
        <w:snapToGrid w:val="0"/>
        <w:spacing w:before="0" w:after="0" w:line="360" w:lineRule="auto"/>
        <w:ind w:left="720" w:hanging="720"/>
        <w:rPr>
          <w:color w:val="auto"/>
          <w:highlight w:val="none"/>
        </w:rPr>
      </w:pPr>
      <w:bookmarkStart w:id="57" w:name="_Toc5268222"/>
      <w:bookmarkStart w:id="58" w:name="_Toc483993851"/>
      <w:bookmarkStart w:id="59" w:name="_Toc402794656"/>
      <w:bookmarkStart w:id="60" w:name="_Toc10102479"/>
      <w:r>
        <w:rPr>
          <w:rFonts w:hint="eastAsia"/>
          <w:color w:val="auto"/>
          <w:highlight w:val="none"/>
        </w:rPr>
        <w:t>系统组成</w:t>
      </w:r>
      <w:bookmarkEnd w:id="57"/>
      <w:bookmarkEnd w:id="58"/>
      <w:bookmarkEnd w:id="59"/>
      <w:bookmarkEnd w:id="60"/>
    </w:p>
    <w:p>
      <w:pPr>
        <w:snapToGrid w:val="0"/>
        <w:spacing w:line="360" w:lineRule="auto"/>
        <w:ind w:firstLine="480" w:firstLineChars="200"/>
        <w:rPr>
          <w:color w:val="auto"/>
          <w:sz w:val="24"/>
          <w:szCs w:val="21"/>
          <w:highlight w:val="none"/>
        </w:rPr>
      </w:pPr>
      <w:r>
        <w:rPr>
          <w:color w:val="auto"/>
          <w:sz w:val="24"/>
          <w:szCs w:val="21"/>
          <w:highlight w:val="none"/>
        </w:rPr>
        <w:t>液晶大屏幕拼接显示墙由一套3</w:t>
      </w:r>
      <w:r>
        <w:rPr>
          <w:rFonts w:hint="eastAsia"/>
          <w:color w:val="auto"/>
          <w:sz w:val="24"/>
          <w:szCs w:val="21"/>
          <w:highlight w:val="none"/>
        </w:rPr>
        <w:t>(</w:t>
      </w:r>
      <w:r>
        <w:rPr>
          <w:color w:val="auto"/>
          <w:sz w:val="24"/>
          <w:szCs w:val="21"/>
          <w:highlight w:val="none"/>
        </w:rPr>
        <w:t>行</w:t>
      </w:r>
      <w:r>
        <w:rPr>
          <w:rFonts w:hint="eastAsia"/>
          <w:color w:val="auto"/>
          <w:sz w:val="24"/>
          <w:szCs w:val="21"/>
          <w:highlight w:val="none"/>
        </w:rPr>
        <w:t>)</w:t>
      </w:r>
      <w:r>
        <w:rPr>
          <w:color w:val="auto"/>
          <w:sz w:val="24"/>
          <w:szCs w:val="21"/>
          <w:highlight w:val="none"/>
        </w:rPr>
        <w:t>×4(列</w:t>
      </w:r>
      <w:r>
        <w:rPr>
          <w:rFonts w:hint="eastAsia"/>
          <w:color w:val="auto"/>
          <w:sz w:val="24"/>
          <w:szCs w:val="21"/>
          <w:highlight w:val="none"/>
        </w:rPr>
        <w:t>)</w:t>
      </w:r>
      <w:r>
        <w:rPr>
          <w:color w:val="auto"/>
          <w:sz w:val="24"/>
          <w:szCs w:val="21"/>
          <w:highlight w:val="none"/>
        </w:rPr>
        <w:t>55″(LED)超窄边液晶显示屏组成，尺寸特性如下：</w:t>
      </w:r>
    </w:p>
    <w:p>
      <w:pPr>
        <w:snapToGrid w:val="0"/>
        <w:spacing w:line="360" w:lineRule="auto"/>
        <w:ind w:firstLine="480" w:firstLineChars="200"/>
        <w:rPr>
          <w:color w:val="auto"/>
          <w:sz w:val="24"/>
          <w:szCs w:val="21"/>
          <w:highlight w:val="none"/>
        </w:rPr>
      </w:pPr>
      <w:r>
        <w:rPr>
          <w:color w:val="auto"/>
          <w:sz w:val="24"/>
          <w:szCs w:val="21"/>
          <w:highlight w:val="none"/>
        </w:rPr>
        <w:t>底座高度：实际高度根据用户现场确定</w:t>
      </w:r>
    </w:p>
    <w:p>
      <w:pPr>
        <w:snapToGrid w:val="0"/>
        <w:spacing w:line="360" w:lineRule="auto"/>
        <w:ind w:firstLine="480" w:firstLineChars="200"/>
        <w:rPr>
          <w:color w:val="auto"/>
          <w:sz w:val="24"/>
          <w:szCs w:val="21"/>
          <w:highlight w:val="none"/>
        </w:rPr>
      </w:pPr>
      <w:r>
        <w:rPr>
          <w:color w:val="auto"/>
          <w:sz w:val="24"/>
          <w:szCs w:val="21"/>
          <w:highlight w:val="none"/>
        </w:rPr>
        <w:t>背后维护空间：默认1000mm，实际空间根据用户现场以及拼墙高度确定。</w:t>
      </w:r>
    </w:p>
    <w:p>
      <w:pPr>
        <w:pStyle w:val="46"/>
        <w:numPr>
          <w:ilvl w:val="0"/>
          <w:numId w:val="19"/>
        </w:numPr>
        <w:snapToGrid w:val="0"/>
        <w:ind w:firstLineChars="0"/>
        <w:rPr>
          <w:rFonts w:ascii="Times New Roman" w:hAnsi="Times New Roman"/>
          <w:color w:val="auto"/>
          <w:highlight w:val="none"/>
        </w:rPr>
      </w:pPr>
      <w:r>
        <w:rPr>
          <w:rFonts w:ascii="Times New Roman" w:hAnsi="Times New Roman"/>
          <w:color w:val="auto"/>
          <w:highlight w:val="none"/>
        </w:rPr>
        <w:t>55英寸LCD显示屏：12块</w:t>
      </w:r>
    </w:p>
    <w:p>
      <w:pPr>
        <w:snapToGrid w:val="0"/>
        <w:spacing w:line="360" w:lineRule="auto"/>
        <w:ind w:firstLine="480" w:firstLineChars="200"/>
        <w:rPr>
          <w:color w:val="auto"/>
          <w:sz w:val="24"/>
          <w:szCs w:val="21"/>
          <w:highlight w:val="none"/>
        </w:rPr>
      </w:pPr>
      <w:r>
        <w:rPr>
          <w:color w:val="auto"/>
          <w:sz w:val="24"/>
          <w:szCs w:val="21"/>
          <w:highlight w:val="none"/>
        </w:rPr>
        <w:t>55英寸工程专用液晶显示单元能够保证设备的亮度、使用寿命、稳定性。</w:t>
      </w:r>
    </w:p>
    <w:p>
      <w:pPr>
        <w:pStyle w:val="46"/>
        <w:numPr>
          <w:ilvl w:val="0"/>
          <w:numId w:val="19"/>
        </w:numPr>
        <w:snapToGrid w:val="0"/>
        <w:ind w:firstLineChars="0"/>
        <w:rPr>
          <w:rFonts w:ascii="Times New Roman" w:hAnsi="Times New Roman"/>
          <w:color w:val="auto"/>
          <w:highlight w:val="none"/>
        </w:rPr>
      </w:pPr>
      <w:r>
        <w:rPr>
          <w:rFonts w:ascii="Times New Roman" w:hAnsi="Times New Roman"/>
          <w:color w:val="auto"/>
          <w:highlight w:val="none"/>
        </w:rPr>
        <w:t>底座：3个</w:t>
      </w:r>
    </w:p>
    <w:p>
      <w:pPr>
        <w:snapToGrid w:val="0"/>
        <w:spacing w:line="360" w:lineRule="auto"/>
        <w:ind w:firstLine="480" w:firstLineChars="200"/>
        <w:rPr>
          <w:color w:val="auto"/>
          <w:sz w:val="24"/>
          <w:szCs w:val="21"/>
          <w:highlight w:val="none"/>
        </w:rPr>
      </w:pPr>
      <w:r>
        <w:rPr>
          <w:color w:val="auto"/>
          <w:sz w:val="24"/>
          <w:szCs w:val="21"/>
          <w:highlight w:val="none"/>
        </w:rPr>
        <w:t>支撑固定LCD显示单元。</w:t>
      </w:r>
    </w:p>
    <w:p>
      <w:pPr>
        <w:pStyle w:val="46"/>
        <w:numPr>
          <w:ilvl w:val="0"/>
          <w:numId w:val="19"/>
        </w:numPr>
        <w:snapToGrid w:val="0"/>
        <w:ind w:firstLineChars="0"/>
        <w:rPr>
          <w:rFonts w:ascii="Times New Roman" w:hAnsi="Times New Roman"/>
          <w:color w:val="auto"/>
          <w:highlight w:val="none"/>
        </w:rPr>
      </w:pPr>
      <w:r>
        <w:rPr>
          <w:rFonts w:ascii="Times New Roman" w:hAnsi="Times New Roman"/>
          <w:color w:val="auto"/>
          <w:highlight w:val="none"/>
        </w:rPr>
        <w:t>大屏控制设备：1套</w:t>
      </w:r>
    </w:p>
    <w:p>
      <w:pPr>
        <w:snapToGrid w:val="0"/>
        <w:spacing w:line="360" w:lineRule="auto"/>
        <w:ind w:firstLine="480" w:firstLineChars="200"/>
        <w:rPr>
          <w:color w:val="auto"/>
          <w:sz w:val="24"/>
          <w:szCs w:val="21"/>
          <w:highlight w:val="none"/>
        </w:rPr>
      </w:pPr>
      <w:r>
        <w:rPr>
          <w:color w:val="auto"/>
          <w:sz w:val="24"/>
          <w:szCs w:val="21"/>
          <w:highlight w:val="none"/>
        </w:rPr>
        <w:t>支持多屏幕信号拼接，漫游，叠加控制设备。</w:t>
      </w:r>
    </w:p>
    <w:p>
      <w:pPr>
        <w:pStyle w:val="46"/>
        <w:numPr>
          <w:ilvl w:val="0"/>
          <w:numId w:val="19"/>
        </w:numPr>
        <w:snapToGrid w:val="0"/>
        <w:ind w:firstLineChars="0"/>
        <w:rPr>
          <w:rFonts w:ascii="Times New Roman" w:hAnsi="Times New Roman"/>
          <w:color w:val="auto"/>
          <w:highlight w:val="none"/>
        </w:rPr>
      </w:pPr>
      <w:r>
        <w:rPr>
          <w:rFonts w:ascii="Times New Roman" w:hAnsi="Times New Roman"/>
          <w:color w:val="auto"/>
          <w:highlight w:val="none"/>
        </w:rPr>
        <w:t>传输线缆：12条</w:t>
      </w:r>
    </w:p>
    <w:p>
      <w:pPr>
        <w:snapToGrid w:val="0"/>
        <w:spacing w:line="360" w:lineRule="auto"/>
        <w:ind w:firstLine="480" w:firstLineChars="200"/>
        <w:rPr>
          <w:color w:val="auto"/>
          <w:sz w:val="24"/>
          <w:szCs w:val="21"/>
          <w:highlight w:val="none"/>
        </w:rPr>
      </w:pPr>
      <w:r>
        <w:rPr>
          <w:color w:val="auto"/>
          <w:sz w:val="24"/>
          <w:szCs w:val="21"/>
          <w:highlight w:val="none"/>
        </w:rPr>
        <w:t>将信号源传输到LCD电视墙上面显示。</w:t>
      </w:r>
    </w:p>
    <w:p>
      <w:pPr>
        <w:snapToGrid w:val="0"/>
        <w:spacing w:line="360" w:lineRule="auto"/>
        <w:ind w:firstLine="480" w:firstLineChars="200"/>
        <w:rPr>
          <w:color w:val="auto"/>
          <w:sz w:val="24"/>
          <w:szCs w:val="21"/>
          <w:highlight w:val="none"/>
        </w:rPr>
      </w:pPr>
      <w:r>
        <w:rPr>
          <w:rFonts w:hint="eastAsia"/>
          <w:color w:val="auto"/>
          <w:sz w:val="24"/>
          <w:szCs w:val="21"/>
          <w:highlight w:val="none"/>
        </w:rPr>
        <w:t>整个大屏显示系统以大屏控制设备作为拼接控制单元，支持多种视频输入、输出业务板，同时提供高速网络接口，接入本地局域网，可以接入前端网络摄像机的网络视频数据、模拟视频信号、其他业务系统计算机显示信号或网络远程桌面，通过视频综合平台内部拼接控制功能，利用大屏控制系统的强大的数据处理能力，实现图像的拼接和漫游操作。大屏控制系统提供DVI、HDMI等多种高清数字输出接口，连接LCD大屏幕显示系统，实现多种视频信号的高清输出显示。</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真正实现了矩阵切换、业务应用、存储、解码的大集成，可以轻松实现模拟前端、IP前端、数字高清前端和混合前端等多种监控网络的接入，升级扩容简洁、系统改造方便、设备高度集成，系统达到电信级的稳定性和可靠性。</w:t>
      </w:r>
    </w:p>
    <w:p>
      <w:pPr>
        <w:pStyle w:val="5"/>
        <w:snapToGrid w:val="0"/>
        <w:spacing w:before="0" w:after="0" w:line="360" w:lineRule="auto"/>
        <w:ind w:left="720" w:hanging="720"/>
        <w:rPr>
          <w:color w:val="auto"/>
          <w:highlight w:val="none"/>
        </w:rPr>
      </w:pPr>
      <w:bookmarkStart w:id="61" w:name="_Toc10102480"/>
      <w:r>
        <w:rPr>
          <w:rFonts w:hint="eastAsia"/>
          <w:color w:val="auto"/>
          <w:highlight w:val="none"/>
        </w:rPr>
        <w:t>主要设备参数性能</w:t>
      </w:r>
      <w:bookmarkEnd w:id="61"/>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55寸拼接屏</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尺寸：55英寸；</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分辨率：1920x1080；</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视角：178°(水平)/178°(垂直)；</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响应时间：8ms(G to G)；</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对比度：4000：1；</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亮度：500cd/㎡；</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物理拼缝：3.5mm；</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输入接口：VGA×1，DVI×1，BNC×1，HDMI×1，USB×1；</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功耗：≤150W；</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电源要求：AC 90-264V；</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寿命：≥60000小时；</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工作温度和湿度：0℃--50℃，10%--90%(无凝露)；</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边框宽度：2.3mm（左/上），1.2mm（右/下）</w:t>
      </w:r>
      <w:r>
        <w:rPr>
          <w:rFonts w:hint="eastAsia" w:ascii="Times New Roman" w:hAnsi="Times New Roman"/>
          <w:color w:val="auto"/>
          <w:highlight w:val="none"/>
        </w:rPr>
        <w:t>；</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视频综合平台</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≥10槽位机箱</w:t>
      </w:r>
      <w:r>
        <w:rPr>
          <w:rFonts w:hint="eastAsia" w:ascii="Times New Roman" w:hAnsi="Times New Roman"/>
          <w:color w:val="auto"/>
          <w:highlight w:val="none"/>
        </w:rPr>
        <w:t>；</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≥4路DVI输入+≥12路HDMI输出+单电源+单主控板，奇数口支持4K输出；</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整机支持解码6路2400W@25fps、或12路1200W@25fps、或24路800W@25fps、或48路400W@25fps、或96路200W@30fps，192路720P@30fps，或192路4CIF@30fps以下分辨率</w:t>
      </w:r>
      <w:r>
        <w:rPr>
          <w:rFonts w:hint="eastAsia" w:ascii="Times New Roman" w:hAnsi="Times New Roman"/>
          <w:color w:val="auto"/>
          <w:highlight w:val="none"/>
        </w:rPr>
        <w:t>；</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网络摇杆控制键盘</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屏幕尺寸≥10.1英寸</w:t>
      </w:r>
      <w:r>
        <w:rPr>
          <w:rFonts w:hint="eastAsia" w:ascii="Times New Roman" w:hAnsi="Times New Roman"/>
          <w:color w:val="auto"/>
          <w:highlight w:val="none"/>
        </w:rPr>
        <w:t>，</w:t>
      </w:r>
      <w:r>
        <w:rPr>
          <w:rFonts w:ascii="Times New Roman" w:hAnsi="Times New Roman"/>
          <w:color w:val="auto"/>
          <w:highlight w:val="none"/>
        </w:rPr>
        <w:t>多点触控电容屏</w:t>
      </w:r>
      <w:r>
        <w:rPr>
          <w:rFonts w:hint="eastAsia" w:ascii="Times New Roman" w:hAnsi="Times New Roman"/>
          <w:color w:val="auto"/>
          <w:highlight w:val="none"/>
        </w:rPr>
        <w:t>；</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分辨率要求：≥800×480四维控制摇杆</w:t>
      </w:r>
      <w:r>
        <w:rPr>
          <w:rFonts w:hint="eastAsia" w:ascii="Times New Roman" w:hAnsi="Times New Roman"/>
          <w:color w:val="auto"/>
          <w:highlight w:val="none"/>
        </w:rPr>
        <w:t>；</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显示输出接口：支持DVI、HDMI</w:t>
      </w:r>
      <w:r>
        <w:rPr>
          <w:rFonts w:hint="eastAsia" w:ascii="Times New Roman" w:hAnsi="Times New Roman"/>
          <w:color w:val="auto"/>
          <w:highlight w:val="none"/>
        </w:rPr>
        <w:t>；</w:t>
      </w:r>
    </w:p>
    <w:p>
      <w:pPr>
        <w:pStyle w:val="46"/>
        <w:numPr>
          <w:ilvl w:val="0"/>
          <w:numId w:val="19"/>
        </w:numPr>
        <w:snapToGrid w:val="0"/>
        <w:ind w:left="709" w:firstLineChars="0"/>
        <w:rPr>
          <w:rFonts w:ascii="Times New Roman" w:hAnsi="Times New Roman"/>
          <w:color w:val="auto"/>
          <w:highlight w:val="none"/>
        </w:rPr>
      </w:pPr>
      <w:r>
        <w:rPr>
          <w:rFonts w:ascii="Times New Roman" w:hAnsi="Times New Roman"/>
          <w:color w:val="auto"/>
          <w:highlight w:val="none"/>
        </w:rPr>
        <w:t>支持音频输入/出口，USB接口≥2个</w:t>
      </w:r>
      <w:r>
        <w:rPr>
          <w:rFonts w:hint="eastAsia" w:ascii="Times New Roman" w:hAnsi="Times New Roman"/>
          <w:color w:val="auto"/>
          <w:highlight w:val="none"/>
        </w:rPr>
        <w:t>。</w:t>
      </w:r>
    </w:p>
    <w:p>
      <w:pPr>
        <w:pStyle w:val="4"/>
        <w:snapToGrid w:val="0"/>
        <w:spacing w:before="0" w:after="0" w:line="360" w:lineRule="auto"/>
        <w:ind w:left="576" w:hanging="576"/>
        <w:rPr>
          <w:color w:val="auto"/>
          <w:highlight w:val="none"/>
        </w:rPr>
      </w:pPr>
      <w:bookmarkStart w:id="62" w:name="_Toc10102481"/>
      <w:r>
        <w:rPr>
          <w:rFonts w:hint="eastAsia"/>
          <w:color w:val="auto"/>
          <w:highlight w:val="none"/>
        </w:rPr>
        <w:t>机动车不礼让行人抓拍系统</w:t>
      </w:r>
      <w:bookmarkEnd w:id="16"/>
      <w:bookmarkEnd w:id="62"/>
    </w:p>
    <w:p>
      <w:pPr>
        <w:pStyle w:val="5"/>
        <w:snapToGrid w:val="0"/>
        <w:spacing w:before="0" w:after="0" w:line="360" w:lineRule="auto"/>
        <w:ind w:left="720" w:hanging="720"/>
        <w:rPr>
          <w:color w:val="auto"/>
          <w:highlight w:val="none"/>
        </w:rPr>
      </w:pPr>
      <w:bookmarkStart w:id="63" w:name="_Toc536016012"/>
      <w:bookmarkStart w:id="64" w:name="_Toc10102482"/>
      <w:r>
        <w:rPr>
          <w:rFonts w:hint="eastAsia"/>
          <w:color w:val="auto"/>
          <w:highlight w:val="none"/>
        </w:rPr>
        <w:t>系统概述</w:t>
      </w:r>
      <w:bookmarkEnd w:id="63"/>
      <w:bookmarkEnd w:id="64"/>
    </w:p>
    <w:p>
      <w:pPr>
        <w:snapToGrid w:val="0"/>
        <w:spacing w:line="360" w:lineRule="auto"/>
        <w:ind w:firstLine="480" w:firstLineChars="200"/>
        <w:rPr>
          <w:color w:val="auto"/>
          <w:sz w:val="24"/>
          <w:szCs w:val="21"/>
          <w:highlight w:val="none"/>
        </w:rPr>
      </w:pPr>
      <w:r>
        <w:rPr>
          <w:color w:val="auto"/>
          <w:sz w:val="24"/>
          <w:szCs w:val="21"/>
          <w:highlight w:val="none"/>
        </w:rPr>
        <w:t>《道路交通安全法》第四十七条规定：机动车行经人行横道时，应当减速行驶；遇行人正在通过人行横道，应当停车让行。</w:t>
      </w:r>
    </w:p>
    <w:p>
      <w:pPr>
        <w:snapToGrid w:val="0"/>
        <w:spacing w:line="360" w:lineRule="auto"/>
        <w:ind w:firstLine="480" w:firstLineChars="200"/>
        <w:rPr>
          <w:color w:val="auto"/>
          <w:sz w:val="24"/>
          <w:szCs w:val="21"/>
          <w:highlight w:val="none"/>
        </w:rPr>
      </w:pPr>
      <w:r>
        <w:rPr>
          <w:color w:val="auto"/>
          <w:sz w:val="24"/>
          <w:szCs w:val="21"/>
          <w:highlight w:val="none"/>
        </w:rPr>
        <w:t>同时，2015年2月11日发布、2015年7月1日实施的《人行横道道路交通安全违法行为监测记录系统通用技术条件》(GA/T1244-2015)对机动车违反人行横道让行规定行为记录的取证做出了规定：</w:t>
      </w:r>
    </w:p>
    <w:p>
      <w:pPr>
        <w:snapToGrid w:val="0"/>
        <w:spacing w:line="360" w:lineRule="auto"/>
        <w:ind w:firstLine="480" w:firstLineChars="200"/>
        <w:rPr>
          <w:color w:val="auto"/>
          <w:sz w:val="24"/>
          <w:szCs w:val="21"/>
          <w:highlight w:val="none"/>
        </w:rPr>
      </w:pPr>
      <w:r>
        <w:rPr>
          <w:color w:val="auto"/>
          <w:sz w:val="24"/>
          <w:szCs w:val="21"/>
          <w:highlight w:val="none"/>
        </w:rPr>
        <w:t>系统应能至少记录以下</w:t>
      </w:r>
      <w:r>
        <w:rPr>
          <w:rFonts w:hint="eastAsia"/>
          <w:color w:val="auto"/>
          <w:sz w:val="24"/>
          <w:szCs w:val="21"/>
          <w:highlight w:val="none"/>
        </w:rPr>
        <w:t>3</w:t>
      </w:r>
      <w:r>
        <w:rPr>
          <w:color w:val="auto"/>
          <w:sz w:val="24"/>
          <w:szCs w:val="21"/>
          <w:highlight w:val="none"/>
        </w:rPr>
        <w:t>张反映机动车违反人行横道让行规定行为过程的图片：</w:t>
      </w:r>
    </w:p>
    <w:p>
      <w:pPr>
        <w:numPr>
          <w:ilvl w:val="1"/>
          <w:numId w:val="20"/>
        </w:numPr>
        <w:snapToGrid w:val="0"/>
        <w:spacing w:line="360" w:lineRule="auto"/>
        <w:ind w:left="0" w:firstLine="480" w:firstLineChars="200"/>
        <w:rPr>
          <w:color w:val="auto"/>
          <w:sz w:val="24"/>
          <w:highlight w:val="none"/>
        </w:rPr>
      </w:pPr>
      <w:r>
        <w:rPr>
          <w:color w:val="auto"/>
          <w:sz w:val="24"/>
          <w:highlight w:val="none"/>
        </w:rPr>
        <w:t>能反映机动车未进入人行横道区域并能清晰辨别机动车特征，以及人行横道上行人的通行方向；</w:t>
      </w:r>
    </w:p>
    <w:p>
      <w:pPr>
        <w:numPr>
          <w:ilvl w:val="1"/>
          <w:numId w:val="20"/>
        </w:numPr>
        <w:snapToGrid w:val="0"/>
        <w:spacing w:line="360" w:lineRule="auto"/>
        <w:ind w:left="0" w:firstLine="480" w:firstLineChars="200"/>
        <w:rPr>
          <w:color w:val="auto"/>
          <w:sz w:val="24"/>
          <w:highlight w:val="none"/>
        </w:rPr>
      </w:pPr>
      <w:r>
        <w:rPr>
          <w:color w:val="auto"/>
          <w:sz w:val="24"/>
          <w:highlight w:val="none"/>
        </w:rPr>
        <w:t>能反映图片中同一机动车进入了人行横道区域，阻挡了行人通行</w:t>
      </w:r>
      <w:r>
        <w:rPr>
          <w:rFonts w:hint="eastAsia"/>
          <w:color w:val="auto"/>
          <w:sz w:val="24"/>
          <w:highlight w:val="none"/>
        </w:rPr>
        <w:t>；</w:t>
      </w:r>
    </w:p>
    <w:p>
      <w:pPr>
        <w:numPr>
          <w:ilvl w:val="1"/>
          <w:numId w:val="20"/>
        </w:numPr>
        <w:snapToGrid w:val="0"/>
        <w:spacing w:line="360" w:lineRule="auto"/>
        <w:ind w:left="0" w:firstLine="480" w:firstLineChars="200"/>
        <w:rPr>
          <w:color w:val="auto"/>
          <w:sz w:val="24"/>
          <w:highlight w:val="none"/>
        </w:rPr>
      </w:pPr>
      <w:r>
        <w:rPr>
          <w:color w:val="auto"/>
          <w:sz w:val="24"/>
          <w:highlight w:val="none"/>
        </w:rPr>
        <w:t>在灯控人行横道，还应记录一张反映人未闯红灯的图片。</w:t>
      </w:r>
    </w:p>
    <w:p>
      <w:pPr>
        <w:pStyle w:val="5"/>
        <w:snapToGrid w:val="0"/>
        <w:spacing w:before="0" w:after="0" w:line="360" w:lineRule="auto"/>
        <w:ind w:left="720" w:hanging="720"/>
        <w:rPr>
          <w:color w:val="auto"/>
          <w:highlight w:val="none"/>
        </w:rPr>
      </w:pPr>
      <w:bookmarkStart w:id="65" w:name="_Toc536016013"/>
      <w:bookmarkStart w:id="66" w:name="_Toc10102483"/>
      <w:r>
        <w:rPr>
          <w:rFonts w:hint="eastAsia"/>
          <w:color w:val="auto"/>
          <w:highlight w:val="none"/>
        </w:rPr>
        <w:t>建设布局</w:t>
      </w:r>
      <w:bookmarkEnd w:id="65"/>
      <w:bookmarkEnd w:id="66"/>
    </w:p>
    <w:p>
      <w:pPr>
        <w:snapToGrid w:val="0"/>
        <w:spacing w:line="360" w:lineRule="auto"/>
        <w:ind w:firstLine="480" w:firstLineChars="200"/>
        <w:rPr>
          <w:color w:val="auto"/>
          <w:sz w:val="24"/>
          <w:szCs w:val="21"/>
          <w:highlight w:val="none"/>
        </w:rPr>
      </w:pPr>
      <w:r>
        <w:rPr>
          <w:rFonts w:hint="eastAsia"/>
          <w:color w:val="auto"/>
          <w:sz w:val="24"/>
          <w:szCs w:val="21"/>
          <w:highlight w:val="none"/>
        </w:rPr>
        <w:t>本次设计结合玉环市各斑马线的实际情况，选取车辆及行人较多的点位进行机动车不礼让行人系统的建设，以此来降低交通事故的发生概率，确保行人安全过街，具体建设点位如下。</w:t>
      </w:r>
    </w:p>
    <w:p>
      <w:pPr>
        <w:snapToGrid w:val="0"/>
        <w:spacing w:line="360" w:lineRule="auto"/>
        <w:jc w:val="center"/>
        <w:rPr>
          <w:color w:val="auto"/>
          <w:sz w:val="24"/>
          <w:szCs w:val="21"/>
          <w:highlight w:val="none"/>
        </w:rPr>
      </w:pPr>
      <w:r>
        <w:rPr>
          <w:rFonts w:hint="eastAsia"/>
          <w:color w:val="auto"/>
          <w:sz w:val="24"/>
          <w:szCs w:val="21"/>
          <w:highlight w:val="none"/>
        </w:rPr>
        <w:t>表</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表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2</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礼让行人点位表</w:t>
      </w:r>
    </w:p>
    <w:tbl>
      <w:tblPr>
        <w:tblStyle w:val="20"/>
        <w:tblW w:w="8296" w:type="dxa"/>
        <w:jc w:val="center"/>
        <w:tblInd w:w="0" w:type="dxa"/>
        <w:tblLayout w:type="fixed"/>
        <w:tblCellMar>
          <w:top w:w="0" w:type="dxa"/>
          <w:left w:w="108" w:type="dxa"/>
          <w:bottom w:w="0" w:type="dxa"/>
          <w:right w:w="108" w:type="dxa"/>
        </w:tblCellMar>
      </w:tblPr>
      <w:tblGrid>
        <w:gridCol w:w="871"/>
        <w:gridCol w:w="5660"/>
        <w:gridCol w:w="1765"/>
      </w:tblGrid>
      <w:tr>
        <w:tblPrEx>
          <w:tblLayout w:type="fixed"/>
          <w:tblCellMar>
            <w:top w:w="0" w:type="dxa"/>
            <w:left w:w="108" w:type="dxa"/>
            <w:bottom w:w="0" w:type="dxa"/>
            <w:right w:w="108" w:type="dxa"/>
          </w:tblCellMar>
        </w:tblPrEx>
        <w:trPr>
          <w:trHeight w:val="312" w:hRule="atLeast"/>
          <w:tblHeader/>
          <w:jc w:val="center"/>
        </w:trPr>
        <w:tc>
          <w:tcPr>
            <w:tcW w:w="8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cs="宋体"/>
                <w:b/>
                <w:bCs/>
                <w:color w:val="auto"/>
                <w:kern w:val="0"/>
                <w:sz w:val="24"/>
                <w:highlight w:val="none"/>
              </w:rPr>
            </w:pPr>
            <w:r>
              <w:rPr>
                <w:rFonts w:hint="eastAsia" w:cs="宋体"/>
                <w:b/>
                <w:bCs/>
                <w:color w:val="auto"/>
                <w:kern w:val="0"/>
                <w:sz w:val="24"/>
                <w:highlight w:val="none"/>
              </w:rPr>
              <w:t>序号</w:t>
            </w:r>
          </w:p>
        </w:tc>
        <w:tc>
          <w:tcPr>
            <w:tcW w:w="5660"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b/>
                <w:bCs/>
                <w:color w:val="auto"/>
                <w:kern w:val="0"/>
                <w:sz w:val="24"/>
                <w:highlight w:val="none"/>
              </w:rPr>
            </w:pPr>
            <w:r>
              <w:rPr>
                <w:rFonts w:hint="eastAsia" w:cs="宋体"/>
                <w:b/>
                <w:bCs/>
                <w:color w:val="auto"/>
                <w:kern w:val="0"/>
                <w:sz w:val="24"/>
                <w:highlight w:val="none"/>
              </w:rPr>
              <w:t>点位名称</w:t>
            </w:r>
          </w:p>
        </w:tc>
        <w:tc>
          <w:tcPr>
            <w:tcW w:w="176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b/>
                <w:bCs/>
                <w:color w:val="auto"/>
                <w:kern w:val="0"/>
                <w:sz w:val="24"/>
                <w:highlight w:val="none"/>
              </w:rPr>
            </w:pPr>
            <w:r>
              <w:rPr>
                <w:rFonts w:hint="eastAsia" w:cs="宋体"/>
                <w:b/>
                <w:bCs/>
                <w:color w:val="auto"/>
                <w:kern w:val="0"/>
                <w:sz w:val="24"/>
                <w:highlight w:val="none"/>
              </w:rPr>
              <w:t>抓拍方向</w:t>
            </w:r>
          </w:p>
        </w:tc>
      </w:tr>
      <w:tr>
        <w:tblPrEx>
          <w:tblLayout w:type="fixed"/>
          <w:tblCellMar>
            <w:top w:w="0" w:type="dxa"/>
            <w:left w:w="108" w:type="dxa"/>
            <w:bottom w:w="0" w:type="dxa"/>
            <w:right w:w="108" w:type="dxa"/>
          </w:tblCellMar>
        </w:tblPrEx>
        <w:trPr>
          <w:trHeight w:val="312" w:hRule="atLeast"/>
          <w:tblHeader/>
          <w:jc w:val="center"/>
        </w:trPr>
        <w:tc>
          <w:tcPr>
            <w:tcW w:w="8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1</w:t>
            </w:r>
          </w:p>
        </w:tc>
        <w:tc>
          <w:tcPr>
            <w:tcW w:w="5660"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泰安路长治路北(中间绿化带)</w:t>
            </w:r>
          </w:p>
        </w:tc>
        <w:tc>
          <w:tcPr>
            <w:tcW w:w="176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北向南</w:t>
            </w:r>
          </w:p>
        </w:tc>
      </w:tr>
      <w:tr>
        <w:tblPrEx>
          <w:tblLayout w:type="fixed"/>
          <w:tblCellMar>
            <w:top w:w="0" w:type="dxa"/>
            <w:left w:w="108" w:type="dxa"/>
            <w:bottom w:w="0" w:type="dxa"/>
            <w:right w:w="108" w:type="dxa"/>
          </w:tblCellMar>
        </w:tblPrEx>
        <w:trPr>
          <w:trHeight w:val="312" w:hRule="atLeast"/>
          <w:tblHeader/>
          <w:jc w:val="center"/>
        </w:trPr>
        <w:tc>
          <w:tcPr>
            <w:tcW w:w="8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2</w:t>
            </w:r>
          </w:p>
        </w:tc>
        <w:tc>
          <w:tcPr>
            <w:tcW w:w="5660"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玉大线南山村（靠近吾悦广场）</w:t>
            </w:r>
          </w:p>
        </w:tc>
        <w:tc>
          <w:tcPr>
            <w:tcW w:w="176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大麦屿方向</w:t>
            </w:r>
          </w:p>
        </w:tc>
      </w:tr>
      <w:tr>
        <w:tblPrEx>
          <w:tblLayout w:type="fixed"/>
          <w:tblCellMar>
            <w:top w:w="0" w:type="dxa"/>
            <w:left w:w="108" w:type="dxa"/>
            <w:bottom w:w="0" w:type="dxa"/>
            <w:right w:w="108" w:type="dxa"/>
          </w:tblCellMar>
        </w:tblPrEx>
        <w:trPr>
          <w:trHeight w:val="312" w:hRule="atLeast"/>
          <w:tblHeader/>
          <w:jc w:val="center"/>
        </w:trPr>
        <w:tc>
          <w:tcPr>
            <w:tcW w:w="8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3</w:t>
            </w:r>
          </w:p>
        </w:tc>
        <w:tc>
          <w:tcPr>
            <w:tcW w:w="5660"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玉大线南山村公交站</w:t>
            </w:r>
          </w:p>
        </w:tc>
        <w:tc>
          <w:tcPr>
            <w:tcW w:w="176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大麦屿方向</w:t>
            </w:r>
          </w:p>
        </w:tc>
      </w:tr>
      <w:tr>
        <w:tblPrEx>
          <w:tblLayout w:type="fixed"/>
          <w:tblCellMar>
            <w:top w:w="0" w:type="dxa"/>
            <w:left w:w="108" w:type="dxa"/>
            <w:bottom w:w="0" w:type="dxa"/>
            <w:right w:w="108" w:type="dxa"/>
          </w:tblCellMar>
        </w:tblPrEx>
        <w:trPr>
          <w:trHeight w:val="312" w:hRule="atLeast"/>
          <w:tblHeader/>
          <w:jc w:val="center"/>
        </w:trPr>
        <w:tc>
          <w:tcPr>
            <w:tcW w:w="8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4</w:t>
            </w:r>
          </w:p>
        </w:tc>
        <w:tc>
          <w:tcPr>
            <w:tcW w:w="5660"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玉大线3K三潭村（西山公交站）</w:t>
            </w:r>
          </w:p>
        </w:tc>
        <w:tc>
          <w:tcPr>
            <w:tcW w:w="176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双向</w:t>
            </w:r>
          </w:p>
        </w:tc>
      </w:tr>
    </w:tbl>
    <w:p>
      <w:pPr>
        <w:snapToGrid w:val="0"/>
        <w:spacing w:line="360" w:lineRule="auto"/>
        <w:rPr>
          <w:color w:val="auto"/>
          <w:sz w:val="24"/>
          <w:highlight w:val="none"/>
          <w:lang w:val="zh-CN"/>
        </w:rPr>
      </w:pPr>
    </w:p>
    <w:p>
      <w:pPr>
        <w:snapToGrid w:val="0"/>
        <w:spacing w:line="360" w:lineRule="auto"/>
        <w:jc w:val="center"/>
        <w:rPr>
          <w:color w:val="auto"/>
          <w:sz w:val="24"/>
          <w:highlight w:val="none"/>
          <w:lang w:val="zh-CN"/>
        </w:rPr>
      </w:pPr>
      <w:r>
        <w:rPr>
          <w:color w:val="auto"/>
          <w:sz w:val="24"/>
          <w:highlight w:val="none"/>
        </w:rPr>
        <w:drawing>
          <wp:inline distT="0" distB="0" distL="0" distR="0">
            <wp:extent cx="5272405" cy="4928235"/>
            <wp:effectExtent l="0" t="0" r="4445"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2405" cy="4928235"/>
                    </a:xfrm>
                    <a:prstGeom prst="rect">
                      <a:avLst/>
                    </a:prstGeom>
                    <a:noFill/>
                    <a:ln>
                      <a:noFill/>
                    </a:ln>
                  </pic:spPr>
                </pic:pic>
              </a:graphicData>
            </a:graphic>
          </wp:inline>
        </w:drawing>
      </w:r>
    </w:p>
    <w:p>
      <w:pPr>
        <w:snapToGrid w:val="0"/>
        <w:spacing w:line="360" w:lineRule="auto"/>
        <w:jc w:val="center"/>
        <w:rPr>
          <w:color w:val="auto"/>
          <w:sz w:val="24"/>
          <w:szCs w:val="21"/>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29</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机动车不礼让行人建设布局图</w:t>
      </w:r>
    </w:p>
    <w:p>
      <w:pPr>
        <w:pStyle w:val="5"/>
        <w:snapToGrid w:val="0"/>
        <w:spacing w:before="0" w:after="0" w:line="360" w:lineRule="auto"/>
        <w:ind w:left="720" w:hanging="720"/>
        <w:rPr>
          <w:color w:val="auto"/>
          <w:highlight w:val="none"/>
        </w:rPr>
      </w:pPr>
      <w:bookmarkStart w:id="67" w:name="_Toc10102486"/>
      <w:bookmarkStart w:id="68" w:name="_Toc536016016"/>
      <w:r>
        <w:rPr>
          <w:rFonts w:hint="eastAsia"/>
          <w:color w:val="auto"/>
          <w:highlight w:val="none"/>
        </w:rPr>
        <w:t>系统功能</w:t>
      </w:r>
      <w:bookmarkEnd w:id="67"/>
      <w:bookmarkEnd w:id="68"/>
    </w:p>
    <w:p>
      <w:pPr>
        <w:pStyle w:val="6"/>
        <w:keepLines w:val="0"/>
        <w:adjustRightInd w:val="0"/>
        <w:snapToGrid w:val="0"/>
        <w:spacing w:before="0" w:after="0" w:line="360" w:lineRule="auto"/>
        <w:ind w:left="864" w:hanging="864"/>
        <w:jc w:val="left"/>
        <w:rPr>
          <w:color w:val="auto"/>
          <w:highlight w:val="none"/>
        </w:rPr>
      </w:pPr>
      <w:bookmarkStart w:id="69" w:name="_Toc479325100"/>
      <w:r>
        <w:rPr>
          <w:rFonts w:hint="eastAsia"/>
          <w:color w:val="auto"/>
          <w:highlight w:val="none"/>
        </w:rPr>
        <w:t>车辆捕获功能</w:t>
      </w:r>
      <w:bookmarkEnd w:id="69"/>
    </w:p>
    <w:p>
      <w:pPr>
        <w:snapToGrid w:val="0"/>
        <w:spacing w:line="360" w:lineRule="auto"/>
        <w:ind w:firstLine="480" w:firstLineChars="200"/>
        <w:rPr>
          <w:color w:val="auto"/>
          <w:sz w:val="24"/>
          <w:szCs w:val="21"/>
          <w:highlight w:val="none"/>
        </w:rPr>
      </w:pPr>
      <w:r>
        <w:rPr>
          <w:rFonts w:hint="eastAsia"/>
          <w:color w:val="auto"/>
          <w:sz w:val="24"/>
          <w:szCs w:val="21"/>
          <w:highlight w:val="none"/>
        </w:rPr>
        <w:t>系统除了能够捕获违法不礼让行人的车辆外，还能捕获在车道上正常行驶的车辆（卡口功能），能捕获记录车辆不礼让行人过程中三个不同位置的信息以反映机动车不礼让行人违法全过程。</w:t>
      </w:r>
    </w:p>
    <w:p>
      <w:pPr>
        <w:pStyle w:val="6"/>
        <w:keepLines w:val="0"/>
        <w:adjustRightInd w:val="0"/>
        <w:snapToGrid w:val="0"/>
        <w:spacing w:before="0" w:after="0" w:line="360" w:lineRule="auto"/>
        <w:ind w:left="864" w:hanging="864"/>
        <w:jc w:val="left"/>
        <w:rPr>
          <w:color w:val="auto"/>
          <w:highlight w:val="none"/>
        </w:rPr>
      </w:pPr>
      <w:bookmarkStart w:id="70" w:name="_Toc479325101"/>
      <w:r>
        <w:rPr>
          <w:rFonts w:hint="eastAsia"/>
          <w:color w:val="auto"/>
          <w:highlight w:val="none"/>
        </w:rPr>
        <w:t>不礼让行人记录功能</w:t>
      </w:r>
      <w:bookmarkEnd w:id="70"/>
    </w:p>
    <w:p>
      <w:pPr>
        <w:snapToGrid w:val="0"/>
        <w:spacing w:line="360" w:lineRule="auto"/>
        <w:ind w:firstLine="480" w:firstLineChars="200"/>
        <w:rPr>
          <w:color w:val="auto"/>
          <w:sz w:val="24"/>
          <w:szCs w:val="21"/>
          <w:highlight w:val="none"/>
        </w:rPr>
      </w:pPr>
      <w:r>
        <w:rPr>
          <w:rFonts w:hint="eastAsia"/>
          <w:color w:val="auto"/>
          <w:sz w:val="24"/>
          <w:szCs w:val="21"/>
          <w:highlight w:val="none"/>
        </w:rPr>
        <w:t>系统采用视频检测技术，</w:t>
      </w:r>
      <w:r>
        <w:rPr>
          <w:color w:val="auto"/>
          <w:sz w:val="24"/>
          <w:szCs w:val="21"/>
          <w:highlight w:val="none"/>
        </w:rPr>
        <w:t>9</w:t>
      </w:r>
      <w:r>
        <w:rPr>
          <w:rFonts w:hint="eastAsia"/>
          <w:color w:val="auto"/>
          <w:sz w:val="24"/>
          <w:szCs w:val="21"/>
          <w:highlight w:val="none"/>
        </w:rPr>
        <w:t>00万像素摄像机可以检测3个车道。能自动检测抓拍到机动车不礼让行人的连续照片，违章照片能清晰地反映“行人数量、停车线、车牌、时间、地点”等违法车辆的基本情况，同时具有卡口功能对所有过往车辆进行图像记录。</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采用国际领先的计算机智能跟踪算法技术，对图像中每一辆车都能进行实时跟踪并记录其运动轨迹，并结合行人人数和行驶方向智能判断车辆运行是否不礼让行人。当判定车辆有不礼让行人时，记录车辆违法过程中三个位置的信息以反映机动车不礼让行人违法过程。</w:t>
      </w:r>
    </w:p>
    <w:p>
      <w:pPr>
        <w:pStyle w:val="6"/>
        <w:keepLines w:val="0"/>
        <w:adjustRightInd w:val="0"/>
        <w:snapToGrid w:val="0"/>
        <w:spacing w:before="0" w:after="0" w:line="360" w:lineRule="auto"/>
        <w:ind w:left="864" w:hanging="864"/>
        <w:jc w:val="left"/>
        <w:rPr>
          <w:color w:val="auto"/>
          <w:highlight w:val="none"/>
        </w:rPr>
      </w:pPr>
      <w:bookmarkStart w:id="71" w:name="_Toc479325102"/>
      <w:bookmarkStart w:id="72" w:name="_Toc283214149"/>
      <w:r>
        <w:rPr>
          <w:rFonts w:hint="eastAsia"/>
          <w:color w:val="auto"/>
          <w:highlight w:val="none"/>
        </w:rPr>
        <w:t>违法</w:t>
      </w:r>
      <w:r>
        <w:rPr>
          <w:color w:val="auto"/>
          <w:highlight w:val="none"/>
        </w:rPr>
        <w:t>短时录像</w:t>
      </w:r>
      <w:bookmarkEnd w:id="71"/>
    </w:p>
    <w:p>
      <w:pPr>
        <w:snapToGrid w:val="0"/>
        <w:spacing w:line="360" w:lineRule="auto"/>
        <w:ind w:firstLine="480" w:firstLineChars="200"/>
        <w:rPr>
          <w:color w:val="auto"/>
          <w:sz w:val="24"/>
          <w:szCs w:val="21"/>
          <w:highlight w:val="none"/>
        </w:rPr>
      </w:pPr>
      <w:r>
        <w:rPr>
          <w:rFonts w:hint="eastAsia"/>
          <w:color w:val="auto"/>
          <w:sz w:val="24"/>
          <w:szCs w:val="21"/>
          <w:highlight w:val="none"/>
        </w:rPr>
        <w:t>系统</w:t>
      </w:r>
      <w:r>
        <w:rPr>
          <w:color w:val="auto"/>
          <w:sz w:val="24"/>
          <w:szCs w:val="21"/>
          <w:highlight w:val="none"/>
        </w:rPr>
        <w:t>支持</w:t>
      </w:r>
      <w:r>
        <w:rPr>
          <w:rFonts w:hint="eastAsia"/>
          <w:color w:val="auto"/>
          <w:sz w:val="24"/>
          <w:szCs w:val="21"/>
          <w:highlight w:val="none"/>
        </w:rPr>
        <w:t>截取</w:t>
      </w:r>
      <w:r>
        <w:rPr>
          <w:color w:val="auto"/>
          <w:sz w:val="24"/>
          <w:szCs w:val="21"/>
          <w:highlight w:val="none"/>
        </w:rPr>
        <w:t>能反映</w:t>
      </w:r>
      <w:r>
        <w:rPr>
          <w:rFonts w:hint="eastAsia"/>
          <w:color w:val="auto"/>
          <w:sz w:val="24"/>
          <w:szCs w:val="21"/>
          <w:highlight w:val="none"/>
        </w:rPr>
        <w:t>机动</w:t>
      </w:r>
      <w:r>
        <w:rPr>
          <w:color w:val="auto"/>
          <w:sz w:val="24"/>
          <w:szCs w:val="21"/>
          <w:highlight w:val="none"/>
        </w:rPr>
        <w:t>车不礼让行人整个违法过程的短时录像</w:t>
      </w:r>
      <w:r>
        <w:rPr>
          <w:rFonts w:hint="eastAsia"/>
          <w:color w:val="auto"/>
          <w:sz w:val="24"/>
          <w:szCs w:val="21"/>
          <w:highlight w:val="none"/>
        </w:rPr>
        <w:t>，</w:t>
      </w:r>
      <w:r>
        <w:rPr>
          <w:color w:val="auto"/>
          <w:sz w:val="24"/>
          <w:szCs w:val="21"/>
          <w:highlight w:val="none"/>
        </w:rPr>
        <w:t>并在智能终端盒中进行短</w:t>
      </w:r>
      <w:r>
        <w:rPr>
          <w:rFonts w:hint="eastAsia"/>
          <w:color w:val="auto"/>
          <w:sz w:val="24"/>
          <w:szCs w:val="21"/>
          <w:highlight w:val="none"/>
        </w:rPr>
        <w:t>周期</w:t>
      </w:r>
      <w:r>
        <w:rPr>
          <w:color w:val="auto"/>
          <w:sz w:val="24"/>
          <w:szCs w:val="21"/>
          <w:highlight w:val="none"/>
        </w:rPr>
        <w:t>存储</w:t>
      </w:r>
      <w:r>
        <w:rPr>
          <w:rFonts w:hint="eastAsia"/>
          <w:color w:val="auto"/>
          <w:sz w:val="24"/>
          <w:szCs w:val="21"/>
          <w:highlight w:val="none"/>
        </w:rPr>
        <w:t>，</w:t>
      </w:r>
      <w:r>
        <w:rPr>
          <w:color w:val="auto"/>
          <w:sz w:val="24"/>
          <w:szCs w:val="21"/>
          <w:highlight w:val="none"/>
        </w:rPr>
        <w:t>同时会将短时录像实时上传至指挥中心，</w:t>
      </w:r>
      <w:r>
        <w:rPr>
          <w:rFonts w:hint="eastAsia"/>
          <w:color w:val="auto"/>
          <w:sz w:val="24"/>
          <w:szCs w:val="21"/>
          <w:highlight w:val="none"/>
        </w:rPr>
        <w:t>作</w:t>
      </w:r>
      <w:r>
        <w:rPr>
          <w:color w:val="auto"/>
          <w:sz w:val="24"/>
          <w:szCs w:val="21"/>
          <w:highlight w:val="none"/>
        </w:rPr>
        <w:t>为非常处罚的证据之一。</w:t>
      </w:r>
      <w:r>
        <w:rPr>
          <w:rFonts w:hint="eastAsia"/>
          <w:color w:val="auto"/>
          <w:sz w:val="24"/>
          <w:szCs w:val="21"/>
          <w:highlight w:val="none"/>
        </w:rPr>
        <w:t>短时</w:t>
      </w:r>
      <w:r>
        <w:rPr>
          <w:color w:val="auto"/>
          <w:sz w:val="24"/>
          <w:szCs w:val="21"/>
          <w:highlight w:val="none"/>
        </w:rPr>
        <w:t>录像</w:t>
      </w:r>
      <w:r>
        <w:rPr>
          <w:rFonts w:hint="eastAsia"/>
          <w:color w:val="auto"/>
          <w:sz w:val="24"/>
          <w:szCs w:val="21"/>
          <w:highlight w:val="none"/>
        </w:rPr>
        <w:t>的</w:t>
      </w:r>
      <w:r>
        <w:rPr>
          <w:color w:val="auto"/>
          <w:sz w:val="24"/>
          <w:szCs w:val="21"/>
          <w:highlight w:val="none"/>
        </w:rPr>
        <w:t>时长可以根据用户实际需要配置。</w:t>
      </w:r>
    </w:p>
    <w:p>
      <w:pPr>
        <w:pStyle w:val="6"/>
        <w:keepLines w:val="0"/>
        <w:adjustRightInd w:val="0"/>
        <w:snapToGrid w:val="0"/>
        <w:spacing w:before="0" w:after="0" w:line="360" w:lineRule="auto"/>
        <w:ind w:left="864" w:hanging="864"/>
        <w:jc w:val="left"/>
        <w:rPr>
          <w:color w:val="auto"/>
          <w:highlight w:val="none"/>
        </w:rPr>
      </w:pPr>
      <w:bookmarkStart w:id="73" w:name="_Toc479325103"/>
      <w:r>
        <w:rPr>
          <w:rFonts w:hint="eastAsia"/>
          <w:color w:val="auto"/>
          <w:highlight w:val="none"/>
        </w:rPr>
        <w:t>卡口记录功能</w:t>
      </w:r>
      <w:bookmarkEnd w:id="72"/>
      <w:bookmarkEnd w:id="73"/>
    </w:p>
    <w:p>
      <w:pPr>
        <w:snapToGrid w:val="0"/>
        <w:spacing w:line="360" w:lineRule="auto"/>
        <w:ind w:firstLine="480" w:firstLineChars="200"/>
        <w:rPr>
          <w:color w:val="auto"/>
          <w:sz w:val="24"/>
          <w:szCs w:val="21"/>
          <w:highlight w:val="none"/>
        </w:rPr>
      </w:pPr>
      <w:r>
        <w:rPr>
          <w:rFonts w:hint="eastAsia"/>
          <w:color w:val="auto"/>
          <w:sz w:val="24"/>
          <w:szCs w:val="21"/>
          <w:highlight w:val="none"/>
        </w:rPr>
        <w:t>系统兼顾卡口功能，当车辆未越过停车线，系统会根据运动状态轨迹跟踪的情况，拍摄一张图片对过往车辆进行记录。图片能清晰的清晰辨别车辆类型、车牌号码、车身颜色等信息。</w:t>
      </w:r>
    </w:p>
    <w:p>
      <w:pPr>
        <w:pStyle w:val="6"/>
        <w:keepLines w:val="0"/>
        <w:adjustRightInd w:val="0"/>
        <w:snapToGrid w:val="0"/>
        <w:spacing w:before="0" w:after="0" w:line="360" w:lineRule="auto"/>
        <w:ind w:left="864" w:hanging="864"/>
        <w:jc w:val="left"/>
        <w:rPr>
          <w:color w:val="auto"/>
          <w:highlight w:val="none"/>
        </w:rPr>
      </w:pPr>
      <w:bookmarkStart w:id="74" w:name="_Toc479325104"/>
      <w:bookmarkStart w:id="75" w:name="_Toc399396651"/>
      <w:bookmarkStart w:id="76" w:name="_Toc306642177"/>
      <w:bookmarkStart w:id="77" w:name="_Toc306797943"/>
      <w:r>
        <w:rPr>
          <w:color w:val="auto"/>
          <w:highlight w:val="none"/>
        </w:rPr>
        <w:t>号牌自动识别功能</w:t>
      </w:r>
      <w:bookmarkEnd w:id="74"/>
      <w:bookmarkEnd w:id="75"/>
      <w:bookmarkEnd w:id="76"/>
      <w:bookmarkEnd w:id="77"/>
    </w:p>
    <w:p>
      <w:pPr>
        <w:snapToGrid w:val="0"/>
        <w:spacing w:line="360" w:lineRule="auto"/>
        <w:ind w:firstLine="480" w:firstLineChars="200"/>
        <w:rPr>
          <w:color w:val="auto"/>
          <w:sz w:val="24"/>
          <w:szCs w:val="21"/>
          <w:highlight w:val="none"/>
        </w:rPr>
      </w:pPr>
      <w:r>
        <w:rPr>
          <w:color w:val="auto"/>
          <w:sz w:val="24"/>
          <w:szCs w:val="21"/>
          <w:highlight w:val="none"/>
        </w:rPr>
        <w:t>系统采用国内领先的图像识别算法，对通过的所有车辆进行车辆号码识别、号牌颜色识别、车身颜色及车型等自动识别。</w:t>
      </w:r>
    </w:p>
    <w:p>
      <w:pPr>
        <w:pStyle w:val="6"/>
        <w:keepLines w:val="0"/>
        <w:adjustRightInd w:val="0"/>
        <w:snapToGrid w:val="0"/>
        <w:spacing w:before="0" w:after="0" w:line="360" w:lineRule="auto"/>
        <w:ind w:left="864" w:hanging="864"/>
        <w:jc w:val="left"/>
        <w:rPr>
          <w:color w:val="auto"/>
          <w:highlight w:val="none"/>
        </w:rPr>
      </w:pPr>
      <w:bookmarkStart w:id="78" w:name="_Toc479325105"/>
      <w:r>
        <w:rPr>
          <w:rFonts w:hint="eastAsia"/>
          <w:color w:val="auto"/>
          <w:highlight w:val="none"/>
        </w:rPr>
        <w:t>高清录像功能</w:t>
      </w:r>
      <w:bookmarkEnd w:id="78"/>
    </w:p>
    <w:p>
      <w:pPr>
        <w:snapToGrid w:val="0"/>
        <w:spacing w:line="360" w:lineRule="auto"/>
        <w:ind w:firstLine="480" w:firstLineChars="200"/>
        <w:rPr>
          <w:color w:val="auto"/>
          <w:sz w:val="24"/>
          <w:szCs w:val="21"/>
          <w:highlight w:val="none"/>
        </w:rPr>
      </w:pPr>
      <w:r>
        <w:rPr>
          <w:rFonts w:hint="eastAsia"/>
          <w:color w:val="auto"/>
          <w:sz w:val="24"/>
          <w:szCs w:val="21"/>
          <w:highlight w:val="none"/>
        </w:rPr>
        <w:t>系统在支持抓拍高分辨率图片的同时，能实现24小时高清视频录像功能，。可以在白天或夜间有辅助光源的情况下实现清晰录像；视频编码格式支持主流的H.264；可自动记录车辆通过时间、地点、所在车道、违法类型等信息；录像中能清晰地反映车辆的颜色、车辆类型、运动轨迹；并提供录像查询、录像下载等功能。</w:t>
      </w:r>
    </w:p>
    <w:p>
      <w:pPr>
        <w:pStyle w:val="6"/>
        <w:keepLines w:val="0"/>
        <w:adjustRightInd w:val="0"/>
        <w:snapToGrid w:val="0"/>
        <w:spacing w:before="0" w:after="0" w:line="360" w:lineRule="auto"/>
        <w:ind w:left="864" w:hanging="864"/>
        <w:jc w:val="left"/>
        <w:rPr>
          <w:color w:val="auto"/>
          <w:highlight w:val="none"/>
        </w:rPr>
      </w:pPr>
      <w:bookmarkStart w:id="79" w:name="_Toc479325106"/>
      <w:r>
        <w:rPr>
          <w:rFonts w:hint="eastAsia"/>
          <w:color w:val="auto"/>
          <w:highlight w:val="none"/>
        </w:rPr>
        <w:t>图片、视频防篡改功能</w:t>
      </w:r>
      <w:bookmarkEnd w:id="79"/>
    </w:p>
    <w:p>
      <w:pPr>
        <w:snapToGrid w:val="0"/>
        <w:spacing w:line="360" w:lineRule="auto"/>
        <w:ind w:firstLine="480" w:firstLineChars="200"/>
        <w:rPr>
          <w:color w:val="auto"/>
          <w:sz w:val="24"/>
          <w:szCs w:val="21"/>
          <w:highlight w:val="none"/>
        </w:rPr>
      </w:pPr>
      <w:r>
        <w:rPr>
          <w:rFonts w:hint="eastAsia"/>
          <w:color w:val="auto"/>
          <w:sz w:val="24"/>
          <w:szCs w:val="21"/>
          <w:highlight w:val="none"/>
        </w:rPr>
        <w:t>前端摄像机内置水印加密防篡改功能，利用数字水印加密技术，直接将加密信息嵌入图片和视频数据流，也就是从数据的源头加密，断绝了前端数据被篡改的可能性，从而确保了取证信息的准确可靠性。</w:t>
      </w:r>
    </w:p>
    <w:p>
      <w:pPr>
        <w:snapToGrid w:val="0"/>
        <w:spacing w:line="360" w:lineRule="auto"/>
        <w:ind w:firstLine="480" w:firstLineChars="200"/>
        <w:rPr>
          <w:color w:val="auto"/>
          <w:sz w:val="24"/>
          <w:szCs w:val="21"/>
          <w:highlight w:val="none"/>
        </w:rPr>
      </w:pPr>
      <w:r>
        <w:rPr>
          <w:rFonts w:hint="eastAsia"/>
          <w:color w:val="auto"/>
          <w:sz w:val="24"/>
          <w:szCs w:val="21"/>
          <w:highlight w:val="none"/>
        </w:rPr>
        <w:t>数据信息在前端加密后，传输环节也采用安全性非常高的加密传输方式，然后进入中心平台，中心管理软件自动对图片和视频数据进行水印验证，以确认信息是否被篡改。也可通过单独的水印加密验证工具软件，对前端单独拷贝出来的图片和视频进行手动验证。</w:t>
      </w:r>
    </w:p>
    <w:p>
      <w:pPr>
        <w:snapToGrid w:val="0"/>
        <w:spacing w:line="360" w:lineRule="auto"/>
        <w:ind w:firstLine="480" w:firstLineChars="200"/>
        <w:rPr>
          <w:color w:val="auto"/>
          <w:sz w:val="24"/>
          <w:szCs w:val="21"/>
          <w:highlight w:val="none"/>
        </w:rPr>
      </w:pPr>
      <w:r>
        <w:rPr>
          <w:rFonts w:hint="eastAsia"/>
          <w:color w:val="auto"/>
          <w:sz w:val="24"/>
          <w:szCs w:val="21"/>
          <w:highlight w:val="none"/>
        </w:rPr>
        <w:t>经源头加密、传输加密、后端验证等多重环节，图片和视频数据的安全性得到充分保障，具有极高的可信度。</w:t>
      </w:r>
    </w:p>
    <w:p>
      <w:pPr>
        <w:pStyle w:val="6"/>
        <w:keepLines w:val="0"/>
        <w:adjustRightInd w:val="0"/>
        <w:snapToGrid w:val="0"/>
        <w:spacing w:before="0" w:after="0" w:line="360" w:lineRule="auto"/>
        <w:ind w:left="864" w:hanging="864"/>
        <w:jc w:val="left"/>
        <w:rPr>
          <w:color w:val="auto"/>
          <w:highlight w:val="none"/>
        </w:rPr>
      </w:pPr>
      <w:bookmarkStart w:id="80" w:name="_Toc479325107"/>
      <w:r>
        <w:rPr>
          <w:rFonts w:hint="eastAsia"/>
          <w:color w:val="auto"/>
          <w:highlight w:val="none"/>
        </w:rPr>
        <w:t>断点续传功能</w:t>
      </w:r>
      <w:bookmarkEnd w:id="80"/>
    </w:p>
    <w:p>
      <w:pPr>
        <w:snapToGrid w:val="0"/>
        <w:spacing w:line="360" w:lineRule="auto"/>
        <w:ind w:firstLine="480" w:firstLineChars="200"/>
        <w:rPr>
          <w:color w:val="auto"/>
          <w:sz w:val="24"/>
          <w:szCs w:val="21"/>
          <w:highlight w:val="none"/>
        </w:rPr>
      </w:pPr>
      <w:r>
        <w:rPr>
          <w:rFonts w:hint="eastAsia"/>
          <w:color w:val="auto"/>
          <w:sz w:val="24"/>
          <w:szCs w:val="21"/>
          <w:highlight w:val="none"/>
        </w:rPr>
        <w:t>系统支持多种方式的数据传输：可通过FTP或TCP/IP方式将违法数据、车辆通过信息（时间、地点、车牌号码等）、设备监测数据等上传到中心管理系统；也可在中心通过网络调用或下载操控前端设备存储的数据。</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系统支持数据的断点续传：如因网络中断或其它故障，无法将数据由前端上传至中心，可暂时将数据存储在前端，待网络恢复后前端存储设备会自动上传网络中断期间的数据。</w:t>
      </w:r>
    </w:p>
    <w:p>
      <w:pPr>
        <w:pStyle w:val="6"/>
        <w:keepLines w:val="0"/>
        <w:adjustRightInd w:val="0"/>
        <w:snapToGrid w:val="0"/>
        <w:spacing w:before="0" w:after="0" w:line="360" w:lineRule="auto"/>
        <w:ind w:left="864" w:hanging="864"/>
        <w:jc w:val="left"/>
        <w:rPr>
          <w:color w:val="auto"/>
          <w:highlight w:val="none"/>
        </w:rPr>
      </w:pPr>
      <w:bookmarkStart w:id="81" w:name="_Toc479325108"/>
      <w:r>
        <w:rPr>
          <w:rFonts w:hint="eastAsia"/>
          <w:color w:val="auto"/>
          <w:highlight w:val="none"/>
        </w:rPr>
        <w:t>远程系统管理维护功能</w:t>
      </w:r>
      <w:bookmarkEnd w:id="81"/>
    </w:p>
    <w:p>
      <w:pPr>
        <w:snapToGrid w:val="0"/>
        <w:spacing w:line="360" w:lineRule="auto"/>
        <w:ind w:firstLine="480" w:firstLineChars="200"/>
        <w:rPr>
          <w:color w:val="auto"/>
          <w:sz w:val="24"/>
          <w:szCs w:val="21"/>
          <w:highlight w:val="none"/>
        </w:rPr>
      </w:pPr>
      <w:r>
        <w:rPr>
          <w:rFonts w:hint="eastAsia"/>
          <w:color w:val="auto"/>
          <w:sz w:val="24"/>
          <w:szCs w:val="21"/>
          <w:highlight w:val="none"/>
        </w:rPr>
        <w:t>系统具备故障自动检测功能，能通过软硬件自动检测系统故障并恢复正常工作。具有断电自动重启动、自动侦错报错、自动监测主要设备（摄像机、终端管理设备、服务器等）和主要运行软件的工作状态（采集识别软件、传输软件等）等功能。</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系统具备权限管理功能，能够对不同对象分配不同类型的使用权限。</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系统具备日志记录功能。可记录主要设备、网络状态和主要运行软件的工作日志，还能记录设备或者网络状态改变（重启、或者重新连接）、主要软件发生重启或故障等事件日志。</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系统具有主动校时功能，24h内设备的计时误差不超过1.0s。</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系统具备远程维护及参数的设置等功能。</w:t>
      </w:r>
    </w:p>
    <w:p>
      <w:pPr>
        <w:pStyle w:val="5"/>
        <w:snapToGrid w:val="0"/>
        <w:spacing w:before="0" w:after="0" w:line="360" w:lineRule="auto"/>
        <w:ind w:left="720" w:hanging="720"/>
        <w:rPr>
          <w:color w:val="auto"/>
          <w:highlight w:val="none"/>
        </w:rPr>
      </w:pPr>
      <w:bookmarkStart w:id="82" w:name="_Toc10102487"/>
      <w:bookmarkStart w:id="83" w:name="_Toc536016017"/>
      <w:r>
        <w:rPr>
          <w:rFonts w:hint="eastAsia"/>
          <w:color w:val="auto"/>
          <w:highlight w:val="none"/>
        </w:rPr>
        <w:t>主要设备参数性能</w:t>
      </w:r>
      <w:bookmarkEnd w:id="82"/>
      <w:bookmarkEnd w:id="83"/>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一体化高清抓拍单元</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图片有效像素：</w:t>
      </w:r>
      <w:r>
        <w:rPr>
          <w:color w:val="auto"/>
          <w:sz w:val="24"/>
          <w:highlight w:val="none"/>
        </w:rPr>
        <w:t>4096</w:t>
      </w:r>
      <w:r>
        <w:rPr>
          <w:rFonts w:hint="eastAsia"/>
          <w:color w:val="auto"/>
          <w:sz w:val="24"/>
          <w:highlight w:val="none"/>
        </w:rPr>
        <w:t>（</w:t>
      </w:r>
      <w:r>
        <w:rPr>
          <w:color w:val="auto"/>
          <w:sz w:val="24"/>
          <w:highlight w:val="none"/>
        </w:rPr>
        <w:t>H</w:t>
      </w:r>
      <w:r>
        <w:rPr>
          <w:rFonts w:hint="eastAsia"/>
          <w:color w:val="auto"/>
          <w:sz w:val="24"/>
          <w:highlight w:val="none"/>
        </w:rPr>
        <w:t>）×</w:t>
      </w:r>
      <w:r>
        <w:rPr>
          <w:color w:val="auto"/>
          <w:sz w:val="24"/>
          <w:highlight w:val="none"/>
        </w:rPr>
        <w:t>2160</w:t>
      </w:r>
      <w:r>
        <w:rPr>
          <w:rFonts w:hint="eastAsia"/>
          <w:color w:val="auto"/>
          <w:sz w:val="24"/>
          <w:highlight w:val="none"/>
        </w:rPr>
        <w:t>（</w:t>
      </w:r>
      <w:r>
        <w:rPr>
          <w:color w:val="auto"/>
          <w:sz w:val="24"/>
          <w:highlight w:val="none"/>
        </w:rPr>
        <w:t>V</w:t>
      </w:r>
      <w:r>
        <w:rPr>
          <w:rFonts w:hint="eastAsia"/>
          <w:color w:val="auto"/>
          <w:sz w:val="24"/>
          <w:highlight w:val="none"/>
        </w:rPr>
        <w:t>）（含OSD）；</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动态范围：64dB；</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高清图像压缩方式：JPEG；</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高清视频格式：H.265、H.264H、H.264M、H.264B、MJEPG等；</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远程控制功能：可通过Web方式远程配置、控制；</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网络防雷：内置网络防雷模块；</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平均功耗：&lt;20W（不含适配器）；</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温湿度：工作温度-40℃~+80℃</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LED补光灯</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LED灯珠：16颗高亮LED；</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环境亮度检测：支持低照度下6级光敏检测自动开启补光；</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RS485接口：</w:t>
      </w:r>
      <w:r>
        <w:rPr>
          <w:color w:val="auto"/>
          <w:sz w:val="24"/>
          <w:highlight w:val="none"/>
        </w:rPr>
        <w:t>1</w:t>
      </w:r>
      <w:r>
        <w:rPr>
          <w:rFonts w:hint="eastAsia"/>
          <w:color w:val="auto"/>
          <w:sz w:val="24"/>
          <w:highlight w:val="none"/>
        </w:rPr>
        <w:t>路，支持</w:t>
      </w:r>
      <w:r>
        <w:rPr>
          <w:color w:val="auto"/>
          <w:sz w:val="24"/>
          <w:highlight w:val="none"/>
        </w:rPr>
        <w:t>PC</w:t>
      </w:r>
      <w:r>
        <w:rPr>
          <w:rFonts w:hint="eastAsia"/>
          <w:color w:val="auto"/>
          <w:sz w:val="24"/>
          <w:highlight w:val="none"/>
        </w:rPr>
        <w:t>或相机连接，支持最</w:t>
      </w:r>
      <w:r>
        <w:rPr>
          <w:color w:val="auto"/>
          <w:sz w:val="24"/>
          <w:highlight w:val="none"/>
        </w:rPr>
        <w:t>5</w:t>
      </w:r>
      <w:r>
        <w:rPr>
          <w:rFonts w:hint="eastAsia"/>
          <w:color w:val="auto"/>
          <w:sz w:val="24"/>
          <w:highlight w:val="none"/>
        </w:rPr>
        <w:t>台</w:t>
      </w:r>
      <w:r>
        <w:rPr>
          <w:color w:val="auto"/>
          <w:sz w:val="24"/>
          <w:highlight w:val="none"/>
        </w:rPr>
        <w:t>LED</w:t>
      </w:r>
      <w:r>
        <w:rPr>
          <w:rFonts w:hint="eastAsia"/>
          <w:color w:val="auto"/>
          <w:sz w:val="24"/>
          <w:highlight w:val="none"/>
        </w:rPr>
        <w:t>灯串口同时并入相机接口；</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频闪持续时间：</w:t>
      </w:r>
      <w:r>
        <w:rPr>
          <w:color w:val="auto"/>
          <w:sz w:val="24"/>
          <w:highlight w:val="none"/>
        </w:rPr>
        <w:t>1</w:t>
      </w:r>
      <w:r>
        <w:rPr>
          <w:rFonts w:hint="eastAsia"/>
          <w:color w:val="auto"/>
          <w:sz w:val="24"/>
          <w:highlight w:val="none"/>
        </w:rPr>
        <w:t>、</w:t>
      </w:r>
      <w:r>
        <w:rPr>
          <w:color w:val="auto"/>
          <w:sz w:val="24"/>
          <w:highlight w:val="none"/>
        </w:rPr>
        <w:t>2</w:t>
      </w:r>
      <w:r>
        <w:rPr>
          <w:rFonts w:hint="eastAsia"/>
          <w:color w:val="auto"/>
          <w:sz w:val="24"/>
          <w:highlight w:val="none"/>
        </w:rPr>
        <w:t>、</w:t>
      </w:r>
      <w:r>
        <w:rPr>
          <w:color w:val="auto"/>
          <w:sz w:val="24"/>
          <w:highlight w:val="none"/>
        </w:rPr>
        <w:t>3ms</w:t>
      </w:r>
      <w:r>
        <w:rPr>
          <w:rFonts w:hint="eastAsia"/>
          <w:color w:val="auto"/>
          <w:sz w:val="24"/>
          <w:highlight w:val="none"/>
        </w:rPr>
        <w:t>可选；</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频闪延时：0、1、2、3、4ms可选；</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响应时间：相机同步信号输出至LED灯板响应的时间≤45us；</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中心光照度：20米光照度＜40lx；</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最佳补光距离</w:t>
      </w:r>
      <w:r>
        <w:rPr>
          <w:rFonts w:hint="eastAsia"/>
          <w:color w:val="auto"/>
          <w:sz w:val="24"/>
          <w:highlight w:val="none"/>
        </w:rPr>
        <w:tab/>
      </w:r>
      <w:r>
        <w:rPr>
          <w:rFonts w:hint="eastAsia"/>
          <w:color w:val="auto"/>
          <w:sz w:val="24"/>
          <w:highlight w:val="none"/>
        </w:rPr>
        <w:t>16米~25米</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智能交通终端管理设备</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系统资源：可接入</w:t>
      </w:r>
      <w:r>
        <w:rPr>
          <w:color w:val="auto"/>
          <w:sz w:val="24"/>
          <w:highlight w:val="none"/>
        </w:rPr>
        <w:t>12</w:t>
      </w:r>
      <w:r>
        <w:rPr>
          <w:rFonts w:hint="eastAsia"/>
          <w:color w:val="auto"/>
          <w:sz w:val="24"/>
          <w:highlight w:val="none"/>
        </w:rPr>
        <w:t>路高清网络摄像机（支持视频和图片同时接入）；</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操作系统：嵌入式</w:t>
      </w:r>
      <w:r>
        <w:rPr>
          <w:color w:val="auto"/>
          <w:sz w:val="24"/>
          <w:highlight w:val="none"/>
        </w:rPr>
        <w:t>Linux</w:t>
      </w:r>
      <w:r>
        <w:rPr>
          <w:rFonts w:hint="eastAsia"/>
          <w:color w:val="auto"/>
          <w:sz w:val="24"/>
          <w:highlight w:val="none"/>
        </w:rPr>
        <w:t>实时操作系统；</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硬盘接口：最大支持4个SATA接口硬盘；</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eSATA接口：1个；</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RS232串口：2个，其中1个用于调试串口数据；</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RS485接口：4个；</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USB接口：2个；</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显示输出接口：1个VGA，1个HDMI；</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网络接口：8个RJ45 10M/100M；</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自适应以太网口：2个RJ45 1000M自适应接口，其中一个为1000M可光电转换SFP接口；</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电源输出：DC12V输出，最大功率5W；</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图片合成：支持违章图片合成；</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断网续传：当设备与平台断开，重连后设备将上传断开时间段的图片继续传给平台；</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数据防删改功能：录像、图片文件无法直接删除；</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车辆查询：支持按时间、通道、违章类型、车牌、车速、车道查询；</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功耗：＜20W（不含硬盘）/＜30W（含1个硬盘）；</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使用工作温度：-30℃~+70℃；</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使用湿度：20℅~90℅RH。</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抱杆机箱</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箱体喷塑，采用优质冷轧板，板材厚度不小于1.2mm，含电源空开模块、电源防雷器及接线端子。</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后背带固定支架，抱杆安装。内部容积满足光纤收发器等设备放置需要。</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4光4电光纤收发器</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工业级设备；</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光口：</w:t>
      </w:r>
      <w:r>
        <w:rPr>
          <w:color w:val="auto"/>
          <w:sz w:val="24"/>
          <w:highlight w:val="none"/>
        </w:rPr>
        <w:t>4</w:t>
      </w:r>
      <w:r>
        <w:rPr>
          <w:rFonts w:hint="eastAsia"/>
          <w:color w:val="auto"/>
          <w:sz w:val="24"/>
          <w:highlight w:val="none"/>
        </w:rPr>
        <w:t>个千兆光口，距离20公里，单模单纤；</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电口：1个千兆网口，3个百兆电口；</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安装方式：导轨。</w:t>
      </w:r>
    </w:p>
    <w:p>
      <w:pPr>
        <w:pStyle w:val="6"/>
        <w:keepLines w:val="0"/>
        <w:adjustRightInd w:val="0"/>
        <w:snapToGrid w:val="0"/>
        <w:spacing w:before="0" w:after="0" w:line="360" w:lineRule="auto"/>
        <w:ind w:left="864" w:hanging="864"/>
        <w:jc w:val="left"/>
        <w:rPr>
          <w:color w:val="auto"/>
          <w:highlight w:val="none"/>
        </w:rPr>
      </w:pPr>
      <w:r>
        <w:rPr>
          <w:color w:val="auto"/>
          <w:highlight w:val="none"/>
        </w:rPr>
        <w:t>1</w:t>
      </w:r>
      <w:r>
        <w:rPr>
          <w:rFonts w:hint="eastAsia"/>
          <w:color w:val="auto"/>
          <w:highlight w:val="none"/>
        </w:rPr>
        <w:t>光4电光纤收发器</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工业级设备；</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光口：1个千兆光口，距离20公里，单模单纤；</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电口：</w:t>
      </w:r>
      <w:r>
        <w:rPr>
          <w:color w:val="auto"/>
          <w:sz w:val="24"/>
          <w:highlight w:val="none"/>
        </w:rPr>
        <w:t>4</w:t>
      </w:r>
      <w:r>
        <w:rPr>
          <w:rFonts w:hint="eastAsia"/>
          <w:color w:val="auto"/>
          <w:sz w:val="24"/>
          <w:highlight w:val="none"/>
        </w:rPr>
        <w:t>个百兆网口；</w:t>
      </w:r>
    </w:p>
    <w:p>
      <w:pPr>
        <w:numPr>
          <w:ilvl w:val="0"/>
          <w:numId w:val="21"/>
        </w:numPr>
        <w:tabs>
          <w:tab w:val="left" w:pos="720"/>
        </w:tabs>
        <w:snapToGrid w:val="0"/>
        <w:spacing w:line="360" w:lineRule="auto"/>
        <w:ind w:left="720" w:hanging="360"/>
        <w:rPr>
          <w:color w:val="auto"/>
          <w:sz w:val="24"/>
          <w:highlight w:val="none"/>
        </w:rPr>
      </w:pPr>
      <w:r>
        <w:rPr>
          <w:rFonts w:hint="eastAsia"/>
          <w:color w:val="auto"/>
          <w:sz w:val="24"/>
          <w:highlight w:val="none"/>
        </w:rPr>
        <w:t>安装方式：导轨。</w:t>
      </w:r>
    </w:p>
    <w:p>
      <w:pPr>
        <w:pStyle w:val="4"/>
        <w:snapToGrid w:val="0"/>
        <w:spacing w:before="0" w:after="0" w:line="360" w:lineRule="auto"/>
        <w:ind w:left="576" w:hanging="576"/>
        <w:rPr>
          <w:color w:val="auto"/>
          <w:highlight w:val="none"/>
        </w:rPr>
      </w:pPr>
      <w:bookmarkStart w:id="84" w:name="_Toc10102488"/>
      <w:r>
        <w:rPr>
          <w:rFonts w:hint="eastAsia"/>
          <w:color w:val="auto"/>
          <w:highlight w:val="none"/>
        </w:rPr>
        <w:t>违法停车抓拍子系统</w:t>
      </w:r>
      <w:bookmarkEnd w:id="84"/>
    </w:p>
    <w:p>
      <w:pPr>
        <w:pStyle w:val="5"/>
        <w:snapToGrid w:val="0"/>
        <w:spacing w:before="0" w:after="0" w:line="360" w:lineRule="auto"/>
        <w:ind w:left="720" w:hanging="720"/>
        <w:rPr>
          <w:color w:val="auto"/>
          <w:highlight w:val="none"/>
        </w:rPr>
      </w:pPr>
      <w:bookmarkStart w:id="85" w:name="_Toc10102489"/>
      <w:r>
        <w:rPr>
          <w:rFonts w:hint="eastAsia"/>
          <w:color w:val="auto"/>
          <w:highlight w:val="none"/>
        </w:rPr>
        <w:t>系统概述</w:t>
      </w:r>
      <w:bookmarkEnd w:id="85"/>
    </w:p>
    <w:p>
      <w:pPr>
        <w:snapToGrid w:val="0"/>
        <w:spacing w:line="360" w:lineRule="auto"/>
        <w:ind w:firstLine="480" w:firstLineChars="200"/>
        <w:rPr>
          <w:color w:val="auto"/>
          <w:sz w:val="24"/>
          <w:szCs w:val="21"/>
          <w:highlight w:val="none"/>
        </w:rPr>
      </w:pPr>
      <w:r>
        <w:rPr>
          <w:rFonts w:hint="eastAsia"/>
          <w:color w:val="auto"/>
          <w:sz w:val="24"/>
          <w:szCs w:val="21"/>
          <w:highlight w:val="none"/>
        </w:rPr>
        <w:t>违法停车抓拍电子警察系统利用高科技手段，对在道路上发生的违法停车现象进行自动取证，结合处罚管理手段，提高交通管理水平，对交通秩序也起到了积极的规范作用。</w:t>
      </w:r>
    </w:p>
    <w:p>
      <w:pPr>
        <w:snapToGrid w:val="0"/>
        <w:spacing w:line="360" w:lineRule="auto"/>
        <w:ind w:firstLine="480" w:firstLineChars="200"/>
        <w:rPr>
          <w:color w:val="auto"/>
          <w:sz w:val="24"/>
          <w:szCs w:val="21"/>
          <w:highlight w:val="none"/>
        </w:rPr>
      </w:pPr>
      <w:r>
        <w:rPr>
          <w:rFonts w:hint="eastAsia"/>
          <w:color w:val="auto"/>
          <w:sz w:val="24"/>
          <w:szCs w:val="21"/>
          <w:highlight w:val="none"/>
        </w:rPr>
        <w:t>通过违法停车抓拍电子警察系统设备的建设，加强交通管理，确保道路车辆各行其道，有效对交通进行疏导，整体推进交通管理信息化发展。</w:t>
      </w:r>
    </w:p>
    <w:p>
      <w:pPr>
        <w:snapToGrid w:val="0"/>
        <w:spacing w:line="360" w:lineRule="auto"/>
        <w:ind w:firstLine="480" w:firstLineChars="200"/>
        <w:rPr>
          <w:color w:val="auto"/>
          <w:sz w:val="24"/>
          <w:szCs w:val="21"/>
          <w:highlight w:val="none"/>
        </w:rPr>
      </w:pPr>
      <w:r>
        <w:rPr>
          <w:rFonts w:hint="eastAsia"/>
          <w:color w:val="auto"/>
          <w:sz w:val="24"/>
          <w:szCs w:val="21"/>
          <w:highlight w:val="none"/>
        </w:rPr>
        <w:t>为了解决对违法停车现场执法警力不足和易受干扰影响的难题，利用自动抓拍技术替代以前的人工现场取证和人工手动抓拍，系统能够全天候工作，在一定程度上消除道路交通管理在时间和空间上的盲点，保证违法停车行为都能得到及时纠正查处和有效遏制，实现对辖区内运行的车辆进行有效管理。</w:t>
      </w:r>
    </w:p>
    <w:p>
      <w:pPr>
        <w:snapToGrid w:val="0"/>
        <w:spacing w:line="360" w:lineRule="auto"/>
        <w:ind w:firstLine="480" w:firstLineChars="200"/>
        <w:rPr>
          <w:color w:val="auto"/>
          <w:sz w:val="24"/>
          <w:szCs w:val="21"/>
          <w:highlight w:val="none"/>
        </w:rPr>
      </w:pPr>
      <w:r>
        <w:rPr>
          <w:rFonts w:hint="eastAsia"/>
          <w:color w:val="auto"/>
          <w:sz w:val="24"/>
          <w:szCs w:val="21"/>
          <w:highlight w:val="none"/>
        </w:rPr>
        <w:t>本次建设采用天眼项目中违停抓拍系统，补充天眼项目中尚未覆盖的区域，以实现对玉环城区的全面监控和管理。</w:t>
      </w:r>
    </w:p>
    <w:p>
      <w:pPr>
        <w:pStyle w:val="5"/>
        <w:snapToGrid w:val="0"/>
        <w:spacing w:before="0" w:after="0" w:line="360" w:lineRule="auto"/>
        <w:ind w:left="720" w:hanging="720"/>
        <w:rPr>
          <w:color w:val="auto"/>
          <w:highlight w:val="none"/>
        </w:rPr>
      </w:pPr>
      <w:bookmarkStart w:id="86" w:name="_Toc10102490"/>
      <w:r>
        <w:rPr>
          <w:rFonts w:hint="eastAsia"/>
          <w:color w:val="auto"/>
          <w:highlight w:val="none"/>
        </w:rPr>
        <w:t>建设布局</w:t>
      </w:r>
      <w:bookmarkEnd w:id="86"/>
    </w:p>
    <w:p>
      <w:pPr>
        <w:snapToGrid w:val="0"/>
        <w:spacing w:line="360" w:lineRule="auto"/>
        <w:ind w:firstLine="480" w:firstLineChars="200"/>
        <w:rPr>
          <w:color w:val="auto"/>
          <w:sz w:val="24"/>
          <w:szCs w:val="21"/>
          <w:highlight w:val="none"/>
        </w:rPr>
      </w:pPr>
      <w:r>
        <w:rPr>
          <w:rFonts w:hint="eastAsia"/>
          <w:color w:val="auto"/>
          <w:sz w:val="24"/>
          <w:szCs w:val="21"/>
          <w:highlight w:val="none"/>
        </w:rPr>
        <w:t>通过对玉环市现有城区交通运行状态以及车辆行驶规范性进行调查研究，结合天眼项目（一期）中已经规划建设的违法停车抓拍系统点位，发现有些区域内尚未规划建设违法停车系统，车辆停放缺少管理秩序及执法依据。</w:t>
      </w:r>
    </w:p>
    <w:p>
      <w:pPr>
        <w:snapToGrid w:val="0"/>
        <w:spacing w:line="360" w:lineRule="auto"/>
        <w:ind w:firstLine="480" w:firstLineChars="200"/>
        <w:rPr>
          <w:color w:val="auto"/>
          <w:sz w:val="24"/>
          <w:szCs w:val="21"/>
          <w:highlight w:val="none"/>
        </w:rPr>
      </w:pPr>
      <w:r>
        <w:rPr>
          <w:rFonts w:hint="eastAsia"/>
          <w:color w:val="auto"/>
          <w:sz w:val="24"/>
          <w:szCs w:val="21"/>
          <w:highlight w:val="none"/>
        </w:rPr>
        <w:t>综合玉环市交警大队的建设需求、天眼布控点位及现场勘察确定此次建设中需要建设的违法停车点位数量及分布。此次违法停车系统建设共建设4</w:t>
      </w:r>
      <w:r>
        <w:rPr>
          <w:rFonts w:hint="eastAsia"/>
          <w:color w:val="auto"/>
          <w:sz w:val="24"/>
          <w:szCs w:val="21"/>
          <w:highlight w:val="none"/>
          <w:lang w:val="en-US" w:eastAsia="zh-CN"/>
        </w:rPr>
        <w:t>6</w:t>
      </w:r>
      <w:r>
        <w:rPr>
          <w:rFonts w:hint="eastAsia"/>
          <w:color w:val="auto"/>
          <w:sz w:val="24"/>
          <w:szCs w:val="21"/>
          <w:highlight w:val="none"/>
        </w:rPr>
        <w:t>个点位，具体点位名称及布局如下表。</w:t>
      </w:r>
    </w:p>
    <w:p>
      <w:pPr>
        <w:snapToGrid w:val="0"/>
        <w:spacing w:line="360" w:lineRule="auto"/>
        <w:jc w:val="center"/>
        <w:rPr>
          <w:color w:val="auto"/>
          <w:sz w:val="24"/>
          <w:szCs w:val="21"/>
          <w:highlight w:val="none"/>
        </w:rPr>
      </w:pPr>
      <w:r>
        <w:rPr>
          <w:rFonts w:hint="eastAsia"/>
          <w:color w:val="auto"/>
          <w:sz w:val="24"/>
          <w:szCs w:val="21"/>
          <w:highlight w:val="none"/>
        </w:rPr>
        <w:t>表</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表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3</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违法停车抓拍系统点位</w:t>
      </w:r>
    </w:p>
    <w:tbl>
      <w:tblPr>
        <w:tblStyle w:val="20"/>
        <w:tblW w:w="8296" w:type="dxa"/>
        <w:tblInd w:w="0" w:type="dxa"/>
        <w:tblLayout w:type="fixed"/>
        <w:tblCellMar>
          <w:top w:w="0" w:type="dxa"/>
          <w:left w:w="108" w:type="dxa"/>
          <w:bottom w:w="0" w:type="dxa"/>
          <w:right w:w="108" w:type="dxa"/>
        </w:tblCellMar>
      </w:tblPr>
      <w:tblGrid>
        <w:gridCol w:w="971"/>
        <w:gridCol w:w="7325"/>
      </w:tblGrid>
      <w:tr>
        <w:tblPrEx>
          <w:tblLayout w:type="fixed"/>
          <w:tblCellMar>
            <w:top w:w="0" w:type="dxa"/>
            <w:left w:w="108" w:type="dxa"/>
            <w:bottom w:w="0" w:type="dxa"/>
            <w:right w:w="108" w:type="dxa"/>
          </w:tblCellMar>
        </w:tblPrEx>
        <w:trPr>
          <w:trHeight w:val="312" w:hRule="atLeast"/>
        </w:trPr>
        <w:tc>
          <w:tcPr>
            <w:tcW w:w="9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序号</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点位名称</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玉兴路工商银行前</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玉兴路建设路交叉口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天河路实验小学门口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天河路珠城路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5</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泰安路长治路北(中间绿化带)</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6</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长乐路（泰安路至康育路中间）</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7</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长乐路人民医院门口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8</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康育路顺达百货口天网杆</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9</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城中路单向三岔口（北向南）</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10</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城中路侬侬魅力南向北</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11</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城中路爱丁堡酒店口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12</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城中路长康路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13</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城中路长乐路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14</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广陵路外环西路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15</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广陵路绿地城市公馆口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16</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广陵路内环西路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17</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内环西路双港路（内环西路西口）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18</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双港路中心幼儿园</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19</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外环西路路段（广陵路至双港路之间）</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20</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外环西路路段（车站南路至广陵路中间）</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21</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双港路一号路（渔岙）</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22</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双港路吾悦广场辅道1</w:t>
            </w:r>
          </w:p>
        </w:tc>
      </w:tr>
      <w:tr>
        <w:tblPrEx>
          <w:tblLayout w:type="fixed"/>
          <w:tblCellMar>
            <w:top w:w="0" w:type="dxa"/>
            <w:left w:w="108" w:type="dxa"/>
            <w:bottom w:w="0" w:type="dxa"/>
            <w:right w:w="108" w:type="dxa"/>
          </w:tblCellMar>
        </w:tblPrEx>
        <w:trPr>
          <w:trHeight w:val="39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23</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双港路吾悦广场旁</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24</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三潭路喜来登前路段</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25</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珠城路天河路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26</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泰安路玉兴公园</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27</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泰安路客运中心门口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28</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建设路路段（玉兴路至珠城路中间段）</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29</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泰安路长康路北</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30</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鲜迭沙滩1</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31</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鲜迭沙滩2</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32</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三潭路康育路东</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33</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东城路东城桥东</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34</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广陵路广陵桥</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35</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城中路长治路</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36</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珠城东路榴岛大道口</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37</w:t>
            </w:r>
          </w:p>
        </w:tc>
        <w:tc>
          <w:tcPr>
            <w:tcW w:w="7325" w:type="dxa"/>
            <w:tcBorders>
              <w:top w:val="nil"/>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天河路路段（东城路至县东七彩幼儿园中间段）</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38</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狮城线西青塘1</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39</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狮城线西青塘2</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40</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狮城线后湾社区1</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41</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狮城线后湾社区2</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42</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绕城公路服务中心</w:t>
            </w:r>
          </w:p>
        </w:tc>
      </w:tr>
      <w:tr>
        <w:tblPrEx>
          <w:tblLayout w:type="fixed"/>
          <w:tblCellMar>
            <w:top w:w="0" w:type="dxa"/>
            <w:left w:w="108" w:type="dxa"/>
            <w:bottom w:w="0" w:type="dxa"/>
            <w:right w:w="108" w:type="dxa"/>
          </w:tblCellMar>
        </w:tblPrEx>
        <w:trPr>
          <w:trHeight w:val="312" w:hRule="atLeast"/>
        </w:trPr>
        <w:tc>
          <w:tcPr>
            <w:tcW w:w="97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43</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公安局门口</w:t>
            </w:r>
          </w:p>
        </w:tc>
      </w:tr>
      <w:tr>
        <w:tblPrEx>
          <w:tblLayout w:type="fixed"/>
          <w:tblCellMar>
            <w:top w:w="0" w:type="dxa"/>
            <w:left w:w="108" w:type="dxa"/>
            <w:bottom w:w="0" w:type="dxa"/>
            <w:right w:w="108" w:type="dxa"/>
          </w:tblCellMar>
        </w:tblPrEx>
        <w:trPr>
          <w:trHeight w:val="312" w:hRule="atLeast"/>
        </w:trPr>
        <w:tc>
          <w:tcPr>
            <w:tcW w:w="9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w:t>
            </w:r>
            <w:r>
              <w:rPr>
                <w:rFonts w:cs="宋体"/>
                <w:color w:val="auto"/>
                <w:kern w:val="0"/>
                <w:sz w:val="24"/>
                <w:highlight w:val="none"/>
              </w:rPr>
              <w:t>4</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cs="宋体"/>
                <w:color w:val="auto"/>
                <w:kern w:val="0"/>
                <w:sz w:val="24"/>
                <w:highlight w:val="none"/>
              </w:rPr>
            </w:pPr>
            <w:r>
              <w:rPr>
                <w:rFonts w:hint="eastAsia" w:cs="宋体"/>
                <w:color w:val="auto"/>
                <w:kern w:val="0"/>
                <w:sz w:val="24"/>
                <w:highlight w:val="none"/>
              </w:rPr>
              <w:t>喜来登门口</w:t>
            </w:r>
          </w:p>
        </w:tc>
      </w:tr>
      <w:tr>
        <w:tblPrEx>
          <w:tblLayout w:type="fixed"/>
          <w:tblCellMar>
            <w:top w:w="0" w:type="dxa"/>
            <w:left w:w="108" w:type="dxa"/>
            <w:bottom w:w="0" w:type="dxa"/>
            <w:right w:w="108" w:type="dxa"/>
          </w:tblCellMar>
        </w:tblPrEx>
        <w:trPr>
          <w:trHeight w:val="312" w:hRule="atLeast"/>
        </w:trPr>
        <w:tc>
          <w:tcPr>
            <w:tcW w:w="9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w:t>
            </w:r>
            <w:r>
              <w:rPr>
                <w:rFonts w:cs="宋体"/>
                <w:color w:val="auto"/>
                <w:kern w:val="0"/>
                <w:sz w:val="24"/>
                <w:highlight w:val="none"/>
              </w:rPr>
              <w:t>5</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玉大线南山村</w:t>
            </w:r>
          </w:p>
        </w:tc>
      </w:tr>
      <w:tr>
        <w:tblPrEx>
          <w:tblLayout w:type="fixed"/>
          <w:tblCellMar>
            <w:top w:w="0" w:type="dxa"/>
            <w:left w:w="108" w:type="dxa"/>
            <w:bottom w:w="0" w:type="dxa"/>
            <w:right w:w="108" w:type="dxa"/>
          </w:tblCellMar>
        </w:tblPrEx>
        <w:trPr>
          <w:trHeight w:val="312" w:hRule="atLeast"/>
        </w:trPr>
        <w:tc>
          <w:tcPr>
            <w:tcW w:w="9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4</w:t>
            </w:r>
            <w:r>
              <w:rPr>
                <w:rFonts w:cs="宋体"/>
                <w:color w:val="auto"/>
                <w:kern w:val="0"/>
                <w:sz w:val="24"/>
                <w:highlight w:val="none"/>
              </w:rPr>
              <w:t>6</w:t>
            </w:r>
          </w:p>
        </w:tc>
        <w:tc>
          <w:tcPr>
            <w:tcW w:w="732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hint="eastAsia" w:cs="宋体"/>
                <w:color w:val="auto"/>
                <w:kern w:val="0"/>
                <w:sz w:val="24"/>
                <w:highlight w:val="none"/>
              </w:rPr>
            </w:pPr>
            <w:r>
              <w:rPr>
                <w:rFonts w:hint="eastAsia" w:cs="宋体"/>
                <w:color w:val="auto"/>
                <w:kern w:val="0"/>
                <w:sz w:val="24"/>
                <w:highlight w:val="none"/>
              </w:rPr>
              <w:t>城南新街</w:t>
            </w:r>
          </w:p>
        </w:tc>
      </w:tr>
    </w:tbl>
    <w:p>
      <w:pPr>
        <w:snapToGrid w:val="0"/>
        <w:spacing w:line="360" w:lineRule="auto"/>
        <w:rPr>
          <w:color w:val="auto"/>
          <w:sz w:val="24"/>
          <w:highlight w:val="none"/>
        </w:rPr>
      </w:pPr>
    </w:p>
    <w:p>
      <w:pPr>
        <w:snapToGrid w:val="0"/>
        <w:spacing w:line="360" w:lineRule="auto"/>
        <w:jc w:val="center"/>
        <w:rPr>
          <w:color w:val="auto"/>
          <w:sz w:val="24"/>
          <w:highlight w:val="none"/>
          <w:lang w:val="zh-CN"/>
        </w:rPr>
      </w:pPr>
      <w:r>
        <w:rPr>
          <w:color w:val="auto"/>
          <w:highlight w:val="none"/>
        </w:rPr>
        <w:drawing>
          <wp:inline distT="0" distB="0" distL="0" distR="0">
            <wp:extent cx="5272405" cy="5248910"/>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2405" cy="5248910"/>
                    </a:xfrm>
                    <a:prstGeom prst="rect">
                      <a:avLst/>
                    </a:prstGeom>
                    <a:noFill/>
                    <a:ln>
                      <a:noFill/>
                    </a:ln>
                  </pic:spPr>
                </pic:pic>
              </a:graphicData>
            </a:graphic>
          </wp:inline>
        </w:drawing>
      </w:r>
    </w:p>
    <w:p>
      <w:pPr>
        <w:snapToGrid w:val="0"/>
        <w:spacing w:line="360" w:lineRule="auto"/>
        <w:jc w:val="center"/>
        <w:rPr>
          <w:color w:val="auto"/>
          <w:sz w:val="24"/>
          <w:szCs w:val="21"/>
          <w:highlight w:val="none"/>
        </w:rPr>
      </w:pPr>
      <w:r>
        <w:rPr>
          <w:rFonts w:hint="eastAsia"/>
          <w:color w:val="auto"/>
          <w:sz w:val="24"/>
          <w:szCs w:val="21"/>
          <w:highlight w:val="none"/>
        </w:rPr>
        <w:t>图</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图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42</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违法停车抓拍系统点位布局图</w:t>
      </w:r>
    </w:p>
    <w:p>
      <w:pPr>
        <w:pStyle w:val="5"/>
        <w:snapToGrid w:val="0"/>
        <w:spacing w:before="0" w:after="0" w:line="360" w:lineRule="auto"/>
        <w:ind w:left="720" w:hanging="720"/>
        <w:rPr>
          <w:color w:val="auto"/>
          <w:highlight w:val="none"/>
        </w:rPr>
      </w:pPr>
      <w:bookmarkStart w:id="87" w:name="_Toc10102492"/>
      <w:r>
        <w:rPr>
          <w:rFonts w:hint="eastAsia"/>
          <w:color w:val="auto"/>
          <w:highlight w:val="none"/>
        </w:rPr>
        <w:t>系统功能</w:t>
      </w:r>
      <w:bookmarkEnd w:id="87"/>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违法停车自动取证功能</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能够对城市道路两旁禁停区域内违停的机动车辆进行检测和抓拍取证。可以根据用户的需求设置当前区域的允许停车时间，当有车辆在区域内停车超过预设时间时，系统自动进行抓拍取证。一组取证图片默认包括两张全景图片和两张车牌特写图片（可根据需要自由配置），特写图片能够看清车牌号牌，图片可叠加时间、地点、车牌号码、违法类型等信息，一组违法图片同时关联一段违法过程录像。</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其他违法检测功能</w:t>
      </w:r>
    </w:p>
    <w:p>
      <w:pPr>
        <w:snapToGrid w:val="0"/>
        <w:spacing w:line="360" w:lineRule="auto"/>
        <w:ind w:firstLine="480" w:firstLineChars="200"/>
        <w:rPr>
          <w:color w:val="auto"/>
          <w:sz w:val="24"/>
          <w:szCs w:val="21"/>
          <w:highlight w:val="none"/>
        </w:rPr>
      </w:pPr>
      <w:r>
        <w:rPr>
          <w:rFonts w:hint="eastAsia"/>
          <w:color w:val="auto"/>
          <w:sz w:val="24"/>
          <w:szCs w:val="21"/>
          <w:highlight w:val="none"/>
        </w:rPr>
        <w:t>系统在有效检测范围内，不仅支持违法停车类型自动抓拍取证，同时还能够实现机占非、逆行、不按导车道、变道违章、闯禁令、占用公交车道、网格滞留等多种交通违法行为的自动抓拍取证，实现一机多用。违法照片除了涵盖反映交通违法行为过程的机动车全景、号码号牌等信息外，还包含能清晰辨认标线标识指示或相关标志牌、停止线能清晰的反映“标志标线、车型、车牌、时间、地点”等违法车辆的基本情况。</w:t>
      </w:r>
    </w:p>
    <w:p>
      <w:pPr>
        <w:pStyle w:val="5"/>
        <w:snapToGrid w:val="0"/>
        <w:spacing w:before="0" w:after="0" w:line="360" w:lineRule="auto"/>
        <w:ind w:left="720" w:hanging="720"/>
        <w:rPr>
          <w:color w:val="auto"/>
          <w:highlight w:val="none"/>
        </w:rPr>
      </w:pPr>
      <w:bookmarkStart w:id="88" w:name="_Toc10102493"/>
      <w:r>
        <w:rPr>
          <w:rFonts w:hint="eastAsia"/>
          <w:color w:val="auto"/>
          <w:highlight w:val="none"/>
        </w:rPr>
        <w:t>主要设备参数性能</w:t>
      </w:r>
      <w:bookmarkEnd w:id="88"/>
    </w:p>
    <w:p>
      <w:pPr>
        <w:pStyle w:val="6"/>
        <w:keepLines w:val="0"/>
        <w:adjustRightInd w:val="0"/>
        <w:snapToGrid w:val="0"/>
        <w:spacing w:before="0" w:after="0" w:line="360" w:lineRule="auto"/>
        <w:ind w:left="864" w:hanging="864"/>
        <w:jc w:val="left"/>
        <w:rPr>
          <w:color w:val="auto"/>
          <w:highlight w:val="none"/>
        </w:rPr>
      </w:pPr>
      <w:bookmarkStart w:id="89" w:name="_Toc536016093"/>
      <w:bookmarkStart w:id="90" w:name="_Toc518401704"/>
      <w:r>
        <w:rPr>
          <w:rFonts w:hint="eastAsia"/>
          <w:color w:val="auto"/>
          <w:highlight w:val="none"/>
        </w:rPr>
        <w:t>800万违停抓拍球机</w:t>
      </w:r>
      <w:bookmarkEnd w:id="89"/>
      <w:bookmarkEnd w:id="90"/>
    </w:p>
    <w:p>
      <w:pPr>
        <w:numPr>
          <w:ilvl w:val="0"/>
          <w:numId w:val="22"/>
        </w:numPr>
        <w:snapToGrid w:val="0"/>
        <w:spacing w:line="360" w:lineRule="auto"/>
        <w:rPr>
          <w:color w:val="auto"/>
          <w:sz w:val="24"/>
          <w:highlight w:val="none"/>
        </w:rPr>
      </w:pPr>
      <w:r>
        <w:rPr>
          <w:rFonts w:hint="eastAsia"/>
          <w:color w:val="auto"/>
          <w:sz w:val="24"/>
          <w:highlight w:val="none"/>
        </w:rPr>
        <w:t>球机采用</w:t>
      </w:r>
      <w:r>
        <w:rPr>
          <w:color w:val="auto"/>
          <w:sz w:val="24"/>
          <w:highlight w:val="none"/>
        </w:rPr>
        <w:t>800万像素，摄像机靶面尺寸1/1.7英寸；</w:t>
      </w:r>
    </w:p>
    <w:p>
      <w:pPr>
        <w:numPr>
          <w:ilvl w:val="0"/>
          <w:numId w:val="22"/>
        </w:numPr>
        <w:snapToGrid w:val="0"/>
        <w:spacing w:line="360" w:lineRule="auto"/>
        <w:rPr>
          <w:color w:val="auto"/>
          <w:sz w:val="24"/>
          <w:highlight w:val="none"/>
        </w:rPr>
      </w:pPr>
      <w:r>
        <w:rPr>
          <w:rFonts w:hint="eastAsia"/>
          <w:color w:val="auto"/>
          <w:sz w:val="24"/>
          <w:highlight w:val="none"/>
        </w:rPr>
        <w:t>支持</w:t>
      </w:r>
      <w:r>
        <w:rPr>
          <w:color w:val="auto"/>
          <w:sz w:val="24"/>
          <w:highlight w:val="none"/>
        </w:rPr>
        <w:t>37倍光学变倍，16倍数字变倍；</w:t>
      </w:r>
    </w:p>
    <w:p>
      <w:pPr>
        <w:numPr>
          <w:ilvl w:val="0"/>
          <w:numId w:val="22"/>
        </w:numPr>
        <w:snapToGrid w:val="0"/>
        <w:spacing w:line="360" w:lineRule="auto"/>
        <w:rPr>
          <w:color w:val="auto"/>
          <w:sz w:val="24"/>
          <w:highlight w:val="none"/>
        </w:rPr>
      </w:pPr>
      <w:r>
        <w:rPr>
          <w:rFonts w:hint="eastAsia"/>
          <w:color w:val="auto"/>
          <w:sz w:val="24"/>
          <w:highlight w:val="none"/>
        </w:rPr>
        <w:t>内置</w:t>
      </w:r>
      <w:r>
        <w:rPr>
          <w:color w:val="auto"/>
          <w:sz w:val="24"/>
          <w:highlight w:val="none"/>
        </w:rPr>
        <w:t>变焦镜头；</w:t>
      </w:r>
    </w:p>
    <w:p>
      <w:pPr>
        <w:numPr>
          <w:ilvl w:val="0"/>
          <w:numId w:val="22"/>
        </w:numPr>
        <w:snapToGrid w:val="0"/>
        <w:spacing w:line="360" w:lineRule="auto"/>
        <w:rPr>
          <w:color w:val="auto"/>
          <w:sz w:val="24"/>
          <w:highlight w:val="none"/>
        </w:rPr>
      </w:pPr>
      <w:r>
        <w:rPr>
          <w:rFonts w:hint="eastAsia"/>
          <w:color w:val="auto"/>
          <w:sz w:val="24"/>
          <w:highlight w:val="none"/>
        </w:rPr>
        <w:t>电源具备较好的环境适应性，电源电压在</w:t>
      </w:r>
      <w:r>
        <w:rPr>
          <w:color w:val="auto"/>
          <w:sz w:val="24"/>
          <w:highlight w:val="none"/>
        </w:rPr>
        <w:t>AC24V±44%范围内变化时，设备应能正常工作</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垂直角度范围</w:t>
      </w:r>
      <w:r>
        <w:rPr>
          <w:color w:val="auto"/>
          <w:sz w:val="24"/>
          <w:highlight w:val="none"/>
        </w:rPr>
        <w:t>-50°~90°</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分辨率设置为</w:t>
      </w:r>
      <w:r>
        <w:rPr>
          <w:color w:val="auto"/>
          <w:sz w:val="24"/>
          <w:highlight w:val="none"/>
        </w:rPr>
        <w:t>4096×2160，帧率设置为25帧、码率设置为8Mbps，分辨力不小于1950TVL</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支持最低可用照度彩色</w:t>
      </w:r>
      <w:r>
        <w:rPr>
          <w:color w:val="auto"/>
          <w:sz w:val="24"/>
          <w:highlight w:val="none"/>
        </w:rPr>
        <w:t>0.004Lux，黑白0.0001Lux</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球机支持手动或自动启动雨刷功能；</w:t>
      </w:r>
    </w:p>
    <w:p>
      <w:pPr>
        <w:numPr>
          <w:ilvl w:val="0"/>
          <w:numId w:val="22"/>
        </w:numPr>
        <w:snapToGrid w:val="0"/>
        <w:spacing w:line="360" w:lineRule="auto"/>
        <w:rPr>
          <w:color w:val="auto"/>
          <w:sz w:val="24"/>
          <w:highlight w:val="none"/>
        </w:rPr>
      </w:pPr>
      <w:r>
        <w:rPr>
          <w:rFonts w:hint="eastAsia"/>
          <w:color w:val="auto"/>
          <w:sz w:val="24"/>
          <w:highlight w:val="none"/>
        </w:rPr>
        <w:t>支持图形化显示功能，即支持样机在实时码流上图形化显示当前设备所在位置的可视角度和距离</w:t>
      </w:r>
      <w:r>
        <w:rPr>
          <w:color w:val="auto"/>
          <w:sz w:val="24"/>
          <w:highlight w:val="none"/>
        </w:rPr>
        <w:t>，角度和距离数值会随镜头倍数实时变化</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可将码率设置为</w:t>
      </w:r>
      <w:r>
        <w:rPr>
          <w:color w:val="auto"/>
          <w:sz w:val="24"/>
          <w:highlight w:val="none"/>
        </w:rPr>
        <w:t>4Kbps~96Mbps</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支持定时抓拍、报警抓拍上传</w:t>
      </w:r>
      <w:r>
        <w:rPr>
          <w:color w:val="auto"/>
          <w:sz w:val="24"/>
          <w:highlight w:val="none"/>
        </w:rPr>
        <w:t>FTP设置选项，抓图的数量和时间间隔可设</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抓拍图片最大分辨力为</w:t>
      </w:r>
      <w:r>
        <w:rPr>
          <w:color w:val="auto"/>
          <w:sz w:val="24"/>
          <w:highlight w:val="none"/>
        </w:rPr>
        <w:t>4096x2160</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支持道路信息设置，最大设置</w:t>
      </w:r>
      <w:r>
        <w:rPr>
          <w:color w:val="auto"/>
          <w:sz w:val="24"/>
          <w:highlight w:val="none"/>
        </w:rPr>
        <w:t>24个道路号及道路信息名称，并可随球机转动变化显示</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支持道路拥堵检测，当监控区域内的车辆占道限值超过预定的阈值时可给出相关提示并抓拍图片；</w:t>
      </w:r>
    </w:p>
    <w:p>
      <w:pPr>
        <w:numPr>
          <w:ilvl w:val="0"/>
          <w:numId w:val="22"/>
        </w:numPr>
        <w:snapToGrid w:val="0"/>
        <w:spacing w:line="360" w:lineRule="auto"/>
        <w:rPr>
          <w:color w:val="auto"/>
          <w:sz w:val="24"/>
          <w:highlight w:val="none"/>
        </w:rPr>
      </w:pPr>
      <w:r>
        <w:rPr>
          <w:rFonts w:hint="eastAsia"/>
          <w:color w:val="auto"/>
          <w:sz w:val="24"/>
          <w:highlight w:val="none"/>
        </w:rPr>
        <w:t>支持设置违法停车检测时间为</w:t>
      </w:r>
      <w:r>
        <w:rPr>
          <w:color w:val="auto"/>
          <w:sz w:val="24"/>
          <w:highlight w:val="none"/>
        </w:rPr>
        <w:t>1s—180s</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支持设置违法停车抓拍间隔为</w:t>
      </w:r>
      <w:r>
        <w:rPr>
          <w:color w:val="auto"/>
          <w:sz w:val="24"/>
          <w:highlight w:val="none"/>
        </w:rPr>
        <w:t>0-1440分钟</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支持违法取证照片单张或多张合成上传</w:t>
      </w:r>
    </w:p>
    <w:p>
      <w:pPr>
        <w:numPr>
          <w:ilvl w:val="0"/>
          <w:numId w:val="22"/>
        </w:numPr>
        <w:snapToGrid w:val="0"/>
        <w:spacing w:line="360" w:lineRule="auto"/>
        <w:rPr>
          <w:color w:val="auto"/>
          <w:sz w:val="24"/>
          <w:highlight w:val="none"/>
        </w:rPr>
      </w:pPr>
      <w:r>
        <w:rPr>
          <w:rFonts w:hint="eastAsia"/>
          <w:color w:val="auto"/>
          <w:sz w:val="24"/>
          <w:highlight w:val="none"/>
        </w:rPr>
        <w:t>支持图片字符叠加功能，可在图片上叠加字符，字符可选项包括时间、地点、车牌号码、车牌颜色、车标、车系、车辆类型、车身颜色、违章类型、违章代码、设备编号、防伪码、违停时长及按自定义设置；</w:t>
      </w:r>
    </w:p>
    <w:p>
      <w:pPr>
        <w:numPr>
          <w:ilvl w:val="0"/>
          <w:numId w:val="22"/>
        </w:numPr>
        <w:snapToGrid w:val="0"/>
        <w:spacing w:line="360" w:lineRule="auto"/>
        <w:rPr>
          <w:color w:val="auto"/>
          <w:sz w:val="24"/>
          <w:highlight w:val="none"/>
        </w:rPr>
      </w:pPr>
      <w:r>
        <w:rPr>
          <w:rFonts w:hint="eastAsia"/>
          <w:color w:val="auto"/>
          <w:sz w:val="24"/>
          <w:highlight w:val="none"/>
        </w:rPr>
        <w:t>支持</w:t>
      </w:r>
      <w:r>
        <w:rPr>
          <w:color w:val="auto"/>
          <w:sz w:val="24"/>
          <w:highlight w:val="none"/>
        </w:rPr>
        <w:t>IP67</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具备较好的环境适应性，工作温度范围可达</w:t>
      </w:r>
      <w:r>
        <w:rPr>
          <w:color w:val="auto"/>
          <w:sz w:val="24"/>
          <w:highlight w:val="none"/>
        </w:rPr>
        <w:t>-40℃-70℃</w:t>
      </w:r>
      <w:r>
        <w:rPr>
          <w:rFonts w:hint="eastAsia"/>
          <w:color w:val="auto"/>
          <w:sz w:val="24"/>
          <w:highlight w:val="none"/>
        </w:rPr>
        <w:t>。</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抱杆机箱</w:t>
      </w:r>
    </w:p>
    <w:p>
      <w:pPr>
        <w:numPr>
          <w:ilvl w:val="0"/>
          <w:numId w:val="22"/>
        </w:numPr>
        <w:snapToGrid w:val="0"/>
        <w:spacing w:line="360" w:lineRule="auto"/>
        <w:rPr>
          <w:color w:val="auto"/>
          <w:sz w:val="24"/>
          <w:highlight w:val="none"/>
        </w:rPr>
      </w:pPr>
      <w:bookmarkStart w:id="91" w:name="_Toc536016089"/>
      <w:r>
        <w:rPr>
          <w:rFonts w:hint="eastAsia"/>
          <w:color w:val="auto"/>
          <w:sz w:val="24"/>
          <w:highlight w:val="none"/>
        </w:rPr>
        <w:t>箱体喷塑，采用优质冷轧板，板材厚度不小于1.2mm，含电源空开模块、电源防雷器及接线端子。</w:t>
      </w:r>
    </w:p>
    <w:p>
      <w:pPr>
        <w:numPr>
          <w:ilvl w:val="0"/>
          <w:numId w:val="22"/>
        </w:numPr>
        <w:snapToGrid w:val="0"/>
        <w:spacing w:line="360" w:lineRule="auto"/>
        <w:rPr>
          <w:color w:val="auto"/>
          <w:sz w:val="24"/>
          <w:highlight w:val="none"/>
        </w:rPr>
      </w:pPr>
      <w:r>
        <w:rPr>
          <w:rFonts w:hint="eastAsia"/>
          <w:color w:val="auto"/>
          <w:sz w:val="24"/>
          <w:highlight w:val="none"/>
        </w:rPr>
        <w:t>后背带固定支架，抱杆安装。内部容积满足光纤收发器等设备放置需要。</w:t>
      </w:r>
    </w:p>
    <w:bookmarkEnd w:id="91"/>
    <w:p>
      <w:pPr>
        <w:pStyle w:val="6"/>
        <w:keepLines w:val="0"/>
        <w:adjustRightInd w:val="0"/>
        <w:snapToGrid w:val="0"/>
        <w:spacing w:before="0" w:after="0" w:line="360" w:lineRule="auto"/>
        <w:ind w:left="864" w:hanging="864"/>
        <w:jc w:val="left"/>
        <w:rPr>
          <w:color w:val="auto"/>
          <w:highlight w:val="none"/>
        </w:rPr>
      </w:pPr>
      <w:bookmarkStart w:id="92" w:name="_Toc536016098"/>
      <w:r>
        <w:rPr>
          <w:color w:val="auto"/>
          <w:highlight w:val="none"/>
        </w:rPr>
        <w:t>1</w:t>
      </w:r>
      <w:r>
        <w:rPr>
          <w:rFonts w:hint="eastAsia"/>
          <w:color w:val="auto"/>
          <w:highlight w:val="none"/>
        </w:rPr>
        <w:t>光4电光纤收发器</w:t>
      </w:r>
      <w:bookmarkEnd w:id="92"/>
    </w:p>
    <w:p>
      <w:pPr>
        <w:numPr>
          <w:ilvl w:val="0"/>
          <w:numId w:val="22"/>
        </w:numPr>
        <w:snapToGrid w:val="0"/>
        <w:spacing w:line="360" w:lineRule="auto"/>
        <w:rPr>
          <w:color w:val="auto"/>
          <w:sz w:val="24"/>
          <w:highlight w:val="none"/>
        </w:rPr>
      </w:pPr>
      <w:r>
        <w:rPr>
          <w:rFonts w:hint="eastAsia"/>
          <w:color w:val="auto"/>
          <w:sz w:val="24"/>
          <w:highlight w:val="none"/>
        </w:rPr>
        <w:t>工业级设备；</w:t>
      </w:r>
    </w:p>
    <w:p>
      <w:pPr>
        <w:numPr>
          <w:ilvl w:val="0"/>
          <w:numId w:val="22"/>
        </w:numPr>
        <w:snapToGrid w:val="0"/>
        <w:spacing w:line="360" w:lineRule="auto"/>
        <w:rPr>
          <w:color w:val="auto"/>
          <w:sz w:val="24"/>
          <w:highlight w:val="none"/>
        </w:rPr>
      </w:pPr>
      <w:r>
        <w:rPr>
          <w:rFonts w:hint="eastAsia"/>
          <w:color w:val="auto"/>
          <w:sz w:val="24"/>
          <w:highlight w:val="none"/>
        </w:rPr>
        <w:t>光口：1个千兆光口，距离20公里，单模单纤；</w:t>
      </w:r>
    </w:p>
    <w:p>
      <w:pPr>
        <w:numPr>
          <w:ilvl w:val="0"/>
          <w:numId w:val="22"/>
        </w:numPr>
        <w:snapToGrid w:val="0"/>
        <w:spacing w:line="360" w:lineRule="auto"/>
        <w:rPr>
          <w:color w:val="auto"/>
          <w:sz w:val="24"/>
          <w:highlight w:val="none"/>
        </w:rPr>
      </w:pPr>
      <w:r>
        <w:rPr>
          <w:rFonts w:hint="eastAsia"/>
          <w:color w:val="auto"/>
          <w:sz w:val="24"/>
          <w:highlight w:val="none"/>
        </w:rPr>
        <w:t>电口：</w:t>
      </w:r>
      <w:r>
        <w:rPr>
          <w:color w:val="auto"/>
          <w:sz w:val="24"/>
          <w:highlight w:val="none"/>
        </w:rPr>
        <w:t>4</w:t>
      </w:r>
      <w:r>
        <w:rPr>
          <w:rFonts w:hint="eastAsia"/>
          <w:color w:val="auto"/>
          <w:sz w:val="24"/>
          <w:highlight w:val="none"/>
        </w:rPr>
        <w:t>个百兆网口；</w:t>
      </w:r>
    </w:p>
    <w:p>
      <w:pPr>
        <w:numPr>
          <w:ilvl w:val="0"/>
          <w:numId w:val="22"/>
        </w:numPr>
        <w:snapToGrid w:val="0"/>
        <w:spacing w:line="360" w:lineRule="auto"/>
        <w:rPr>
          <w:color w:val="auto"/>
          <w:sz w:val="24"/>
          <w:highlight w:val="none"/>
        </w:rPr>
        <w:sectPr>
          <w:pgSz w:w="11906" w:h="16838"/>
          <w:pgMar w:top="1440" w:right="1800" w:bottom="1440" w:left="1800" w:header="851" w:footer="992" w:gutter="0"/>
          <w:cols w:space="720" w:num="1"/>
          <w:docGrid w:type="lines" w:linePitch="312" w:charSpace="0"/>
        </w:sectPr>
      </w:pPr>
      <w:r>
        <w:rPr>
          <w:rFonts w:hint="eastAsia"/>
          <w:color w:val="auto"/>
          <w:sz w:val="24"/>
          <w:highlight w:val="none"/>
        </w:rPr>
        <w:t>安装方式：导轨。</w:t>
      </w:r>
    </w:p>
    <w:p>
      <w:pPr>
        <w:pStyle w:val="4"/>
        <w:snapToGrid w:val="0"/>
        <w:spacing w:before="0" w:after="0" w:line="360" w:lineRule="auto"/>
        <w:ind w:left="576" w:hanging="576"/>
        <w:rPr>
          <w:color w:val="auto"/>
          <w:highlight w:val="none"/>
        </w:rPr>
      </w:pPr>
      <w:bookmarkStart w:id="93" w:name="_Toc536016065"/>
      <w:bookmarkStart w:id="94" w:name="_Toc10102494"/>
      <w:r>
        <w:rPr>
          <w:rFonts w:hint="eastAsia"/>
          <w:color w:val="auto"/>
          <w:highlight w:val="none"/>
        </w:rPr>
        <w:t>土建与配套工程</w:t>
      </w:r>
      <w:bookmarkEnd w:id="93"/>
      <w:bookmarkEnd w:id="94"/>
    </w:p>
    <w:p>
      <w:pPr>
        <w:spacing w:after="156" w:afterLines="50" w:line="360" w:lineRule="auto"/>
        <w:ind w:firstLine="480" w:firstLineChars="200"/>
        <w:rPr>
          <w:color w:val="auto"/>
          <w:sz w:val="24"/>
          <w:szCs w:val="21"/>
          <w:highlight w:val="none"/>
        </w:rPr>
      </w:pPr>
      <w:r>
        <w:rPr>
          <w:rFonts w:hint="eastAsia"/>
          <w:color w:val="auto"/>
          <w:sz w:val="24"/>
          <w:szCs w:val="21"/>
          <w:highlight w:val="none"/>
        </w:rPr>
        <w:t>前端设备土建配套设施施工要求应符合GA/T652标准的要求。</w:t>
      </w:r>
    </w:p>
    <w:p>
      <w:pPr>
        <w:pStyle w:val="5"/>
        <w:snapToGrid w:val="0"/>
        <w:spacing w:before="0" w:after="0" w:line="360" w:lineRule="auto"/>
        <w:ind w:left="720" w:hanging="720"/>
        <w:rPr>
          <w:color w:val="auto"/>
          <w:highlight w:val="none"/>
        </w:rPr>
      </w:pPr>
      <w:bookmarkStart w:id="95" w:name="_Toc531874407"/>
      <w:bookmarkStart w:id="96" w:name="_Toc10102495"/>
      <w:bookmarkStart w:id="97" w:name="_Toc536016066"/>
      <w:r>
        <w:rPr>
          <w:rFonts w:hint="eastAsia"/>
          <w:color w:val="auto"/>
          <w:highlight w:val="none"/>
        </w:rPr>
        <w:t>杆件建设要求</w:t>
      </w:r>
      <w:bookmarkEnd w:id="95"/>
      <w:bookmarkEnd w:id="96"/>
      <w:bookmarkEnd w:id="97"/>
    </w:p>
    <w:p>
      <w:pPr>
        <w:numPr>
          <w:ilvl w:val="0"/>
          <w:numId w:val="22"/>
        </w:numPr>
        <w:snapToGrid w:val="0"/>
        <w:spacing w:line="360" w:lineRule="auto"/>
        <w:rPr>
          <w:color w:val="auto"/>
          <w:sz w:val="24"/>
          <w:highlight w:val="none"/>
        </w:rPr>
      </w:pPr>
      <w:r>
        <w:rPr>
          <w:rFonts w:hint="eastAsia"/>
          <w:color w:val="auto"/>
          <w:sz w:val="24"/>
          <w:highlight w:val="none"/>
        </w:rPr>
        <w:t>杆件的立杆高度不得低于6.5米，≥</w:t>
      </w:r>
      <w:r>
        <w:rPr>
          <w:color w:val="auto"/>
          <w:sz w:val="24"/>
          <w:highlight w:val="none"/>
        </w:rPr>
        <w:t>9</w:t>
      </w:r>
      <w:r>
        <w:rPr>
          <w:rFonts w:hint="eastAsia"/>
          <w:color w:val="auto"/>
          <w:sz w:val="24"/>
          <w:highlight w:val="none"/>
        </w:rPr>
        <w:t>00万像素覆盖三车道电子警察立杆位置在停止线前20~25米处。杆件安装点位施工单位可根据实际情况对安装位置进行局部微调。</w:t>
      </w:r>
    </w:p>
    <w:p>
      <w:pPr>
        <w:snapToGrid w:val="0"/>
        <w:spacing w:line="360" w:lineRule="auto"/>
        <w:jc w:val="center"/>
        <w:rPr>
          <w:color w:val="auto"/>
          <w:sz w:val="24"/>
          <w:szCs w:val="21"/>
          <w:highlight w:val="none"/>
        </w:rPr>
      </w:pPr>
      <w:r>
        <w:rPr>
          <w:rFonts w:hint="eastAsia"/>
          <w:color w:val="auto"/>
          <w:sz w:val="24"/>
          <w:szCs w:val="21"/>
          <w:highlight w:val="none"/>
        </w:rPr>
        <w:t>表</w:t>
      </w:r>
      <w:r>
        <w:rPr>
          <w:color w:val="auto"/>
          <w:sz w:val="24"/>
          <w:szCs w:val="21"/>
          <w:highlight w:val="none"/>
        </w:rPr>
        <w:fldChar w:fldCharType="begin"/>
      </w:r>
      <w:r>
        <w:rPr>
          <w:color w:val="auto"/>
          <w:sz w:val="24"/>
          <w:szCs w:val="21"/>
          <w:highlight w:val="none"/>
        </w:rPr>
        <w:instrText xml:space="preserve"> </w:instrText>
      </w:r>
      <w:r>
        <w:rPr>
          <w:rFonts w:hint="eastAsia"/>
          <w:color w:val="auto"/>
          <w:sz w:val="24"/>
          <w:szCs w:val="21"/>
          <w:highlight w:val="none"/>
        </w:rPr>
        <w:instrText xml:space="preserve">SEQ 表 \* ARABIC</w:instrText>
      </w:r>
      <w:r>
        <w:rPr>
          <w:color w:val="auto"/>
          <w:sz w:val="24"/>
          <w:szCs w:val="21"/>
          <w:highlight w:val="none"/>
        </w:rPr>
        <w:instrText xml:space="preserve"> </w:instrText>
      </w:r>
      <w:r>
        <w:rPr>
          <w:color w:val="auto"/>
          <w:sz w:val="24"/>
          <w:szCs w:val="21"/>
          <w:highlight w:val="none"/>
        </w:rPr>
        <w:fldChar w:fldCharType="separate"/>
      </w:r>
      <w:r>
        <w:rPr>
          <w:color w:val="auto"/>
          <w:sz w:val="24"/>
          <w:szCs w:val="21"/>
          <w:highlight w:val="none"/>
        </w:rPr>
        <w:t>4</w:t>
      </w:r>
      <w:r>
        <w:rPr>
          <w:color w:val="auto"/>
          <w:sz w:val="24"/>
          <w:szCs w:val="21"/>
          <w:highlight w:val="none"/>
        </w:rPr>
        <w:fldChar w:fldCharType="end"/>
      </w:r>
      <w:r>
        <w:rPr>
          <w:color w:val="auto"/>
          <w:sz w:val="24"/>
          <w:szCs w:val="21"/>
          <w:highlight w:val="none"/>
        </w:rPr>
        <w:t xml:space="preserve"> </w:t>
      </w:r>
      <w:r>
        <w:rPr>
          <w:rFonts w:hint="eastAsia"/>
          <w:color w:val="auto"/>
          <w:sz w:val="24"/>
          <w:szCs w:val="21"/>
          <w:highlight w:val="none"/>
        </w:rPr>
        <w:t>杆件技术参数表</w:t>
      </w:r>
    </w:p>
    <w:tbl>
      <w:tblPr>
        <w:tblStyle w:val="20"/>
        <w:tblW w:w="13948" w:type="dxa"/>
        <w:jc w:val="center"/>
        <w:tblInd w:w="0" w:type="dxa"/>
        <w:tblLayout w:type="fixed"/>
        <w:tblCellMar>
          <w:top w:w="0" w:type="dxa"/>
          <w:left w:w="108" w:type="dxa"/>
          <w:bottom w:w="0" w:type="dxa"/>
          <w:right w:w="108" w:type="dxa"/>
        </w:tblCellMar>
      </w:tblPr>
      <w:tblGrid>
        <w:gridCol w:w="501"/>
        <w:gridCol w:w="2239"/>
        <w:gridCol w:w="787"/>
        <w:gridCol w:w="1073"/>
        <w:gridCol w:w="1073"/>
        <w:gridCol w:w="1357"/>
        <w:gridCol w:w="1281"/>
        <w:gridCol w:w="787"/>
        <w:gridCol w:w="1073"/>
        <w:gridCol w:w="1357"/>
        <w:gridCol w:w="1210"/>
        <w:gridCol w:w="1210"/>
      </w:tblGrid>
      <w:tr>
        <w:tblPrEx>
          <w:tblLayout w:type="fixed"/>
          <w:tblCellMar>
            <w:top w:w="0" w:type="dxa"/>
            <w:left w:w="108" w:type="dxa"/>
            <w:bottom w:w="0" w:type="dxa"/>
            <w:right w:w="108" w:type="dxa"/>
          </w:tblCellMar>
        </w:tblPrEx>
        <w:trPr>
          <w:trHeight w:val="20" w:hRule="atLeas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杆件规格</w:t>
            </w:r>
          </w:p>
        </w:tc>
        <w:tc>
          <w:tcPr>
            <w:tcW w:w="4290" w:type="dxa"/>
            <w:gridSpan w:val="4"/>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立杆参数</w:t>
            </w:r>
          </w:p>
        </w:tc>
        <w:tc>
          <w:tcPr>
            <w:tcW w:w="1281" w:type="dxa"/>
            <w:tcBorders>
              <w:top w:val="single" w:color="auto" w:sz="4" w:space="0"/>
              <w:left w:val="nil"/>
              <w:bottom w:val="single" w:color="auto" w:sz="4" w:space="0"/>
              <w:right w:val="nil"/>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横杆长度</w:t>
            </w:r>
          </w:p>
        </w:tc>
        <w:tc>
          <w:tcPr>
            <w:tcW w:w="3217" w:type="dxa"/>
            <w:gridSpan w:val="3"/>
            <w:tcBorders>
              <w:top w:val="single" w:color="auto" w:sz="4" w:space="0"/>
              <w:left w:val="single" w:color="auto" w:sz="4" w:space="0"/>
              <w:bottom w:val="nil"/>
              <w:right w:val="single" w:color="000000"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横杆参数</w:t>
            </w:r>
          </w:p>
        </w:tc>
        <w:tc>
          <w:tcPr>
            <w:tcW w:w="121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预埋件规格</w:t>
            </w:r>
          </w:p>
        </w:tc>
        <w:tc>
          <w:tcPr>
            <w:tcW w:w="121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基础开挖尺寸</w:t>
            </w:r>
          </w:p>
        </w:tc>
      </w:tr>
      <w:tr>
        <w:tblPrEx>
          <w:tblLayout w:type="fixed"/>
          <w:tblCellMar>
            <w:top w:w="0" w:type="dxa"/>
            <w:left w:w="108" w:type="dxa"/>
            <w:bottom w:w="0" w:type="dxa"/>
            <w:right w:w="108" w:type="dxa"/>
          </w:tblCellMar>
        </w:tblPrEx>
        <w:trPr>
          <w:trHeight w:val="354" w:hRule="atLeast"/>
          <w:jc w:val="center"/>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2239"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78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壁厚(mm)</w:t>
            </w:r>
          </w:p>
        </w:tc>
        <w:tc>
          <w:tcPr>
            <w:tcW w:w="107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顶部内径(mm)</w:t>
            </w:r>
          </w:p>
        </w:tc>
        <w:tc>
          <w:tcPr>
            <w:tcW w:w="107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底部内径(mm)</w:t>
            </w:r>
          </w:p>
        </w:tc>
        <w:tc>
          <w:tcPr>
            <w:tcW w:w="1357"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法兰盘厚度（mm）</w:t>
            </w:r>
          </w:p>
        </w:tc>
        <w:tc>
          <w:tcPr>
            <w:tcW w:w="1281"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L(mm)</w:t>
            </w:r>
          </w:p>
        </w:tc>
        <w:tc>
          <w:tcPr>
            <w:tcW w:w="78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壁厚(mm)</w:t>
            </w:r>
          </w:p>
        </w:tc>
        <w:tc>
          <w:tcPr>
            <w:tcW w:w="1073"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根部直径(mm)</w:t>
            </w:r>
          </w:p>
        </w:tc>
        <w:tc>
          <w:tcPr>
            <w:tcW w:w="1357"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spacing w:line="312"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法兰盘厚度（mm）</w:t>
            </w:r>
          </w:p>
        </w:tc>
        <w:tc>
          <w:tcPr>
            <w:tcW w:w="1210"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210"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r>
      <w:tr>
        <w:tblPrEx>
          <w:tblLayout w:type="fixed"/>
          <w:tblCellMar>
            <w:top w:w="0" w:type="dxa"/>
            <w:left w:w="108" w:type="dxa"/>
            <w:bottom w:w="0" w:type="dxa"/>
            <w:right w:w="108" w:type="dxa"/>
          </w:tblCellMar>
        </w:tblPrEx>
        <w:trPr>
          <w:trHeight w:val="354" w:hRule="atLeast"/>
          <w:jc w:val="center"/>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2239"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787" w:type="dxa"/>
            <w:vMerge w:val="continue"/>
            <w:tcBorders>
              <w:top w:val="nil"/>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073" w:type="dxa"/>
            <w:vMerge w:val="continue"/>
            <w:tcBorders>
              <w:top w:val="nil"/>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073" w:type="dxa"/>
            <w:vMerge w:val="continue"/>
            <w:tcBorders>
              <w:top w:val="nil"/>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357" w:type="dxa"/>
            <w:vMerge w:val="continue"/>
            <w:tcBorders>
              <w:top w:val="nil"/>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281" w:type="dxa"/>
            <w:vMerge w:val="continue"/>
            <w:tcBorders>
              <w:top w:val="nil"/>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787"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073"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357"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210"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c>
          <w:tcPr>
            <w:tcW w:w="1210"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spacing w:line="312" w:lineRule="auto"/>
              <w:jc w:val="left"/>
              <w:rPr>
                <w:rFonts w:ascii="宋体" w:hAnsi="宋体" w:cs="宋体"/>
                <w:b/>
                <w:bCs/>
                <w:color w:val="auto"/>
                <w:kern w:val="0"/>
                <w:szCs w:val="21"/>
                <w:highlight w:val="none"/>
              </w:rPr>
            </w:pP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239"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3-6m八角杆</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230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3000≤L≤5000</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八头φ350-1</w:t>
            </w:r>
            <w:r>
              <w:rPr>
                <w:rFonts w:ascii="宋体" w:hAnsi="宋体" w:cs="宋体"/>
                <w:color w:val="auto"/>
                <w:kern w:val="0"/>
                <w:szCs w:val="21"/>
                <w:highlight w:val="none"/>
              </w:rPr>
              <w:t>28</w:t>
            </w:r>
            <w:r>
              <w:rPr>
                <w:rFonts w:hint="eastAsia" w:ascii="宋体" w:hAnsi="宋体" w:cs="宋体"/>
                <w:color w:val="auto"/>
                <w:kern w:val="0"/>
                <w:szCs w:val="21"/>
                <w:highlight w:val="none"/>
              </w:rPr>
              <w:t>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1400*1400*1800</w:t>
            </w: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239"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6-9m八角杆</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300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350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6000≤L≤9000</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240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八头φ450-1700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1600*1600*2100</w:t>
            </w: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239"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6-9m八角杆（杆上设置条形屏）</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17</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377</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377</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6000≤L≤9000</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10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280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八头φ4</w:t>
            </w:r>
            <w:r>
              <w:rPr>
                <w:rFonts w:ascii="宋体" w:hAnsi="宋体" w:cs="宋体"/>
                <w:color w:val="auto"/>
                <w:kern w:val="0"/>
                <w:szCs w:val="21"/>
                <w:highlight w:val="none"/>
              </w:rPr>
              <w:t>67</w:t>
            </w:r>
            <w:r>
              <w:rPr>
                <w:rFonts w:hint="eastAsia" w:ascii="宋体" w:hAnsi="宋体" w:cs="宋体"/>
                <w:color w:val="auto"/>
                <w:kern w:val="0"/>
                <w:szCs w:val="21"/>
                <w:highlight w:val="none"/>
              </w:rPr>
              <w:t>-2000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25</w:t>
            </w:r>
            <w:r>
              <w:rPr>
                <w:rFonts w:hint="eastAsia" w:ascii="宋体" w:hAnsi="宋体" w:cs="宋体"/>
                <w:color w:val="auto"/>
                <w:kern w:val="0"/>
                <w:szCs w:val="21"/>
                <w:highlight w:val="none"/>
              </w:rPr>
              <w:t>00*</w:t>
            </w:r>
            <w:r>
              <w:rPr>
                <w:rFonts w:ascii="宋体" w:hAnsi="宋体" w:cs="宋体"/>
                <w:color w:val="auto"/>
                <w:kern w:val="0"/>
                <w:szCs w:val="21"/>
                <w:highlight w:val="none"/>
              </w:rPr>
              <w:t>25</w:t>
            </w:r>
            <w:r>
              <w:rPr>
                <w:rFonts w:hint="eastAsia" w:ascii="宋体" w:hAnsi="宋体" w:cs="宋体"/>
                <w:color w:val="auto"/>
                <w:kern w:val="0"/>
                <w:szCs w:val="21"/>
                <w:highlight w:val="none"/>
              </w:rPr>
              <w:t>00*2300</w:t>
            </w: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4</w:t>
            </w:r>
          </w:p>
        </w:tc>
        <w:tc>
          <w:tcPr>
            <w:tcW w:w="2239"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10-1</w:t>
            </w:r>
            <w:r>
              <w:rPr>
                <w:rFonts w:ascii="宋体" w:hAnsi="宋体" w:cs="宋体"/>
                <w:color w:val="auto"/>
                <w:kern w:val="0"/>
                <w:szCs w:val="21"/>
                <w:highlight w:val="none"/>
              </w:rPr>
              <w:t>1</w:t>
            </w:r>
            <w:r>
              <w:rPr>
                <w:rFonts w:hint="eastAsia" w:ascii="宋体" w:hAnsi="宋体" w:cs="宋体"/>
                <w:color w:val="auto"/>
                <w:kern w:val="0"/>
                <w:szCs w:val="21"/>
                <w:highlight w:val="none"/>
              </w:rPr>
              <w:t>m八角杆</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310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360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10000≤L≤1</w:t>
            </w:r>
            <w:r>
              <w:rPr>
                <w:rFonts w:ascii="宋体" w:hAnsi="宋体" w:cs="宋体"/>
                <w:color w:val="auto"/>
                <w:kern w:val="0"/>
                <w:szCs w:val="21"/>
                <w:highlight w:val="none"/>
              </w:rPr>
              <w:t>1</w:t>
            </w:r>
            <w:r>
              <w:rPr>
                <w:rFonts w:hint="eastAsia" w:ascii="宋体" w:hAnsi="宋体" w:cs="宋体"/>
                <w:color w:val="auto"/>
                <w:kern w:val="0"/>
                <w:szCs w:val="21"/>
                <w:highlight w:val="none"/>
              </w:rPr>
              <w:t>000</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250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八头φ450-2000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1800*1800*2300</w:t>
            </w: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5</w:t>
            </w:r>
          </w:p>
        </w:tc>
        <w:tc>
          <w:tcPr>
            <w:tcW w:w="2239"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2</w:t>
            </w:r>
            <w:r>
              <w:rPr>
                <w:rFonts w:hint="eastAsia" w:ascii="宋体" w:hAnsi="宋体" w:cs="宋体"/>
                <w:color w:val="auto"/>
                <w:kern w:val="0"/>
                <w:szCs w:val="21"/>
                <w:highlight w:val="none"/>
              </w:rPr>
              <w:t>-15m八角杆</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320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370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2</w:t>
            </w:r>
            <w:r>
              <w:rPr>
                <w:rFonts w:hint="eastAsia" w:ascii="宋体" w:hAnsi="宋体" w:cs="宋体"/>
                <w:color w:val="auto"/>
                <w:kern w:val="0"/>
                <w:szCs w:val="21"/>
                <w:highlight w:val="none"/>
              </w:rPr>
              <w:t>000≤L≤15000</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300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八头φ550-2200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2000*2000*2500</w:t>
            </w: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6</w:t>
            </w:r>
          </w:p>
        </w:tc>
        <w:tc>
          <w:tcPr>
            <w:tcW w:w="2239"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高空立杆</w:t>
            </w:r>
          </w:p>
        </w:tc>
        <w:tc>
          <w:tcPr>
            <w:tcW w:w="78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073"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260</w:t>
            </w:r>
          </w:p>
        </w:tc>
        <w:tc>
          <w:tcPr>
            <w:tcW w:w="1073"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360</w:t>
            </w:r>
          </w:p>
        </w:tc>
        <w:tc>
          <w:tcPr>
            <w:tcW w:w="135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14000</w:t>
            </w:r>
          </w:p>
        </w:tc>
        <w:tc>
          <w:tcPr>
            <w:tcW w:w="787"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73"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114</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八头φ500-1800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18</w:t>
            </w:r>
            <w:r>
              <w:rPr>
                <w:rFonts w:hint="eastAsia" w:ascii="宋体" w:hAnsi="宋体" w:cs="宋体"/>
                <w:color w:val="auto"/>
                <w:kern w:val="0"/>
                <w:szCs w:val="21"/>
                <w:highlight w:val="none"/>
              </w:rPr>
              <w:t>00*</w:t>
            </w:r>
            <w:r>
              <w:rPr>
                <w:rFonts w:ascii="宋体" w:hAnsi="宋体" w:cs="宋体"/>
                <w:color w:val="auto"/>
                <w:kern w:val="0"/>
                <w:szCs w:val="21"/>
                <w:highlight w:val="none"/>
              </w:rPr>
              <w:t>18</w:t>
            </w:r>
            <w:r>
              <w:rPr>
                <w:rFonts w:hint="eastAsia" w:ascii="宋体" w:hAnsi="宋体" w:cs="宋体"/>
                <w:color w:val="auto"/>
                <w:kern w:val="0"/>
                <w:szCs w:val="21"/>
                <w:highlight w:val="none"/>
              </w:rPr>
              <w:t>00*2000</w:t>
            </w:r>
          </w:p>
        </w:tc>
      </w:tr>
      <w:tr>
        <w:tblPrEx>
          <w:tblLayout w:type="fixed"/>
          <w:tblCellMar>
            <w:top w:w="0" w:type="dxa"/>
            <w:left w:w="108" w:type="dxa"/>
            <w:bottom w:w="0" w:type="dxa"/>
            <w:right w:w="108" w:type="dxa"/>
          </w:tblCellMar>
        </w:tblPrEx>
        <w:trPr>
          <w:trHeight w:val="20" w:hRule="atLeas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ascii="宋体" w:hAnsi="宋体" w:cs="宋体"/>
                <w:color w:val="auto"/>
                <w:kern w:val="0"/>
                <w:szCs w:val="21"/>
                <w:highlight w:val="none"/>
              </w:rPr>
              <w:t>7</w:t>
            </w:r>
          </w:p>
        </w:tc>
        <w:tc>
          <w:tcPr>
            <w:tcW w:w="2239" w:type="dxa"/>
            <w:tcBorders>
              <w:top w:val="nil"/>
              <w:left w:val="nil"/>
              <w:bottom w:val="single" w:color="auto" w:sz="4" w:space="0"/>
              <w:right w:val="single" w:color="auto" w:sz="4" w:space="0"/>
            </w:tcBorders>
            <w:shd w:val="clear" w:color="auto" w:fill="auto"/>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T杆</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180</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230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1281"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双挑3000</w:t>
            </w:r>
          </w:p>
        </w:tc>
        <w:tc>
          <w:tcPr>
            <w:tcW w:w="78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073"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150</w:t>
            </w:r>
          </w:p>
        </w:tc>
        <w:tc>
          <w:tcPr>
            <w:tcW w:w="1357"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八头φ350-1</w:t>
            </w:r>
            <w:r>
              <w:rPr>
                <w:rFonts w:ascii="宋体" w:hAnsi="宋体" w:cs="宋体"/>
                <w:color w:val="auto"/>
                <w:kern w:val="0"/>
                <w:szCs w:val="21"/>
                <w:highlight w:val="none"/>
              </w:rPr>
              <w:t>3</w:t>
            </w:r>
            <w:r>
              <w:rPr>
                <w:rFonts w:hint="eastAsia" w:ascii="宋体" w:hAnsi="宋体" w:cs="宋体"/>
                <w:color w:val="auto"/>
                <w:kern w:val="0"/>
                <w:szCs w:val="21"/>
                <w:highlight w:val="none"/>
              </w:rPr>
              <w:t>00</w:t>
            </w:r>
          </w:p>
        </w:tc>
        <w:tc>
          <w:tcPr>
            <w:tcW w:w="1210" w:type="dxa"/>
            <w:tcBorders>
              <w:top w:val="nil"/>
              <w:left w:val="nil"/>
              <w:bottom w:val="single" w:color="auto" w:sz="4" w:space="0"/>
              <w:right w:val="single" w:color="auto" w:sz="4" w:space="0"/>
            </w:tcBorders>
            <w:shd w:val="clear" w:color="auto" w:fill="auto"/>
            <w:noWrap/>
            <w:vAlign w:val="center"/>
          </w:tcPr>
          <w:p>
            <w:pPr>
              <w:widowControl/>
              <w:snapToGrid w:val="0"/>
              <w:spacing w:line="312"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1400*1400*1800</w:t>
            </w:r>
          </w:p>
        </w:tc>
      </w:tr>
    </w:tbl>
    <w:p>
      <w:pPr>
        <w:numPr>
          <w:ilvl w:val="0"/>
          <w:numId w:val="22"/>
        </w:numPr>
        <w:snapToGrid w:val="0"/>
        <w:spacing w:line="360" w:lineRule="auto"/>
        <w:rPr>
          <w:color w:val="auto"/>
          <w:sz w:val="24"/>
          <w:highlight w:val="none"/>
        </w:rPr>
      </w:pPr>
      <w:r>
        <w:rPr>
          <w:rFonts w:hint="eastAsia"/>
          <w:color w:val="auto"/>
          <w:sz w:val="24"/>
          <w:highlight w:val="none"/>
        </w:rPr>
        <w:t>杆件采用的钢材应符合国标的要求，钢度在40以上；</w:t>
      </w:r>
    </w:p>
    <w:p>
      <w:pPr>
        <w:numPr>
          <w:ilvl w:val="0"/>
          <w:numId w:val="22"/>
        </w:numPr>
        <w:snapToGrid w:val="0"/>
        <w:spacing w:line="360" w:lineRule="auto"/>
        <w:rPr>
          <w:color w:val="auto"/>
          <w:sz w:val="24"/>
          <w:highlight w:val="none"/>
        </w:rPr>
      </w:pPr>
      <w:r>
        <w:rPr>
          <w:rFonts w:hint="eastAsia"/>
          <w:color w:val="auto"/>
          <w:sz w:val="24"/>
          <w:highlight w:val="none"/>
        </w:rPr>
        <w:t>机箱悬挂处或设备安装位置应留有出线孔；</w:t>
      </w:r>
    </w:p>
    <w:p>
      <w:pPr>
        <w:numPr>
          <w:ilvl w:val="0"/>
          <w:numId w:val="22"/>
        </w:numPr>
        <w:snapToGrid w:val="0"/>
        <w:spacing w:line="360" w:lineRule="auto"/>
        <w:rPr>
          <w:color w:val="auto"/>
          <w:sz w:val="24"/>
          <w:highlight w:val="none"/>
        </w:rPr>
      </w:pPr>
      <w:r>
        <w:rPr>
          <w:rFonts w:hint="eastAsia"/>
          <w:color w:val="auto"/>
          <w:sz w:val="24"/>
          <w:highlight w:val="none"/>
        </w:rPr>
        <w:t>杆体距地面0.3</w:t>
      </w:r>
      <w:r>
        <w:rPr>
          <w:color w:val="auto"/>
          <w:sz w:val="24"/>
          <w:highlight w:val="none"/>
        </w:rPr>
        <w:t>m</w:t>
      </w:r>
      <w:r>
        <w:rPr>
          <w:rFonts w:hint="eastAsia"/>
          <w:color w:val="auto"/>
          <w:sz w:val="24"/>
          <w:highlight w:val="none"/>
        </w:rPr>
        <w:t>～0</w:t>
      </w:r>
      <w:r>
        <w:rPr>
          <w:color w:val="auto"/>
          <w:sz w:val="24"/>
          <w:highlight w:val="none"/>
        </w:rPr>
        <w:t>.</w:t>
      </w:r>
      <w:r>
        <w:rPr>
          <w:rFonts w:hint="eastAsia"/>
          <w:color w:val="auto"/>
          <w:sz w:val="24"/>
          <w:highlight w:val="none"/>
        </w:rPr>
        <w:t>5</w:t>
      </w:r>
      <w:r>
        <w:rPr>
          <w:color w:val="auto"/>
          <w:sz w:val="24"/>
          <w:highlight w:val="none"/>
        </w:rPr>
        <w:t>m</w:t>
      </w:r>
      <w:r>
        <w:rPr>
          <w:rFonts w:hint="eastAsia"/>
          <w:color w:val="auto"/>
          <w:sz w:val="24"/>
          <w:highlight w:val="none"/>
        </w:rPr>
        <w:t>处应留有穿线孔。孔配备盖板和固定螺钉；</w:t>
      </w:r>
    </w:p>
    <w:p>
      <w:pPr>
        <w:numPr>
          <w:ilvl w:val="0"/>
          <w:numId w:val="22"/>
        </w:numPr>
        <w:snapToGrid w:val="0"/>
        <w:spacing w:line="360" w:lineRule="auto"/>
        <w:rPr>
          <w:color w:val="auto"/>
          <w:sz w:val="24"/>
          <w:highlight w:val="none"/>
        </w:rPr>
      </w:pPr>
      <w:r>
        <w:rPr>
          <w:rFonts w:hint="eastAsia"/>
          <w:color w:val="auto"/>
          <w:sz w:val="24"/>
          <w:highlight w:val="none"/>
        </w:rPr>
        <w:t>安装设备后，杆件横臂及设备组成的整体下边缘距离地面净空应达6米；安装后的设备和机箱不得侵入机动车道建筑界限以内，不得影响车辆正常通行；</w:t>
      </w:r>
    </w:p>
    <w:p>
      <w:pPr>
        <w:numPr>
          <w:ilvl w:val="0"/>
          <w:numId w:val="22"/>
        </w:numPr>
        <w:snapToGrid w:val="0"/>
        <w:spacing w:line="360" w:lineRule="auto"/>
        <w:rPr>
          <w:color w:val="auto"/>
          <w:sz w:val="24"/>
          <w:highlight w:val="none"/>
        </w:rPr>
      </w:pPr>
      <w:r>
        <w:rPr>
          <w:rFonts w:hint="eastAsia"/>
          <w:color w:val="auto"/>
          <w:sz w:val="24"/>
          <w:highlight w:val="none"/>
        </w:rPr>
        <w:t>预埋时其方向应与底座法兰盘保持垂直。施工时如遇有平曲线路段，应注意调整预埋法兰盘的方向，使其纵向中心线与行车方向保持一致。基础施工完毕，地脚螺栓外露长度宜在50mm以上（地脚螺栓应排列成圆形），并以外露螺部分加以妥善保护，另外基坑应分层回填夯实；</w:t>
      </w:r>
    </w:p>
    <w:p>
      <w:pPr>
        <w:numPr>
          <w:ilvl w:val="0"/>
          <w:numId w:val="22"/>
        </w:numPr>
        <w:snapToGrid w:val="0"/>
        <w:spacing w:line="360" w:lineRule="auto"/>
        <w:rPr>
          <w:color w:val="auto"/>
          <w:sz w:val="24"/>
          <w:highlight w:val="none"/>
        </w:rPr>
      </w:pPr>
      <w:r>
        <w:rPr>
          <w:rFonts w:hint="eastAsia"/>
          <w:color w:val="auto"/>
          <w:sz w:val="24"/>
          <w:highlight w:val="none"/>
        </w:rPr>
        <w:t>柱、法兰盘、抱箍、抱箍底衬、柱帽、加劲肋及连接螺栓、螺母、垫圈等钢铁件，采用热浸镀锌进行防锈处理，立杆、悬臂采用双面焊，所有的对接焊缝和贴角焊缝，其厚度和强度应与被焊构件相等，焊缝应打磨光滑；</w:t>
      </w:r>
    </w:p>
    <w:p>
      <w:pPr>
        <w:numPr>
          <w:ilvl w:val="0"/>
          <w:numId w:val="22"/>
        </w:numPr>
        <w:snapToGrid w:val="0"/>
        <w:spacing w:line="360" w:lineRule="auto"/>
        <w:rPr>
          <w:color w:val="auto"/>
          <w:sz w:val="24"/>
          <w:highlight w:val="none"/>
        </w:rPr>
      </w:pPr>
      <w:r>
        <w:rPr>
          <w:rFonts w:hint="eastAsia"/>
          <w:color w:val="auto"/>
          <w:sz w:val="24"/>
          <w:highlight w:val="none"/>
        </w:rPr>
        <w:t>施工基础时要注意预埋穿线管，基础应按设计要求进行养护后方可进行立杆安装；</w:t>
      </w:r>
    </w:p>
    <w:p>
      <w:pPr>
        <w:numPr>
          <w:ilvl w:val="0"/>
          <w:numId w:val="22"/>
        </w:numPr>
        <w:snapToGrid w:val="0"/>
        <w:spacing w:line="360" w:lineRule="auto"/>
        <w:rPr>
          <w:color w:val="auto"/>
          <w:sz w:val="24"/>
          <w:highlight w:val="none"/>
        </w:rPr>
      </w:pPr>
      <w:r>
        <w:rPr>
          <w:rFonts w:hint="eastAsia"/>
          <w:color w:val="auto"/>
          <w:sz w:val="24"/>
          <w:highlight w:val="none"/>
        </w:rPr>
        <w:t>电缆进出管四向，可移动。电缆穿管应与接地线焊接，电缆穿管应有1%坡度；</w:t>
      </w:r>
    </w:p>
    <w:p>
      <w:pPr>
        <w:numPr>
          <w:ilvl w:val="0"/>
          <w:numId w:val="22"/>
        </w:numPr>
        <w:snapToGrid w:val="0"/>
        <w:spacing w:line="360" w:lineRule="auto"/>
        <w:rPr>
          <w:color w:val="auto"/>
          <w:sz w:val="24"/>
          <w:highlight w:val="none"/>
        </w:rPr>
      </w:pPr>
      <w:r>
        <w:rPr>
          <w:rFonts w:hint="eastAsia"/>
          <w:color w:val="auto"/>
          <w:sz w:val="24"/>
          <w:highlight w:val="none"/>
        </w:rPr>
        <w:t>中标人须对各个点进行详细施工设计并提供图纸，经采购人确认后方可施工，并提供电子文档给采购人；</w:t>
      </w:r>
    </w:p>
    <w:p>
      <w:pPr>
        <w:numPr>
          <w:ilvl w:val="0"/>
          <w:numId w:val="22"/>
        </w:numPr>
        <w:snapToGrid w:val="0"/>
        <w:spacing w:line="360" w:lineRule="auto"/>
        <w:rPr>
          <w:color w:val="auto"/>
          <w:sz w:val="24"/>
          <w:highlight w:val="none"/>
        </w:rPr>
      </w:pPr>
      <w:r>
        <w:rPr>
          <w:rFonts w:hint="eastAsia"/>
          <w:color w:val="auto"/>
          <w:sz w:val="24"/>
          <w:highlight w:val="none"/>
        </w:rPr>
        <w:t>施工单位应到招标方指定点现场查看，以确定立杆长度、基础大小和管线长度等，保证违法采集设备设在抓拍车道的中央上方，误差在20cm内，如不到现场查看或查看不细或计算错误，产生的误报价格而发生变更的一切费用，由施工单位负责。</w:t>
      </w:r>
    </w:p>
    <w:p>
      <w:pPr>
        <w:numPr>
          <w:ilvl w:val="0"/>
          <w:numId w:val="22"/>
        </w:numPr>
        <w:tabs>
          <w:tab w:val="left" w:pos="720"/>
        </w:tabs>
        <w:snapToGrid w:val="0"/>
        <w:spacing w:line="360" w:lineRule="auto"/>
        <w:rPr>
          <w:rFonts w:ascii="宋体" w:hAnsi="宋体"/>
          <w:color w:val="auto"/>
          <w:sz w:val="24"/>
          <w:highlight w:val="none"/>
        </w:rPr>
        <w:sectPr>
          <w:pgSz w:w="16838" w:h="11906" w:orient="landscape"/>
          <w:pgMar w:top="1800" w:right="1440" w:bottom="1800" w:left="1440" w:header="851" w:footer="992" w:gutter="0"/>
          <w:cols w:space="720" w:num="1"/>
          <w:docGrid w:type="lines" w:linePitch="312" w:charSpace="0"/>
        </w:sectPr>
      </w:pPr>
    </w:p>
    <w:p>
      <w:pPr>
        <w:pStyle w:val="5"/>
        <w:snapToGrid w:val="0"/>
        <w:spacing w:before="0" w:after="0" w:line="360" w:lineRule="auto"/>
        <w:ind w:left="720" w:hanging="720"/>
        <w:rPr>
          <w:color w:val="auto"/>
          <w:highlight w:val="none"/>
        </w:rPr>
      </w:pPr>
      <w:bookmarkStart w:id="98" w:name="_Toc10102496"/>
      <w:bookmarkStart w:id="99" w:name="_Toc531874408"/>
      <w:bookmarkStart w:id="100" w:name="_Toc536016067"/>
      <w:r>
        <w:rPr>
          <w:rFonts w:hint="eastAsia"/>
          <w:color w:val="auto"/>
          <w:highlight w:val="none"/>
        </w:rPr>
        <w:t>杆件基础要求</w:t>
      </w:r>
      <w:bookmarkEnd w:id="98"/>
      <w:bookmarkEnd w:id="99"/>
      <w:bookmarkEnd w:id="100"/>
    </w:p>
    <w:p>
      <w:pPr>
        <w:snapToGrid w:val="0"/>
        <w:spacing w:line="360" w:lineRule="auto"/>
        <w:ind w:firstLine="480" w:firstLineChars="200"/>
        <w:rPr>
          <w:color w:val="auto"/>
          <w:sz w:val="24"/>
          <w:szCs w:val="21"/>
          <w:highlight w:val="none"/>
        </w:rPr>
      </w:pPr>
      <w:r>
        <w:rPr>
          <w:rFonts w:hint="eastAsia"/>
          <w:color w:val="auto"/>
          <w:sz w:val="24"/>
          <w:szCs w:val="21"/>
          <w:highlight w:val="none"/>
        </w:rPr>
        <w:t>基础的浇注、混凝土强度等级应符合GB50204的要求。</w:t>
      </w:r>
    </w:p>
    <w:p>
      <w:pPr>
        <w:numPr>
          <w:ilvl w:val="0"/>
          <w:numId w:val="22"/>
        </w:numPr>
        <w:snapToGrid w:val="0"/>
        <w:spacing w:line="360" w:lineRule="auto"/>
        <w:rPr>
          <w:color w:val="auto"/>
          <w:sz w:val="24"/>
          <w:highlight w:val="none"/>
        </w:rPr>
      </w:pPr>
      <w:r>
        <w:rPr>
          <w:rFonts w:hint="eastAsia"/>
          <w:color w:val="auto"/>
          <w:sz w:val="24"/>
          <w:highlight w:val="none"/>
        </w:rPr>
        <w:t>应采用地锚混凝土式基础。地脚螺栓上端为螺纹，下端为夹角小于60°的折弯，地脚螺栓焊接在下法兰盘上。混凝土的配比和最小水泥用量符合《普通混凝土配合比设计规程》（JGJ55）的规定，混凝土型号不低于C</w:t>
      </w:r>
      <w:r>
        <w:rPr>
          <w:color w:val="auto"/>
          <w:sz w:val="24"/>
          <w:highlight w:val="none"/>
        </w:rPr>
        <w:t>30</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基础底层需增设1</w:t>
      </w:r>
      <w:r>
        <w:rPr>
          <w:color w:val="auto"/>
          <w:sz w:val="24"/>
          <w:highlight w:val="none"/>
        </w:rPr>
        <w:t>0</w:t>
      </w:r>
      <w:r>
        <w:rPr>
          <w:rFonts w:hint="eastAsia"/>
          <w:color w:val="auto"/>
          <w:sz w:val="24"/>
          <w:highlight w:val="none"/>
        </w:rPr>
        <w:t>cm混凝土垫层，垫层尺寸在基础截面尺寸上外扩1</w:t>
      </w:r>
      <w:r>
        <w:rPr>
          <w:color w:val="auto"/>
          <w:sz w:val="24"/>
          <w:highlight w:val="none"/>
        </w:rPr>
        <w:t>0</w:t>
      </w:r>
      <w:r>
        <w:rPr>
          <w:rFonts w:hint="eastAsia"/>
          <w:color w:val="auto"/>
          <w:sz w:val="24"/>
          <w:highlight w:val="none"/>
        </w:rPr>
        <w:t>cm，采用C</w:t>
      </w:r>
      <w:r>
        <w:rPr>
          <w:color w:val="auto"/>
          <w:sz w:val="24"/>
          <w:highlight w:val="none"/>
        </w:rPr>
        <w:t>20</w:t>
      </w:r>
      <w:r>
        <w:rPr>
          <w:rFonts w:hint="eastAsia"/>
          <w:color w:val="auto"/>
          <w:sz w:val="24"/>
          <w:highlight w:val="none"/>
        </w:rPr>
        <w:t>混凝土进行浇筑。</w:t>
      </w:r>
    </w:p>
    <w:p>
      <w:pPr>
        <w:numPr>
          <w:ilvl w:val="0"/>
          <w:numId w:val="22"/>
        </w:numPr>
        <w:snapToGrid w:val="0"/>
        <w:spacing w:line="360" w:lineRule="auto"/>
        <w:rPr>
          <w:color w:val="auto"/>
          <w:sz w:val="24"/>
          <w:highlight w:val="none"/>
        </w:rPr>
      </w:pPr>
      <w:r>
        <w:rPr>
          <w:rFonts w:hint="eastAsia"/>
          <w:color w:val="auto"/>
          <w:sz w:val="24"/>
          <w:highlight w:val="none"/>
        </w:rPr>
        <w:t>杆件基础需设置</w:t>
      </w:r>
      <w:r>
        <w:rPr>
          <w:color w:val="auto"/>
          <w:sz w:val="24"/>
          <w:highlight w:val="none"/>
        </w:rPr>
        <w:t>50</w:t>
      </w:r>
      <w:r>
        <w:rPr>
          <w:rFonts w:hint="eastAsia"/>
          <w:color w:val="auto"/>
          <w:sz w:val="24"/>
          <w:highlight w:val="none"/>
        </w:rPr>
        <w:t>mm钢筋网保护层，确保基础混凝土结构的稳定性，对向钢筋保护层之间设置对拉箍筋，固定保护层位置，加强基础稳定性。</w:t>
      </w:r>
    </w:p>
    <w:p>
      <w:pPr>
        <w:numPr>
          <w:ilvl w:val="0"/>
          <w:numId w:val="22"/>
        </w:numPr>
        <w:snapToGrid w:val="0"/>
        <w:spacing w:line="360" w:lineRule="auto"/>
        <w:rPr>
          <w:color w:val="auto"/>
          <w:sz w:val="24"/>
          <w:highlight w:val="none"/>
        </w:rPr>
      </w:pPr>
      <w:r>
        <w:rPr>
          <w:rFonts w:hint="eastAsia"/>
          <w:color w:val="auto"/>
          <w:sz w:val="24"/>
          <w:highlight w:val="none"/>
        </w:rPr>
        <w:t>杆件基础的混凝土浇注不平整度应小于5mm/m。预埋件法兰应低于周围地面50～80mm或高出周围地面100～300mm（适应铺设广场砖）以防止积水。</w:t>
      </w:r>
    </w:p>
    <w:p>
      <w:pPr>
        <w:numPr>
          <w:ilvl w:val="0"/>
          <w:numId w:val="22"/>
        </w:numPr>
        <w:snapToGrid w:val="0"/>
        <w:spacing w:line="360" w:lineRule="auto"/>
        <w:rPr>
          <w:color w:val="auto"/>
          <w:sz w:val="24"/>
          <w:highlight w:val="none"/>
        </w:rPr>
      </w:pPr>
      <w:r>
        <w:rPr>
          <w:rFonts w:hint="eastAsia"/>
          <w:color w:val="auto"/>
          <w:sz w:val="24"/>
          <w:highlight w:val="none"/>
        </w:rPr>
        <w:t>基础内预埋2根穿线管，内径应大于Ф50mm，弯曲角度大于120°</w:t>
      </w:r>
    </w:p>
    <w:p>
      <w:pPr>
        <w:numPr>
          <w:ilvl w:val="0"/>
          <w:numId w:val="22"/>
        </w:numPr>
        <w:snapToGrid w:val="0"/>
        <w:spacing w:line="360" w:lineRule="auto"/>
        <w:rPr>
          <w:color w:val="auto"/>
          <w:sz w:val="24"/>
          <w:highlight w:val="none"/>
        </w:rPr>
      </w:pPr>
      <w:r>
        <w:rPr>
          <w:rFonts w:hint="eastAsia"/>
          <w:color w:val="auto"/>
          <w:sz w:val="24"/>
          <w:highlight w:val="none"/>
        </w:rPr>
        <w:t>预埋件地脚螺栓法兰盘以上的螺纹在杆件安装前必须包扎好，以防损坏螺纹。</w:t>
      </w:r>
    </w:p>
    <w:p>
      <w:pPr>
        <w:numPr>
          <w:ilvl w:val="0"/>
          <w:numId w:val="22"/>
        </w:numPr>
        <w:snapToGrid w:val="0"/>
        <w:spacing w:line="360" w:lineRule="auto"/>
        <w:rPr>
          <w:color w:val="auto"/>
          <w:sz w:val="24"/>
          <w:highlight w:val="none"/>
        </w:rPr>
      </w:pPr>
      <w:r>
        <w:rPr>
          <w:rFonts w:hint="eastAsia"/>
          <w:color w:val="auto"/>
          <w:sz w:val="24"/>
          <w:highlight w:val="none"/>
        </w:rPr>
        <w:t>浇筑混凝土时，注意不要污染路面。为保证钢筋笼不被混凝土冲歪，应将混凝土从钢筋笼中间倒入基础坑内，在倒入1/3部分后用振动棒震实，再倒入1/3部分后用振动棒震实，全部倒入后再震实，保证混凝土均匀没有蜂窝、空鼓。为保证混凝土质量，浇筑的混凝土不能出现离析现象，如果出现应该重新搅拌监控立杆预埋件基础混凝土浇捣必须密实，禁止混凝土有空鼓。</w:t>
      </w:r>
    </w:p>
    <w:p>
      <w:pPr>
        <w:numPr>
          <w:ilvl w:val="0"/>
          <w:numId w:val="22"/>
        </w:numPr>
        <w:snapToGrid w:val="0"/>
        <w:spacing w:line="360" w:lineRule="auto"/>
        <w:rPr>
          <w:color w:val="auto"/>
          <w:sz w:val="24"/>
          <w:highlight w:val="none"/>
        </w:rPr>
      </w:pPr>
      <w:r>
        <w:rPr>
          <w:rFonts w:hint="eastAsia"/>
          <w:color w:val="auto"/>
          <w:sz w:val="24"/>
          <w:highlight w:val="none"/>
        </w:rPr>
        <w:t>杆件安装后应保证杆体垂直，垂直误差应不超过10mm。</w:t>
      </w:r>
    </w:p>
    <w:p>
      <w:pPr>
        <w:numPr>
          <w:ilvl w:val="0"/>
          <w:numId w:val="22"/>
        </w:numPr>
        <w:snapToGrid w:val="0"/>
        <w:spacing w:line="360" w:lineRule="auto"/>
        <w:rPr>
          <w:color w:val="auto"/>
          <w:sz w:val="24"/>
          <w:highlight w:val="none"/>
        </w:rPr>
      </w:pPr>
      <w:r>
        <w:rPr>
          <w:rFonts w:hint="eastAsia"/>
          <w:color w:val="auto"/>
          <w:sz w:val="24"/>
          <w:highlight w:val="none"/>
        </w:rPr>
        <w:t>基础位置应能确保基础及安装后杆件不侵入机动车道建筑界限以内，不影响车辆正常通行。</w:t>
      </w:r>
    </w:p>
    <w:p>
      <w:pPr>
        <w:numPr>
          <w:ilvl w:val="0"/>
          <w:numId w:val="22"/>
        </w:numPr>
        <w:snapToGrid w:val="0"/>
        <w:spacing w:line="360" w:lineRule="auto"/>
        <w:rPr>
          <w:color w:val="auto"/>
          <w:sz w:val="24"/>
          <w:highlight w:val="none"/>
        </w:rPr>
      </w:pPr>
      <w:r>
        <w:rPr>
          <w:rFonts w:hint="eastAsia"/>
          <w:color w:val="auto"/>
          <w:sz w:val="24"/>
          <w:highlight w:val="none"/>
        </w:rPr>
        <w:t>杆件基础尺寸规格由投标人根据现场勘查情况自行设计。基础、杆件及依附于杆件的设备构成的整体抗风等级须达到可抗</w:t>
      </w:r>
      <w:r>
        <w:rPr>
          <w:color w:val="auto"/>
          <w:sz w:val="24"/>
          <w:highlight w:val="none"/>
        </w:rPr>
        <w:t>40m/s</w:t>
      </w:r>
      <w:r>
        <w:rPr>
          <w:rFonts w:hint="eastAsia"/>
          <w:color w:val="auto"/>
          <w:sz w:val="24"/>
          <w:highlight w:val="none"/>
        </w:rPr>
        <w:t>风力。</w:t>
      </w:r>
    </w:p>
    <w:p>
      <w:pPr>
        <w:pStyle w:val="5"/>
        <w:snapToGrid w:val="0"/>
        <w:spacing w:before="0" w:after="0" w:line="360" w:lineRule="auto"/>
        <w:ind w:left="720" w:hanging="720"/>
        <w:rPr>
          <w:color w:val="auto"/>
          <w:highlight w:val="none"/>
        </w:rPr>
      </w:pPr>
      <w:bookmarkStart w:id="101" w:name="_Toc531874409"/>
      <w:bookmarkStart w:id="102" w:name="_Toc536016068"/>
      <w:bookmarkStart w:id="103" w:name="_Toc10102497"/>
      <w:r>
        <w:rPr>
          <w:rFonts w:hint="eastAsia"/>
          <w:color w:val="auto"/>
          <w:highlight w:val="none"/>
        </w:rPr>
        <w:t>杆件安装要求</w:t>
      </w:r>
      <w:bookmarkEnd w:id="101"/>
      <w:bookmarkEnd w:id="102"/>
      <w:bookmarkEnd w:id="103"/>
    </w:p>
    <w:p>
      <w:pPr>
        <w:spacing w:line="360" w:lineRule="auto"/>
        <w:ind w:firstLine="480" w:firstLineChars="200"/>
        <w:rPr>
          <w:color w:val="auto"/>
          <w:sz w:val="24"/>
          <w:highlight w:val="none"/>
        </w:rPr>
      </w:pPr>
      <w:r>
        <w:rPr>
          <w:rFonts w:hint="eastAsia"/>
          <w:color w:val="auto"/>
          <w:sz w:val="24"/>
          <w:highlight w:val="none"/>
        </w:rPr>
        <w:t>杆件应在基础达到设计强度并经验收合格后，方可吊装。</w:t>
      </w:r>
    </w:p>
    <w:p>
      <w:pPr>
        <w:numPr>
          <w:ilvl w:val="0"/>
          <w:numId w:val="22"/>
        </w:numPr>
        <w:snapToGrid w:val="0"/>
        <w:spacing w:line="360" w:lineRule="auto"/>
        <w:rPr>
          <w:color w:val="auto"/>
          <w:sz w:val="24"/>
          <w:highlight w:val="none"/>
        </w:rPr>
      </w:pPr>
      <w:r>
        <w:rPr>
          <w:rFonts w:hint="eastAsia"/>
          <w:color w:val="auto"/>
          <w:sz w:val="24"/>
          <w:highlight w:val="none"/>
        </w:rPr>
        <w:t>杆件吊装时应做好安全防护措施。安装时，支柱应处于正常工作位置，起吊点应位于支柱底部；安装完成后，支柱专用接地螺栓与保护地线应做可靠电气连接。支柱折倾方向应与道路或铁路平行，折倾范围内不得有障碍物。</w:t>
      </w:r>
    </w:p>
    <w:p>
      <w:pPr>
        <w:numPr>
          <w:ilvl w:val="0"/>
          <w:numId w:val="22"/>
        </w:numPr>
        <w:snapToGrid w:val="0"/>
        <w:spacing w:line="360" w:lineRule="auto"/>
        <w:rPr>
          <w:color w:val="auto"/>
          <w:sz w:val="24"/>
          <w:highlight w:val="none"/>
        </w:rPr>
      </w:pPr>
      <w:r>
        <w:rPr>
          <w:rFonts w:hint="eastAsia"/>
          <w:color w:val="auto"/>
          <w:sz w:val="24"/>
          <w:highlight w:val="none"/>
        </w:rPr>
        <w:t>杆件安装前应现场查看，以确定立杆长度、基础大小和管线长度等，保证设备安装在正确位置。</w:t>
      </w:r>
    </w:p>
    <w:p>
      <w:pPr>
        <w:numPr>
          <w:ilvl w:val="0"/>
          <w:numId w:val="22"/>
        </w:numPr>
        <w:snapToGrid w:val="0"/>
        <w:spacing w:line="360" w:lineRule="auto"/>
        <w:rPr>
          <w:color w:val="auto"/>
          <w:sz w:val="24"/>
          <w:highlight w:val="none"/>
        </w:rPr>
      </w:pPr>
      <w:r>
        <w:rPr>
          <w:rFonts w:hint="eastAsia"/>
          <w:color w:val="auto"/>
          <w:sz w:val="24"/>
          <w:highlight w:val="none"/>
        </w:rPr>
        <w:t>前端杆件竖臂应贴反光材料，防止杆件被撞及提醒驾驶人、行人避让。</w:t>
      </w:r>
    </w:p>
    <w:p>
      <w:pPr>
        <w:numPr>
          <w:ilvl w:val="0"/>
          <w:numId w:val="22"/>
        </w:numPr>
        <w:snapToGrid w:val="0"/>
        <w:spacing w:line="360" w:lineRule="auto"/>
        <w:rPr>
          <w:color w:val="auto"/>
          <w:sz w:val="24"/>
          <w:highlight w:val="none"/>
        </w:rPr>
      </w:pPr>
      <w:r>
        <w:rPr>
          <w:rFonts w:hint="eastAsia"/>
          <w:color w:val="auto"/>
          <w:sz w:val="24"/>
          <w:highlight w:val="none"/>
        </w:rPr>
        <w:t>杆件及杆件上所有设备安装后，杆件立柱臂应与地面垂直，杆件悬臂应与道路中心走向呈90度直角，杆件悬臂与立柱臂呈92度夹角。</w:t>
      </w:r>
    </w:p>
    <w:p>
      <w:pPr>
        <w:pStyle w:val="5"/>
        <w:snapToGrid w:val="0"/>
        <w:spacing w:before="0" w:after="0" w:line="360" w:lineRule="auto"/>
        <w:ind w:left="720" w:hanging="720"/>
        <w:rPr>
          <w:color w:val="auto"/>
          <w:highlight w:val="none"/>
        </w:rPr>
      </w:pPr>
      <w:bookmarkStart w:id="104" w:name="_Toc531874410"/>
      <w:bookmarkStart w:id="105" w:name="_Toc10102498"/>
      <w:bookmarkStart w:id="106" w:name="_Toc536016069"/>
      <w:r>
        <w:rPr>
          <w:rFonts w:hint="eastAsia"/>
          <w:color w:val="auto"/>
          <w:highlight w:val="none"/>
        </w:rPr>
        <w:t>前端落地机柜</w:t>
      </w:r>
      <w:bookmarkEnd w:id="104"/>
      <w:bookmarkEnd w:id="105"/>
      <w:bookmarkEnd w:id="106"/>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机柜设计制造要求</w:t>
      </w:r>
    </w:p>
    <w:p>
      <w:pPr>
        <w:numPr>
          <w:ilvl w:val="0"/>
          <w:numId w:val="22"/>
        </w:numPr>
        <w:snapToGrid w:val="0"/>
        <w:spacing w:line="360" w:lineRule="auto"/>
        <w:rPr>
          <w:color w:val="auto"/>
          <w:sz w:val="24"/>
          <w:highlight w:val="none"/>
        </w:rPr>
      </w:pPr>
      <w:r>
        <w:rPr>
          <w:rFonts w:hint="eastAsia"/>
          <w:color w:val="auto"/>
          <w:sz w:val="24"/>
          <w:highlight w:val="none"/>
        </w:rPr>
        <w:t>落地机柜采用19"标准机柜，高度≥24U，应有利于散热和安装、使用、维修设备。机柜设计具有可靠的密封性能，达到 GB4208—93 中IP65级要求,门缝安装密封胶条可使柜体密封更可靠，可防止粉尘进入，用水冲洗无任何伤害；机柜的结构设计应具有足够的机械强度，能承受正常条件下可预料到的运输、安装、搬运、维护等过程中的操作。</w:t>
      </w:r>
    </w:p>
    <w:p>
      <w:pPr>
        <w:numPr>
          <w:ilvl w:val="0"/>
          <w:numId w:val="22"/>
        </w:numPr>
        <w:snapToGrid w:val="0"/>
        <w:spacing w:line="360" w:lineRule="auto"/>
        <w:rPr>
          <w:color w:val="auto"/>
          <w:sz w:val="24"/>
          <w:highlight w:val="none"/>
        </w:rPr>
      </w:pPr>
      <w:r>
        <w:rPr>
          <w:rFonts w:hint="eastAsia"/>
          <w:color w:val="auto"/>
          <w:sz w:val="24"/>
          <w:highlight w:val="none"/>
        </w:rPr>
        <w:t>机柜应采用柜体材料选用优质冷轧钢板，机柜整体表面酸洗、磷化、高温静电喷粉。内部的电路板材料及部件应进行防潮、防腐、防盐雾的处理。室外机柜采用过滤进风、温控强制通风的结构，并在顶部设置隔热层，降低机柜内部温升，保证箱内主机和其他辅助设备在夏季高温下正常工作。保证在盐、酸环境下不被腐蚀。机柜安装应稳固，垂直度允许偏差为0.2%。落地机柜安装需有一定离地高度（高度≥30cm）及防撞防护措施，避免机柜外壳因雨季地面积水浸泡或被车辆碰撞而损坏。</w:t>
      </w:r>
    </w:p>
    <w:p>
      <w:pPr>
        <w:numPr>
          <w:ilvl w:val="0"/>
          <w:numId w:val="22"/>
        </w:numPr>
        <w:snapToGrid w:val="0"/>
        <w:spacing w:line="360" w:lineRule="auto"/>
        <w:rPr>
          <w:color w:val="auto"/>
          <w:sz w:val="24"/>
          <w:highlight w:val="none"/>
        </w:rPr>
      </w:pPr>
      <w:r>
        <w:rPr>
          <w:rFonts w:hint="eastAsia"/>
          <w:color w:val="auto"/>
          <w:sz w:val="24"/>
          <w:highlight w:val="none"/>
        </w:rPr>
        <w:t>室外机柜门的尺寸应尽可能接近机柜的外部尺寸，机柜门的最大开启角度应大于120度角。门应设有牢固的门锁以防止被非法使用者打开，同时机柜具有开门报警功能。门锁上应有保护装置，机柜门接缝处应有耐久并且有弹性的密封垫，密封垫应连续设置，不得有间断缺口。</w:t>
      </w:r>
    </w:p>
    <w:p>
      <w:pPr>
        <w:numPr>
          <w:ilvl w:val="0"/>
          <w:numId w:val="22"/>
        </w:numPr>
        <w:snapToGrid w:val="0"/>
        <w:spacing w:line="360" w:lineRule="auto"/>
        <w:rPr>
          <w:color w:val="auto"/>
          <w:sz w:val="24"/>
          <w:highlight w:val="none"/>
        </w:rPr>
      </w:pPr>
      <w:r>
        <w:rPr>
          <w:rFonts w:hint="eastAsia"/>
          <w:color w:val="auto"/>
          <w:sz w:val="24"/>
          <w:highlight w:val="none"/>
        </w:rPr>
        <w:t>机柜表面采用喷塑工艺处理；锁具、门轴坚实牢固，机柜门锁上之后，不应有松动、变形现象；所有锁具可由一把钥匙打开。为了防止违法犯罪分子破坏，机箱门锁及把手应采用防盗设计，同时设备具备防盗检测功能，设备应对机箱进行声音报警保护，当机箱门被强烈敲打或者非正常打开时，能够进行声音报警，阻吓犯罪分子，并具备将报警信息传输到中心平台中。</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落地式机柜安装要求</w:t>
      </w:r>
    </w:p>
    <w:p>
      <w:pPr>
        <w:snapToGrid w:val="0"/>
        <w:spacing w:line="360" w:lineRule="auto"/>
        <w:ind w:firstLine="480" w:firstLineChars="200"/>
        <w:rPr>
          <w:color w:val="auto"/>
          <w:sz w:val="24"/>
          <w:szCs w:val="21"/>
          <w:highlight w:val="none"/>
        </w:rPr>
      </w:pPr>
      <w:r>
        <w:rPr>
          <w:rFonts w:hint="eastAsia"/>
          <w:color w:val="auto"/>
          <w:sz w:val="24"/>
          <w:szCs w:val="21"/>
          <w:highlight w:val="none"/>
        </w:rPr>
        <w:t>落地式机柜应使用镀锌螺丝或不锈钢螺丝将控制机柜固定于机柜底座上，并应满足以下要求：</w:t>
      </w:r>
    </w:p>
    <w:p>
      <w:pPr>
        <w:numPr>
          <w:ilvl w:val="0"/>
          <w:numId w:val="22"/>
        </w:numPr>
        <w:snapToGrid w:val="0"/>
        <w:spacing w:line="360" w:lineRule="auto"/>
        <w:rPr>
          <w:color w:val="auto"/>
          <w:sz w:val="24"/>
          <w:highlight w:val="none"/>
        </w:rPr>
      </w:pPr>
      <w:r>
        <w:rPr>
          <w:rFonts w:hint="eastAsia"/>
          <w:color w:val="auto"/>
          <w:sz w:val="24"/>
          <w:highlight w:val="none"/>
        </w:rPr>
        <w:t>根据现场实际情况选择机柜大门开启方向；</w:t>
      </w:r>
    </w:p>
    <w:p>
      <w:pPr>
        <w:numPr>
          <w:ilvl w:val="0"/>
          <w:numId w:val="22"/>
        </w:numPr>
        <w:snapToGrid w:val="0"/>
        <w:spacing w:line="360" w:lineRule="auto"/>
        <w:rPr>
          <w:color w:val="auto"/>
          <w:sz w:val="24"/>
          <w:highlight w:val="none"/>
        </w:rPr>
      </w:pPr>
      <w:r>
        <w:rPr>
          <w:rFonts w:hint="eastAsia"/>
          <w:color w:val="auto"/>
          <w:sz w:val="24"/>
          <w:highlight w:val="none"/>
        </w:rPr>
        <w:t>机柜与底座之间连接紧固；</w:t>
      </w:r>
    </w:p>
    <w:p>
      <w:pPr>
        <w:numPr>
          <w:ilvl w:val="0"/>
          <w:numId w:val="22"/>
        </w:numPr>
        <w:snapToGrid w:val="0"/>
        <w:spacing w:line="360" w:lineRule="auto"/>
        <w:rPr>
          <w:color w:val="auto"/>
          <w:sz w:val="24"/>
          <w:highlight w:val="none"/>
        </w:rPr>
      </w:pPr>
      <w:r>
        <w:rPr>
          <w:rFonts w:hint="eastAsia"/>
          <w:color w:val="auto"/>
          <w:sz w:val="24"/>
          <w:highlight w:val="none"/>
        </w:rPr>
        <w:t>机柜安装平稳、美观；</w:t>
      </w:r>
    </w:p>
    <w:p>
      <w:pPr>
        <w:numPr>
          <w:ilvl w:val="0"/>
          <w:numId w:val="22"/>
        </w:numPr>
        <w:snapToGrid w:val="0"/>
        <w:spacing w:line="360" w:lineRule="auto"/>
        <w:rPr>
          <w:color w:val="auto"/>
          <w:sz w:val="24"/>
          <w:highlight w:val="none"/>
        </w:rPr>
      </w:pPr>
      <w:r>
        <w:rPr>
          <w:rFonts w:hint="eastAsia"/>
          <w:color w:val="auto"/>
          <w:sz w:val="24"/>
          <w:highlight w:val="none"/>
        </w:rPr>
        <w:t>机柜的安装位置尽量靠近信号机柜、交警岗亭、变电箱等方便获取电源、光缆资源的地方；</w:t>
      </w:r>
    </w:p>
    <w:p>
      <w:pPr>
        <w:numPr>
          <w:ilvl w:val="0"/>
          <w:numId w:val="22"/>
        </w:numPr>
        <w:snapToGrid w:val="0"/>
        <w:spacing w:line="360" w:lineRule="auto"/>
        <w:rPr>
          <w:color w:val="auto"/>
          <w:sz w:val="24"/>
          <w:highlight w:val="none"/>
        </w:rPr>
      </w:pPr>
      <w:r>
        <w:rPr>
          <w:rFonts w:hint="eastAsia"/>
          <w:color w:val="auto"/>
          <w:sz w:val="24"/>
          <w:highlight w:val="none"/>
        </w:rPr>
        <w:t>当机柜安装在路边绿化带时，机柜门面向机动车道；</w:t>
      </w:r>
    </w:p>
    <w:p>
      <w:pPr>
        <w:numPr>
          <w:ilvl w:val="0"/>
          <w:numId w:val="22"/>
        </w:numPr>
        <w:snapToGrid w:val="0"/>
        <w:spacing w:line="360" w:lineRule="auto"/>
        <w:rPr>
          <w:color w:val="auto"/>
          <w:sz w:val="24"/>
          <w:highlight w:val="none"/>
        </w:rPr>
      </w:pPr>
      <w:r>
        <w:rPr>
          <w:rFonts w:hint="eastAsia"/>
          <w:color w:val="auto"/>
          <w:sz w:val="24"/>
          <w:highlight w:val="none"/>
        </w:rPr>
        <w:t>当机柜安装在机非隔离带时，机柜门面向非机动车道；</w:t>
      </w:r>
    </w:p>
    <w:p>
      <w:pPr>
        <w:numPr>
          <w:ilvl w:val="0"/>
          <w:numId w:val="22"/>
        </w:numPr>
        <w:snapToGrid w:val="0"/>
        <w:spacing w:line="360" w:lineRule="auto"/>
        <w:rPr>
          <w:color w:val="auto"/>
          <w:sz w:val="24"/>
          <w:highlight w:val="none"/>
        </w:rPr>
      </w:pPr>
      <w:r>
        <w:rPr>
          <w:rFonts w:hint="eastAsia"/>
          <w:color w:val="auto"/>
          <w:sz w:val="24"/>
          <w:highlight w:val="none"/>
        </w:rPr>
        <w:t>与其它机柜并排时，要求做到整齐、一致，包括机柜门的开关方向；</w:t>
      </w:r>
    </w:p>
    <w:p>
      <w:pPr>
        <w:numPr>
          <w:ilvl w:val="0"/>
          <w:numId w:val="22"/>
        </w:numPr>
        <w:snapToGrid w:val="0"/>
        <w:spacing w:line="360" w:lineRule="auto"/>
        <w:rPr>
          <w:color w:val="auto"/>
          <w:sz w:val="24"/>
          <w:highlight w:val="none"/>
        </w:rPr>
      </w:pPr>
      <w:r>
        <w:rPr>
          <w:rFonts w:hint="eastAsia"/>
          <w:color w:val="auto"/>
          <w:sz w:val="24"/>
          <w:highlight w:val="none"/>
        </w:rPr>
        <w:t>当若干机柜并排安装时，为了方便机柜小门的开启，要求小门位于开箱人的右手侧，并且两个机柜之间边沿间隔0.5米；</w:t>
      </w:r>
    </w:p>
    <w:p>
      <w:pPr>
        <w:numPr>
          <w:ilvl w:val="0"/>
          <w:numId w:val="22"/>
        </w:numPr>
        <w:snapToGrid w:val="0"/>
        <w:spacing w:line="360" w:lineRule="auto"/>
        <w:rPr>
          <w:color w:val="auto"/>
          <w:sz w:val="24"/>
          <w:highlight w:val="none"/>
        </w:rPr>
      </w:pPr>
      <w:r>
        <w:rPr>
          <w:rFonts w:hint="eastAsia"/>
          <w:color w:val="auto"/>
          <w:sz w:val="24"/>
          <w:highlight w:val="none"/>
        </w:rPr>
        <w:t>机柜内应放置该点所有设备的情况表、该点电路接线图（注明标签扎带上线缆代号的具体含义）；</w:t>
      </w:r>
    </w:p>
    <w:p>
      <w:pPr>
        <w:numPr>
          <w:ilvl w:val="0"/>
          <w:numId w:val="22"/>
        </w:numPr>
        <w:snapToGrid w:val="0"/>
        <w:spacing w:line="360" w:lineRule="auto"/>
        <w:rPr>
          <w:color w:val="auto"/>
          <w:sz w:val="24"/>
          <w:highlight w:val="none"/>
        </w:rPr>
      </w:pPr>
      <w:r>
        <w:rPr>
          <w:rFonts w:hint="eastAsia"/>
          <w:color w:val="auto"/>
          <w:sz w:val="24"/>
          <w:highlight w:val="none"/>
        </w:rPr>
        <w:t>机柜内接线对于多余的线缆要绑扎固定，线缆接线要美观，设备应用螺丝固定。本工程所有的机柜内设备摆放、接线要规范统一；</w:t>
      </w:r>
    </w:p>
    <w:p>
      <w:pPr>
        <w:numPr>
          <w:ilvl w:val="0"/>
          <w:numId w:val="22"/>
        </w:numPr>
        <w:snapToGrid w:val="0"/>
        <w:spacing w:line="360" w:lineRule="auto"/>
        <w:rPr>
          <w:color w:val="auto"/>
          <w:sz w:val="24"/>
          <w:highlight w:val="none"/>
        </w:rPr>
      </w:pPr>
      <w:r>
        <w:rPr>
          <w:rFonts w:hint="eastAsia"/>
          <w:color w:val="auto"/>
          <w:sz w:val="24"/>
          <w:highlight w:val="none"/>
        </w:rPr>
        <w:t>机柜内配置一个多功能插座，推荐用公牛防雷插座或同档次产品，该插座仅用于现场调试、维修连接相关调试、维修工具使用。正常运行的相关设备电源线应按电气性能要求分类接于机柜内各1P单级电源空开下端。</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悬挂式机柜安装要求</w:t>
      </w:r>
    </w:p>
    <w:p>
      <w:pPr>
        <w:snapToGrid w:val="0"/>
        <w:spacing w:line="360" w:lineRule="auto"/>
        <w:ind w:firstLine="480" w:firstLineChars="200"/>
        <w:rPr>
          <w:color w:val="auto"/>
          <w:sz w:val="24"/>
          <w:szCs w:val="21"/>
          <w:highlight w:val="none"/>
        </w:rPr>
      </w:pPr>
      <w:r>
        <w:rPr>
          <w:rFonts w:hint="eastAsia"/>
          <w:color w:val="auto"/>
          <w:sz w:val="24"/>
          <w:szCs w:val="21"/>
          <w:highlight w:val="none"/>
        </w:rPr>
        <w:t>悬挂式机柜应通过机柜抱箍将控制机柜固定于指定立杆上，并应满足以下要求：</w:t>
      </w:r>
    </w:p>
    <w:p>
      <w:pPr>
        <w:numPr>
          <w:ilvl w:val="0"/>
          <w:numId w:val="22"/>
        </w:numPr>
        <w:snapToGrid w:val="0"/>
        <w:spacing w:line="360" w:lineRule="auto"/>
        <w:rPr>
          <w:color w:val="auto"/>
          <w:sz w:val="24"/>
          <w:highlight w:val="none"/>
        </w:rPr>
      </w:pPr>
      <w:r>
        <w:rPr>
          <w:rFonts w:hint="eastAsia"/>
          <w:color w:val="auto"/>
          <w:sz w:val="24"/>
          <w:highlight w:val="none"/>
        </w:rPr>
        <w:t>根据现场实际情况选择机柜大门开启方向；</w:t>
      </w:r>
    </w:p>
    <w:p>
      <w:pPr>
        <w:numPr>
          <w:ilvl w:val="0"/>
          <w:numId w:val="22"/>
        </w:numPr>
        <w:snapToGrid w:val="0"/>
        <w:spacing w:line="360" w:lineRule="auto"/>
        <w:rPr>
          <w:color w:val="auto"/>
          <w:sz w:val="24"/>
          <w:highlight w:val="none"/>
        </w:rPr>
      </w:pPr>
      <w:r>
        <w:rPr>
          <w:rFonts w:hint="eastAsia"/>
          <w:color w:val="auto"/>
          <w:sz w:val="24"/>
          <w:highlight w:val="none"/>
        </w:rPr>
        <w:t>机柜底部应略高于立杆上腰形孔的位置；</w:t>
      </w:r>
    </w:p>
    <w:p>
      <w:pPr>
        <w:numPr>
          <w:ilvl w:val="0"/>
          <w:numId w:val="22"/>
        </w:numPr>
        <w:snapToGrid w:val="0"/>
        <w:spacing w:line="360" w:lineRule="auto"/>
        <w:rPr>
          <w:color w:val="auto"/>
          <w:sz w:val="24"/>
          <w:highlight w:val="none"/>
        </w:rPr>
      </w:pPr>
      <w:r>
        <w:rPr>
          <w:rFonts w:hint="eastAsia"/>
          <w:color w:val="auto"/>
          <w:sz w:val="24"/>
          <w:highlight w:val="none"/>
        </w:rPr>
        <w:t>机柜安装平整，无倾斜或左右不对称现象；</w:t>
      </w:r>
    </w:p>
    <w:p>
      <w:pPr>
        <w:numPr>
          <w:ilvl w:val="0"/>
          <w:numId w:val="22"/>
        </w:numPr>
        <w:snapToGrid w:val="0"/>
        <w:spacing w:line="360" w:lineRule="auto"/>
        <w:rPr>
          <w:color w:val="auto"/>
          <w:sz w:val="24"/>
          <w:highlight w:val="none"/>
        </w:rPr>
      </w:pPr>
      <w:r>
        <w:rPr>
          <w:rFonts w:hint="eastAsia"/>
          <w:color w:val="auto"/>
          <w:sz w:val="24"/>
          <w:highlight w:val="none"/>
        </w:rPr>
        <w:t>机柜高度应至少不影响车辆、行人通行；</w:t>
      </w:r>
    </w:p>
    <w:p>
      <w:pPr>
        <w:numPr>
          <w:ilvl w:val="0"/>
          <w:numId w:val="22"/>
        </w:numPr>
        <w:snapToGrid w:val="0"/>
        <w:spacing w:line="360" w:lineRule="auto"/>
        <w:rPr>
          <w:color w:val="auto"/>
          <w:sz w:val="24"/>
          <w:highlight w:val="none"/>
        </w:rPr>
      </w:pPr>
      <w:r>
        <w:rPr>
          <w:rFonts w:hint="eastAsia"/>
          <w:color w:val="auto"/>
          <w:sz w:val="24"/>
          <w:highlight w:val="none"/>
        </w:rPr>
        <w:t>机柜内应放置该杆件设备的接线图（注明标签扎带上线缆代号的具体含义）；</w:t>
      </w:r>
    </w:p>
    <w:p>
      <w:pPr>
        <w:numPr>
          <w:ilvl w:val="0"/>
          <w:numId w:val="22"/>
        </w:numPr>
        <w:snapToGrid w:val="0"/>
        <w:spacing w:line="360" w:lineRule="auto"/>
        <w:rPr>
          <w:color w:val="auto"/>
          <w:sz w:val="24"/>
          <w:highlight w:val="none"/>
        </w:rPr>
      </w:pPr>
      <w:r>
        <w:rPr>
          <w:rFonts w:hint="eastAsia"/>
          <w:color w:val="auto"/>
          <w:sz w:val="24"/>
          <w:highlight w:val="none"/>
        </w:rPr>
        <w:t>机柜内接线对于多余的线缆要绑扎固定，线缆接线要美观，设备应用螺丝固定。本工程所有的机柜内设备摆放、接线要规范统一；</w:t>
      </w:r>
    </w:p>
    <w:p>
      <w:pPr>
        <w:numPr>
          <w:ilvl w:val="0"/>
          <w:numId w:val="22"/>
        </w:numPr>
        <w:snapToGrid w:val="0"/>
        <w:spacing w:line="360" w:lineRule="auto"/>
        <w:rPr>
          <w:color w:val="auto"/>
          <w:sz w:val="24"/>
          <w:highlight w:val="none"/>
        </w:rPr>
      </w:pPr>
      <w:r>
        <w:rPr>
          <w:rFonts w:hint="eastAsia"/>
          <w:color w:val="auto"/>
          <w:sz w:val="24"/>
          <w:highlight w:val="none"/>
        </w:rPr>
        <w:t>机柜内不放置多功能插座。正常运行的相关设备电源线应按电器要求分类接于机柜内各1P单级电源空开下端。</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前端机柜基础</w:t>
      </w:r>
    </w:p>
    <w:p>
      <w:pPr>
        <w:numPr>
          <w:ilvl w:val="0"/>
          <w:numId w:val="22"/>
        </w:numPr>
        <w:snapToGrid w:val="0"/>
        <w:spacing w:line="360" w:lineRule="auto"/>
        <w:rPr>
          <w:color w:val="auto"/>
          <w:sz w:val="24"/>
          <w:highlight w:val="none"/>
        </w:rPr>
      </w:pPr>
      <w:r>
        <w:rPr>
          <w:rFonts w:hint="eastAsia"/>
          <w:color w:val="auto"/>
          <w:sz w:val="24"/>
          <w:highlight w:val="none"/>
        </w:rPr>
        <w:t>设备机箱基础埋入地下的深度应大于500mm，突出地面高度应大于100mm。基础的浇注、混凝土强度等级应符合GB50204的要求。</w:t>
      </w:r>
    </w:p>
    <w:p>
      <w:pPr>
        <w:numPr>
          <w:ilvl w:val="0"/>
          <w:numId w:val="22"/>
        </w:numPr>
        <w:snapToGrid w:val="0"/>
        <w:spacing w:line="360" w:lineRule="auto"/>
        <w:rPr>
          <w:color w:val="auto"/>
          <w:sz w:val="24"/>
          <w:highlight w:val="none"/>
        </w:rPr>
      </w:pPr>
      <w:r>
        <w:rPr>
          <w:rFonts w:hint="eastAsia"/>
          <w:color w:val="auto"/>
          <w:sz w:val="24"/>
          <w:highlight w:val="none"/>
        </w:rPr>
        <w:t>应采用地锚混凝土式基础。地脚螺栓上端为螺纹，下端为夹角小于60°的折弯，地脚螺栓焊接在下法兰盘上。除非图纸另有指定，所有机柜基础混凝土应为25#砼以上，其中水泥应为425号普通硅酸盐水泥，混凝土的配比和最小水泥用量应符合《普通混凝土配合比设计规程》（JGJ55）的规定。</w:t>
      </w:r>
    </w:p>
    <w:p>
      <w:pPr>
        <w:numPr>
          <w:ilvl w:val="0"/>
          <w:numId w:val="22"/>
        </w:numPr>
        <w:snapToGrid w:val="0"/>
        <w:spacing w:line="360" w:lineRule="auto"/>
        <w:rPr>
          <w:color w:val="auto"/>
          <w:sz w:val="24"/>
          <w:highlight w:val="none"/>
        </w:rPr>
      </w:pPr>
      <w:r>
        <w:rPr>
          <w:rFonts w:hint="eastAsia"/>
          <w:color w:val="auto"/>
          <w:sz w:val="24"/>
          <w:highlight w:val="none"/>
        </w:rPr>
        <w:t>机箱基础保护接地电阻应小于</w:t>
      </w:r>
      <w:r>
        <w:rPr>
          <w:color w:val="auto"/>
          <w:sz w:val="24"/>
          <w:highlight w:val="none"/>
        </w:rPr>
        <w:t>10</w:t>
      </w:r>
      <w:r>
        <w:rPr>
          <w:rFonts w:hint="eastAsia"/>
          <w:color w:val="auto"/>
          <w:sz w:val="24"/>
          <w:highlight w:val="none"/>
        </w:rPr>
        <w:t>Ω。</w:t>
      </w:r>
    </w:p>
    <w:p>
      <w:pPr>
        <w:numPr>
          <w:ilvl w:val="0"/>
          <w:numId w:val="22"/>
        </w:numPr>
        <w:snapToGrid w:val="0"/>
        <w:spacing w:line="360" w:lineRule="auto"/>
        <w:rPr>
          <w:color w:val="auto"/>
          <w:sz w:val="24"/>
          <w:highlight w:val="none"/>
        </w:rPr>
      </w:pPr>
      <w:r>
        <w:rPr>
          <w:rFonts w:hint="eastAsia"/>
          <w:color w:val="auto"/>
          <w:sz w:val="24"/>
          <w:highlight w:val="none"/>
        </w:rPr>
        <w:t>预埋件地脚螺栓法兰盘以上的螺纹在机箱安装前必须包扎好，以防损坏螺纹。</w:t>
      </w:r>
    </w:p>
    <w:p>
      <w:pPr>
        <w:numPr>
          <w:ilvl w:val="0"/>
          <w:numId w:val="22"/>
        </w:numPr>
        <w:snapToGrid w:val="0"/>
        <w:spacing w:line="360" w:lineRule="auto"/>
        <w:rPr>
          <w:color w:val="auto"/>
          <w:sz w:val="24"/>
          <w:highlight w:val="none"/>
        </w:rPr>
      </w:pPr>
      <w:r>
        <w:rPr>
          <w:rFonts w:hint="eastAsia"/>
          <w:color w:val="auto"/>
          <w:sz w:val="24"/>
          <w:highlight w:val="none"/>
        </w:rPr>
        <w:t>安装机箱后应保证机柜垂直，垂直误差应不超过10mm。</w:t>
      </w:r>
    </w:p>
    <w:p>
      <w:pPr>
        <w:numPr>
          <w:ilvl w:val="0"/>
          <w:numId w:val="22"/>
        </w:numPr>
        <w:snapToGrid w:val="0"/>
        <w:spacing w:line="360" w:lineRule="auto"/>
        <w:rPr>
          <w:color w:val="auto"/>
          <w:sz w:val="24"/>
          <w:highlight w:val="none"/>
        </w:rPr>
      </w:pPr>
      <w:r>
        <w:rPr>
          <w:rFonts w:hint="eastAsia"/>
          <w:color w:val="auto"/>
          <w:sz w:val="24"/>
          <w:highlight w:val="none"/>
        </w:rPr>
        <w:t>安装机箱后应确保机柜不侵入行车道建筑界限以内，不影响车辆正常通行。</w:t>
      </w:r>
    </w:p>
    <w:p>
      <w:pPr>
        <w:pStyle w:val="5"/>
        <w:snapToGrid w:val="0"/>
        <w:spacing w:before="0" w:after="0" w:line="360" w:lineRule="auto"/>
        <w:ind w:left="720" w:hanging="720"/>
        <w:rPr>
          <w:color w:val="auto"/>
          <w:highlight w:val="none"/>
        </w:rPr>
      </w:pPr>
      <w:bookmarkStart w:id="107" w:name="_Toc531874411"/>
      <w:bookmarkStart w:id="108" w:name="_Toc536016070"/>
      <w:bookmarkStart w:id="109" w:name="_Toc10102499"/>
      <w:bookmarkStart w:id="110" w:name="_Toc525311875"/>
      <w:r>
        <w:rPr>
          <w:rFonts w:hint="eastAsia"/>
          <w:color w:val="auto"/>
          <w:highlight w:val="none"/>
        </w:rPr>
        <w:t>管道</w:t>
      </w:r>
      <w:bookmarkEnd w:id="107"/>
      <w:bookmarkEnd w:id="108"/>
      <w:bookmarkEnd w:id="109"/>
      <w:bookmarkEnd w:id="110"/>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穿越机动车道的地下管道埋设</w:t>
      </w:r>
    </w:p>
    <w:p>
      <w:pPr>
        <w:numPr>
          <w:ilvl w:val="0"/>
          <w:numId w:val="22"/>
        </w:numPr>
        <w:snapToGrid w:val="0"/>
        <w:spacing w:line="360" w:lineRule="auto"/>
        <w:rPr>
          <w:color w:val="auto"/>
          <w:sz w:val="24"/>
          <w:highlight w:val="none"/>
        </w:rPr>
      </w:pPr>
      <w:r>
        <w:rPr>
          <w:rFonts w:hint="eastAsia"/>
          <w:color w:val="auto"/>
          <w:sz w:val="24"/>
          <w:highlight w:val="none"/>
        </w:rPr>
        <w:t>穿越机动车道的地下管道沟的宽度应不小于400mm或以当地市政府要求为准，深度以管道理置后其顶部距路面的距离不小于600mm为准。管道沟要求尽量平直，或略呈倒“U”字型；</w:t>
      </w:r>
    </w:p>
    <w:p>
      <w:pPr>
        <w:numPr>
          <w:ilvl w:val="0"/>
          <w:numId w:val="22"/>
        </w:numPr>
        <w:snapToGrid w:val="0"/>
        <w:spacing w:line="360" w:lineRule="auto"/>
        <w:rPr>
          <w:color w:val="auto"/>
          <w:sz w:val="24"/>
          <w:highlight w:val="none"/>
        </w:rPr>
      </w:pPr>
      <w:r>
        <w:rPr>
          <w:rFonts w:hint="eastAsia"/>
          <w:color w:val="auto"/>
          <w:sz w:val="24"/>
          <w:highlight w:val="none"/>
        </w:rPr>
        <w:t>管道沟底部要求平整，所有碎屑清理干净并填上50～80mm的细软沙土。管道周围须包有足够强度的混凝土防护层。管道施工路面恢复材料应与道路建设材料一致，恢复后施工作业面平整度应与路面平整度保持一致；</w:t>
      </w:r>
    </w:p>
    <w:p>
      <w:pPr>
        <w:numPr>
          <w:ilvl w:val="0"/>
          <w:numId w:val="22"/>
        </w:numPr>
        <w:snapToGrid w:val="0"/>
        <w:spacing w:line="360" w:lineRule="auto"/>
        <w:rPr>
          <w:color w:val="auto"/>
          <w:sz w:val="24"/>
          <w:highlight w:val="none"/>
        </w:rPr>
      </w:pPr>
      <w:r>
        <w:rPr>
          <w:rFonts w:hint="eastAsia"/>
          <w:color w:val="auto"/>
          <w:sz w:val="24"/>
          <w:highlight w:val="none"/>
        </w:rPr>
        <w:t>穿越机动车道的地下</w:t>
      </w:r>
      <w:r>
        <w:rPr>
          <w:color w:val="auto"/>
          <w:sz w:val="24"/>
          <w:highlight w:val="none"/>
        </w:rPr>
        <w:t>顶管</w:t>
      </w:r>
      <w:r>
        <w:rPr>
          <w:rFonts w:hint="eastAsia"/>
          <w:color w:val="auto"/>
          <w:sz w:val="24"/>
          <w:highlight w:val="none"/>
        </w:rPr>
        <w:t>管道采PE用管。每方向须埋设每段2根独立管道，管的公称口径应不小于Ф50mm。</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非机动车道、人行道或绿化带的地下管道埋设</w:t>
      </w:r>
    </w:p>
    <w:p>
      <w:pPr>
        <w:numPr>
          <w:ilvl w:val="0"/>
          <w:numId w:val="22"/>
        </w:numPr>
        <w:snapToGrid w:val="0"/>
        <w:spacing w:line="360" w:lineRule="auto"/>
        <w:rPr>
          <w:color w:val="auto"/>
          <w:sz w:val="24"/>
          <w:highlight w:val="none"/>
        </w:rPr>
      </w:pPr>
      <w:r>
        <w:rPr>
          <w:rFonts w:hint="eastAsia"/>
          <w:color w:val="auto"/>
          <w:sz w:val="24"/>
          <w:highlight w:val="none"/>
        </w:rPr>
        <w:t>穿越非机动车道、人行道或绿化带下的地下管道沟的宽度应不小于300mm或以当地市政府要求为准，深度以管道理置后其顶部距路面的距离应不小于500mm为准。管道沟要求尽量平直，或略呈倒“U”字型；</w:t>
      </w:r>
    </w:p>
    <w:p>
      <w:pPr>
        <w:numPr>
          <w:ilvl w:val="0"/>
          <w:numId w:val="22"/>
        </w:numPr>
        <w:snapToGrid w:val="0"/>
        <w:spacing w:line="360" w:lineRule="auto"/>
        <w:rPr>
          <w:color w:val="auto"/>
          <w:sz w:val="24"/>
          <w:highlight w:val="none"/>
        </w:rPr>
      </w:pPr>
      <w:r>
        <w:rPr>
          <w:rFonts w:hint="eastAsia"/>
          <w:color w:val="auto"/>
          <w:sz w:val="24"/>
          <w:highlight w:val="none"/>
        </w:rPr>
        <w:t>管道沟底部要求平整，所有碎屑清理干净并填上50～80mm的细软沙土。不设手孔井的拐弯处线管的圆角半径要求R≥20D（D为电缆外径），且线管转向应圆滑、流畅；</w:t>
      </w:r>
    </w:p>
    <w:p>
      <w:pPr>
        <w:numPr>
          <w:ilvl w:val="0"/>
          <w:numId w:val="22"/>
        </w:numPr>
        <w:snapToGrid w:val="0"/>
        <w:spacing w:line="360" w:lineRule="auto"/>
        <w:rPr>
          <w:color w:val="auto"/>
          <w:sz w:val="24"/>
          <w:highlight w:val="none"/>
        </w:rPr>
      </w:pPr>
      <w:r>
        <w:rPr>
          <w:rFonts w:hint="eastAsia"/>
          <w:color w:val="auto"/>
          <w:sz w:val="24"/>
          <w:highlight w:val="none"/>
        </w:rPr>
        <w:t>穿越非机动车道、人行道或绿化带下的地下管道采用高强度的PE管，数量为每段2根。管的公称口径应为Ф50mm，并穿好铁丝；</w:t>
      </w:r>
    </w:p>
    <w:p>
      <w:pPr>
        <w:numPr>
          <w:ilvl w:val="0"/>
          <w:numId w:val="22"/>
        </w:numPr>
        <w:snapToGrid w:val="0"/>
        <w:spacing w:line="360" w:lineRule="auto"/>
        <w:rPr>
          <w:color w:val="auto"/>
          <w:sz w:val="24"/>
          <w:highlight w:val="none"/>
        </w:rPr>
      </w:pPr>
      <w:r>
        <w:rPr>
          <w:rFonts w:hint="eastAsia"/>
          <w:color w:val="auto"/>
          <w:sz w:val="24"/>
          <w:highlight w:val="none"/>
        </w:rPr>
        <w:t>管与管的接头处应使用套管固定，在管道端口处应使用防鼠护套。管道施工路面恢复材料应与道路建设材料一致，恢复后施工作业面平整度应与路面平整度保持一致。</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沿天桥或涵洞敷设</w:t>
      </w:r>
    </w:p>
    <w:p>
      <w:pPr>
        <w:snapToGrid w:val="0"/>
        <w:spacing w:line="360" w:lineRule="auto"/>
        <w:ind w:firstLine="480" w:firstLineChars="200"/>
        <w:rPr>
          <w:color w:val="auto"/>
          <w:sz w:val="24"/>
          <w:szCs w:val="21"/>
          <w:highlight w:val="none"/>
        </w:rPr>
      </w:pPr>
      <w:r>
        <w:rPr>
          <w:rFonts w:hint="eastAsia"/>
          <w:color w:val="auto"/>
          <w:sz w:val="24"/>
          <w:szCs w:val="21"/>
          <w:highlight w:val="none"/>
        </w:rPr>
        <w:t>沿天桥或涵洞敷设线缆时，均须在线缆外部安装保护套管。保护套管应采用高强度PE管，管的公称口径应为Ф50mm，每段敷设2根。保护套管敷设时，应每隔小于3米处固定牢固。</w:t>
      </w:r>
    </w:p>
    <w:p>
      <w:pPr>
        <w:pStyle w:val="5"/>
        <w:snapToGrid w:val="0"/>
        <w:spacing w:before="0" w:after="0" w:line="360" w:lineRule="auto"/>
        <w:ind w:left="720" w:hanging="720"/>
        <w:rPr>
          <w:color w:val="auto"/>
          <w:highlight w:val="none"/>
        </w:rPr>
      </w:pPr>
      <w:bookmarkStart w:id="111" w:name="_Toc536016071"/>
      <w:bookmarkStart w:id="112" w:name="_Toc531874412"/>
      <w:bookmarkStart w:id="113" w:name="_Toc525311876"/>
      <w:bookmarkStart w:id="114" w:name="_Toc10102500"/>
      <w:r>
        <w:rPr>
          <w:rFonts w:hint="eastAsia"/>
          <w:color w:val="auto"/>
          <w:highlight w:val="none"/>
        </w:rPr>
        <w:t>窨井</w:t>
      </w:r>
      <w:bookmarkEnd w:id="111"/>
      <w:bookmarkEnd w:id="112"/>
      <w:bookmarkEnd w:id="113"/>
      <w:bookmarkEnd w:id="114"/>
    </w:p>
    <w:p>
      <w:pPr>
        <w:numPr>
          <w:ilvl w:val="0"/>
          <w:numId w:val="22"/>
        </w:numPr>
        <w:snapToGrid w:val="0"/>
        <w:spacing w:line="360" w:lineRule="auto"/>
        <w:rPr>
          <w:color w:val="auto"/>
          <w:sz w:val="24"/>
          <w:highlight w:val="none"/>
        </w:rPr>
      </w:pPr>
      <w:r>
        <w:rPr>
          <w:rFonts w:hint="eastAsia"/>
          <w:color w:val="auto"/>
          <w:sz w:val="24"/>
          <w:highlight w:val="none"/>
        </w:rPr>
        <w:t>杆件旁、电缆拐弯处、电缆管直线长度超过50米或两端电缆管不在同一平面相距100mm已上时，须设置窨井；</w:t>
      </w:r>
    </w:p>
    <w:p>
      <w:pPr>
        <w:numPr>
          <w:ilvl w:val="0"/>
          <w:numId w:val="22"/>
        </w:numPr>
        <w:snapToGrid w:val="0"/>
        <w:spacing w:line="360" w:lineRule="auto"/>
        <w:rPr>
          <w:color w:val="auto"/>
          <w:sz w:val="24"/>
          <w:highlight w:val="none"/>
        </w:rPr>
      </w:pPr>
      <w:r>
        <w:rPr>
          <w:rFonts w:hint="eastAsia"/>
          <w:color w:val="auto"/>
          <w:sz w:val="24"/>
          <w:highlight w:val="none"/>
        </w:rPr>
        <w:t>手井尺寸不小于</w:t>
      </w:r>
      <w:r>
        <w:rPr>
          <w:color w:val="auto"/>
          <w:sz w:val="24"/>
          <w:highlight w:val="none"/>
        </w:rPr>
        <w:t>5</w:t>
      </w:r>
      <w:r>
        <w:rPr>
          <w:rFonts w:hint="eastAsia"/>
          <w:color w:val="auto"/>
          <w:sz w:val="24"/>
          <w:highlight w:val="none"/>
        </w:rPr>
        <w:t>00mm*</w:t>
      </w:r>
      <w:r>
        <w:rPr>
          <w:color w:val="auto"/>
          <w:sz w:val="24"/>
          <w:highlight w:val="none"/>
        </w:rPr>
        <w:t>5</w:t>
      </w:r>
      <w:r>
        <w:rPr>
          <w:rFonts w:hint="eastAsia"/>
          <w:color w:val="auto"/>
          <w:sz w:val="24"/>
          <w:highlight w:val="none"/>
        </w:rPr>
        <w:t>00mm；</w:t>
      </w:r>
    </w:p>
    <w:p>
      <w:pPr>
        <w:numPr>
          <w:ilvl w:val="0"/>
          <w:numId w:val="22"/>
        </w:numPr>
        <w:snapToGrid w:val="0"/>
        <w:spacing w:line="360" w:lineRule="auto"/>
        <w:rPr>
          <w:color w:val="auto"/>
          <w:sz w:val="24"/>
          <w:highlight w:val="none"/>
        </w:rPr>
      </w:pPr>
      <w:r>
        <w:rPr>
          <w:rFonts w:hint="eastAsia"/>
          <w:color w:val="auto"/>
          <w:sz w:val="24"/>
          <w:highlight w:val="none"/>
        </w:rPr>
        <w:t>窨井应设置有专用标记的窨井盖，窨井盖材质应采用复合材料。</w:t>
      </w:r>
    </w:p>
    <w:p>
      <w:pPr>
        <w:pStyle w:val="5"/>
        <w:snapToGrid w:val="0"/>
        <w:spacing w:before="0" w:after="0" w:line="360" w:lineRule="auto"/>
        <w:ind w:left="720" w:hanging="720"/>
        <w:rPr>
          <w:color w:val="auto"/>
          <w:highlight w:val="none"/>
        </w:rPr>
      </w:pPr>
      <w:bookmarkStart w:id="115" w:name="_Toc525311877"/>
      <w:bookmarkStart w:id="116" w:name="_Toc531874413"/>
      <w:bookmarkStart w:id="117" w:name="_Toc10102501"/>
      <w:bookmarkStart w:id="118" w:name="_Toc536016072"/>
      <w:r>
        <w:rPr>
          <w:rFonts w:hint="eastAsia"/>
          <w:color w:val="auto"/>
          <w:highlight w:val="none"/>
        </w:rPr>
        <w:t>线缆及敷设</w:t>
      </w:r>
      <w:bookmarkEnd w:id="115"/>
      <w:bookmarkEnd w:id="116"/>
      <w:bookmarkEnd w:id="117"/>
      <w:bookmarkEnd w:id="118"/>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线缆技术要求</w:t>
      </w:r>
    </w:p>
    <w:p>
      <w:pPr>
        <w:numPr>
          <w:ilvl w:val="0"/>
          <w:numId w:val="22"/>
        </w:numPr>
        <w:snapToGrid w:val="0"/>
        <w:spacing w:line="360" w:lineRule="auto"/>
        <w:rPr>
          <w:color w:val="auto"/>
          <w:sz w:val="24"/>
          <w:highlight w:val="none"/>
        </w:rPr>
      </w:pPr>
      <w:r>
        <w:rPr>
          <w:rFonts w:hint="eastAsia"/>
          <w:color w:val="auto"/>
          <w:sz w:val="24"/>
          <w:highlight w:val="none"/>
        </w:rPr>
        <w:t>电源线缆：前端取电电源线≥RVV3*2.5mm</w:t>
      </w:r>
      <w:r>
        <w:rPr>
          <w:rFonts w:hint="eastAsia"/>
          <w:color w:val="auto"/>
          <w:sz w:val="24"/>
          <w:highlight w:val="none"/>
          <w:vertAlign w:val="superscript"/>
        </w:rPr>
        <w:t>2</w:t>
      </w:r>
      <w:r>
        <w:rPr>
          <w:rFonts w:hint="eastAsia"/>
          <w:color w:val="auto"/>
          <w:sz w:val="24"/>
          <w:highlight w:val="none"/>
        </w:rPr>
        <w:t>；用于路口落地主主机柜至路口电表总电源的接电,以及各方向抱杆机柜至路口落地主机柜电源的接电。前端设备电源线应采用铜芯聚氯乙烯绝缘护套软线。每根电缆线为3芯，线缆规格为RVV3*1.5型线缆或同等性能的其它规格线缆；</w:t>
      </w:r>
    </w:p>
    <w:p>
      <w:pPr>
        <w:numPr>
          <w:ilvl w:val="0"/>
          <w:numId w:val="22"/>
        </w:numPr>
        <w:snapToGrid w:val="0"/>
        <w:spacing w:line="360" w:lineRule="auto"/>
        <w:rPr>
          <w:color w:val="auto"/>
          <w:sz w:val="24"/>
          <w:highlight w:val="none"/>
        </w:rPr>
      </w:pPr>
      <w:r>
        <w:rPr>
          <w:rFonts w:hint="eastAsia"/>
          <w:color w:val="auto"/>
          <w:sz w:val="24"/>
          <w:highlight w:val="none"/>
        </w:rPr>
        <w:t>补光灯控制线缆：应采用铜芯聚氯乙烯绝缘护套两芯平行软线。每根电缆线为2芯，线缆规格为RVVSP2*1.0型线缆或同等性能的其它规格线缆；</w:t>
      </w:r>
    </w:p>
    <w:p>
      <w:pPr>
        <w:numPr>
          <w:ilvl w:val="0"/>
          <w:numId w:val="22"/>
        </w:numPr>
        <w:snapToGrid w:val="0"/>
        <w:spacing w:line="360" w:lineRule="auto"/>
        <w:rPr>
          <w:color w:val="auto"/>
          <w:sz w:val="24"/>
          <w:highlight w:val="none"/>
        </w:rPr>
      </w:pPr>
      <w:r>
        <w:rPr>
          <w:rFonts w:hint="eastAsia"/>
          <w:color w:val="auto"/>
          <w:sz w:val="24"/>
          <w:highlight w:val="none"/>
        </w:rPr>
        <w:t>信号控制线：信号灯控制线选用RVV4*1mm</w:t>
      </w:r>
      <w:r>
        <w:rPr>
          <w:rFonts w:hint="eastAsia"/>
          <w:color w:val="auto"/>
          <w:sz w:val="24"/>
          <w:highlight w:val="none"/>
          <w:vertAlign w:val="superscript"/>
        </w:rPr>
        <w:t>2</w:t>
      </w:r>
      <w:r>
        <w:rPr>
          <w:rFonts w:hint="eastAsia"/>
          <w:color w:val="auto"/>
          <w:sz w:val="24"/>
          <w:highlight w:val="none"/>
        </w:rPr>
        <w:t xml:space="preserve"> 型号控制线，从信号机连接至信号灯；</w:t>
      </w:r>
    </w:p>
    <w:p>
      <w:pPr>
        <w:numPr>
          <w:ilvl w:val="0"/>
          <w:numId w:val="22"/>
        </w:numPr>
        <w:snapToGrid w:val="0"/>
        <w:spacing w:line="360" w:lineRule="auto"/>
        <w:rPr>
          <w:color w:val="auto"/>
          <w:sz w:val="24"/>
          <w:highlight w:val="none"/>
        </w:rPr>
      </w:pPr>
      <w:r>
        <w:rPr>
          <w:rFonts w:hint="eastAsia"/>
          <w:color w:val="auto"/>
          <w:sz w:val="24"/>
          <w:highlight w:val="none"/>
        </w:rPr>
        <w:t>信号灯检测线：信号灯控制线选用RVV4*1mm</w:t>
      </w:r>
      <w:r>
        <w:rPr>
          <w:rFonts w:hint="eastAsia"/>
          <w:color w:val="auto"/>
          <w:sz w:val="24"/>
          <w:highlight w:val="none"/>
          <w:vertAlign w:val="superscript"/>
        </w:rPr>
        <w:t>2</w:t>
      </w:r>
      <w:r>
        <w:rPr>
          <w:rFonts w:hint="eastAsia"/>
          <w:color w:val="auto"/>
          <w:sz w:val="24"/>
          <w:highlight w:val="none"/>
        </w:rPr>
        <w:t xml:space="preserve"> 型号控制线； </w:t>
      </w:r>
    </w:p>
    <w:p>
      <w:pPr>
        <w:numPr>
          <w:ilvl w:val="0"/>
          <w:numId w:val="22"/>
        </w:numPr>
        <w:snapToGrid w:val="0"/>
        <w:spacing w:line="360" w:lineRule="auto"/>
        <w:rPr>
          <w:color w:val="auto"/>
          <w:sz w:val="24"/>
          <w:highlight w:val="none"/>
        </w:rPr>
      </w:pPr>
      <w:r>
        <w:rPr>
          <w:rFonts w:hint="eastAsia"/>
          <w:color w:val="auto"/>
          <w:sz w:val="24"/>
          <w:highlight w:val="none"/>
        </w:rPr>
        <w:t>光纤光缆：用于方向设备机箱内通讯设备与路口设备机柜内通信设备之间的信息交互。应采用单模光纤光缆，芯数不少于4芯。投标人一旦成为承包商后须负责光纤光缆与光纤收发器尾纤的的熔接工作；</w:t>
      </w:r>
    </w:p>
    <w:p>
      <w:pPr>
        <w:numPr>
          <w:ilvl w:val="0"/>
          <w:numId w:val="22"/>
        </w:numPr>
        <w:snapToGrid w:val="0"/>
        <w:spacing w:line="360" w:lineRule="auto"/>
        <w:rPr>
          <w:color w:val="auto"/>
          <w:sz w:val="24"/>
          <w:highlight w:val="none"/>
        </w:rPr>
      </w:pPr>
      <w:r>
        <w:rPr>
          <w:rFonts w:hint="eastAsia"/>
          <w:color w:val="auto"/>
          <w:sz w:val="24"/>
          <w:highlight w:val="none"/>
        </w:rPr>
        <w:t>网线：采用超五类带屏蔽网线；</w:t>
      </w:r>
    </w:p>
    <w:p>
      <w:pPr>
        <w:numPr>
          <w:ilvl w:val="0"/>
          <w:numId w:val="22"/>
        </w:numPr>
        <w:snapToGrid w:val="0"/>
        <w:spacing w:line="360" w:lineRule="auto"/>
        <w:rPr>
          <w:color w:val="auto"/>
          <w:sz w:val="24"/>
          <w:highlight w:val="none"/>
        </w:rPr>
      </w:pPr>
      <w:r>
        <w:rPr>
          <w:rFonts w:hint="eastAsia"/>
          <w:color w:val="auto"/>
          <w:sz w:val="24"/>
          <w:highlight w:val="none"/>
        </w:rPr>
        <w:t>地接线：设备保护接地线和防雷接地线使用软铜绞线，其截面应不小于10mm</w:t>
      </w:r>
      <w:r>
        <w:rPr>
          <w:rFonts w:hint="eastAsia"/>
          <w:color w:val="auto"/>
          <w:sz w:val="24"/>
          <w:highlight w:val="none"/>
          <w:vertAlign w:val="superscript"/>
        </w:rPr>
        <w:t>2</w:t>
      </w:r>
      <w:r>
        <w:rPr>
          <w:rFonts w:hint="eastAsia"/>
          <w:color w:val="auto"/>
          <w:sz w:val="24"/>
          <w:highlight w:val="none"/>
        </w:rPr>
        <w:t>。</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线缆敷设要求</w:t>
      </w:r>
    </w:p>
    <w:p>
      <w:pPr>
        <w:numPr>
          <w:ilvl w:val="0"/>
          <w:numId w:val="22"/>
        </w:numPr>
        <w:snapToGrid w:val="0"/>
        <w:spacing w:line="360" w:lineRule="auto"/>
        <w:rPr>
          <w:color w:val="auto"/>
          <w:sz w:val="24"/>
          <w:highlight w:val="none"/>
        </w:rPr>
      </w:pPr>
      <w:r>
        <w:rPr>
          <w:rFonts w:hint="eastAsia"/>
          <w:color w:val="auto"/>
          <w:sz w:val="24"/>
          <w:highlight w:val="none"/>
        </w:rPr>
        <w:t>线缆敷设方式采用管道敷设；</w:t>
      </w:r>
    </w:p>
    <w:p>
      <w:pPr>
        <w:numPr>
          <w:ilvl w:val="0"/>
          <w:numId w:val="22"/>
        </w:numPr>
        <w:snapToGrid w:val="0"/>
        <w:spacing w:line="360" w:lineRule="auto"/>
        <w:rPr>
          <w:color w:val="auto"/>
          <w:sz w:val="24"/>
          <w:highlight w:val="none"/>
        </w:rPr>
      </w:pPr>
      <w:r>
        <w:rPr>
          <w:rFonts w:hint="eastAsia"/>
          <w:color w:val="auto"/>
          <w:sz w:val="24"/>
          <w:highlight w:val="none"/>
        </w:rPr>
        <w:t>线缆管道敷设时，横穿机动车道的强电电缆与弱电线缆、通信光缆应在不同的管线中敷设。根据路口实际、功能要求等，横跨过机动车道、非机动车道、柏油路基、水泥路基的管路必须顶管；</w:t>
      </w:r>
    </w:p>
    <w:p>
      <w:pPr>
        <w:numPr>
          <w:ilvl w:val="0"/>
          <w:numId w:val="22"/>
        </w:numPr>
        <w:snapToGrid w:val="0"/>
        <w:spacing w:line="360" w:lineRule="auto"/>
        <w:rPr>
          <w:color w:val="auto"/>
          <w:sz w:val="24"/>
          <w:highlight w:val="none"/>
        </w:rPr>
      </w:pPr>
      <w:r>
        <w:rPr>
          <w:rFonts w:hint="eastAsia"/>
          <w:color w:val="auto"/>
          <w:sz w:val="24"/>
          <w:highlight w:val="none"/>
        </w:rPr>
        <w:t>切断线缆时金属屑及污物应不进入线缆；</w:t>
      </w:r>
    </w:p>
    <w:p>
      <w:pPr>
        <w:numPr>
          <w:ilvl w:val="0"/>
          <w:numId w:val="22"/>
        </w:numPr>
        <w:snapToGrid w:val="0"/>
        <w:spacing w:line="360" w:lineRule="auto"/>
        <w:rPr>
          <w:color w:val="auto"/>
          <w:sz w:val="24"/>
          <w:highlight w:val="none"/>
        </w:rPr>
      </w:pPr>
      <w:r>
        <w:rPr>
          <w:rFonts w:hint="eastAsia"/>
          <w:color w:val="auto"/>
          <w:sz w:val="24"/>
          <w:highlight w:val="none"/>
        </w:rPr>
        <w:t>管道内线缆敷设时应排列整齐，同时需加以固定并及时加以标识。</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线缆标识要求</w:t>
      </w:r>
    </w:p>
    <w:p>
      <w:pPr>
        <w:numPr>
          <w:ilvl w:val="0"/>
          <w:numId w:val="22"/>
        </w:numPr>
        <w:snapToGrid w:val="0"/>
        <w:spacing w:line="360" w:lineRule="auto"/>
        <w:rPr>
          <w:color w:val="auto"/>
          <w:sz w:val="24"/>
          <w:highlight w:val="none"/>
        </w:rPr>
      </w:pPr>
      <w:r>
        <w:rPr>
          <w:rFonts w:hint="eastAsia"/>
          <w:color w:val="auto"/>
          <w:sz w:val="24"/>
          <w:highlight w:val="none"/>
        </w:rPr>
        <w:t>在线缆终端头、接头、拐弯处、管道的两端、窨井内等处的线缆上应装设标识；</w:t>
      </w:r>
    </w:p>
    <w:p>
      <w:pPr>
        <w:numPr>
          <w:ilvl w:val="0"/>
          <w:numId w:val="22"/>
        </w:numPr>
        <w:snapToGrid w:val="0"/>
        <w:spacing w:line="360" w:lineRule="auto"/>
        <w:rPr>
          <w:color w:val="auto"/>
          <w:sz w:val="24"/>
          <w:highlight w:val="none"/>
        </w:rPr>
      </w:pPr>
      <w:r>
        <w:rPr>
          <w:rFonts w:hint="eastAsia"/>
          <w:color w:val="auto"/>
          <w:sz w:val="24"/>
          <w:highlight w:val="none"/>
        </w:rPr>
        <w:t>标识上注明线路编号，无编号时，注明起迄地点，并联使用的线缆应有顺序号。标识的字迹应清晰不易脱落；</w:t>
      </w:r>
    </w:p>
    <w:p>
      <w:pPr>
        <w:numPr>
          <w:ilvl w:val="0"/>
          <w:numId w:val="22"/>
        </w:numPr>
        <w:snapToGrid w:val="0"/>
        <w:spacing w:line="360" w:lineRule="auto"/>
        <w:rPr>
          <w:color w:val="auto"/>
          <w:sz w:val="24"/>
          <w:highlight w:val="none"/>
        </w:rPr>
      </w:pPr>
      <w:r>
        <w:rPr>
          <w:rFonts w:hint="eastAsia"/>
          <w:color w:val="auto"/>
          <w:sz w:val="24"/>
          <w:highlight w:val="none"/>
        </w:rPr>
        <w:t>线缆穿入管道时，出入口应封闭。管道内敷设的线缆无接头。每根线缆在每个窨井中应留有不小于2m的余量。</w:t>
      </w:r>
    </w:p>
    <w:p>
      <w:pPr>
        <w:pStyle w:val="5"/>
        <w:snapToGrid w:val="0"/>
        <w:spacing w:before="0" w:after="0" w:line="360" w:lineRule="auto"/>
        <w:ind w:left="720" w:hanging="720"/>
        <w:rPr>
          <w:color w:val="auto"/>
          <w:highlight w:val="none"/>
        </w:rPr>
      </w:pPr>
      <w:bookmarkStart w:id="119" w:name="_Toc531874414"/>
      <w:bookmarkStart w:id="120" w:name="_Toc536016073"/>
      <w:bookmarkStart w:id="121" w:name="_Toc10102502"/>
      <w:bookmarkStart w:id="122" w:name="_Toc525311878"/>
      <w:r>
        <w:rPr>
          <w:rFonts w:hint="eastAsia"/>
          <w:color w:val="auto"/>
          <w:highlight w:val="none"/>
        </w:rPr>
        <w:t>接地及防雷</w:t>
      </w:r>
      <w:bookmarkEnd w:id="119"/>
      <w:bookmarkEnd w:id="120"/>
      <w:bookmarkEnd w:id="121"/>
      <w:bookmarkEnd w:id="122"/>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杆件接地</w:t>
      </w:r>
    </w:p>
    <w:p>
      <w:pPr>
        <w:numPr>
          <w:ilvl w:val="0"/>
          <w:numId w:val="22"/>
        </w:numPr>
        <w:snapToGrid w:val="0"/>
        <w:spacing w:line="360" w:lineRule="auto"/>
        <w:rPr>
          <w:color w:val="auto"/>
          <w:sz w:val="24"/>
          <w:highlight w:val="none"/>
        </w:rPr>
      </w:pPr>
      <w:r>
        <w:rPr>
          <w:rFonts w:hint="eastAsia"/>
          <w:color w:val="auto"/>
          <w:sz w:val="24"/>
          <w:highlight w:val="none"/>
        </w:rPr>
        <w:t>杆件应安装保护地线，保护地线可使用规格为 40mm×4mm 以上的镀锌扁钢制作，焊接到每个钢制杆件的法兰盘上。焊接处应作防腐处理。保护地线应与接地体有效连接，接地电阻 应小于</w:t>
      </w:r>
      <w:r>
        <w:rPr>
          <w:color w:val="auto"/>
          <w:sz w:val="24"/>
          <w:highlight w:val="none"/>
        </w:rPr>
        <w:t>10</w:t>
      </w:r>
      <w:r>
        <w:rPr>
          <w:rFonts w:hint="eastAsia"/>
          <w:color w:val="auto"/>
          <w:sz w:val="24"/>
          <w:highlight w:val="none"/>
        </w:rPr>
        <w:t>Ω；</w:t>
      </w:r>
    </w:p>
    <w:p>
      <w:pPr>
        <w:numPr>
          <w:ilvl w:val="0"/>
          <w:numId w:val="22"/>
        </w:numPr>
        <w:snapToGrid w:val="0"/>
        <w:spacing w:line="360" w:lineRule="auto"/>
        <w:rPr>
          <w:color w:val="auto"/>
          <w:sz w:val="24"/>
          <w:highlight w:val="none"/>
        </w:rPr>
      </w:pPr>
      <w:r>
        <w:rPr>
          <w:rFonts w:hint="eastAsia"/>
          <w:color w:val="auto"/>
          <w:sz w:val="24"/>
          <w:highlight w:val="none"/>
        </w:rPr>
        <w:t>接地体施工应符合《电气装置安装工程接地装置施工及验收规范 GB50169—2006》的规定。</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设备机箱接地</w:t>
      </w:r>
    </w:p>
    <w:p>
      <w:pPr>
        <w:numPr>
          <w:ilvl w:val="0"/>
          <w:numId w:val="22"/>
        </w:numPr>
        <w:snapToGrid w:val="0"/>
        <w:spacing w:line="360" w:lineRule="auto"/>
        <w:rPr>
          <w:color w:val="auto"/>
          <w:sz w:val="24"/>
          <w:highlight w:val="none"/>
        </w:rPr>
      </w:pPr>
      <w:r>
        <w:rPr>
          <w:rFonts w:hint="eastAsia"/>
          <w:color w:val="auto"/>
          <w:sz w:val="24"/>
          <w:highlight w:val="none"/>
        </w:rPr>
        <w:t xml:space="preserve">设备机箱的专用接地铜排应与接地体有效连接，接地电阻应小于 </w:t>
      </w:r>
      <w:r>
        <w:rPr>
          <w:color w:val="auto"/>
          <w:sz w:val="24"/>
          <w:highlight w:val="none"/>
        </w:rPr>
        <w:t>10</w:t>
      </w:r>
      <w:r>
        <w:rPr>
          <w:rFonts w:hint="eastAsia"/>
          <w:color w:val="auto"/>
          <w:sz w:val="24"/>
          <w:highlight w:val="none"/>
        </w:rPr>
        <w:t>Ω。</w:t>
      </w:r>
    </w:p>
    <w:p>
      <w:pPr>
        <w:numPr>
          <w:ilvl w:val="0"/>
          <w:numId w:val="22"/>
        </w:numPr>
        <w:snapToGrid w:val="0"/>
        <w:spacing w:line="360" w:lineRule="auto"/>
        <w:rPr>
          <w:color w:val="auto"/>
          <w:sz w:val="24"/>
          <w:highlight w:val="none"/>
        </w:rPr>
      </w:pPr>
      <w:r>
        <w:rPr>
          <w:rFonts w:hint="eastAsia"/>
          <w:color w:val="auto"/>
          <w:sz w:val="24"/>
          <w:highlight w:val="none"/>
        </w:rPr>
        <w:t>引入设备机箱的接地线应使用软铜绞线，其截面不得小于 10mm</w:t>
      </w:r>
      <w:r>
        <w:rPr>
          <w:rFonts w:hint="eastAsia"/>
          <w:color w:val="auto"/>
          <w:sz w:val="24"/>
          <w:highlight w:val="none"/>
          <w:vertAlign w:val="superscript"/>
        </w:rPr>
        <w:t>2</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接地体施工应符合《电气装置安装工程接地装置施工及验收规范 GB50169—2006》的规定。</w:t>
      </w:r>
    </w:p>
    <w:p>
      <w:pPr>
        <w:numPr>
          <w:ilvl w:val="0"/>
          <w:numId w:val="22"/>
        </w:numPr>
        <w:snapToGrid w:val="0"/>
        <w:spacing w:line="360" w:lineRule="auto"/>
        <w:rPr>
          <w:color w:val="auto"/>
          <w:sz w:val="24"/>
          <w:highlight w:val="none"/>
        </w:rPr>
      </w:pPr>
      <w:r>
        <w:rPr>
          <w:rFonts w:hint="eastAsia"/>
          <w:color w:val="auto"/>
          <w:sz w:val="24"/>
          <w:highlight w:val="none"/>
        </w:rPr>
        <w:t>在路面设施中，电子警察系统、等所使用的采集设备都是摄像机，均安装在较高的支架上，易受直击雷；摄像机电源线由分电箱外线引入，存在电源线过电压威 胁；在控制中心与摄像机之间的视频和控制信号使用光纤到达光纤通信端设备，进行光电转化 后，存在视频线和信号线过电压的威胁；故防直击雷过电压以及电源线、信号控制线和视频线 过电压的整体方案如下图摄像机防雷接地示意图所示：防雷和接地系统必须符合《建筑物电子信息系统防雷技术规范》（GB50343-2004）、《民用闭路监控电视系统工程技术规范》（GB50198-1998）、《电气装置安装工程接地装置施工及验收规范》（GB50169-92）等规范标准要求。</w:t>
      </w:r>
    </w:p>
    <w:p>
      <w:pPr>
        <w:pStyle w:val="6"/>
        <w:keepLines w:val="0"/>
        <w:adjustRightInd w:val="0"/>
        <w:snapToGrid w:val="0"/>
        <w:spacing w:before="0" w:after="0" w:line="360" w:lineRule="auto"/>
        <w:ind w:left="864" w:hanging="864"/>
        <w:jc w:val="left"/>
        <w:rPr>
          <w:color w:val="auto"/>
          <w:highlight w:val="none"/>
        </w:rPr>
      </w:pPr>
      <w:r>
        <w:rPr>
          <w:rFonts w:hint="eastAsia"/>
          <w:color w:val="auto"/>
          <w:highlight w:val="none"/>
        </w:rPr>
        <w:t>接地体</w:t>
      </w:r>
    </w:p>
    <w:p>
      <w:pPr>
        <w:snapToGrid w:val="0"/>
        <w:spacing w:line="360" w:lineRule="auto"/>
        <w:ind w:firstLine="480" w:firstLineChars="200"/>
        <w:rPr>
          <w:color w:val="auto"/>
          <w:sz w:val="24"/>
          <w:szCs w:val="21"/>
          <w:highlight w:val="none"/>
        </w:rPr>
      </w:pPr>
      <w:r>
        <w:rPr>
          <w:rFonts w:hint="eastAsia"/>
          <w:color w:val="auto"/>
          <w:sz w:val="24"/>
          <w:szCs w:val="21"/>
          <w:highlight w:val="none"/>
        </w:rPr>
        <w:t>接地体用于防止外界电压危害人身安全和对设备的损害，抑制电气干扰，保证设备正常工作，应满足如下安装要求。</w:t>
      </w:r>
    </w:p>
    <w:p>
      <w:pPr>
        <w:numPr>
          <w:ilvl w:val="0"/>
          <w:numId w:val="22"/>
        </w:numPr>
        <w:snapToGrid w:val="0"/>
        <w:spacing w:line="360" w:lineRule="auto"/>
        <w:rPr>
          <w:color w:val="auto"/>
          <w:sz w:val="24"/>
          <w:highlight w:val="none"/>
        </w:rPr>
      </w:pPr>
      <w:r>
        <w:rPr>
          <w:rFonts w:hint="eastAsia"/>
          <w:color w:val="auto"/>
          <w:sz w:val="24"/>
          <w:highlight w:val="none"/>
        </w:rPr>
        <w:t>应符合现行国家标准的有关规定；</w:t>
      </w:r>
    </w:p>
    <w:p>
      <w:pPr>
        <w:numPr>
          <w:ilvl w:val="0"/>
          <w:numId w:val="22"/>
        </w:numPr>
        <w:snapToGrid w:val="0"/>
        <w:spacing w:line="360" w:lineRule="auto"/>
        <w:rPr>
          <w:color w:val="auto"/>
          <w:sz w:val="24"/>
          <w:highlight w:val="none"/>
        </w:rPr>
      </w:pPr>
      <w:r>
        <w:rPr>
          <w:rFonts w:hint="eastAsia"/>
          <w:color w:val="auto"/>
          <w:sz w:val="24"/>
          <w:highlight w:val="none"/>
        </w:rPr>
        <w:t>接地使用接地体/接地棒。接地体的焊接应采用搭焊，搭焊长度为圆钢直径的6倍；距设备杆的距离不得超过3m；</w:t>
      </w:r>
    </w:p>
    <w:p>
      <w:pPr>
        <w:numPr>
          <w:ilvl w:val="0"/>
          <w:numId w:val="22"/>
        </w:numPr>
        <w:snapToGrid w:val="0"/>
        <w:spacing w:line="360" w:lineRule="auto"/>
        <w:rPr>
          <w:color w:val="auto"/>
          <w:sz w:val="24"/>
          <w:highlight w:val="none"/>
        </w:rPr>
      </w:pPr>
      <w:r>
        <w:rPr>
          <w:rFonts w:hint="eastAsia"/>
          <w:color w:val="auto"/>
          <w:sz w:val="24"/>
          <w:highlight w:val="none"/>
        </w:rPr>
        <w:t>接地体安装点下方应无任何管道、线缆经过；</w:t>
      </w:r>
    </w:p>
    <w:p>
      <w:pPr>
        <w:numPr>
          <w:ilvl w:val="0"/>
          <w:numId w:val="22"/>
        </w:numPr>
        <w:snapToGrid w:val="0"/>
        <w:spacing w:line="360" w:lineRule="auto"/>
        <w:rPr>
          <w:color w:val="auto"/>
          <w:sz w:val="24"/>
          <w:highlight w:val="none"/>
        </w:rPr>
      </w:pPr>
      <w:r>
        <w:rPr>
          <w:rFonts w:hint="eastAsia"/>
          <w:color w:val="auto"/>
          <w:sz w:val="24"/>
          <w:highlight w:val="none"/>
        </w:rPr>
        <w:t>每根杆件应安装保护接地，保护接地应使用规格为50mm×50mm以上的镀锌扁角钢打入杆件开挖的基础坑底部以下不小于2米，然后用规格为40mm×4mm以上的镀锌扁钢与角钢妥善焊接,扁钢再焊接到每个钢制杆件的法兰盘上，焊接处应作防腐处理，接地电阻应小于</w:t>
      </w:r>
      <w:r>
        <w:rPr>
          <w:color w:val="auto"/>
          <w:sz w:val="24"/>
          <w:highlight w:val="none"/>
        </w:rPr>
        <w:t>10</w:t>
      </w:r>
      <w:r>
        <w:rPr>
          <w:rFonts w:hint="eastAsia"/>
          <w:color w:val="auto"/>
          <w:sz w:val="24"/>
          <w:highlight w:val="none"/>
        </w:rPr>
        <w:t>Ω；</w:t>
      </w:r>
    </w:p>
    <w:p>
      <w:pPr>
        <w:numPr>
          <w:ilvl w:val="0"/>
          <w:numId w:val="22"/>
        </w:numPr>
        <w:snapToGrid w:val="0"/>
        <w:spacing w:line="360" w:lineRule="auto"/>
        <w:rPr>
          <w:color w:val="auto"/>
          <w:sz w:val="24"/>
          <w:highlight w:val="none"/>
        </w:rPr>
      </w:pPr>
      <w:r>
        <w:rPr>
          <w:rFonts w:hint="eastAsia"/>
          <w:color w:val="auto"/>
          <w:sz w:val="24"/>
          <w:highlight w:val="none"/>
        </w:rPr>
        <w:t>卡口式电子警察中的悬挂式机柜的专用接地端子应与接地体/接地棒有效连接，接地电阻应小于</w:t>
      </w:r>
      <w:r>
        <w:rPr>
          <w:color w:val="auto"/>
          <w:sz w:val="24"/>
          <w:highlight w:val="none"/>
        </w:rPr>
        <w:t>10</w:t>
      </w:r>
      <w:r>
        <w:rPr>
          <w:rFonts w:hint="eastAsia"/>
          <w:color w:val="auto"/>
          <w:sz w:val="24"/>
          <w:highlight w:val="none"/>
        </w:rPr>
        <w:t>Ω。采用与接地体/接地棒有效连接的软铜绞线引入设备机柜的专用接地端子，导线护套颜色应为黄、绿双色，其截面不得小于6mm</w:t>
      </w:r>
      <w:r>
        <w:rPr>
          <w:rFonts w:hint="eastAsia"/>
          <w:color w:val="auto"/>
          <w:sz w:val="24"/>
          <w:highlight w:val="none"/>
          <w:vertAlign w:val="superscript"/>
        </w:rPr>
        <w:t>2</w:t>
      </w:r>
      <w:r>
        <w:rPr>
          <w:rFonts w:hint="eastAsia"/>
          <w:color w:val="auto"/>
          <w:sz w:val="24"/>
          <w:highlight w:val="none"/>
        </w:rPr>
        <w:t>；</w:t>
      </w:r>
    </w:p>
    <w:p>
      <w:pPr>
        <w:numPr>
          <w:ilvl w:val="0"/>
          <w:numId w:val="22"/>
        </w:numPr>
        <w:snapToGrid w:val="0"/>
        <w:spacing w:line="360" w:lineRule="auto"/>
        <w:rPr>
          <w:color w:val="auto"/>
          <w:sz w:val="24"/>
          <w:highlight w:val="none"/>
        </w:rPr>
      </w:pPr>
      <w:r>
        <w:rPr>
          <w:rFonts w:hint="eastAsia"/>
          <w:color w:val="auto"/>
          <w:sz w:val="24"/>
          <w:highlight w:val="none"/>
        </w:rPr>
        <w:t>因卡口式电子警察中的落地式机柜距杆件较远，应安装单独保护接地，保护接地应使用规格为50mm×50mm以上的镀锌扁角钢打入机柜开挖的基础坑底部以下不小于2米，然后用规格为40mm×4mm以上的镀锌扁钢与角钢妥善焊接,焊接处应作防腐处理。用与镀锌扁钢有效连接的软铜绞线引入设备机柜的专用接地端子，导线护套颜色应为黄、绿双色，其截面不得小于6mm</w:t>
      </w:r>
      <w:r>
        <w:rPr>
          <w:rFonts w:hint="eastAsia"/>
          <w:color w:val="auto"/>
          <w:sz w:val="24"/>
          <w:highlight w:val="none"/>
          <w:vertAlign w:val="superscript"/>
        </w:rPr>
        <w:t>2</w:t>
      </w:r>
      <w:r>
        <w:rPr>
          <w:rFonts w:hint="eastAsia"/>
          <w:color w:val="auto"/>
          <w:sz w:val="24"/>
          <w:highlight w:val="none"/>
        </w:rPr>
        <w:t>。接地电阻应小于</w:t>
      </w:r>
      <w:r>
        <w:rPr>
          <w:color w:val="auto"/>
          <w:sz w:val="24"/>
          <w:highlight w:val="none"/>
        </w:rPr>
        <w:t>10</w:t>
      </w:r>
      <w:r>
        <w:rPr>
          <w:rFonts w:hint="eastAsia"/>
          <w:color w:val="auto"/>
          <w:sz w:val="24"/>
          <w:highlight w:val="none"/>
        </w:rPr>
        <w:t>Ω；</w:t>
      </w:r>
    </w:p>
    <w:p>
      <w:pPr>
        <w:numPr>
          <w:ilvl w:val="0"/>
          <w:numId w:val="22"/>
        </w:numPr>
        <w:snapToGrid w:val="0"/>
        <w:spacing w:line="360" w:lineRule="auto"/>
        <w:rPr>
          <w:color w:val="auto"/>
          <w:sz w:val="24"/>
          <w:highlight w:val="none"/>
        </w:rPr>
      </w:pPr>
      <w:r>
        <w:rPr>
          <w:rFonts w:hint="eastAsia"/>
          <w:color w:val="auto"/>
          <w:sz w:val="24"/>
          <w:highlight w:val="none"/>
        </w:rPr>
        <w:t>接地体/接地棒施工应符合GB50169的规定。</w:t>
      </w:r>
    </w:p>
    <w:p>
      <w:pPr>
        <w:snapToGrid w:val="0"/>
        <w:spacing w:line="360" w:lineRule="auto"/>
        <w:ind w:left="780"/>
        <w:rPr>
          <w:color w:val="auto"/>
          <w:sz w:val="24"/>
          <w:highlight w:val="none"/>
        </w:rPr>
      </w:pPr>
    </w:p>
    <w:p>
      <w:pPr>
        <w:pStyle w:val="3"/>
        <w:snapToGrid w:val="0"/>
        <w:spacing w:before="0" w:after="0" w:line="360" w:lineRule="auto"/>
        <w:ind w:left="432" w:hanging="432"/>
        <w:jc w:val="both"/>
        <w:rPr>
          <w:color w:val="auto"/>
          <w:highlight w:val="none"/>
        </w:rPr>
      </w:pPr>
      <w:bookmarkStart w:id="123" w:name="_Toc10102503"/>
      <w:r>
        <w:rPr>
          <w:rFonts w:hint="eastAsia"/>
          <w:color w:val="auto"/>
          <w:highlight w:val="none"/>
        </w:rPr>
        <w:t>工程量</w:t>
      </w:r>
      <w:bookmarkEnd w:id="123"/>
      <w:r>
        <w:rPr>
          <w:rFonts w:hint="eastAsia"/>
          <w:color w:val="auto"/>
          <w:highlight w:val="none"/>
        </w:rPr>
        <w:t>清单</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559"/>
        <w:gridCol w:w="559"/>
        <w:gridCol w:w="561"/>
        <w:gridCol w:w="4231"/>
        <w:gridCol w:w="984"/>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序号</w:t>
            </w:r>
          </w:p>
        </w:tc>
        <w:tc>
          <w:tcPr>
            <w:tcW w:w="1679" w:type="dxa"/>
            <w:gridSpan w:val="3"/>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设备名称</w:t>
            </w:r>
          </w:p>
        </w:tc>
        <w:tc>
          <w:tcPr>
            <w:tcW w:w="4231"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型号/规格/功能</w:t>
            </w:r>
          </w:p>
        </w:tc>
        <w:tc>
          <w:tcPr>
            <w:tcW w:w="984"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单位</w:t>
            </w:r>
          </w:p>
        </w:tc>
        <w:tc>
          <w:tcPr>
            <w:tcW w:w="841"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8296" w:type="dxa"/>
            <w:gridSpan w:val="7"/>
            <w:shd w:val="clear" w:color="auto" w:fill="auto"/>
            <w:vAlign w:val="center"/>
          </w:tcPr>
          <w:p>
            <w:pPr>
              <w:widowControl/>
              <w:jc w:val="center"/>
              <w:rPr>
                <w:rFonts w:hint="eastAsia" w:ascii="宋体" w:hAnsi="宋体" w:cs="宋体"/>
                <w:b/>
                <w:bCs/>
                <w:color w:val="auto"/>
                <w:kern w:val="0"/>
                <w:sz w:val="22"/>
                <w:highlight w:val="none"/>
              </w:rPr>
            </w:pPr>
            <w:r>
              <w:rPr>
                <w:rFonts w:hint="eastAsia" w:ascii="宋体" w:hAnsi="宋体" w:cs="宋体"/>
                <w:b/>
                <w:bCs/>
                <w:color w:val="auto"/>
                <w:kern w:val="0"/>
                <w:sz w:val="22"/>
                <w:highlight w:val="none"/>
              </w:rPr>
              <w:t>交通态势分析系统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视频雷达车检器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设备借用天网或天眼杆件，含安装调试</w:t>
            </w:r>
          </w:p>
        </w:tc>
        <w:tc>
          <w:tcPr>
            <w:tcW w:w="984"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eastAsia="zh-CN"/>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数据接入、系统应用部署和数据库服务服务器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4114(10核2.2GHz)×2/128GB DDR4/600G 10K SAS×2（raid1）/1.2T 10K SAS×8（raid 10）/SAS_HBA/1GbE×4+10GbE×2/2U电源：1+1冗余电源</w:t>
            </w:r>
          </w:p>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含数据通讯及接入转发软件</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大数据分析计算服务器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4114(10核2.2GHz)×2/128GB DDR4/600G 10K SAS×2（raid1）/1.2T 10K SAS×8（raid 10）/SAS_HBA/1GbE×4+10GbE×2/2U电源：1+1冗余电源</w:t>
            </w:r>
          </w:p>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含大数据框架软件</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559"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多维指标分析模块</w:t>
            </w:r>
          </w:p>
        </w:tc>
        <w:tc>
          <w:tcPr>
            <w:tcW w:w="559"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指标监测</w:t>
            </w: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指标评价</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以路段、道路、区域为交通对象，实时评价路段指标、道路指标、区域指标及其运行状态。</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559" w:type="dxa"/>
            <w:vMerge w:val="continue"/>
            <w:vAlign w:val="center"/>
          </w:tcPr>
          <w:p>
            <w:pPr>
              <w:widowControl/>
              <w:jc w:val="left"/>
              <w:rPr>
                <w:rFonts w:ascii="宋体" w:hAnsi="宋体" w:cs="宋体"/>
                <w:color w:val="auto"/>
                <w:kern w:val="0"/>
                <w:sz w:val="22"/>
                <w:highlight w:val="none"/>
              </w:rPr>
            </w:pPr>
          </w:p>
        </w:tc>
        <w:tc>
          <w:tcPr>
            <w:tcW w:w="559" w:type="dxa"/>
            <w:vMerge w:val="continue"/>
            <w:vAlign w:val="center"/>
          </w:tcPr>
          <w:p>
            <w:pPr>
              <w:widowControl/>
              <w:jc w:val="left"/>
              <w:rPr>
                <w:rFonts w:ascii="宋体" w:hAnsi="宋体" w:cs="宋体"/>
                <w:color w:val="auto"/>
                <w:kern w:val="0"/>
                <w:sz w:val="22"/>
                <w:highlight w:val="none"/>
              </w:rPr>
            </w:pP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指标报警</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对城市路段、道路、区域的常发及突发的自动报警。</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559" w:type="dxa"/>
            <w:vMerge w:val="continue"/>
            <w:vAlign w:val="center"/>
          </w:tcPr>
          <w:p>
            <w:pPr>
              <w:widowControl/>
              <w:jc w:val="left"/>
              <w:rPr>
                <w:rFonts w:ascii="宋体" w:hAnsi="宋体" w:cs="宋体"/>
                <w:color w:val="auto"/>
                <w:kern w:val="0"/>
                <w:sz w:val="22"/>
                <w:highlight w:val="none"/>
              </w:rPr>
            </w:pPr>
          </w:p>
        </w:tc>
        <w:tc>
          <w:tcPr>
            <w:tcW w:w="559" w:type="dxa"/>
            <w:vMerge w:val="continue"/>
            <w:vAlign w:val="center"/>
          </w:tcPr>
          <w:p>
            <w:pPr>
              <w:widowControl/>
              <w:jc w:val="left"/>
              <w:rPr>
                <w:rFonts w:ascii="宋体" w:hAnsi="宋体" w:cs="宋体"/>
                <w:color w:val="auto"/>
                <w:kern w:val="0"/>
                <w:sz w:val="22"/>
                <w:highlight w:val="none"/>
              </w:rPr>
            </w:pP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指标回放</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对历史的交通流指标进行回放，</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559" w:type="dxa"/>
            <w:vMerge w:val="continue"/>
            <w:vAlign w:val="center"/>
          </w:tcPr>
          <w:p>
            <w:pPr>
              <w:widowControl/>
              <w:jc w:val="left"/>
              <w:rPr>
                <w:rFonts w:ascii="宋体" w:hAnsi="宋体" w:cs="宋体"/>
                <w:color w:val="auto"/>
                <w:kern w:val="0"/>
                <w:sz w:val="22"/>
                <w:highlight w:val="none"/>
              </w:rPr>
            </w:pPr>
          </w:p>
        </w:tc>
        <w:tc>
          <w:tcPr>
            <w:tcW w:w="559" w:type="dxa"/>
            <w:vMerge w:val="continue"/>
            <w:vAlign w:val="center"/>
          </w:tcPr>
          <w:p>
            <w:pPr>
              <w:widowControl/>
              <w:jc w:val="left"/>
              <w:rPr>
                <w:rFonts w:ascii="宋体" w:hAnsi="宋体" w:cs="宋体"/>
                <w:color w:val="auto"/>
                <w:kern w:val="0"/>
                <w:sz w:val="22"/>
                <w:highlight w:val="none"/>
              </w:rPr>
            </w:pP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指标预测</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包括长时预测、短时预测、节假日预测。</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559" w:type="dxa"/>
            <w:vMerge w:val="continue"/>
            <w:vAlign w:val="center"/>
          </w:tcPr>
          <w:p>
            <w:pPr>
              <w:widowControl/>
              <w:jc w:val="left"/>
              <w:rPr>
                <w:rFonts w:ascii="宋体" w:hAnsi="宋体" w:cs="宋体"/>
                <w:color w:val="auto"/>
                <w:kern w:val="0"/>
                <w:sz w:val="22"/>
                <w:highlight w:val="none"/>
              </w:rPr>
            </w:pP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指标检索</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路段、道路、区域等对象下，时间和空间等多项条件联合检索，精确定位检索目标，还可定向溯源确定数据来源的设备。</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559" w:type="dxa"/>
            <w:vMerge w:val="continue"/>
            <w:vAlign w:val="center"/>
          </w:tcPr>
          <w:p>
            <w:pPr>
              <w:widowControl/>
              <w:jc w:val="left"/>
              <w:rPr>
                <w:rFonts w:ascii="宋体" w:hAnsi="宋体" w:cs="宋体"/>
                <w:color w:val="auto"/>
                <w:kern w:val="0"/>
                <w:sz w:val="22"/>
                <w:highlight w:val="none"/>
              </w:rPr>
            </w:pP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统计分析</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以路段、道路、区域为交通对象，进行多维统计</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559"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出行分析</w:t>
            </w:r>
          </w:p>
        </w:tc>
        <w:tc>
          <w:tcPr>
            <w:tcW w:w="559"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车流分析</w:t>
            </w: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交叉口流入流出分析</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通过分析流入或流出该交叉口的车流轨迹，结合中心交叉口上游或下游的周围交叉口的车流信息，获得流入流出中心交叉口不同时段的流量比例等信息</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559" w:type="dxa"/>
            <w:vMerge w:val="continue"/>
            <w:vAlign w:val="center"/>
          </w:tcPr>
          <w:p>
            <w:pPr>
              <w:widowControl/>
              <w:jc w:val="left"/>
              <w:rPr>
                <w:rFonts w:ascii="宋体" w:hAnsi="宋体" w:cs="宋体"/>
                <w:color w:val="auto"/>
                <w:kern w:val="0"/>
                <w:sz w:val="22"/>
                <w:highlight w:val="none"/>
              </w:rPr>
            </w:pPr>
          </w:p>
        </w:tc>
        <w:tc>
          <w:tcPr>
            <w:tcW w:w="559" w:type="dxa"/>
            <w:vMerge w:val="continue"/>
            <w:vAlign w:val="center"/>
          </w:tcPr>
          <w:p>
            <w:pPr>
              <w:widowControl/>
              <w:jc w:val="left"/>
              <w:rPr>
                <w:rFonts w:ascii="宋体" w:hAnsi="宋体" w:cs="宋体"/>
                <w:color w:val="auto"/>
                <w:kern w:val="0"/>
                <w:sz w:val="22"/>
                <w:highlight w:val="none"/>
              </w:rPr>
            </w:pP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路段来源去向分析</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通过分析通过中心路段上游或下游的周围路段的车流轨迹和交通流指标，获得流入流出中心路段不同时段的的拥堵情况和流量信息</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559" w:type="dxa"/>
            <w:vMerge w:val="continue"/>
            <w:vAlign w:val="center"/>
          </w:tcPr>
          <w:p>
            <w:pPr>
              <w:widowControl/>
              <w:jc w:val="left"/>
              <w:rPr>
                <w:rFonts w:ascii="宋体" w:hAnsi="宋体" w:cs="宋体"/>
                <w:color w:val="auto"/>
                <w:kern w:val="0"/>
                <w:sz w:val="22"/>
                <w:highlight w:val="none"/>
              </w:rPr>
            </w:pPr>
          </w:p>
        </w:tc>
        <w:tc>
          <w:tcPr>
            <w:tcW w:w="559" w:type="dxa"/>
            <w:vMerge w:val="continue"/>
            <w:vAlign w:val="center"/>
          </w:tcPr>
          <w:p>
            <w:pPr>
              <w:widowControl/>
              <w:jc w:val="left"/>
              <w:rPr>
                <w:rFonts w:ascii="宋体" w:hAnsi="宋体" w:cs="宋体"/>
                <w:color w:val="auto"/>
                <w:kern w:val="0"/>
                <w:sz w:val="22"/>
                <w:highlight w:val="none"/>
              </w:rPr>
            </w:pPr>
          </w:p>
        </w:tc>
        <w:tc>
          <w:tcPr>
            <w:tcW w:w="561"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区域关键路径</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分析流入或流出指定某个区域的车流量、关键路径和关键路径的车型分类</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13</w:t>
            </w:r>
          </w:p>
        </w:tc>
        <w:tc>
          <w:tcPr>
            <w:tcW w:w="55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数据监测</w:t>
            </w: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数据监测</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对接入的流量检测仪等设备的数据进行在线和离线情况等多个方面的精细分析</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14</w:t>
            </w:r>
          </w:p>
        </w:tc>
        <w:tc>
          <w:tcPr>
            <w:tcW w:w="559"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运行报告及可视化</w:t>
            </w: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运行报告</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按周、月、年不同的时间维度自动生成包括拥堵情况总体概述，全城和重点区域的拥堵指数、运行速度、拥堵时间和最拥堵路段排名的报告</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15</w:t>
            </w:r>
          </w:p>
        </w:tc>
        <w:tc>
          <w:tcPr>
            <w:tcW w:w="559" w:type="dxa"/>
            <w:vMerge w:val="continue"/>
            <w:vAlign w:val="center"/>
          </w:tcPr>
          <w:p>
            <w:pPr>
              <w:widowControl/>
              <w:jc w:val="left"/>
              <w:rPr>
                <w:rFonts w:ascii="宋体" w:hAnsi="宋体" w:cs="宋体"/>
                <w:color w:val="auto"/>
                <w:kern w:val="0"/>
                <w:sz w:val="22"/>
                <w:highlight w:val="none"/>
              </w:rPr>
            </w:pP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可视化</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交通流数据可视化大屏展示。展示的内容包括运行指数、平均速度、拥堵路段、车流量等信息</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16</w:t>
            </w:r>
          </w:p>
        </w:tc>
        <w:tc>
          <w:tcPr>
            <w:tcW w:w="559"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系统配置</w:t>
            </w: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系统配置</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对产品功能及算法层面参数的设置</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17</w:t>
            </w:r>
          </w:p>
        </w:tc>
        <w:tc>
          <w:tcPr>
            <w:tcW w:w="559" w:type="dxa"/>
            <w:vMerge w:val="continue"/>
            <w:vAlign w:val="center"/>
          </w:tcPr>
          <w:p>
            <w:pPr>
              <w:widowControl/>
              <w:jc w:val="left"/>
              <w:rPr>
                <w:rFonts w:ascii="宋体" w:hAnsi="宋体" w:cs="宋体"/>
                <w:color w:val="auto"/>
                <w:kern w:val="0"/>
                <w:sz w:val="22"/>
                <w:highlight w:val="none"/>
              </w:rPr>
            </w:pPr>
          </w:p>
        </w:tc>
        <w:tc>
          <w:tcPr>
            <w:tcW w:w="1120"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实施部署</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路网绘制、数据接入、数据校验、结果优化等实施工作</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警用摩托勤务管理系统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铁骑勤务考核管理服务器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铁骑勤务考核管理软件</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设备接入：50台；警力警卫、轨迹回放、勤务排版、行驶轨迹统计、出警数据对接定制等功能；</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移动缉查布控系统</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利用智能化车载设备，实现违停车辆的自动违法取证</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警用智能执法无人机系统</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智能自主巡逻、监视、预警喊话的警用智能执法无人机系统</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重点车辆通讯传输流量费</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重点车辆信息实时传输3年流量通讯费用</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数字勤务中心升级建设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55寸拼接屏</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大屏支架</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采用高强度铝合金或钢材，能够承担重力抗变形，根据现场尺寸定制，并且需要跟装修配套</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视频综合平台</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网络摇杆控制键盘</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办公电脑</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含24寸宽屏液晶显示器；Intel I7以上，8G内存,速度DDR4.，硬盘容量:2TB（7200转，硬盘不返还维修）；2G独显；DVD光驱；视频接口：VGA\HDMI；含鼠标、键盘；显示器与主机同一品牌。</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交换机</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全网管三层交换机，机架式，24个千兆电口，4个千兆光口，交换容量336Gbps，包转发率96Mpps，1U高度，19英寸宽，工作温度：0℃～45℃，满负荷功耗24W；支持RIP/OSPF/VRRP，IPv6，VLAN，流量控制，ACL，QoS，端口镜像，环网RRPP/ERPS、支持SNMP V1/V2c/V3网管</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操作台</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 xml:space="preserve">配套工位含办公椅，单个操作工位≥1200*600*760mm(根据中队实际情况确定工位长度)，2、台板采用中密度板为基材应采用防火、防潮、防刻划、强度高的防火板，台板整体厚度不得低于36mm，3、框架采用优质冷轧钢板，材料厚度≥1.2mm。4、 每工位配备配件包含6位国标万能孔插座电源条1件，安装所需的紧固件配件。                                                                                       </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工位</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网络机柜</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机柜(600*800*2000)，含2个8位PDU，优质冷轧钢板，厚度2mm。</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视频切换器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HDMI切换器，二进一出。分辨率:1080P/4K</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线缆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大屏、计算机连接线缆等</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安装辅材</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根据现场情况定制</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批</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机动车不礼让行人抓拍系统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智能交通终端管理设备</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抱杆机箱</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一体化高清抓拍单元</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LED补光灯</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5</w:t>
            </w:r>
          </w:p>
        </w:tc>
        <w:tc>
          <w:tcPr>
            <w:tcW w:w="1679" w:type="dxa"/>
            <w:gridSpan w:val="3"/>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rPr>
              <w:t>4光</w:t>
            </w:r>
            <w:r>
              <w:rPr>
                <w:rFonts w:hint="eastAsia" w:ascii="宋体" w:hAnsi="宋体" w:cs="宋体"/>
                <w:color w:val="auto"/>
                <w:kern w:val="0"/>
                <w:sz w:val="22"/>
                <w:lang w:val="en-US" w:eastAsia="zh-CN"/>
              </w:rPr>
              <w:t>4</w:t>
            </w:r>
            <w:r>
              <w:rPr>
                <w:rFonts w:hint="eastAsia" w:ascii="宋体" w:hAnsi="宋体" w:cs="宋体"/>
                <w:color w:val="auto"/>
                <w:kern w:val="0"/>
                <w:sz w:val="22"/>
              </w:rPr>
              <w:t>电光纤收发器</w:t>
            </w:r>
          </w:p>
        </w:tc>
        <w:tc>
          <w:tcPr>
            <w:tcW w:w="4231" w:type="dxa"/>
            <w:shd w:val="clear" w:color="auto" w:fill="auto"/>
            <w:vAlign w:val="center"/>
          </w:tcPr>
          <w:p>
            <w:pPr>
              <w:widowControl/>
              <w:jc w:val="left"/>
              <w:rPr>
                <w:rFonts w:hint="eastAsia" w:ascii="宋体" w:hAnsi="宋体" w:cs="宋体"/>
                <w:color w:val="auto"/>
                <w:kern w:val="0"/>
                <w:sz w:val="22"/>
                <w:highlight w:val="none"/>
              </w:rPr>
            </w:pPr>
            <w:r>
              <w:rPr>
                <w:rFonts w:hint="eastAsia" w:ascii="宋体" w:hAnsi="宋体" w:cs="宋体"/>
                <w:color w:val="auto"/>
                <w:kern w:val="0"/>
                <w:sz w:val="22"/>
              </w:rPr>
              <w:t>详见技术方案</w:t>
            </w:r>
          </w:p>
        </w:tc>
        <w:tc>
          <w:tcPr>
            <w:tcW w:w="984"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rPr>
              <w:t>台</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val="en-US" w:eastAsia="zh-CN"/>
              </w:rPr>
            </w:pPr>
            <w:r>
              <w:rPr>
                <w:rFonts w:hint="eastAsia" w:ascii="宋体" w:hAnsi="宋体" w:cs="宋体"/>
                <w:color w:val="auto"/>
                <w:kern w:val="0"/>
                <w:sz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1光4电光纤收发器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电源线</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RVV3*1.5，含线缆敷设人工费</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5</w:t>
            </w:r>
            <w:r>
              <w:rPr>
                <w:rFonts w:hint="eastAsia" w:ascii="宋体" w:hAnsi="宋体" w:cs="宋体"/>
                <w:color w:val="auto"/>
                <w:kern w:val="0"/>
                <w:sz w:val="2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电源线</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RVV4*1，含线缆敷设人工费</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2</w:t>
            </w:r>
            <w:r>
              <w:rPr>
                <w:rFonts w:hint="eastAsia" w:ascii="宋体" w:hAnsi="宋体" w:cs="宋体"/>
                <w:color w:val="auto"/>
                <w:kern w:val="0"/>
                <w:sz w:val="2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室外网线</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六类，含线缆敷设人工费</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2</w:t>
            </w:r>
            <w:r>
              <w:rPr>
                <w:rFonts w:hint="eastAsia" w:ascii="宋体" w:hAnsi="宋体" w:cs="宋体"/>
                <w:color w:val="auto"/>
                <w:kern w:val="0"/>
                <w:sz w:val="2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四芯光缆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定制，含线缆敷设人工费</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2</w:t>
            </w:r>
            <w:r>
              <w:rPr>
                <w:rFonts w:hint="eastAsia" w:ascii="宋体" w:hAnsi="宋体" w:cs="宋体"/>
                <w:color w:val="auto"/>
                <w:kern w:val="0"/>
                <w:sz w:val="2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挑6米，含预埋件、安装及基础施工等（基础：1.6m*1.6m*2.1m）</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挑7米，含预埋件、安装及基础施工等（基础：1.6m*1.6m*2.1m）</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过路管道</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水泥路面、沥青路面开挖恢复，含75镀锌钢管</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12</w:t>
            </w:r>
            <w:r>
              <w:rPr>
                <w:rFonts w:hint="eastAsia" w:ascii="宋体" w:hAnsi="宋体" w:cs="宋体"/>
                <w:color w:val="auto"/>
                <w:kern w:val="0"/>
                <w:sz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14</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人行道管道</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人行道开挖恢复，含PE75</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12</w:t>
            </w:r>
            <w:r>
              <w:rPr>
                <w:rFonts w:hint="eastAsia" w:ascii="宋体" w:hAnsi="宋体" w:cs="宋体"/>
                <w:color w:val="auto"/>
                <w:kern w:val="0"/>
                <w:sz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15</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绿化带管道</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绿化带开挖恢复，含PE75</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14</w:t>
            </w:r>
            <w:r>
              <w:rPr>
                <w:rFonts w:hint="eastAsia" w:ascii="宋体" w:hAnsi="宋体" w:cs="宋体"/>
                <w:color w:val="auto"/>
                <w:kern w:val="0"/>
                <w:sz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16</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窨井</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500*500</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只</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p>
        </w:tc>
        <w:tc>
          <w:tcPr>
            <w:tcW w:w="1679" w:type="dxa"/>
            <w:gridSpan w:val="3"/>
            <w:shd w:val="clear" w:color="auto" w:fill="auto"/>
            <w:vAlign w:val="center"/>
          </w:tcPr>
          <w:p>
            <w:pPr>
              <w:widowControl/>
              <w:jc w:val="center"/>
              <w:rPr>
                <w:rFonts w:ascii="宋体" w:hAnsi="宋体" w:cs="宋体"/>
                <w:color w:val="auto"/>
                <w:kern w:val="0"/>
                <w:sz w:val="22"/>
                <w:highlight w:val="none"/>
              </w:rPr>
            </w:pPr>
          </w:p>
        </w:tc>
        <w:tc>
          <w:tcPr>
            <w:tcW w:w="4231" w:type="dxa"/>
            <w:shd w:val="clear" w:color="auto" w:fill="auto"/>
            <w:vAlign w:val="center"/>
          </w:tcPr>
          <w:p>
            <w:pPr>
              <w:widowControl/>
              <w:jc w:val="left"/>
              <w:rPr>
                <w:rFonts w:ascii="宋体" w:hAnsi="宋体" w:cs="宋体"/>
                <w:color w:val="auto"/>
                <w:kern w:val="0"/>
                <w:sz w:val="22"/>
                <w:highlight w:val="none"/>
              </w:rPr>
            </w:pPr>
          </w:p>
        </w:tc>
        <w:tc>
          <w:tcPr>
            <w:tcW w:w="984" w:type="dxa"/>
            <w:shd w:val="clear" w:color="auto" w:fill="auto"/>
            <w:noWrap/>
            <w:vAlign w:val="center"/>
          </w:tcPr>
          <w:p>
            <w:pPr>
              <w:widowControl/>
              <w:jc w:val="center"/>
              <w:rPr>
                <w:rFonts w:ascii="宋体" w:hAnsi="宋体" w:cs="宋体"/>
                <w:color w:val="auto"/>
                <w:kern w:val="0"/>
                <w:sz w:val="22"/>
                <w:highlight w:val="none"/>
              </w:rPr>
            </w:pPr>
          </w:p>
        </w:tc>
        <w:tc>
          <w:tcPr>
            <w:tcW w:w="841" w:type="dxa"/>
            <w:shd w:val="clear" w:color="auto" w:fill="auto"/>
            <w:noWrap/>
            <w:vAlign w:val="center"/>
          </w:tcPr>
          <w:p>
            <w:pPr>
              <w:widowControl/>
              <w:jc w:val="center"/>
              <w:rPr>
                <w:rFonts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61" w:type="dxa"/>
            <w:shd w:val="clear" w:color="auto" w:fill="auto"/>
            <w:noWrap/>
            <w:vAlign w:val="center"/>
          </w:tcPr>
          <w:p>
            <w:pPr>
              <w:widowControl/>
              <w:jc w:val="center"/>
              <w:rPr>
                <w:rFonts w:ascii="宋体" w:hAnsi="宋体" w:cs="宋体"/>
                <w:color w:val="auto"/>
                <w:kern w:val="0"/>
                <w:sz w:val="22"/>
                <w:highlight w:val="none"/>
              </w:rPr>
            </w:pPr>
          </w:p>
        </w:tc>
        <w:tc>
          <w:tcPr>
            <w:tcW w:w="1679" w:type="dxa"/>
            <w:gridSpan w:val="3"/>
            <w:shd w:val="clear" w:color="auto" w:fill="auto"/>
            <w:vAlign w:val="center"/>
          </w:tcPr>
          <w:p>
            <w:pPr>
              <w:widowControl/>
              <w:jc w:val="center"/>
              <w:rPr>
                <w:rFonts w:ascii="宋体" w:hAnsi="宋体" w:cs="宋体"/>
                <w:color w:val="auto"/>
                <w:kern w:val="0"/>
                <w:sz w:val="22"/>
                <w:highlight w:val="none"/>
              </w:rPr>
            </w:pPr>
          </w:p>
        </w:tc>
        <w:tc>
          <w:tcPr>
            <w:tcW w:w="4231" w:type="dxa"/>
            <w:shd w:val="clear" w:color="auto" w:fill="auto"/>
            <w:vAlign w:val="center"/>
          </w:tcPr>
          <w:p>
            <w:pPr>
              <w:widowControl/>
              <w:jc w:val="left"/>
              <w:rPr>
                <w:rFonts w:ascii="宋体" w:hAnsi="宋体" w:cs="宋体"/>
                <w:color w:val="auto"/>
                <w:kern w:val="0"/>
                <w:sz w:val="22"/>
                <w:highlight w:val="none"/>
              </w:rPr>
            </w:pPr>
          </w:p>
        </w:tc>
        <w:tc>
          <w:tcPr>
            <w:tcW w:w="984" w:type="dxa"/>
            <w:shd w:val="clear" w:color="auto" w:fill="auto"/>
            <w:noWrap/>
            <w:vAlign w:val="center"/>
          </w:tcPr>
          <w:p>
            <w:pPr>
              <w:widowControl/>
              <w:jc w:val="center"/>
              <w:rPr>
                <w:rFonts w:ascii="宋体" w:hAnsi="宋体" w:cs="宋体"/>
                <w:color w:val="auto"/>
                <w:kern w:val="0"/>
                <w:sz w:val="22"/>
                <w:highlight w:val="none"/>
              </w:rPr>
            </w:pPr>
          </w:p>
        </w:tc>
        <w:tc>
          <w:tcPr>
            <w:tcW w:w="841"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hint="eastAsia" w:ascii="宋体" w:hAnsi="宋体" w:cs="宋体"/>
                <w:color w:val="auto"/>
                <w:kern w:val="0"/>
                <w:sz w:val="22"/>
                <w:highlight w:val="none"/>
              </w:rPr>
            </w:pPr>
          </w:p>
        </w:tc>
        <w:tc>
          <w:tcPr>
            <w:tcW w:w="1679" w:type="dxa"/>
            <w:gridSpan w:val="3"/>
            <w:shd w:val="clear" w:color="auto" w:fill="auto"/>
            <w:vAlign w:val="center"/>
          </w:tcPr>
          <w:p>
            <w:pPr>
              <w:widowControl/>
              <w:jc w:val="center"/>
              <w:rPr>
                <w:rFonts w:hint="eastAsia" w:ascii="宋体" w:hAnsi="宋体" w:cs="宋体"/>
                <w:color w:val="auto"/>
                <w:kern w:val="0"/>
                <w:sz w:val="22"/>
                <w:highlight w:val="none"/>
              </w:rPr>
            </w:pPr>
          </w:p>
        </w:tc>
        <w:tc>
          <w:tcPr>
            <w:tcW w:w="4231" w:type="dxa"/>
            <w:shd w:val="clear" w:color="auto" w:fill="auto"/>
            <w:vAlign w:val="center"/>
          </w:tcPr>
          <w:p>
            <w:pPr>
              <w:widowControl/>
              <w:jc w:val="left"/>
              <w:rPr>
                <w:rFonts w:hint="eastAsia" w:ascii="宋体" w:hAnsi="宋体" w:cs="宋体"/>
                <w:color w:val="auto"/>
                <w:kern w:val="0"/>
                <w:sz w:val="22"/>
                <w:highlight w:val="none"/>
              </w:rPr>
            </w:pPr>
          </w:p>
        </w:tc>
        <w:tc>
          <w:tcPr>
            <w:tcW w:w="984" w:type="dxa"/>
            <w:shd w:val="clear" w:color="auto" w:fill="auto"/>
            <w:noWrap/>
            <w:vAlign w:val="center"/>
          </w:tcPr>
          <w:p>
            <w:pPr>
              <w:widowControl/>
              <w:jc w:val="center"/>
              <w:rPr>
                <w:rFonts w:hint="eastAsia" w:ascii="宋体" w:hAnsi="宋体" w:cs="宋体"/>
                <w:color w:val="auto"/>
                <w:kern w:val="0"/>
                <w:sz w:val="22"/>
                <w:highlight w:val="none"/>
              </w:rPr>
            </w:pPr>
          </w:p>
        </w:tc>
        <w:tc>
          <w:tcPr>
            <w:tcW w:w="841" w:type="dxa"/>
            <w:shd w:val="clear" w:color="auto" w:fill="auto"/>
            <w:noWrap/>
            <w:vAlign w:val="center"/>
          </w:tcPr>
          <w:p>
            <w:pPr>
              <w:widowControl/>
              <w:jc w:val="center"/>
              <w:rPr>
                <w:rFonts w:hint="eastAsia" w:ascii="宋体" w:hAnsi="宋体" w:cs="宋体"/>
                <w:color w:val="auto"/>
                <w:kern w:val="0"/>
                <w:sz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违法停车抓拍子系统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800万违停抓拍球机</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抱杆机箱</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val="en-US" w:eastAsia="zh-CN"/>
              </w:rPr>
            </w:pPr>
            <w:r>
              <w:rPr>
                <w:rFonts w:hint="eastAsia" w:ascii="宋体" w:hAnsi="宋体" w:cs="宋体"/>
                <w:color w:val="auto"/>
                <w:kern w:val="0"/>
                <w:sz w:val="22"/>
                <w:highlight w:val="none"/>
              </w:rPr>
              <w:t>4</w:t>
            </w:r>
            <w:r>
              <w:rPr>
                <w:rFonts w:hint="eastAsia" w:ascii="宋体" w:hAnsi="宋体" w:cs="宋体"/>
                <w:color w:val="auto"/>
                <w:kern w:val="0"/>
                <w:sz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1光4电光纤收发器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对</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rPr>
              <w:t>4</w:t>
            </w:r>
            <w:r>
              <w:rPr>
                <w:rFonts w:hint="eastAsia" w:ascii="宋体" w:hAnsi="宋体" w:cs="宋体"/>
                <w:color w:val="auto"/>
                <w:kern w:val="0"/>
                <w:sz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电源线</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RVV3*1.5，含线缆敷设人工费</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r>
              <w:rPr>
                <w:rFonts w:hint="eastAsia" w:ascii="宋体" w:hAnsi="宋体" w:cs="宋体"/>
                <w:color w:val="auto"/>
                <w:kern w:val="0"/>
                <w:sz w:val="22"/>
                <w:highlight w:val="none"/>
                <w:lang w:val="en-US" w:eastAsia="zh-CN"/>
              </w:rPr>
              <w:t>6</w:t>
            </w:r>
            <w:r>
              <w:rPr>
                <w:rFonts w:ascii="宋体" w:hAnsi="宋体" w:cs="宋体"/>
                <w:color w:val="auto"/>
                <w:kern w:val="0"/>
                <w:sz w:val="22"/>
                <w:highlight w:val="none"/>
              </w:rPr>
              <w:t>8</w:t>
            </w:r>
            <w:r>
              <w:rPr>
                <w:rFonts w:hint="eastAsia" w:ascii="宋体" w:hAnsi="宋体" w:cs="宋体"/>
                <w:color w:val="auto"/>
                <w:kern w:val="0"/>
                <w:sz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挑3米，含预埋件、安装及基础施工等（基础：1.4m*1.4m*1.8m）</w:t>
            </w:r>
          </w:p>
        </w:tc>
        <w:tc>
          <w:tcPr>
            <w:tcW w:w="984"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ascii="宋体" w:hAnsi="宋体" w:cs="宋体"/>
                <w:color w:val="auto"/>
                <w:kern w:val="0"/>
                <w:sz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挑5米，含预埋件、安装及基础施工等（基础：1.4m*1.4m*1.8m）</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双挑3米，,含预埋件、安装及基础施工等（基础：1.4m*1.4m*1.8m）</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窨井</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500*500</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只</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ascii="宋体" w:hAnsi="宋体" w:cs="宋体"/>
                <w:color w:val="auto"/>
                <w:kern w:val="0"/>
                <w:sz w:val="22"/>
                <w:highlight w:val="none"/>
              </w:rPr>
              <w:t>2</w:t>
            </w:r>
            <w:r>
              <w:rPr>
                <w:rFonts w:hint="eastAsia" w:ascii="宋体" w:hAnsi="宋体" w:cs="宋体"/>
                <w:color w:val="auto"/>
                <w:kern w:val="0"/>
                <w:sz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网线</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六类，含线缆敷设人工费</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rPr>
              <w:t>1</w:t>
            </w:r>
            <w:r>
              <w:rPr>
                <w:rFonts w:hint="eastAsia" w:ascii="宋体" w:hAnsi="宋体" w:cs="宋体"/>
                <w:color w:val="auto"/>
                <w:kern w:val="0"/>
                <w:sz w:val="22"/>
                <w:highlight w:val="none"/>
                <w:lang w:val="en-US" w:eastAsia="zh-CN"/>
              </w:rPr>
              <w:t>1</w:t>
            </w:r>
            <w:r>
              <w:rPr>
                <w:rFonts w:ascii="宋体" w:hAnsi="宋体" w:cs="宋体"/>
                <w:color w:val="auto"/>
                <w:kern w:val="0"/>
                <w:sz w:val="22"/>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过路管道</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水泥路面、沥青路面开挖恢复，含75镀锌钢管</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人行道管道</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人行道开挖恢复，含PE75</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r>
              <w:rPr>
                <w:rFonts w:hint="eastAsia" w:ascii="宋体" w:hAnsi="宋体" w:cs="宋体"/>
                <w:color w:val="auto"/>
                <w:kern w:val="0"/>
                <w:sz w:val="22"/>
                <w:highlight w:val="none"/>
                <w:lang w:val="en-US" w:eastAsia="zh-CN"/>
              </w:rPr>
              <w:t>5</w:t>
            </w:r>
            <w:r>
              <w:rPr>
                <w:rFonts w:hint="eastAsia" w:ascii="宋体" w:hAnsi="宋体" w:cs="宋体"/>
                <w:color w:val="auto"/>
                <w:kern w:val="0"/>
                <w:sz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绿化带管道</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绿化带开挖恢复，含PE75</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9</w:t>
            </w:r>
            <w:r>
              <w:rPr>
                <w:rFonts w:hint="eastAsia" w:ascii="宋体" w:hAnsi="宋体" w:cs="宋体"/>
                <w:color w:val="auto"/>
                <w:kern w:val="0"/>
                <w:sz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both"/>
              <w:rPr>
                <w:rFonts w:ascii="宋体" w:hAnsi="宋体" w:cs="宋体"/>
                <w:color w:val="auto"/>
                <w:kern w:val="0"/>
                <w:sz w:val="22"/>
                <w:highlight w:val="none"/>
              </w:rPr>
            </w:pPr>
          </w:p>
        </w:tc>
        <w:tc>
          <w:tcPr>
            <w:tcW w:w="1679" w:type="dxa"/>
            <w:gridSpan w:val="3"/>
            <w:shd w:val="clear" w:color="auto" w:fill="auto"/>
            <w:vAlign w:val="center"/>
          </w:tcPr>
          <w:p>
            <w:pPr>
              <w:widowControl/>
              <w:jc w:val="center"/>
              <w:rPr>
                <w:rFonts w:ascii="宋体" w:hAnsi="宋体" w:cs="宋体"/>
                <w:color w:val="auto"/>
                <w:kern w:val="0"/>
                <w:sz w:val="22"/>
                <w:highlight w:val="none"/>
              </w:rPr>
            </w:pPr>
          </w:p>
        </w:tc>
        <w:tc>
          <w:tcPr>
            <w:tcW w:w="4231" w:type="dxa"/>
            <w:shd w:val="clear" w:color="auto" w:fill="auto"/>
            <w:vAlign w:val="center"/>
          </w:tcPr>
          <w:p>
            <w:pPr>
              <w:widowControl/>
              <w:jc w:val="left"/>
              <w:rPr>
                <w:rFonts w:ascii="宋体" w:hAnsi="宋体" w:cs="宋体"/>
                <w:color w:val="auto"/>
                <w:kern w:val="0"/>
                <w:sz w:val="22"/>
                <w:highlight w:val="none"/>
              </w:rPr>
            </w:pPr>
          </w:p>
        </w:tc>
        <w:tc>
          <w:tcPr>
            <w:tcW w:w="984" w:type="dxa"/>
            <w:shd w:val="clear" w:color="auto" w:fill="auto"/>
            <w:noWrap/>
            <w:vAlign w:val="center"/>
          </w:tcPr>
          <w:p>
            <w:pPr>
              <w:widowControl/>
              <w:jc w:val="center"/>
              <w:rPr>
                <w:rFonts w:ascii="宋体" w:hAnsi="宋体" w:cs="宋体"/>
                <w:color w:val="auto"/>
                <w:kern w:val="0"/>
                <w:sz w:val="22"/>
                <w:highlight w:val="none"/>
              </w:rPr>
            </w:pPr>
          </w:p>
        </w:tc>
        <w:tc>
          <w:tcPr>
            <w:tcW w:w="841" w:type="dxa"/>
            <w:shd w:val="clear" w:color="auto" w:fill="auto"/>
            <w:noWrap/>
            <w:vAlign w:val="center"/>
          </w:tcPr>
          <w:p>
            <w:pPr>
              <w:widowControl/>
              <w:jc w:val="center"/>
              <w:rPr>
                <w:rFonts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中心增补设备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36盘位存储服务器（云存储）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硬件参数：</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4核CPU；16GB DDR3；8个10/100/1000Mbps数据网口，1个千兆管理网口；支持负载均衡模式；1个USB3.0；2个SAS口,支持SAS多级级联，外部SAS接口带宽双向≥192Gbps；至少配置一个eSATA接口用于数据下载备份；冗余电源，支持在线更换；支持36个2.5"或3.5"的SATA硬盘或者SAS硬盘，独立硬盘支架，支持硬盘热插拔。</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软件功能：</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内嵌云存储系统软件的数据存储服务。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负责数据存储访问以及硬盘管理。</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采用分布式非对称式对象存储架构，存储节点全集群。</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支持基于硬盘性能和容量的负载均衡。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xml:space="preserve">◎ 支持硬盘热插拔，即插即用。 </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6T企业级硬盘（SATA）</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3.5英寸，容量6000G；转速7200RPM；缓存256M；接口SATA</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操作终端1</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CPU类型:英特尔酷睿i5处理器</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核心:双核</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硬盘容量:1TB</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类型:独立显卡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内存：8GB</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含显示器</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操作终端2</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第八代英特尔 酷睿 i7-8700处理器；128GB Pcle 固态硬盘+1.0TB 机械硬盘；8GB DDR4 2666MHz 内存；NVIDIA GeForce GTX1060 3GB GDDR5；23英寸显示屏，分辨率：1920×1080</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48口全千兆三层交换机</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48*10/100/1000Base-T电口，4*SFP+ 10G Base-X非复用光口；</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交换容量≧256Gbps，包转发速率≧132MPPS</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人脸对接服务</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根据定制化开发要求与台州市局人像平台的对接及扩容服务，实现不少于1000张/天人脸身份确认</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对接服务器</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CPU E5-2603 v2 @ 1.80GHz*2颗，内存128G，硬盘4块600G，Raid 5，硬盘不返还，三年质保。</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平台对接网关</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CPU E3-12 产品系列*1颗，内存16GB，硬盘1块1T，550W冗余均流电源，硬盘不返还，三年质保</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设备接入网关</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Intel Xeon E3-1230 v5；8G DDR4；1T 3.5吋 7200转 6Gb SATA硬盘；2个千兆；显示屏无；单电源；250W；支持标准协议GB28181/ONVIF/PSIA/RTSP/HTTP接入，支持500个设备接入，2000路通道接入，600M码流以上转发</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千兆光模块</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千兆，单模单纤，传输距离20公里</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接入交换机</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24口千兆全网管二层交换机，机架式，24个千兆光口，8个复用的千兆电口,4个万兆SFP+万口，支持通过console口管理。交换容量256Gbps,包转发率96Mpps,1U高度，19英寸宽，工作温度：0℃～40℃，支持220v交流，满负荷功耗30瓦；支持VLAN,流量控制，ACL，QOS，支持SNMP V1/V2c/V3网管。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若中标单位进行光缆线路优化设计，接入交换机放在运营商机房，需要增加接入交换机数量，中标单位应承诺无偿提供额外增加的交换机及对应光模块</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万兆光模块</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万兆，单模双纤，传输距离10公里</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13</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安全数据交互平台请求与响应交换模块</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现有安全数据交互平台模块补充</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1、转换成xml文件落地交换</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2、支持对请求与响应的参数类型、长度等进行安全格式检查</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3、支持FTP、POP3、SMTP、SOAP1.1/1.2、WSDL2.0等多种访问协议</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4、支持对请求与响应内容进行关键字过滤</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5、支持SQL注入识别，自动识别和拦截请求数据内容中的SQL注入行为</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光纤链路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链路租赁费用1</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三年光缆租赁费用</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个/月</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56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679"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链路租赁费用2</w:t>
            </w:r>
          </w:p>
        </w:tc>
        <w:tc>
          <w:tcPr>
            <w:tcW w:w="4231"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二期项目中，部分点位借用一期项目光缆链路。由于一期和二期项目存在时间差，故一期项目维保到期后，投标人应负责二期剩余期限的光缆租赁费用。此部分租赁时长和费用，以实际发生的为准。</w:t>
            </w:r>
          </w:p>
        </w:tc>
        <w:tc>
          <w:tcPr>
            <w:tcW w:w="984"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个/月</w:t>
            </w:r>
          </w:p>
        </w:tc>
        <w:tc>
          <w:tcPr>
            <w:tcW w:w="841"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8296" w:type="dxa"/>
            <w:gridSpan w:val="7"/>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lang w:val="en-US" w:eastAsia="zh-CN"/>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561" w:type="dxa"/>
            <w:shd w:val="clear" w:color="auto" w:fill="auto"/>
            <w:noWrap/>
            <w:vAlign w:val="center"/>
          </w:tcPr>
          <w:p>
            <w:pPr>
              <w:widowControl/>
              <w:jc w:val="center"/>
              <w:rPr>
                <w:rFonts w:hint="eastAsia"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1</w:t>
            </w:r>
          </w:p>
        </w:tc>
        <w:tc>
          <w:tcPr>
            <w:tcW w:w="1679" w:type="dxa"/>
            <w:gridSpan w:val="3"/>
            <w:shd w:val="clear" w:color="auto" w:fill="auto"/>
            <w:vAlign w:val="center"/>
          </w:tcPr>
          <w:p>
            <w:pPr>
              <w:widowControl/>
              <w:jc w:val="center"/>
              <w:rPr>
                <w:rFonts w:hint="eastAsia"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设备维护费</w:t>
            </w:r>
          </w:p>
        </w:tc>
        <w:tc>
          <w:tcPr>
            <w:tcW w:w="4231" w:type="dxa"/>
            <w:shd w:val="clear" w:color="auto" w:fill="auto"/>
            <w:vAlign w:val="center"/>
          </w:tcPr>
          <w:p>
            <w:pPr>
              <w:widowControl/>
              <w:jc w:val="left"/>
              <w:rPr>
                <w:rFonts w:hint="eastAsia" w:ascii="宋体" w:hAnsi="宋体" w:cs="宋体"/>
                <w:color w:val="auto"/>
                <w:kern w:val="0"/>
                <w:sz w:val="22"/>
                <w:highlight w:val="none"/>
              </w:rPr>
            </w:pPr>
            <w:r>
              <w:rPr>
                <w:rFonts w:hint="eastAsia" w:ascii="宋体" w:hAnsi="宋体" w:cs="宋体"/>
                <w:color w:val="auto"/>
                <w:kern w:val="0"/>
                <w:sz w:val="22"/>
                <w:highlight w:val="none"/>
              </w:rPr>
              <w:t>玉环已建视频流量检测设备的维护</w:t>
            </w:r>
          </w:p>
        </w:tc>
        <w:tc>
          <w:tcPr>
            <w:tcW w:w="984"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个/月</w:t>
            </w:r>
          </w:p>
        </w:tc>
        <w:tc>
          <w:tcPr>
            <w:tcW w:w="841"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36</w:t>
            </w:r>
          </w:p>
        </w:tc>
      </w:tr>
    </w:tbl>
    <w:p>
      <w:pPr>
        <w:autoSpaceDE w:val="0"/>
        <w:autoSpaceDN w:val="0"/>
        <w:adjustRightInd w:val="0"/>
        <w:snapToGrid w:val="0"/>
        <w:spacing w:line="360" w:lineRule="auto"/>
        <w:rPr>
          <w:rFonts w:asciiTheme="minorEastAsia" w:hAnsiTheme="minorEastAsia" w:eastAsiaTheme="minorEastAsia"/>
          <w:color w:val="auto"/>
          <w:kern w:val="0"/>
          <w:sz w:val="24"/>
          <w:highlight w:val="none"/>
        </w:rPr>
        <w:sectPr>
          <w:pgSz w:w="11906" w:h="16838"/>
          <w:pgMar w:top="1440" w:right="1800" w:bottom="1440" w:left="1800" w:header="851" w:footer="992" w:gutter="0"/>
          <w:cols w:space="425" w:num="1"/>
          <w:docGrid w:type="lines" w:linePitch="312" w:charSpace="0"/>
        </w:sectPr>
      </w:pPr>
    </w:p>
    <w:p>
      <w:pPr>
        <w:numPr>
          <w:ilvl w:val="0"/>
          <w:numId w:val="5"/>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玉环市政府采购合同</w:t>
      </w:r>
    </w:p>
    <w:p>
      <w:pPr>
        <w:pStyle w:val="2"/>
        <w:spacing w:line="360" w:lineRule="auto"/>
        <w:ind w:firstLine="352" w:firstLineChars="147"/>
        <w:rPr>
          <w:rFonts w:hint="eastAsia" w:hAnsi="宋体" w:eastAsia="宋体"/>
          <w:bCs/>
          <w:color w:val="auto"/>
          <w:sz w:val="24"/>
          <w:highlight w:val="none"/>
          <w:lang w:val="en-US" w:eastAsia="zh-CN"/>
        </w:rPr>
      </w:pPr>
      <w:r>
        <w:rPr>
          <w:rFonts w:hint="eastAsia" w:hAnsi="宋体"/>
          <w:bCs/>
          <w:color w:val="auto"/>
          <w:sz w:val="24"/>
          <w:highlight w:val="none"/>
          <w:lang w:val="en-US"/>
        </w:rPr>
        <w:t>项目名称：</w:t>
      </w:r>
      <w:r>
        <w:rPr>
          <w:rFonts w:hint="eastAsia" w:hAnsi="宋体"/>
          <w:bCs/>
          <w:color w:val="auto"/>
          <w:sz w:val="24"/>
          <w:highlight w:val="none"/>
          <w:lang w:val="en-US" w:eastAsia="zh-CN"/>
        </w:rPr>
        <w:t>2018年玉环市公安局交通警察大队“天眼工程”（二期）（重新）</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项目编号：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服务购买方（甲方）：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服务提供方（乙方）：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根据</w:t>
      </w:r>
      <w:r>
        <w:rPr>
          <w:rFonts w:hAnsi="宋体"/>
          <w:bCs/>
          <w:color w:val="auto"/>
          <w:sz w:val="24"/>
          <w:highlight w:val="none"/>
          <w:u w:val="single"/>
          <w:lang w:val="en-US"/>
        </w:rPr>
        <w:t xml:space="preserve">    </w:t>
      </w:r>
      <w:r>
        <w:rPr>
          <w:rFonts w:hAnsi="宋体"/>
          <w:bCs/>
          <w:color w:val="auto"/>
          <w:sz w:val="24"/>
          <w:highlight w:val="none"/>
          <w:lang w:val="en-US"/>
        </w:rPr>
        <w:t xml:space="preserve"> </w:t>
      </w:r>
      <w:r>
        <w:rPr>
          <w:rFonts w:hint="eastAsia" w:hAnsi="宋体"/>
          <w:bCs/>
          <w:color w:val="auto"/>
          <w:sz w:val="24"/>
          <w:highlight w:val="none"/>
          <w:lang w:val="en-US"/>
        </w:rPr>
        <w:t>年</w:t>
      </w:r>
      <w:r>
        <w:rPr>
          <w:rFonts w:hAnsi="宋体"/>
          <w:bCs/>
          <w:color w:val="auto"/>
          <w:sz w:val="24"/>
          <w:highlight w:val="none"/>
          <w:u w:val="single"/>
          <w:lang w:val="en-US"/>
        </w:rPr>
        <w:t xml:space="preserve">    </w:t>
      </w:r>
      <w:r>
        <w:rPr>
          <w:rFonts w:hint="eastAsia" w:hAnsi="宋体"/>
          <w:bCs/>
          <w:color w:val="auto"/>
          <w:sz w:val="24"/>
          <w:highlight w:val="none"/>
          <w:lang w:val="en-US"/>
        </w:rPr>
        <w:t>月</w:t>
      </w:r>
      <w:r>
        <w:rPr>
          <w:rFonts w:hAnsi="宋体"/>
          <w:bCs/>
          <w:color w:val="auto"/>
          <w:sz w:val="24"/>
          <w:highlight w:val="none"/>
          <w:u w:val="single"/>
          <w:lang w:val="en-US"/>
        </w:rPr>
        <w:t xml:space="preserve">    </w:t>
      </w:r>
      <w:r>
        <w:rPr>
          <w:rFonts w:hint="eastAsia" w:hAnsi="宋体"/>
          <w:bCs/>
          <w:color w:val="auto"/>
          <w:sz w:val="24"/>
          <w:highlight w:val="none"/>
          <w:lang w:val="en-US"/>
        </w:rPr>
        <w:t>日</w:t>
      </w:r>
      <w:r>
        <w:rPr>
          <w:rFonts w:hint="eastAsia" w:hAnsi="宋体"/>
          <w:bCs/>
          <w:color w:val="auto"/>
          <w:sz w:val="24"/>
          <w:highlight w:val="none"/>
          <w:lang w:val="en-US" w:eastAsia="zh-CN"/>
        </w:rPr>
        <w:t>2018年玉环市公安局交通警察大队“天眼工程”（二期）（重新）</w:t>
      </w:r>
      <w:r>
        <w:rPr>
          <w:rFonts w:hint="eastAsia" w:hAnsi="宋体"/>
          <w:bCs/>
          <w:color w:val="auto"/>
          <w:sz w:val="24"/>
          <w:highlight w:val="none"/>
          <w:lang w:val="en-US"/>
        </w:rPr>
        <w:t>采购（招标编号</w:t>
      </w:r>
      <w:r>
        <w:rPr>
          <w:rFonts w:hAnsi="宋体"/>
          <w:bCs/>
          <w:color w:val="auto"/>
          <w:sz w:val="24"/>
          <w:highlight w:val="none"/>
          <w:u w:val="single"/>
          <w:lang w:val="en-US"/>
        </w:rPr>
        <w:t xml:space="preserve">       </w:t>
      </w:r>
      <w:r>
        <w:rPr>
          <w:rFonts w:hint="eastAsia" w:hAnsi="宋体"/>
          <w:bCs/>
          <w:color w:val="auto"/>
          <w:sz w:val="24"/>
          <w:highlight w:val="none"/>
          <w:lang w:val="en-US"/>
        </w:rPr>
        <w:t>)招标结果和招标文件要求，并依照《中华人民共和国合同法》《中华人民共和国政府采购法》及其他等有关法律、行政法规的规定，同时在平等、公平、诚实和信用的原则下，经双方协商一致，订立本合同。供应商不得与本项目的监理单位存在隶属关系和利益关系，不得作为监理单位投资者和合伙经营者</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一、合同金额</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本合同金额为人民币</w:t>
      </w:r>
      <w:r>
        <w:rPr>
          <w:rFonts w:hAnsi="宋体"/>
          <w:bCs/>
          <w:color w:val="auto"/>
          <w:sz w:val="24"/>
          <w:highlight w:val="none"/>
          <w:u w:val="single"/>
          <w:lang w:val="en-US"/>
        </w:rPr>
        <w:t xml:space="preserve">        </w:t>
      </w:r>
      <w:r>
        <w:rPr>
          <w:rFonts w:hint="eastAsia" w:hAnsi="宋体"/>
          <w:bCs/>
          <w:color w:val="auto"/>
          <w:sz w:val="24"/>
          <w:highlight w:val="none"/>
          <w:lang w:val="en-US"/>
        </w:rPr>
        <w:t>元整（含税）,小写（</w:t>
      </w:r>
      <w:r>
        <w:rPr>
          <w:rFonts w:hAnsi="宋体"/>
          <w:bCs/>
          <w:color w:val="auto"/>
          <w:sz w:val="24"/>
          <w:highlight w:val="none"/>
          <w:u w:val="single"/>
          <w:lang w:val="en-US"/>
        </w:rPr>
        <w:t xml:space="preserve">         </w:t>
      </w:r>
      <w:r>
        <w:rPr>
          <w:rFonts w:hint="eastAsia" w:hAnsi="宋体"/>
          <w:bCs/>
          <w:color w:val="auto"/>
          <w:sz w:val="24"/>
          <w:highlight w:val="none"/>
          <w:lang w:val="en-US"/>
        </w:rPr>
        <w:t>），其中税率为6%，该总金额包括但不限于货款、运输费、安装费、维护费、服务费、培训费、税金等有关的一切费用和价款，在本合同履行期间乙方及乙方工作人员不得再以任何理由向甲方计取任何费用。</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二、服务内容</w:t>
      </w:r>
    </w:p>
    <w:tbl>
      <w:tblPr>
        <w:tblStyle w:val="20"/>
        <w:tblW w:w="8780" w:type="dxa"/>
        <w:jc w:val="center"/>
        <w:tblInd w:w="0" w:type="dxa"/>
        <w:tblLayout w:type="fixed"/>
        <w:tblCellMar>
          <w:top w:w="0" w:type="dxa"/>
          <w:left w:w="108" w:type="dxa"/>
          <w:bottom w:w="0" w:type="dxa"/>
          <w:right w:w="108" w:type="dxa"/>
        </w:tblCellMar>
      </w:tblPr>
      <w:tblGrid>
        <w:gridCol w:w="521"/>
        <w:gridCol w:w="3179"/>
        <w:gridCol w:w="780"/>
        <w:gridCol w:w="1060"/>
        <w:gridCol w:w="1500"/>
        <w:gridCol w:w="1740"/>
      </w:tblGrid>
      <w:tr>
        <w:tblPrEx>
          <w:tblLayout w:type="fixed"/>
          <w:tblCellMar>
            <w:top w:w="0" w:type="dxa"/>
            <w:left w:w="108" w:type="dxa"/>
            <w:bottom w:w="0" w:type="dxa"/>
            <w:right w:w="108" w:type="dxa"/>
          </w:tblCellMar>
        </w:tblPrEx>
        <w:trPr>
          <w:trHeight w:val="690" w:hRule="atLeast"/>
          <w:jc w:val="center"/>
        </w:trPr>
        <w:tc>
          <w:tcPr>
            <w:tcW w:w="5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4"/>
                <w:szCs w:val="28"/>
                <w:highlight w:val="none"/>
              </w:rPr>
            </w:pPr>
            <w:r>
              <w:rPr>
                <w:rFonts w:hint="eastAsia" w:ascii="宋体" w:hAnsi="宋体" w:cs="宋体"/>
                <w:color w:val="auto"/>
                <w:kern w:val="0"/>
                <w:sz w:val="24"/>
                <w:szCs w:val="28"/>
                <w:highlight w:val="none"/>
              </w:rPr>
              <w:t>序号</w:t>
            </w:r>
          </w:p>
        </w:tc>
        <w:tc>
          <w:tcPr>
            <w:tcW w:w="31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r>
              <w:rPr>
                <w:rFonts w:hint="eastAsia" w:ascii="宋体" w:hAnsi="宋体" w:cs="宋体"/>
                <w:color w:val="auto"/>
                <w:kern w:val="0"/>
                <w:sz w:val="24"/>
                <w:szCs w:val="28"/>
                <w:highlight w:val="none"/>
              </w:rPr>
              <w:t>名称</w:t>
            </w:r>
          </w:p>
        </w:tc>
        <w:tc>
          <w:tcPr>
            <w:tcW w:w="7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r>
              <w:rPr>
                <w:rFonts w:hint="eastAsia" w:ascii="宋体" w:hAnsi="宋体" w:cs="宋体"/>
                <w:color w:val="auto"/>
                <w:kern w:val="0"/>
                <w:sz w:val="24"/>
                <w:szCs w:val="28"/>
                <w:highlight w:val="none"/>
              </w:rPr>
              <w:t>数量</w:t>
            </w:r>
          </w:p>
        </w:tc>
        <w:tc>
          <w:tcPr>
            <w:tcW w:w="10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auto"/>
                <w:kern w:val="0"/>
                <w:sz w:val="24"/>
                <w:szCs w:val="28"/>
                <w:highlight w:val="none"/>
              </w:rPr>
            </w:pPr>
            <w:r>
              <w:rPr>
                <w:rFonts w:hint="eastAsia" w:ascii="宋体" w:hAnsi="宋体" w:cs="宋体"/>
                <w:color w:val="auto"/>
                <w:kern w:val="0"/>
                <w:sz w:val="24"/>
                <w:szCs w:val="28"/>
                <w:highlight w:val="none"/>
              </w:rPr>
              <w:t>服务期限（月）</w:t>
            </w:r>
          </w:p>
        </w:tc>
        <w:tc>
          <w:tcPr>
            <w:tcW w:w="1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auto"/>
                <w:kern w:val="0"/>
                <w:sz w:val="24"/>
                <w:szCs w:val="28"/>
                <w:highlight w:val="none"/>
              </w:rPr>
            </w:pPr>
            <w:r>
              <w:rPr>
                <w:rFonts w:hint="eastAsia" w:ascii="宋体" w:hAnsi="宋体" w:cs="宋体"/>
                <w:color w:val="auto"/>
                <w:kern w:val="0"/>
                <w:sz w:val="24"/>
                <w:szCs w:val="28"/>
                <w:highlight w:val="none"/>
              </w:rPr>
              <w:t>单价（元/月）</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r>
              <w:rPr>
                <w:rFonts w:hint="eastAsia" w:ascii="宋体" w:hAnsi="宋体" w:cs="宋体"/>
                <w:color w:val="auto"/>
                <w:kern w:val="0"/>
                <w:sz w:val="24"/>
                <w:szCs w:val="28"/>
                <w:highlight w:val="none"/>
              </w:rPr>
              <w:t>合计（元）</w:t>
            </w:r>
          </w:p>
        </w:tc>
      </w:tr>
      <w:tr>
        <w:tblPrEx>
          <w:tblLayout w:type="fixed"/>
          <w:tblCellMar>
            <w:top w:w="0" w:type="dxa"/>
            <w:left w:w="108" w:type="dxa"/>
            <w:bottom w:w="0" w:type="dxa"/>
            <w:right w:w="108" w:type="dxa"/>
          </w:tblCellMar>
        </w:tblPrEx>
        <w:trPr>
          <w:trHeight w:val="280" w:hRule="atLeast"/>
          <w:jc w:val="center"/>
        </w:trPr>
        <w:tc>
          <w:tcPr>
            <w:tcW w:w="5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317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宋体" w:hAnsi="宋体" w:cs="宋体"/>
                <w:color w:val="auto"/>
                <w:kern w:val="0"/>
                <w:sz w:val="24"/>
                <w:szCs w:val="28"/>
                <w:highlight w:val="none"/>
              </w:rPr>
            </w:pP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10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150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宋体" w:hAnsi="宋体" w:cs="宋体"/>
                <w:color w:val="auto"/>
                <w:kern w:val="0"/>
                <w:sz w:val="24"/>
                <w:szCs w:val="28"/>
                <w:highlight w:val="none"/>
              </w:rPr>
            </w:pPr>
          </w:p>
        </w:tc>
        <w:tc>
          <w:tcPr>
            <w:tcW w:w="174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宋体" w:hAnsi="宋体" w:cs="宋体"/>
                <w:color w:val="auto"/>
                <w:kern w:val="0"/>
                <w:sz w:val="24"/>
                <w:szCs w:val="28"/>
                <w:highlight w:val="none"/>
              </w:rPr>
            </w:pPr>
          </w:p>
        </w:tc>
      </w:tr>
      <w:tr>
        <w:tblPrEx>
          <w:tblLayout w:type="fixed"/>
          <w:tblCellMar>
            <w:top w:w="0" w:type="dxa"/>
            <w:left w:w="108" w:type="dxa"/>
            <w:bottom w:w="0" w:type="dxa"/>
            <w:right w:w="108" w:type="dxa"/>
          </w:tblCellMar>
        </w:tblPrEx>
        <w:trPr>
          <w:trHeight w:val="280" w:hRule="atLeast"/>
          <w:jc w:val="center"/>
        </w:trPr>
        <w:tc>
          <w:tcPr>
            <w:tcW w:w="5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317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宋体" w:hAnsi="宋体" w:cs="宋体"/>
                <w:color w:val="auto"/>
                <w:kern w:val="0"/>
                <w:sz w:val="24"/>
                <w:szCs w:val="28"/>
                <w:highlight w:val="none"/>
              </w:rPr>
            </w:pP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10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150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宋体" w:hAnsi="宋体" w:cs="宋体"/>
                <w:color w:val="auto"/>
                <w:kern w:val="0"/>
                <w:sz w:val="24"/>
                <w:szCs w:val="28"/>
                <w:highlight w:val="none"/>
              </w:rPr>
            </w:pPr>
          </w:p>
        </w:tc>
        <w:tc>
          <w:tcPr>
            <w:tcW w:w="174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宋体" w:hAnsi="宋体" w:cs="宋体"/>
                <w:color w:val="auto"/>
                <w:kern w:val="0"/>
                <w:sz w:val="24"/>
                <w:szCs w:val="28"/>
                <w:highlight w:val="none"/>
              </w:rPr>
            </w:pPr>
          </w:p>
        </w:tc>
      </w:tr>
      <w:tr>
        <w:tblPrEx>
          <w:tblLayout w:type="fixed"/>
          <w:tblCellMar>
            <w:top w:w="0" w:type="dxa"/>
            <w:left w:w="108" w:type="dxa"/>
            <w:bottom w:w="0" w:type="dxa"/>
            <w:right w:w="108" w:type="dxa"/>
          </w:tblCellMar>
        </w:tblPrEx>
        <w:trPr>
          <w:trHeight w:val="280" w:hRule="atLeast"/>
          <w:jc w:val="center"/>
        </w:trPr>
        <w:tc>
          <w:tcPr>
            <w:tcW w:w="52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3179" w:type="dxa"/>
            <w:tcBorders>
              <w:top w:val="nil"/>
              <w:left w:val="nil"/>
              <w:bottom w:val="single" w:color="auto" w:sz="4" w:space="0"/>
              <w:right w:val="single" w:color="auto" w:sz="4" w:space="0"/>
            </w:tcBorders>
            <w:shd w:val="clear" w:color="auto" w:fill="auto"/>
            <w:noWrap/>
            <w:vAlign w:val="bottom"/>
          </w:tcPr>
          <w:p>
            <w:pPr>
              <w:widowControl/>
              <w:jc w:val="left"/>
              <w:rPr>
                <w:rFonts w:hint="eastAsia" w:ascii="宋体" w:hAnsi="宋体" w:cs="宋体"/>
                <w:color w:val="auto"/>
                <w:kern w:val="0"/>
                <w:sz w:val="24"/>
                <w:szCs w:val="28"/>
                <w:highlight w:val="none"/>
              </w:rPr>
            </w:pP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10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auto"/>
                <w:kern w:val="0"/>
                <w:sz w:val="24"/>
                <w:szCs w:val="28"/>
                <w:highlight w:val="none"/>
              </w:rPr>
            </w:pPr>
          </w:p>
        </w:tc>
        <w:tc>
          <w:tcPr>
            <w:tcW w:w="150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宋体" w:hAnsi="宋体" w:cs="宋体"/>
                <w:color w:val="auto"/>
                <w:kern w:val="0"/>
                <w:sz w:val="24"/>
                <w:szCs w:val="28"/>
                <w:highlight w:val="none"/>
              </w:rPr>
            </w:pPr>
          </w:p>
        </w:tc>
        <w:tc>
          <w:tcPr>
            <w:tcW w:w="1740" w:type="dxa"/>
            <w:tcBorders>
              <w:top w:val="nil"/>
              <w:left w:val="nil"/>
              <w:bottom w:val="single" w:color="auto" w:sz="4" w:space="0"/>
              <w:right w:val="single" w:color="auto" w:sz="4" w:space="0"/>
            </w:tcBorders>
            <w:shd w:val="clear" w:color="auto" w:fill="auto"/>
            <w:noWrap/>
            <w:vAlign w:val="bottom"/>
          </w:tcPr>
          <w:p>
            <w:pPr>
              <w:widowControl/>
              <w:jc w:val="right"/>
              <w:rPr>
                <w:rFonts w:hint="eastAsia" w:ascii="宋体" w:hAnsi="宋体" w:cs="宋体"/>
                <w:color w:val="auto"/>
                <w:kern w:val="0"/>
                <w:sz w:val="24"/>
                <w:szCs w:val="28"/>
                <w:highlight w:val="none"/>
              </w:rPr>
            </w:pPr>
          </w:p>
        </w:tc>
      </w:tr>
    </w:tbl>
    <w:p>
      <w:pPr>
        <w:pStyle w:val="2"/>
        <w:spacing w:line="360" w:lineRule="auto"/>
        <w:ind w:firstLine="352" w:firstLineChars="147"/>
        <w:rPr>
          <w:rFonts w:hAnsi="宋体"/>
          <w:bCs/>
          <w:color w:val="auto"/>
          <w:sz w:val="24"/>
          <w:highlight w:val="none"/>
          <w:lang w:val="en-US"/>
        </w:rPr>
      </w:pP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三、技术资料</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3.1乙方应按招标文件规定的时间向甲方提供有关技术资料。</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四、知识产权</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乙方应保证提供服务过程中不会侵犯任何第三方的知识产权。</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五、产权担保</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5.1乙方保证所交付的服务所包含的货物所有权完全属于乙方且无任何抵押、查封等产权瑕疵。</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5.2若乙方交付的服务侵犯了第三方产权或存在产权瑕疵，由此可能发生的一切法律责任及费用均由乙方承担，与甲方无关。</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六、履约保证金</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本项目履约保证金</w:t>
      </w:r>
      <w:r>
        <w:rPr>
          <w:rFonts w:hAnsi="宋体"/>
          <w:bCs/>
          <w:color w:val="auto"/>
          <w:sz w:val="24"/>
          <w:highlight w:val="none"/>
          <w:u w:val="single"/>
          <w:lang w:val="en-US"/>
        </w:rPr>
        <w:t xml:space="preserve">        </w:t>
      </w:r>
      <w:r>
        <w:rPr>
          <w:rFonts w:hint="eastAsia" w:hAnsi="宋体"/>
          <w:bCs/>
          <w:color w:val="auto"/>
          <w:sz w:val="24"/>
          <w:highlight w:val="none"/>
          <w:lang w:val="en-US"/>
        </w:rPr>
        <w:t>元，在合同签订前汇入甲方指定账户，待项目整体验收通过且合同完全履行结束之日起30日内，甲方无息退还给乙方。乙方未按要求提供相应服务的，甲方有权按合同、招及投标文件要求的标准，从履约保证金中扣除相应金额的违约金或服务费，若履约保证金有被扣除的需在15日内重新补齐。</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七、转包或分包</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7.1本合同范围的服务，应由乙方直接供应，不得转让他人供应；</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7.2除非得到甲方的书面同意，乙方不得将本合同范围的服务全部或部分分包给他人供应；</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7.3如有转让和未经甲方同意的分包行为，甲方有权解除合同，没收履约保证金并追究乙方合同总金额5%的违约责任。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八、服务期及服务款支付</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项目采用按要求提供相应视频信息服务即付费原则，服务期为36个月，对于通过初验和试运行，并最终经服务购买方准入验收（验收时需提供竣工图纸）通过，开始计算服务运营期限，再根据考核结果情况按月核计服务费并按每年两次支付，付款时间为6月和12月，最后一期付款为运营期满后90天内。</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九、项目完成时间</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本项目须在</w:t>
      </w:r>
      <w:r>
        <w:rPr>
          <w:rFonts w:hAnsi="宋体"/>
          <w:bCs/>
          <w:color w:val="auto"/>
          <w:sz w:val="24"/>
          <w:highlight w:val="none"/>
          <w:u w:val="single"/>
          <w:lang w:val="en-US"/>
        </w:rPr>
        <w:t xml:space="preserve">        </w:t>
      </w:r>
      <w:r>
        <w:rPr>
          <w:rFonts w:hint="eastAsia" w:hAnsi="宋体"/>
          <w:bCs/>
          <w:color w:val="auto"/>
          <w:sz w:val="24"/>
          <w:highlight w:val="none"/>
          <w:lang w:val="en-US"/>
        </w:rPr>
        <w:t>之前完成项目全部建设内容，经过服务准入初步验收和试运行，并通过服务准入验收。</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十、建设期及运营期服务条款</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项目量化政府购买公共服务的绩效指标，引入第三方监理评估机制，建立严格专业多元的外部监督机制，按照科学的方法、程序和标准，对服务机构的服务质量作出全面客观的评价。中标单位应完全配合本项目监理单位工作，对经服务购买方授权监理单位签发的通知单等，中标单位都应按要求予以回复及执行。</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项目属交钥匙项目，中标方要考虑实现标书需求的所有费用，对方案中未体现，但又是必须的设备，中标方必须自行增加设备，同时，中标方需对项目建设及运营期间的安全责任问题全权负责，投标的报价包含实现标书的所有功能及安全保障工作，用户方不再另外增加费用。如后续再增加点位 ，将参考本次招标结果以补充协议方式商定。</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10.1服务提供方工作日报、周报、月报</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服务提供方需每日对设备情况进行摸排，提交维护工作日报，反馈设备在线情况、自我问题排查以及维护情况、针对监理或业主单位发现的问题整改情况。</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报表要求（见附件：日报表样板、周报表样板、月报表样板）：</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日报表数据以台州市城市道路智能管控平台统计数据为准，设备在线情况、录像缺失多少时间查询厂家应用平台得出，各种数据为填表时查询的真实数据，实事求是，不可弄虚作假。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详情列表中，针对数据有问题的点位，字体颜色调整为红色突出显示，详情报表必须与问题记录里一一对应，做到清楚直观。若报表制作马虎，列表凌乱，问题无法对应，当月结算服务费扣款时，以问题多的部分统计。</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例：今日问题中只记录5个有不可恢复的故障点位，而详情列表中有7个故障（主要是缺失服务时间）点位，则按较多的7个点位统计时间扣款。</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每日4点之前提交电子版报表至运维微信群及负责人电子信箱，每周一提交上周日报表纸质版。</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今日总结中，故障可恢复部分即平台对接问题产生的状况，如诚道无数据或数据缺失，而前端设备数据完整，则记为可恢复部分。</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故障不可恢复部分,设备真实故障导致、设备维护时停电导致等等。</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市政停电部分，需随表附具停电证明（可截图电力局网站停电公告）。</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其他：记录因不可抗力因素导致的服务暂停部分，已申请交警大队同意暂停考核点位。</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今日解决问题记录：记录运维人员当日排查到的问题，以及维护修理情况；可记录昨日作报表之时至今日做报表之时，反馈运维人员的工作内容。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设备升级:如遇领导指示设备升级安排，记录升级情况与升级计划。</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昨日反馈：针对运维监理人员于前一天监理日志中提出的问题，反馈维护修理情况。</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日报表详情页设备序号最大值必须与项目设备总数一致，序号连续。</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每周一提交上一周的文档纸质打印版；如有特殊情况，需提前申请相关管理人员同意，未经履行则每次扣款200元。</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10.2服务提供方需做好知识库的累积</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运维服务是一项长期、 持久的技术维护性工作， 运维服务团队技术服务能力的提升， 很大程度上取决于运维知识的积累、 传递、 共享、 应用， 以及再积累的循环往复过程， 而建立这一过程体系的最佳实践方案便是完善运维知识库。</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    运维知识库的完善， 能够快速提高运维服务团队的整体服务水平与能力， 降低运维人才培养的成本和时间， 是提高运维响应速度和质量不可或缺的要素。</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ab/>
      </w:r>
      <w:r>
        <w:rPr>
          <w:rFonts w:hint="eastAsia" w:hAnsi="宋体"/>
          <w:bCs/>
          <w:color w:val="auto"/>
          <w:sz w:val="24"/>
          <w:highlight w:val="none"/>
          <w:lang w:val="en-US"/>
        </w:rPr>
        <w:t>由运维主管负责知识库的管理工作，分三个品类：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故障解决类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分析日常遇到的故障、解决办法，归纳整理记录；</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经验总结类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排查故障的步骤；</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日常操作类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日常各类平台的数据查询、报表制作电子文档应用的快捷方法等。</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创建一个EXCEL电子文档或三个，每个成员都可以记录自己掌握的知识，由主管统计分析，去芜存菁，珍爱知识数据库，有效保存，方便后续学习、使用。</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10.3运营考核指标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监理对所有前端每台摄像机上传的视频、图片、车流量数据、车牌捕获率、号牌识别率、违法捕获率、存储进行巡检考核；对每台服务器、整体网络运行状况等进行巡检考核。并形成巡检报告附巡检照片（或截图）送交警存档。</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10.3.1视频录像考核指标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有效录像时长（小时）：考核频次为每日抽检，考核单位摄像头录像保存时间是否达标。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10.3.2过车数据考核指标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卡口过车数据抓拍率（%）：按指定时间内人工甄别得出过车抓拍率。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捕获率检测流程为，在规定的时间内，比如抽查的1小时内或者10分钟、20分钟内等自定义时间内平台获取到的过车数量与人工甄别出的实际过车数量的比值。</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10.3.3违法数据考核指标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违法数据有效率的检测流程为，在规定的时间内，比如开始数据录入的1小时内或者10分钟、20分钟内等自定义时间内人工甄别出的有效违法数据数量与相机抓拍到的违法数据总数的比值。</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图片组合率：能完成正反向图片组合数/违法抓拍数（%）</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检测流程为按规定时间内，组合违法数据与上传违法数据比值。</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10.3.4系统完整率考核指标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录像保存时长：视频录像需保存30日及以上，抽查发现30*24=720小时之前无录像即判断该设备录像保存时长不达标，属于设备故障，按照6.4.4条款扣罚；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图片保存时长：图片需保存180日及以上，抽查发现30*24=720小时之前无录像即判断该设备录像保存时长不达标，属于设备故障，按照6.4.4条款扣罚；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数据保存时长：数据需保存180日及以上，抽查发现30*24=720小时之前无录像即判断该设备录像保存时长不达标，属于设备故障，按照6.4.4条款扣罚。日统计报表</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以天、月为考核区间对各运营商设备运行效能进行综合考评，促进各承建单位做好系统各项指标完好率和有效率，提升系统业务应用价值。系统根据各个系统和计费单元的历史故障记录，及故障频次，按照既定的计费规则，形成天、月、年度运营服务费用，并有详单可查。</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10.4具体服务条款</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10.4.1中标方负责本项目所有点位日常运行及维护工作，保障信息服务提供的及时准确。中标方负责提供2名以上（含2名）驻点维护人员（需出具中标方派驻任命书，如果服务期间人员出现变动的，再重新出具中标方派驻任命书），提供在交警大队7*8小时（同时以满足业主具体的需求为准）驻点服务，并提供工作热线电话，以便业主及时顺畅沟通，驻点维护人员按业主单位规定统一着装，服从业主单位考勤管理，且必须保障在业主单位有实际需求时随时响应，驻点配合业主单位工作。中标方需自行配备考勤系统，并向业主提供每周\每月的指纹报表，具体工作由业主安排，驻点维护人员费用由中标方支付，对业主认为不符合岗位要求的，有权要求中标方更换人员，对上述驻点维护人员未经业主同意而未按要求到岗工作的，按每日/每人从服务费中扣除500元违约金，对上述服务热线电话未按要求正常提供服务的，按每日从服务费中扣除200元违约金。</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w:t>
      </w:r>
      <w:r>
        <w:rPr>
          <w:rFonts w:hint="eastAsia" w:hAnsi="宋体"/>
          <w:bCs/>
          <w:color w:val="auto"/>
          <w:sz w:val="24"/>
          <w:highlight w:val="none"/>
          <w:lang w:val="en-US" w:eastAsia="zh-CN"/>
        </w:rPr>
        <w:t>2</w:t>
      </w:r>
      <w:r>
        <w:rPr>
          <w:rFonts w:hint="eastAsia" w:hAnsi="宋体"/>
          <w:bCs/>
          <w:color w:val="auto"/>
          <w:sz w:val="24"/>
          <w:highlight w:val="none"/>
          <w:lang w:val="en-US"/>
        </w:rPr>
        <w:t>中标方应按业主方及监理单位要求提供每日的点位服务质量信息，生成每日考核报告，每月第一周提交上月巡检结果及情况分析，并保证报告的真实性。中标方需以日、月对设备服务提供情况制作报表，并提交业主，业主通过对报表相应内容的抽查后确定服务质量，并出具支付费用报表（对中标方在报表中已说明的未按要求提供服务情况，业主根据实际情况按比例扣除相应费用或按实际缺失情况要求服务提供方补充服务时间；如因停电、道路改造等第三方原因造成无法按要求提供服务的，不扣相应费用，但服务提供方需补充提供相应服务时间，同时本月结算时间相应推迟。对中标方在报表中说明正常提供服务，但实际未按要求提供服务的，业主根据抽查结果，统一按抽查结果作为中标方的整体服务质量，并扣除相应服务费5倍）。</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w:t>
      </w:r>
      <w:r>
        <w:rPr>
          <w:rFonts w:hint="eastAsia" w:hAnsi="宋体"/>
          <w:bCs/>
          <w:color w:val="auto"/>
          <w:sz w:val="24"/>
          <w:highlight w:val="none"/>
          <w:lang w:val="en-US" w:eastAsia="zh-CN"/>
        </w:rPr>
        <w:t>3</w:t>
      </w:r>
      <w:r>
        <w:rPr>
          <w:rFonts w:hint="eastAsia" w:hAnsi="宋体"/>
          <w:bCs/>
          <w:color w:val="auto"/>
          <w:sz w:val="24"/>
          <w:highlight w:val="none"/>
          <w:lang w:val="en-US"/>
        </w:rPr>
        <w:t>对提供的服务要求如下：</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单点摄像机本月故障率（无信号、无视频或无数据、可控球机不可人为控制、数据/图像未按要求上传到甲方指定平台、数据上传延时等）10天内的（含10天），按（月服务费*故障天数/30）扣除服务费用；超过10天小于等于20天的，不予支付该点当月对账周期服务费用；超过20天，扣除该点当月对账周期服务费用并额外加扣一个月服务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点位整体服务评价，如果点位当月摄像机有多个出现故障（无信号、无视频或无数据等），累计故障时长超过该点位应提供服务时长1/3的，则该点位其他正常提供服务的摄像机同样不予支付该月应付服务费用，超过2/3的，扣除该点位所有设备服务费用，并额外加扣该点位所有设备一个月服务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项目整体服务评价，如果项目中摄像机故障率较多，累计故障时长超过该项目应提供服务时长1/3的，则该项目其他正常提供服务的摄像机同样不予支付该月应付服务费用，超过2/3的，扣除项目中所有设备服务费用，并额外加扣该项目中所有设备一个月服务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w:t>
      </w:r>
      <w:r>
        <w:rPr>
          <w:rFonts w:hint="eastAsia" w:hAnsi="宋体"/>
          <w:bCs/>
          <w:color w:val="auto"/>
          <w:sz w:val="24"/>
          <w:highlight w:val="none"/>
          <w:lang w:val="en-US" w:eastAsia="zh-CN"/>
        </w:rPr>
        <w:t>4</w:t>
      </w:r>
      <w:r>
        <w:rPr>
          <w:rFonts w:hint="eastAsia" w:hAnsi="宋体"/>
          <w:bCs/>
          <w:color w:val="auto"/>
          <w:sz w:val="24"/>
          <w:highlight w:val="none"/>
          <w:lang w:val="en-US"/>
        </w:rPr>
        <w:t>中标方应从中标通知书发出第二日起至项目通过验收止，按业主要求在每日19时前通过微信工作群上报截止当日17时的工作进度，不汇报工作进度的业主方有权扣除服务费1000元/次，不按时汇报工作进度的业主方有权每次从服务费中扣除500元/次。中标方需按招、投标文件等要求做好相应工作及配合业主方完成相关视频建设项目的档案管理工作，否则业主方有权从服务费扣除500元/次/天，建设期间扣款记账累计，于验收后第一季度服务费中扣除。</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w:t>
      </w:r>
      <w:r>
        <w:rPr>
          <w:rFonts w:hint="eastAsia" w:hAnsi="宋体"/>
          <w:bCs/>
          <w:color w:val="auto"/>
          <w:sz w:val="24"/>
          <w:highlight w:val="none"/>
          <w:lang w:val="en-US" w:eastAsia="zh-CN"/>
        </w:rPr>
        <w:t>5</w:t>
      </w:r>
      <w:r>
        <w:rPr>
          <w:rFonts w:hint="eastAsia" w:hAnsi="宋体"/>
          <w:bCs/>
          <w:color w:val="auto"/>
          <w:sz w:val="24"/>
          <w:highlight w:val="none"/>
          <w:lang w:val="en-US"/>
        </w:rPr>
        <w:t>中标方应完全配合本项目监理单位工作，在建设及运维期间对业主方及监理单位签发的通知单等，中标方都应按要求予以回复及执行，否则业主方有权从服务费中扣除1000元/次。监理通知单、对账单等文件，在业主方及监理单位发出电子稿件，中标方代表口头或各类通讯软件表示接收后，必须在业主方及监理单位要求的时间内予以回复及执行，若有异议必须于三日内提交书面说明，否则按中标方默认文件内容处理。</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w:t>
      </w:r>
      <w:r>
        <w:rPr>
          <w:rFonts w:hint="eastAsia" w:hAnsi="宋体"/>
          <w:bCs/>
          <w:color w:val="auto"/>
          <w:sz w:val="24"/>
          <w:highlight w:val="none"/>
          <w:lang w:val="en-US" w:eastAsia="zh-CN"/>
        </w:rPr>
        <w:t>6</w:t>
      </w:r>
      <w:r>
        <w:rPr>
          <w:rFonts w:hint="eastAsia" w:hAnsi="宋体"/>
          <w:bCs/>
          <w:color w:val="auto"/>
          <w:sz w:val="24"/>
          <w:highlight w:val="none"/>
          <w:lang w:val="en-US"/>
        </w:rPr>
        <w:t>对中标方提供的中心平台的考核：对中标方提供的平台，未按要求提供相关服务的，按1000元/日从服务费中扣除违约金，如果未按要求提供相关服务持续30天，或者累计天数达60天的，业主有权暂停支付服务费。如中标方平台需更新升级程序之类，必须事先书面报备且征得甲方同意，否则导致的数据上传延时或缺失、录像缺失等问题按考核结果进行扣服务费处罚。</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10.4.</w:t>
      </w:r>
      <w:r>
        <w:rPr>
          <w:rFonts w:hint="eastAsia" w:hAnsi="宋体"/>
          <w:bCs/>
          <w:color w:val="auto"/>
          <w:sz w:val="24"/>
          <w:highlight w:val="none"/>
          <w:lang w:val="en-US" w:eastAsia="zh-CN"/>
        </w:rPr>
        <w:t>7</w:t>
      </w:r>
      <w:r>
        <w:rPr>
          <w:rFonts w:hint="eastAsia" w:hAnsi="宋体"/>
          <w:bCs/>
          <w:color w:val="auto"/>
          <w:sz w:val="24"/>
          <w:highlight w:val="none"/>
          <w:lang w:val="en-US"/>
        </w:rPr>
        <w:t>考核结算每月按30日计算。</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10.5人员培训</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中标方负责对业主的维护人员进行免费培训。中标方的业务培训务必使业主的维护人员能够完全胜任本系统今后的日常维护工作。</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如业主根据交警部门实际需要提出其他培训要求，中标方需提供免费培训，不得以任何理由拒绝或推迟。</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培训方案：有效的培训工作是系统得以正常发挥功能的首要保证，中标方负责对贵方进行技术培训，包括对机房进行详尽的工作原理、操作使用、一般维护、常见故障排除等一系列的专业培训，使之能正确操作与使用全部设备，并能进行常见的故障排除。</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培训目标：编制并实施必要的培训课程，负责对业主人员的技术培训。针对人员职责分工和层次的不通，课程分成系统维护管理人员和系统操作人员两种。</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系统维护管理人员的培训相对要求较高，培训后人员具备了解各设施及软件的工作原理、系统组成、传输特性、验收、测试方法、验收技术标准和其他相关技术要求，能全面地掌握该设备及软件，并能指导其他技术人员的维护工作。</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中标方应负责对我方指定的具有一定专业基础知识、具有一定经验和较强责任心的技术人员接受为期一周的培训。培训分成两个阶段：第一个阶段在设备到货之前，接受中标方高级工程技术人员的设备技术培训（详细了解并熟悉设备的原理、功能配置、性能条件、故障判断和维修知识）；第二阶段为现场直接系统设备的单体调试、总体调试和使用维护的培训。</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系统操作人员的培训要求相对较低，只要能掌握设备和软件的工作原理、操作使用、一般维护、常见故障排除等知识，使之能正确操作与使用全部设备，并能进行常见故障排除。</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操作人员的培训也可分两个阶段：第一阶段为基础理论知识学习，培训内容为系统原理简介，有关设备功能操作说明，系统操作平台的使用说明，一般性设备维护知识和简单的故障排除，培训时间放在系统现场实施开始前；第二阶段为现场实践培训，在系统设备安装、单体调试和系统联调阶段，进行现场实地参与和问题解答，对系统操作积累感性认识，联调初步成功运行初期可以进行操作实践，在中标方程师指导下熟悉系统操作运行。</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十一、税费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本合同执行中相关的一切税费均由乙方负担。</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十二、质量保证及售后服务</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12.1乙方应按招、投标文件规定的服务性能、技术要求、质量标准等要求向甲方提供所有未经使用全新的产品；</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12.2乙方提供服务的产品在服务期内因产品本身的质量问题发生故障，乙方应负责免费更换、修理；</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12.3在服务期内，乙方应对因服务出现的质量及安全问题负责处理解决并承担一切费用；</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12.4因人为因素出现的故障和损失不在免费保修范围内，超过保修期的机器设备，终生维修，维修时只收部件成本费，不得高于中标价格；</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12.5在36个月服务期满、并且合同终止后，双方需根据招、投标文件要求进行相关交接工作，乙方需保障在过渡期内所有设备维持正常运营，在移交时同时提交设备运行资料（运营日志、设备台账、维修记录等）并进行交底。</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十三、调试和验收</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13.1甲方对乙方提交的服务，依据招、投标文件及合同内的技术规格要求和国家有关质量标准进行现场初步验收，外观、说明书符合招标文件服务技术要求的，给予签收，初步验收不合格的不予签收。乙方向甲方提出交付服务或整体验收申请后，甲方需在10个工作日安排准入验收或项目整体验收；</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13.2乙方提交准入验收前，应对产品作出全面检查和对验收文件进行整理，并列出清单，作为甲方确认验收和使用的技术条件依据，检验的结果应随服务交付甲方；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13.3甲方对乙方提供服务在使用前进行调试时，乙方需负责安装并培训甲方的使用操作人员，并协助甲方一起调试，直到符合技术要求，甲方才做最终验收；</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13.4对技术复杂或甲方认为应当由专业检测机构出具检测报告的服务，乙方应当请国家认可的专业检测机构出具检测报告，费用由乙方负责。本项目通过验收前，须经过第三方检测通过；</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13.5验收时乙方必须在现场，验收完毕后作出验收结果报告；验收费用由乙方负责。</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十四、保密</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14.1未经对方书面许可，任何一方不得向第三方提出或披露与对方业务有关的资料和信息，法律另有规定的除外。</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14.2甲乙双方通过本协议实施了解到对方的有关网络组织、业务发展、价格策略等商业机密时，双方均有义务为对方保密，并签订保密协议履行保密职责。</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十五、违约责任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15.1甲方无正当理由拒绝接受服务的，甲方向乙方偿付合同款项百分之五作为违约金。</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15.2甲方无故逾期验收和办理款项支付手续的,甲方应按逾期应付金额的每日万分之五向乙方支付违约金。</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15.3乙方未能如期提供服务的，每日向甲方支付合同款项的万分之五作为违约金。乙方超过约定日期10个工作日仍不能提供服务的，甲方可解除本合同。乙方因未能如期提供服务或因其他违约行为导致甲方解除合同的，甲方没收履约保证金并追究乙方合同总金额5%的违约责任，如造成甲方损失超过违约金的，超出部分由乙方继续承担赔偿责任。</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十六、特别约定</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乙方需对项目建设及运营期间的安全责任问题全权负责，项目服务费已包含所有功能及安全保障工作，在服务期内乙方提供的服务人员或其他工作人员等所发生的费用、安全事故等均由乙方负责，与甲方无关。</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十七、不可抗力事件处理</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17.1在合同有效期内，任何一方因不可抗力事件导致不能履行合同，则合同履行期可延长，其延长期与不可抗力影响期相同；</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17.2不可抗力事件发生后，应立即按法定方式通知对方；</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17.3不可抗力事件延续120天以上，双方应通过友好协商，确定是否继续履行合同。</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十八、合同的变更及延续</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18.1在36个月服务期满后，如果双方未续签合同，双方终止合同；</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18.2甲方如有新增点位或新增设备，经双方协商并达成一致的前提下，参照原合同及原招、投标文件相关价格和服务要求，按本协议内容条款继续签订服务购买合同补充协议。</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十九、争议的解决方式</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双方在执行合同中所发生的一切争议，应通过协商解决。如协商不成，向台州仲裁委员会申请仲裁。</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二十、合同生效及其它</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20.1合同经双方法定代表人或授权代表签字并加盖单位公章或合同专用章后生效；</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20.2本合同未尽事宜，遵照《合同法》有关条文执行；</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20.3本合同一式肆份。甲、乙双方各执肆份，另外两份备案。本项目未尽事宜以招标文件、投标文件及澄清文件等为准。</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甲方（公章或合同专用章）             乙方（公章或合同专用章）</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法定代表人：                         法定代表人：</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或委托代理人：                       或委托代理人：</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联系电话：                           联系电话：</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开户银行：                           开户银行：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帐号：                               帐号：</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地址：                               地址： </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邮编：                               邮编：</w:t>
      </w:r>
    </w:p>
    <w:p>
      <w:pPr>
        <w:pStyle w:val="2"/>
        <w:spacing w:line="360" w:lineRule="auto"/>
        <w:ind w:firstLine="352" w:firstLineChars="147"/>
        <w:rPr>
          <w:rFonts w:hint="eastAsia" w:hAnsi="宋体"/>
          <w:bCs/>
          <w:color w:val="auto"/>
          <w:sz w:val="24"/>
          <w:highlight w:val="none"/>
          <w:lang w:val="en-US"/>
        </w:rPr>
      </w:pPr>
      <w:r>
        <w:rPr>
          <w:rFonts w:hint="eastAsia" w:hAnsi="宋体"/>
          <w:bCs/>
          <w:color w:val="auto"/>
          <w:sz w:val="24"/>
          <w:highlight w:val="none"/>
          <w:lang w:val="en-US"/>
        </w:rPr>
        <w:t xml:space="preserve">签订时间：年   月   日      </w:t>
      </w:r>
    </w:p>
    <w:p>
      <w:pPr>
        <w:pStyle w:val="2"/>
        <w:spacing w:line="360" w:lineRule="auto"/>
        <w:ind w:firstLine="352" w:firstLineChars="147"/>
        <w:rPr>
          <w:rFonts w:hAnsi="宋体"/>
          <w:bCs/>
          <w:color w:val="auto"/>
          <w:sz w:val="24"/>
          <w:highlight w:val="none"/>
          <w:lang w:val="en-US"/>
        </w:rPr>
      </w:pPr>
      <w:r>
        <w:rPr>
          <w:rFonts w:hint="eastAsia" w:hAnsi="宋体"/>
          <w:bCs/>
          <w:color w:val="auto"/>
          <w:sz w:val="24"/>
          <w:highlight w:val="none"/>
          <w:lang w:val="en-US"/>
        </w:rPr>
        <w:t>签订地点：玉环市</w:t>
      </w:r>
    </w:p>
    <w:p>
      <w:pPr>
        <w:spacing w:line="360" w:lineRule="auto"/>
        <w:jc w:val="left"/>
        <w:rPr>
          <w:rFonts w:hint="eastAsia" w:ascii="宋体" w:eastAsia="宋体"/>
          <w:color w:val="auto"/>
          <w:sz w:val="22"/>
          <w:highlight w:val="none"/>
          <w:u w:val="single"/>
        </w:rPr>
        <w:sectPr>
          <w:pgSz w:w="11906" w:h="16838"/>
          <w:pgMar w:top="1440" w:right="1800" w:bottom="1440" w:left="1800" w:header="851" w:footer="992" w:gutter="0"/>
          <w:cols w:space="425" w:num="1"/>
          <w:docGrid w:type="lines" w:linePitch="312" w:charSpace="0"/>
        </w:sectPr>
      </w:pPr>
      <w:r>
        <w:rPr>
          <w:rFonts w:hint="eastAsia" w:ascii="宋体" w:eastAsia="宋体"/>
          <w:color w:val="auto"/>
          <w:sz w:val="22"/>
          <w:highlight w:val="none"/>
          <w:u w:val="single"/>
        </w:rPr>
        <w:t>注：以上合同条款供采购人及中标供应商作为商务参考，具体签订时，采购人可根据自身项目情况与中标供应商协商另行修改拟定相关合同具体条款。</w:t>
      </w:r>
    </w:p>
    <w:p>
      <w:pPr>
        <w:numPr>
          <w:ilvl w:val="0"/>
          <w:numId w:val="5"/>
        </w:num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投标文件格式附件</w:t>
      </w:r>
    </w:p>
    <w:p>
      <w:pPr>
        <w:rPr>
          <w:rFonts w:hint="eastAsia" w:ascii="宋体" w:hAnsi="宋体"/>
          <w:b/>
          <w:color w:val="auto"/>
          <w:kern w:val="0"/>
          <w:sz w:val="28"/>
          <w:szCs w:val="28"/>
          <w:highlight w:val="none"/>
        </w:rPr>
      </w:pPr>
      <w:r>
        <w:rPr>
          <w:rFonts w:hint="eastAsia" w:ascii="宋体" w:hAnsi="宋体"/>
          <w:b/>
          <w:color w:val="auto"/>
          <w:kern w:val="0"/>
          <w:sz w:val="28"/>
          <w:szCs w:val="28"/>
          <w:highlight w:val="none"/>
        </w:rPr>
        <w:t>附件1</w:t>
      </w:r>
      <w:r>
        <w:rPr>
          <w:rFonts w:hint="eastAsia" w:ascii="宋体" w:hAnsi="宋体"/>
          <w:b/>
          <w:color w:val="auto"/>
          <w:sz w:val="30"/>
          <w:szCs w:val="30"/>
          <w:highlight w:val="none"/>
        </w:rPr>
        <w:t xml:space="preserve">                             </w:t>
      </w:r>
      <w:r>
        <w:rPr>
          <w:rFonts w:hint="eastAsia" w:ascii="宋体" w:hAnsi="宋体"/>
          <w:color w:val="auto"/>
          <w:sz w:val="30"/>
          <w:szCs w:val="30"/>
          <w:highlight w:val="none"/>
        </w:rPr>
        <w:t xml:space="preserve"> 　　　</w:t>
      </w:r>
      <w:r>
        <w:rPr>
          <w:rFonts w:hint="eastAsia" w:ascii="宋体" w:hAnsi="宋体"/>
          <w:b/>
          <w:color w:val="auto"/>
          <w:sz w:val="28"/>
          <w:highlight w:val="none"/>
        </w:rPr>
        <w:t xml:space="preserve">        </w:t>
      </w:r>
      <w:r>
        <w:rPr>
          <w:rFonts w:hint="eastAsia" w:ascii="宋体" w:hAnsi="宋体"/>
          <w:b/>
          <w:color w:val="auto"/>
          <w:sz w:val="28"/>
          <w:highlight w:val="none"/>
          <w:u w:val="single"/>
        </w:rPr>
        <w:t xml:space="preserve">     </w:t>
      </w:r>
      <w:r>
        <w:rPr>
          <w:rFonts w:hint="eastAsia" w:ascii="宋体" w:hAnsi="宋体"/>
          <w:bCs/>
          <w:color w:val="auto"/>
          <w:sz w:val="24"/>
          <w:highlight w:val="none"/>
        </w:rPr>
        <w:t>本</w:t>
      </w:r>
    </w:p>
    <w:p>
      <w:pPr>
        <w:numPr>
          <w:ilvl w:val="0"/>
          <w:numId w:val="0"/>
        </w:numPr>
        <w:spacing w:line="360" w:lineRule="auto"/>
        <w:jc w:val="both"/>
        <w:rPr>
          <w:rFonts w:asciiTheme="minorEastAsia" w:hAnsiTheme="minorEastAsia" w:eastAsiaTheme="minorEastAsia"/>
          <w:b/>
          <w:color w:val="auto"/>
          <w:sz w:val="30"/>
          <w:szCs w:val="30"/>
          <w:highlight w:val="none"/>
        </w:rPr>
      </w:pPr>
    </w:p>
    <w:p>
      <w:pPr>
        <w:spacing w:beforeLines="100" w:line="360" w:lineRule="auto"/>
        <w:ind w:right="-108"/>
        <w:jc w:val="center"/>
        <w:rPr>
          <w:rFonts w:hint="eastAsia" w:ascii="宋体" w:hAnsi="宋体"/>
          <w:color w:val="auto"/>
          <w:sz w:val="36"/>
          <w:szCs w:val="36"/>
          <w:highlight w:val="none"/>
          <w:lang w:eastAsia="zh-CN"/>
        </w:rPr>
      </w:pPr>
      <w:r>
        <w:rPr>
          <w:rFonts w:hint="eastAsia" w:ascii="宋体" w:hAnsi="宋体"/>
          <w:color w:val="auto"/>
          <w:sz w:val="36"/>
          <w:szCs w:val="36"/>
          <w:highlight w:val="none"/>
          <w:lang w:eastAsia="zh-CN"/>
        </w:rPr>
        <w:t>2018年玉环市公安局交通警察大队“天眼工程”（二期）（重新）</w:t>
      </w:r>
    </w:p>
    <w:p>
      <w:pPr>
        <w:spacing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w:t>
      </w:r>
    </w:p>
    <w:p>
      <w:pPr>
        <w:autoSpaceDE w:val="0"/>
        <w:autoSpaceDN w:val="0"/>
        <w:adjustRightInd w:val="0"/>
        <w:spacing w:line="360" w:lineRule="auto"/>
        <w:jc w:val="center"/>
        <w:rPr>
          <w:rFonts w:ascii="宋体" w:hAnsi="宋体" w:cs="宋体"/>
          <w:color w:val="auto"/>
          <w:sz w:val="84"/>
          <w:szCs w:val="84"/>
          <w:highlight w:val="none"/>
          <w:lang w:val="zh-CN"/>
        </w:rPr>
      </w:pP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b/>
          <w:color w:val="auto"/>
          <w:spacing w:val="40"/>
          <w:sz w:val="28"/>
          <w:szCs w:val="28"/>
          <w:highlight w:val="none"/>
        </w:rPr>
        <w:t>资格证明文件）</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投标人全称（公章）：</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jc w:val="center"/>
        <w:rPr>
          <w:rFonts w:ascii="宋体" w:hAnsi="宋体"/>
          <w:b/>
          <w:bCs/>
          <w:color w:val="auto"/>
          <w:sz w:val="36"/>
          <w:szCs w:val="36"/>
          <w:highlight w:val="none"/>
        </w:rPr>
      </w:pPr>
      <w:r>
        <w:rPr>
          <w:rFonts w:hint="eastAsia" w:ascii="宋体" w:hAnsi="宋体"/>
          <w:b/>
          <w:bCs/>
          <w:color w:val="auto"/>
          <w:sz w:val="36"/>
          <w:szCs w:val="36"/>
          <w:highlight w:val="none"/>
        </w:rPr>
        <w:t>资格证明文件目录</w:t>
      </w:r>
    </w:p>
    <w:p>
      <w:pPr>
        <w:snapToGrid w:val="0"/>
        <w:spacing w:before="50" w:after="50" w:line="360" w:lineRule="auto"/>
        <w:jc w:val="center"/>
        <w:rPr>
          <w:rFonts w:ascii="仿宋_GB2312" w:hAnsi="宋体" w:eastAsia="仿宋_GB2312"/>
          <w:b/>
          <w:bCs/>
          <w:color w:val="auto"/>
          <w:sz w:val="36"/>
          <w:szCs w:val="36"/>
          <w:highlight w:val="none"/>
        </w:rPr>
      </w:pPr>
    </w:p>
    <w:p>
      <w:pPr>
        <w:numPr>
          <w:ilvl w:val="0"/>
          <w:numId w:val="23"/>
        </w:numPr>
        <w:snapToGrid w:val="0"/>
        <w:spacing w:line="360" w:lineRule="auto"/>
        <w:ind w:firstLine="548" w:firstLineChars="196"/>
        <w:rPr>
          <w:rFonts w:ascii="宋体" w:hAnsi="宋体"/>
          <w:color w:val="auto"/>
          <w:sz w:val="28"/>
          <w:szCs w:val="28"/>
          <w:highlight w:val="none"/>
        </w:rPr>
      </w:pPr>
      <w:r>
        <w:rPr>
          <w:rFonts w:hint="eastAsia" w:ascii="宋体" w:hAnsi="宋体"/>
          <w:color w:val="auto"/>
          <w:sz w:val="28"/>
          <w:szCs w:val="28"/>
          <w:highlight w:val="none"/>
        </w:rPr>
        <w:t>声明书（附件2）</w:t>
      </w:r>
    </w:p>
    <w:p>
      <w:pPr>
        <w:numPr>
          <w:ilvl w:val="0"/>
          <w:numId w:val="23"/>
        </w:numPr>
        <w:snapToGrid w:val="0"/>
        <w:spacing w:line="360" w:lineRule="auto"/>
        <w:ind w:firstLine="548" w:firstLineChars="196"/>
        <w:rPr>
          <w:rFonts w:ascii="宋体" w:hAnsi="宋体"/>
          <w:color w:val="auto"/>
          <w:kern w:val="0"/>
          <w:sz w:val="28"/>
          <w:szCs w:val="28"/>
          <w:highlight w:val="none"/>
        </w:rPr>
      </w:pPr>
      <w:r>
        <w:rPr>
          <w:bCs/>
          <w:color w:val="auto"/>
          <w:sz w:val="28"/>
          <w:szCs w:val="28"/>
          <w:highlight w:val="none"/>
        </w:rPr>
        <w:t>授权</w:t>
      </w:r>
      <w:r>
        <w:rPr>
          <w:rFonts w:hint="eastAsia"/>
          <w:bCs/>
          <w:color w:val="auto"/>
          <w:sz w:val="28"/>
          <w:szCs w:val="28"/>
          <w:highlight w:val="none"/>
        </w:rPr>
        <w:t>委托</w:t>
      </w:r>
      <w:r>
        <w:rPr>
          <w:bCs/>
          <w:color w:val="auto"/>
          <w:sz w:val="28"/>
          <w:szCs w:val="28"/>
          <w:highlight w:val="none"/>
        </w:rPr>
        <w:t>书</w:t>
      </w:r>
      <w:r>
        <w:rPr>
          <w:rFonts w:hint="eastAsia" w:ascii="宋体" w:hAnsi="宋体"/>
          <w:bCs/>
          <w:color w:val="auto"/>
          <w:sz w:val="28"/>
          <w:szCs w:val="28"/>
          <w:highlight w:val="none"/>
        </w:rPr>
        <w:t>（附件3）</w:t>
      </w:r>
    </w:p>
    <w:p>
      <w:pPr>
        <w:numPr>
          <w:ilvl w:val="0"/>
          <w:numId w:val="23"/>
        </w:numPr>
        <w:snapToGrid w:val="0"/>
        <w:spacing w:line="360" w:lineRule="auto"/>
        <w:ind w:left="1050" w:leftChars="259" w:hanging="506" w:hangingChars="181"/>
        <w:rPr>
          <w:rFonts w:ascii="宋体" w:hAnsi="宋体"/>
          <w:color w:val="auto"/>
          <w:kern w:val="0"/>
          <w:sz w:val="28"/>
          <w:szCs w:val="28"/>
          <w:highlight w:val="none"/>
        </w:rPr>
      </w:pPr>
      <w:r>
        <w:rPr>
          <w:color w:val="auto"/>
          <w:sz w:val="28"/>
          <w:szCs w:val="28"/>
          <w:highlight w:val="none"/>
        </w:rPr>
        <w:t>法人或者其他组织的营业执照等证明文件，自然人的身份证明</w:t>
      </w:r>
    </w:p>
    <w:p>
      <w:pPr>
        <w:snapToGrid w:val="0"/>
        <w:spacing w:line="360" w:lineRule="auto"/>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4、</w:t>
      </w:r>
      <w:r>
        <w:rPr>
          <w:color w:val="auto"/>
          <w:sz w:val="28"/>
          <w:szCs w:val="28"/>
          <w:highlight w:val="none"/>
        </w:rPr>
        <w:t>财务状况报告，依法缴纳税收和社会保障资金的相关材料</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w:t>
      </w:r>
      <w:r>
        <w:rPr>
          <w:color w:val="auto"/>
          <w:sz w:val="28"/>
          <w:szCs w:val="28"/>
          <w:highlight w:val="none"/>
        </w:rPr>
        <w:t>具备履行合同所必需的设备和专业技术能力的证明材料</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sz w:val="28"/>
          <w:szCs w:val="28"/>
          <w:highlight w:val="none"/>
        </w:rPr>
        <w:t>6、</w:t>
      </w:r>
      <w:r>
        <w:rPr>
          <w:rFonts w:hint="eastAsia" w:ascii="宋体" w:hAnsi="宋体"/>
          <w:color w:val="auto"/>
          <w:kern w:val="0"/>
          <w:sz w:val="28"/>
          <w:szCs w:val="28"/>
          <w:highlight w:val="none"/>
        </w:rPr>
        <w:t>本项目要求的特定资质证书</w:t>
      </w:r>
    </w:p>
    <w:p>
      <w:pPr>
        <w:spacing w:line="360" w:lineRule="auto"/>
        <w:rPr>
          <w:rFonts w:hint="eastAsia" w:ascii="宋体" w:hAnsi="宋体" w:eastAsia="宋体"/>
          <w:b/>
          <w:color w:val="auto"/>
          <w:sz w:val="28"/>
          <w:highlight w:val="none"/>
          <w:lang w:eastAsia="zh-CN"/>
        </w:rPr>
        <w:sectPr>
          <w:pgSz w:w="11906" w:h="16838"/>
          <w:pgMar w:top="1440" w:right="1800" w:bottom="1440" w:left="1800" w:header="851" w:footer="992" w:gutter="0"/>
          <w:cols w:space="425" w:num="1"/>
          <w:docGrid w:type="lines" w:linePitch="312" w:charSpace="0"/>
        </w:sectPr>
      </w:pPr>
    </w:p>
    <w:p>
      <w:pPr>
        <w:spacing w:line="360" w:lineRule="auto"/>
        <w:ind w:left="420"/>
        <w:rPr>
          <w:rFonts w:ascii="宋体" w:hAnsi="宋体"/>
          <w:b/>
          <w:color w:val="auto"/>
          <w:sz w:val="28"/>
          <w:highlight w:val="none"/>
        </w:rPr>
      </w:pPr>
      <w:r>
        <w:rPr>
          <w:rFonts w:hint="eastAsia" w:ascii="宋体" w:hAnsi="宋体"/>
          <w:b/>
          <w:color w:val="auto"/>
          <w:sz w:val="28"/>
          <w:highlight w:val="none"/>
        </w:rPr>
        <w:t>附件2</w:t>
      </w:r>
    </w:p>
    <w:p>
      <w:pPr>
        <w:adjustRightInd w:val="0"/>
        <w:snapToGrid w:val="0"/>
        <w:spacing w:line="360" w:lineRule="auto"/>
        <w:ind w:right="480"/>
        <w:jc w:val="center"/>
        <w:rPr>
          <w:rFonts w:ascii="宋体" w:hAnsi="宋体"/>
          <w:b/>
          <w:color w:val="auto"/>
          <w:kern w:val="0"/>
          <w:sz w:val="32"/>
          <w:szCs w:val="32"/>
          <w:highlight w:val="none"/>
          <w:lang w:val="zh-CN"/>
        </w:rPr>
      </w:pPr>
      <w:r>
        <w:rPr>
          <w:rFonts w:hint="eastAsia" w:ascii="宋体" w:hAnsi="宋体"/>
          <w:b/>
          <w:color w:val="auto"/>
          <w:kern w:val="0"/>
          <w:sz w:val="32"/>
          <w:szCs w:val="32"/>
          <w:highlight w:val="none"/>
          <w:lang w:val="zh-CN"/>
        </w:rPr>
        <w:t>投标声明书</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玉环市公安局交通警察大队：</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（投标人名称）系中华人民共和国合法企业，经营地址。</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rPr>
        <w:t>招标项目名称</w:t>
      </w:r>
      <w:r>
        <w:rPr>
          <w:rFonts w:hint="eastAsia" w:ascii="宋体" w:hAnsi="宋体" w:cs="宋体"/>
          <w:color w:val="auto"/>
          <w:kern w:val="0"/>
          <w:sz w:val="24"/>
          <w:highlight w:val="none"/>
        </w:rPr>
        <w:t>）（编号为）的投标，为此，我公司就本次投标有关事项郑重声明如下：</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ascii="宋体" w:hAnsi="宋体" w:cs="宋体"/>
          <w:b/>
          <w:color w:val="auto"/>
          <w:kern w:val="0"/>
          <w:sz w:val="24"/>
          <w:highlight w:val="none"/>
        </w:rPr>
      </w:pPr>
      <w:r>
        <w:rPr>
          <w:rFonts w:hint="eastAsia" w:ascii="宋体" w:hAnsi="宋体" w:cs="宋体"/>
          <w:color w:val="auto"/>
          <w:kern w:val="0"/>
          <w:sz w:val="24"/>
          <w:highlight w:val="none"/>
          <w:lang w:val="en-US" w:eastAsia="zh-CN"/>
        </w:rPr>
        <w:t>1、</w:t>
      </w:r>
      <w:r>
        <w:rPr>
          <w:rFonts w:hint="eastAsia" w:ascii="Arial" w:hAnsi="Arial" w:cs="Arial"/>
          <w:b w:val="0"/>
          <w:bCs w:val="0"/>
          <w:color w:val="auto"/>
          <w:sz w:val="24"/>
          <w:highlight w:val="none"/>
        </w:rPr>
        <w:t>我公</w:t>
      </w:r>
      <w:r>
        <w:rPr>
          <w:rFonts w:hint="eastAsia" w:ascii="Arial" w:hAnsi="Arial" w:cs="Arial"/>
          <w:color w:val="auto"/>
          <w:sz w:val="24"/>
          <w:highlight w:val="none"/>
        </w:rPr>
        <w:t>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keepNext w:val="0"/>
        <w:keepLines w:val="0"/>
        <w:pageBreakBefore w:val="0"/>
        <w:widowControl w:val="0"/>
        <w:numPr>
          <w:ilvl w:val="0"/>
          <w:numId w:val="0"/>
        </w:numPr>
        <w:kinsoku/>
        <w:wordWrap/>
        <w:overflowPunct/>
        <w:topLinePunct w:val="0"/>
        <w:autoSpaceDE/>
        <w:autoSpaceDN/>
        <w:bidi w:val="0"/>
        <w:snapToGrid w:val="0"/>
        <w:spacing w:beforeLines="50" w:after="50" w:line="24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我公司</w:t>
      </w:r>
      <w:r>
        <w:rPr>
          <w:rFonts w:ascii="宋体" w:hAnsi="宋体" w:cs="宋体"/>
          <w:color w:val="auto"/>
          <w:kern w:val="0"/>
          <w:sz w:val="24"/>
          <w:highlight w:val="none"/>
        </w:rPr>
        <w:t>在参与投标前已</w:t>
      </w:r>
      <w:r>
        <w:rPr>
          <w:rFonts w:hint="eastAsia" w:ascii="宋体" w:hAnsi="宋体" w:cs="宋体"/>
          <w:color w:val="auto"/>
          <w:kern w:val="0"/>
          <w:sz w:val="24"/>
          <w:highlight w:val="none"/>
        </w:rPr>
        <w:t>详细审查</w:t>
      </w:r>
      <w:r>
        <w:rPr>
          <w:rFonts w:ascii="宋体" w:hAnsi="宋体" w:cs="宋体"/>
          <w:color w:val="auto"/>
          <w:kern w:val="0"/>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 w:val="24"/>
          <w:highlight w:val="none"/>
        </w:rPr>
        <w:t>利。</w:t>
      </w:r>
    </w:p>
    <w:p>
      <w:pPr>
        <w:keepNext w:val="0"/>
        <w:keepLines w:val="0"/>
        <w:pageBreakBefore w:val="0"/>
        <w:widowControl w:val="0"/>
        <w:numPr>
          <w:ilvl w:val="255"/>
          <w:numId w:val="0"/>
        </w:numPr>
        <w:kinsoku/>
        <w:wordWrap/>
        <w:overflowPunct/>
        <w:topLinePunct w:val="0"/>
        <w:autoSpaceDE/>
        <w:autoSpaceDN/>
        <w:bidi w:val="0"/>
        <w:snapToGrid w:val="0"/>
        <w:spacing w:beforeLines="50" w:after="50" w:line="240" w:lineRule="auto"/>
        <w:ind w:firstLine="480" w:firstLineChars="200"/>
        <w:textAlignment w:val="auto"/>
        <w:rPr>
          <w:rFonts w:ascii="宋体" w:hAnsi="宋体"/>
          <w:color w:val="auto"/>
          <w:sz w:val="24"/>
          <w:highlight w:val="none"/>
        </w:rPr>
      </w:pPr>
      <w:r>
        <w:rPr>
          <w:rFonts w:hint="eastAsia" w:ascii="宋体" w:hAnsi="宋体"/>
          <w:color w:val="auto"/>
          <w:sz w:val="24"/>
          <w:highlight w:val="none"/>
        </w:rPr>
        <w:t>3、我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ascii="宋体" w:hAnsi="宋体"/>
          <w:color w:val="auto"/>
          <w:kern w:val="0"/>
          <w:sz w:val="24"/>
          <w:highlight w:val="none"/>
          <w:lang w:val="af-ZA"/>
        </w:rPr>
      </w:pPr>
      <w:r>
        <w:rPr>
          <w:rFonts w:hint="eastAsia" w:ascii="宋体" w:hAnsi="宋体"/>
          <w:color w:val="auto"/>
          <w:sz w:val="24"/>
          <w:highlight w:val="none"/>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5、我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严格履行政府采购合同，不降低合同约定的产品质量和服务，不擅自变更、中止、终止合同，或拒绝履行合同义务；</w:t>
      </w:r>
    </w:p>
    <w:p>
      <w:pPr>
        <w:keepNext w:val="0"/>
        <w:keepLines w:val="0"/>
        <w:pageBreakBefore w:val="0"/>
        <w:widowControl w:val="0"/>
        <w:kinsoku/>
        <w:wordWrap/>
        <w:overflowPunct/>
        <w:topLinePunct w:val="0"/>
        <w:autoSpaceDE/>
        <w:autoSpaceDN/>
        <w:bidi w:val="0"/>
        <w:snapToGrid w:val="0"/>
        <w:spacing w:beforeLines="50" w:after="50" w:line="240" w:lineRule="auto"/>
        <w:ind w:firstLine="480" w:firstLineChars="200"/>
        <w:textAlignment w:val="auto"/>
        <w:rPr>
          <w:rFonts w:ascii="宋体" w:hAnsi="宋体"/>
          <w:color w:val="auto"/>
          <w:sz w:val="24"/>
          <w:highlight w:val="none"/>
        </w:rPr>
      </w:pPr>
      <w:r>
        <w:rPr>
          <w:rFonts w:hint="eastAsia" w:ascii="宋体" w:hAnsi="宋体"/>
          <w:color w:val="auto"/>
          <w:sz w:val="24"/>
          <w:highlight w:val="none"/>
        </w:rPr>
        <w:t>6、以上事项如有虚假或隐瞒，我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宋体" w:hAnsi="宋体" w:cs="仿宋_GB2312"/>
          <w:color w:val="auto"/>
          <w:kern w:val="0"/>
          <w:sz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firstLine="4680" w:firstLineChars="1950"/>
        <w:textAlignment w:val="auto"/>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投标人名称(公章)：</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法定代表人或授权委托人(签字)：</w:t>
      </w:r>
    </w:p>
    <w:p>
      <w:pPr>
        <w:keepNext w:val="0"/>
        <w:keepLines w:val="0"/>
        <w:pageBreakBefore w:val="0"/>
        <w:widowControl w:val="0"/>
        <w:kinsoku/>
        <w:wordWrap/>
        <w:overflowPunct/>
        <w:topLinePunct w:val="0"/>
        <w:autoSpaceDE/>
        <w:autoSpaceDN/>
        <w:bidi w:val="0"/>
        <w:adjustRightInd w:val="0"/>
        <w:snapToGrid w:val="0"/>
        <w:spacing w:line="240" w:lineRule="auto"/>
        <w:ind w:right="480"/>
        <w:jc w:val="center"/>
        <w:textAlignment w:val="auto"/>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日期：</w:t>
      </w:r>
      <w:r>
        <w:rPr>
          <w:rFonts w:hint="eastAsia" w:ascii="宋体" w:hAnsi="宋体" w:eastAsia="宋体" w:cstheme="minorBidi"/>
          <w:color w:val="auto"/>
          <w:kern w:val="2"/>
          <w:sz w:val="24"/>
          <w:szCs w:val="24"/>
          <w:highlight w:val="none"/>
          <w:u w:val="none"/>
          <w:lang w:val="en-US" w:eastAsia="zh-CN" w:bidi="ar-SA"/>
        </w:rPr>
        <w:t>××</w:t>
      </w:r>
      <w:r>
        <w:rPr>
          <w:rFonts w:hint="eastAsia" w:ascii="宋体" w:hAnsi="宋体" w:cs="仿宋_GB2312"/>
          <w:color w:val="auto"/>
          <w:kern w:val="0"/>
          <w:sz w:val="24"/>
          <w:highlight w:val="none"/>
          <w:lang w:val="zh-CN"/>
        </w:rPr>
        <w:t xml:space="preserve">年 </w:t>
      </w:r>
      <w:r>
        <w:rPr>
          <w:rFonts w:hint="eastAsia" w:ascii="宋体" w:hAnsi="宋体" w:eastAsia="宋体" w:cstheme="minorBidi"/>
          <w:color w:val="auto"/>
          <w:kern w:val="2"/>
          <w:sz w:val="24"/>
          <w:szCs w:val="24"/>
          <w:highlight w:val="none"/>
          <w:u w:val="none"/>
          <w:lang w:val="en-US" w:eastAsia="zh-CN" w:bidi="ar-SA"/>
        </w:rPr>
        <w:t>××</w:t>
      </w:r>
      <w:r>
        <w:rPr>
          <w:rFonts w:hint="eastAsia" w:ascii="宋体" w:hAnsi="宋体" w:cs="仿宋_GB2312"/>
          <w:color w:val="auto"/>
          <w:kern w:val="0"/>
          <w:sz w:val="24"/>
          <w:highlight w:val="none"/>
          <w:lang w:val="zh-CN"/>
        </w:rPr>
        <w:t xml:space="preserve"> 月 </w:t>
      </w:r>
      <w:r>
        <w:rPr>
          <w:rFonts w:hint="eastAsia" w:ascii="宋体" w:hAnsi="宋体" w:eastAsia="宋体" w:cstheme="minorBidi"/>
          <w:color w:val="auto"/>
          <w:kern w:val="2"/>
          <w:sz w:val="24"/>
          <w:szCs w:val="24"/>
          <w:highlight w:val="none"/>
          <w:u w:val="none"/>
          <w:lang w:val="en-US" w:eastAsia="zh-CN" w:bidi="ar-SA"/>
        </w:rPr>
        <w:t>××</w:t>
      </w:r>
      <w:r>
        <w:rPr>
          <w:rFonts w:hint="eastAsia" w:ascii="宋体" w:hAnsi="宋体" w:cs="仿宋_GB2312"/>
          <w:color w:val="auto"/>
          <w:kern w:val="0"/>
          <w:sz w:val="24"/>
          <w:highlight w:val="none"/>
          <w:lang w:val="zh-CN"/>
        </w:rPr>
        <w:t xml:space="preserve"> 日</w:t>
      </w:r>
    </w:p>
    <w:p>
      <w:pPr>
        <w:adjustRightInd w:val="0"/>
        <w:snapToGrid w:val="0"/>
        <w:spacing w:line="360" w:lineRule="auto"/>
        <w:ind w:right="480"/>
        <w:rPr>
          <w:rFonts w:hint="eastAsia" w:ascii="宋体" w:hAnsi="宋体"/>
          <w:b/>
          <w:color w:val="auto"/>
          <w:sz w:val="28"/>
          <w:highlight w:val="none"/>
        </w:rPr>
        <w:sectPr>
          <w:pgSz w:w="11906" w:h="16838"/>
          <w:pgMar w:top="1440" w:right="1800" w:bottom="1440" w:left="1800" w:header="851" w:footer="992" w:gutter="0"/>
          <w:cols w:space="425" w:num="1"/>
          <w:docGrid w:type="lines" w:linePitch="312" w:charSpace="0"/>
        </w:sectPr>
      </w:pPr>
    </w:p>
    <w:p>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附件3</w:t>
      </w:r>
    </w:p>
    <w:p>
      <w:pPr>
        <w:spacing w:line="360" w:lineRule="auto"/>
        <w:ind w:firstLine="321" w:firstLineChars="100"/>
        <w:jc w:val="center"/>
        <w:rPr>
          <w:rFonts w:hAnsi="宋体"/>
          <w:b/>
          <w:color w:val="auto"/>
          <w:sz w:val="32"/>
          <w:szCs w:val="32"/>
          <w:highlight w:val="none"/>
          <w:u w:val="single"/>
        </w:rPr>
      </w:pPr>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p>
    <w:p>
      <w:pPr>
        <w:snapToGrid w:val="0"/>
        <w:spacing w:beforeLines="50" w:after="50"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玉环市公安局交通警察大队：</w:t>
      </w:r>
    </w:p>
    <w:p>
      <w:pPr>
        <w:pStyle w:val="2"/>
        <w:spacing w:line="500" w:lineRule="exact"/>
        <w:ind w:left="240" w:hanging="240" w:hangingChars="100"/>
        <w:rPr>
          <w:rFonts w:hAnsi="宋体"/>
          <w:color w:val="auto"/>
          <w:sz w:val="24"/>
          <w:highlight w:val="none"/>
        </w:rPr>
      </w:pPr>
      <w:r>
        <w:rPr>
          <w:rFonts w:hAnsi="宋体"/>
          <w:color w:val="auto"/>
          <w:sz w:val="24"/>
          <w:highlight w:val="none"/>
        </w:rPr>
        <w:t xml:space="preserve">    </w:t>
      </w:r>
      <w:r>
        <w:rPr>
          <w:rFonts w:hAnsi="宋体"/>
          <w:color w:val="auto"/>
          <w:sz w:val="24"/>
          <w:highlight w:val="none"/>
          <w:u w:val="single"/>
        </w:rPr>
        <w:t xml:space="preserve">  （投标人全称）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Ansi="宋体"/>
          <w:color w:val="auto"/>
          <w:sz w:val="24"/>
          <w:highlight w:val="none"/>
          <w:u w:val="single"/>
        </w:rPr>
        <w:tab/>
      </w:r>
      <w:r>
        <w:rPr>
          <w:rFonts w:hint="eastAsia" w:hAnsi="宋体"/>
          <w:color w:val="auto"/>
          <w:sz w:val="24"/>
          <w:highlight w:val="none"/>
          <w:u w:val="single"/>
        </w:rPr>
        <w:t xml:space="preserve">    </w:t>
      </w:r>
      <w:r>
        <w:rPr>
          <w:rFonts w:hAnsi="宋体"/>
          <w:color w:val="auto"/>
          <w:sz w:val="24"/>
          <w:highlight w:val="none"/>
        </w:rPr>
        <w:t>项目的采购活动，并代表我方全权办理针对上述项目的投标、开标、评标、签约等具体事务和签署相关文件。</w:t>
      </w:r>
      <w:r>
        <w:rPr>
          <w:rFonts w:hint="eastAsia" w:hAnsi="宋体"/>
          <w:color w:val="auto"/>
          <w:sz w:val="24"/>
          <w:highlight w:val="none"/>
        </w:rPr>
        <w:t>我方对全权代表的</w:t>
      </w:r>
      <w:r>
        <w:rPr>
          <w:rFonts w:hint="eastAsia" w:hAnsi="宋体"/>
          <w:color w:val="auto"/>
          <w:sz w:val="24"/>
          <w:highlight w:val="none"/>
          <w:lang w:eastAsia="zh-CN"/>
        </w:rPr>
        <w:t>签字</w:t>
      </w:r>
      <w:r>
        <w:rPr>
          <w:rFonts w:hint="eastAsia" w:hAnsi="宋体"/>
          <w:color w:val="auto"/>
          <w:sz w:val="24"/>
          <w:highlight w:val="none"/>
        </w:rPr>
        <w:t>事项负全部责任。</w:t>
      </w:r>
    </w:p>
    <w:p>
      <w:pPr>
        <w:pStyle w:val="2"/>
        <w:spacing w:line="500" w:lineRule="exact"/>
        <w:ind w:left="139" w:leftChars="66"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pPr>
        <w:pStyle w:val="2"/>
        <w:spacing w:line="500" w:lineRule="exact"/>
        <w:ind w:left="139" w:leftChars="66" w:firstLine="480" w:firstLineChars="200"/>
        <w:rPr>
          <w:color w:val="auto"/>
          <w:sz w:val="24"/>
          <w:highlight w:val="none"/>
        </w:rPr>
      </w:pPr>
      <w:r>
        <w:rPr>
          <w:rFonts w:hint="eastAsia" w:hAnsi="宋体"/>
          <w:color w:val="auto"/>
          <w:sz w:val="24"/>
          <w:highlight w:val="none"/>
        </w:rPr>
        <w:t>全权代表无转委托权，特此委托。</w:t>
      </w:r>
    </w:p>
    <w:p>
      <w:pPr>
        <w:spacing w:line="360" w:lineRule="auto"/>
        <w:rPr>
          <w:color w:val="auto"/>
          <w:sz w:val="24"/>
          <w:highlight w:val="none"/>
        </w:rPr>
      </w:pPr>
      <w:r>
        <w:rPr>
          <w:rFonts w:hint="eastAsia" w:ascii="宋体"/>
          <w:color w:val="auto"/>
          <w:sz w:val="24"/>
          <w:highlight w:val="none"/>
        </w:rPr>
        <w:t>法定代表人</w:t>
      </w:r>
      <w:r>
        <w:rPr>
          <w:rFonts w:hint="eastAsia" w:ascii="宋体"/>
          <w:color w:val="auto"/>
          <w:sz w:val="24"/>
          <w:highlight w:val="none"/>
          <w:lang w:eastAsia="zh-CN"/>
        </w:rPr>
        <w:t>签字</w:t>
      </w:r>
      <w:r>
        <w:rPr>
          <w:rFonts w:hint="eastAsia" w:ascii="宋体"/>
          <w:color w:val="auto"/>
          <w:sz w:val="24"/>
          <w:highlight w:val="none"/>
        </w:rPr>
        <w:t>或盖章：</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投标人全称（公章）：                              日期：</w:t>
      </w:r>
    </w:p>
    <w:p>
      <w:pPr>
        <w:spacing w:line="360" w:lineRule="auto"/>
        <w:rPr>
          <w:color w:val="auto"/>
          <w:sz w:val="24"/>
          <w:highlight w:val="none"/>
        </w:rPr>
      </w:pPr>
    </w:p>
    <w:p>
      <w:pPr>
        <w:spacing w:line="360" w:lineRule="auto"/>
        <w:rPr>
          <w:b/>
          <w:color w:val="auto"/>
          <w:sz w:val="24"/>
          <w:highlight w:val="none"/>
        </w:rPr>
      </w:pPr>
      <w:r>
        <w:rPr>
          <w:rFonts w:hint="eastAsia" w:ascii="宋体"/>
          <w:b/>
          <w:color w:val="auto"/>
          <w:sz w:val="24"/>
          <w:highlight w:val="none"/>
        </w:rPr>
        <w:t>附：</w:t>
      </w: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法定代表身份证复印件粘帖处</w:t>
            </w:r>
          </w:p>
        </w:tc>
      </w:tr>
    </w:tbl>
    <w:p>
      <w:pPr>
        <w:spacing w:line="360" w:lineRule="auto"/>
        <w:rPr>
          <w:color w:val="auto"/>
          <w:sz w:val="24"/>
          <w:highlight w:val="none"/>
        </w:rPr>
      </w:pPr>
      <w:r>
        <w:rPr>
          <w:rFonts w:hint="eastAsia" w:ascii="宋体"/>
          <w:color w:val="auto"/>
          <w:sz w:val="24"/>
          <w:highlight w:val="none"/>
        </w:rPr>
        <w:t xml:space="preserve">法定代表人姓名：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pacing w:line="360" w:lineRule="auto"/>
        <w:rPr>
          <w:b/>
          <w:color w:val="auto"/>
          <w:sz w:val="24"/>
          <w:highlight w:val="none"/>
        </w:rPr>
      </w:pP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全权代表身份证复印件粘帖处</w:t>
            </w:r>
          </w:p>
        </w:tc>
      </w:tr>
    </w:tbl>
    <w:p>
      <w:pPr>
        <w:spacing w:line="360" w:lineRule="auto"/>
        <w:rPr>
          <w:rFonts w:ascii="宋体"/>
          <w:color w:val="auto"/>
          <w:sz w:val="24"/>
          <w:highlight w:val="none"/>
        </w:rPr>
      </w:pPr>
      <w:r>
        <w:rPr>
          <w:rFonts w:hint="eastAsia" w:ascii="宋体"/>
          <w:color w:val="auto"/>
          <w:sz w:val="24"/>
          <w:highlight w:val="none"/>
        </w:rPr>
        <w:t xml:space="preserve">全权代表姓名：       </w:t>
      </w:r>
    </w:p>
    <w:p>
      <w:pPr>
        <w:spacing w:line="360" w:lineRule="auto"/>
        <w:rPr>
          <w:color w:val="auto"/>
          <w:sz w:val="24"/>
          <w:highlight w:val="none"/>
        </w:rPr>
      </w:pPr>
      <w:r>
        <w:rPr>
          <w:rFonts w:hint="eastAsia" w:ascii="宋体"/>
          <w:color w:val="auto"/>
          <w:sz w:val="24"/>
          <w:highlight w:val="none"/>
        </w:rPr>
        <w:t xml:space="preserve">职务：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hint="eastAsia" w:ascii="宋体"/>
          <w:color w:val="auto"/>
          <w:sz w:val="24"/>
          <w:highlight w:val="none"/>
        </w:rPr>
        <w:sectPr>
          <w:pgSz w:w="11906" w:h="16838"/>
          <w:pgMar w:top="1440" w:right="1800" w:bottom="1440" w:left="1800" w:header="851" w:footer="992" w:gutter="0"/>
          <w:cols w:space="425" w:num="1"/>
          <w:docGrid w:type="lines" w:linePitch="312" w:charSpace="0"/>
        </w:sectPr>
      </w:pPr>
      <w:r>
        <w:rPr>
          <w:rFonts w:hint="eastAsia" w:ascii="宋体"/>
          <w:color w:val="auto"/>
          <w:sz w:val="24"/>
          <w:highlight w:val="none"/>
        </w:rPr>
        <w:t>邮政编码：</w:t>
      </w:r>
    </w:p>
    <w:p>
      <w:pPr>
        <w:snapToGrid w:val="0"/>
        <w:spacing w:beforeLines="50" w:after="50" w:line="360" w:lineRule="auto"/>
        <w:rPr>
          <w:rFonts w:ascii="仿宋_GB2312" w:hAnsi="宋体" w:eastAsia="仿宋_GB2312"/>
          <w:b/>
          <w:color w:val="auto"/>
          <w:sz w:val="30"/>
          <w:szCs w:val="30"/>
          <w:highlight w:val="none"/>
        </w:rPr>
      </w:pPr>
      <w:r>
        <w:rPr>
          <w:rFonts w:hint="eastAsia" w:ascii="宋体" w:hAnsi="宋体"/>
          <w:b/>
          <w:color w:val="auto"/>
          <w:sz w:val="28"/>
          <w:highlight w:val="none"/>
        </w:rPr>
        <w:t>附件4：</w:t>
      </w:r>
    </w:p>
    <w:p>
      <w:pPr>
        <w:snapToGrid w:val="0"/>
        <w:spacing w:beforeLines="50" w:after="50" w:line="360" w:lineRule="auto"/>
        <w:jc w:val="right"/>
        <w:rPr>
          <w:rFonts w:ascii="仿宋_GB2312" w:hAnsi="宋体" w:eastAsia="仿宋_GB2312"/>
          <w:bCs/>
          <w:color w:val="auto"/>
          <w:sz w:val="30"/>
          <w:szCs w:val="30"/>
          <w:highlight w:val="none"/>
        </w:rPr>
      </w:pPr>
    </w:p>
    <w:p>
      <w:pPr>
        <w:spacing w:beforeLines="100" w:line="360" w:lineRule="auto"/>
        <w:ind w:right="-108"/>
        <w:jc w:val="center"/>
        <w:rPr>
          <w:rFonts w:hint="eastAsia" w:ascii="宋体" w:hAnsi="宋体"/>
          <w:color w:val="auto"/>
          <w:sz w:val="36"/>
          <w:szCs w:val="36"/>
          <w:highlight w:val="none"/>
          <w:lang w:eastAsia="zh-CN"/>
        </w:rPr>
      </w:pPr>
      <w:r>
        <w:rPr>
          <w:rFonts w:hint="eastAsia" w:ascii="宋体" w:hAnsi="宋体"/>
          <w:color w:val="auto"/>
          <w:sz w:val="36"/>
          <w:szCs w:val="36"/>
          <w:highlight w:val="none"/>
          <w:lang w:eastAsia="zh-CN"/>
        </w:rPr>
        <w:t>2018年玉环市公安局交通警察大队“天眼工程”（二期）（重新）</w:t>
      </w:r>
    </w:p>
    <w:p>
      <w:pPr>
        <w:spacing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w:t>
      </w:r>
    </w:p>
    <w:p>
      <w:pPr>
        <w:autoSpaceDE w:val="0"/>
        <w:autoSpaceDN w:val="0"/>
        <w:adjustRightInd w:val="0"/>
        <w:spacing w:line="360" w:lineRule="auto"/>
        <w:jc w:val="center"/>
        <w:rPr>
          <w:rFonts w:ascii="宋体" w:hAnsi="宋体" w:cs="宋体"/>
          <w:color w:val="auto"/>
          <w:sz w:val="84"/>
          <w:szCs w:val="84"/>
          <w:highlight w:val="none"/>
          <w:lang w:val="zh-CN"/>
        </w:rPr>
      </w:pP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bCs/>
          <w:color w:val="auto"/>
          <w:sz w:val="24"/>
          <w:highlight w:val="none"/>
          <w:lang w:val="zh-CN"/>
        </w:rPr>
        <w:t>商务与技术文件</w:t>
      </w:r>
      <w:r>
        <w:rPr>
          <w:rFonts w:hint="eastAsia" w:ascii="宋体" w:hAnsi="宋体"/>
          <w:b/>
          <w:color w:val="auto"/>
          <w:spacing w:val="40"/>
          <w:sz w:val="28"/>
          <w:szCs w:val="28"/>
          <w:highlight w:val="none"/>
        </w:rPr>
        <w:t>）</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投标人全称（公章）：</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pacing w:line="360" w:lineRule="auto"/>
        <w:ind w:right="532" w:firstLine="720" w:firstLineChars="200"/>
        <w:rPr>
          <w:rFonts w:ascii="宋体" w:hAnsi="宋体"/>
          <w:color w:val="auto"/>
          <w:sz w:val="36"/>
          <w:szCs w:val="36"/>
          <w:highlight w:val="none"/>
        </w:rPr>
      </w:pPr>
    </w:p>
    <w:p>
      <w:pPr>
        <w:snapToGrid w:val="0"/>
        <w:spacing w:before="50" w:after="50" w:line="360" w:lineRule="auto"/>
        <w:rPr>
          <w:rFonts w:ascii="仿宋_GB2312" w:hAnsi="宋体" w:eastAsia="仿宋_GB2312"/>
          <w:b/>
          <w:color w:val="auto"/>
          <w:sz w:val="36"/>
          <w:szCs w:val="36"/>
          <w:highlight w:val="none"/>
        </w:rPr>
      </w:pPr>
    </w:p>
    <w:p>
      <w:pPr>
        <w:snapToGrid w:val="0"/>
        <w:spacing w:before="50" w:after="50"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lang w:val="zh-CN"/>
        </w:rPr>
        <w:t>商务与技术文件</w:t>
      </w:r>
      <w:r>
        <w:rPr>
          <w:rFonts w:hint="eastAsia" w:ascii="宋体" w:hAnsi="宋体"/>
          <w:b/>
          <w:bCs/>
          <w:color w:val="auto"/>
          <w:sz w:val="32"/>
          <w:szCs w:val="32"/>
          <w:highlight w:val="none"/>
        </w:rPr>
        <w:t>目录</w:t>
      </w:r>
    </w:p>
    <w:p>
      <w:pPr>
        <w:snapToGrid w:val="0"/>
        <w:spacing w:line="360" w:lineRule="auto"/>
        <w:rPr>
          <w:rFonts w:ascii="宋体" w:hAnsi="宋体"/>
          <w:color w:val="auto"/>
          <w:sz w:val="24"/>
          <w:highlight w:val="none"/>
        </w:rPr>
      </w:pPr>
    </w:p>
    <w:p>
      <w:pPr>
        <w:snapToGrid w:val="0"/>
        <w:spacing w:line="360" w:lineRule="auto"/>
        <w:ind w:firstLine="562" w:firstLineChars="200"/>
        <w:rPr>
          <w:rFonts w:ascii="宋体" w:hAnsi="宋体"/>
          <w:b/>
          <w:bCs/>
          <w:color w:val="auto"/>
          <w:sz w:val="28"/>
          <w:szCs w:val="28"/>
          <w:highlight w:val="none"/>
        </w:rPr>
      </w:pPr>
      <w:r>
        <w:rPr>
          <w:rFonts w:hint="eastAsia" w:ascii="宋体" w:hAnsi="宋体"/>
          <w:b/>
          <w:bCs/>
          <w:color w:val="auto"/>
          <w:sz w:val="28"/>
          <w:szCs w:val="28"/>
          <w:highlight w:val="none"/>
        </w:rPr>
        <w:t>第一部分  技术方案描述部分</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w:t>
      </w:r>
      <w:r>
        <w:rPr>
          <w:rFonts w:hint="eastAsia" w:ascii="宋体" w:hAnsi="宋体" w:cs="宋体"/>
          <w:color w:val="auto"/>
          <w:sz w:val="28"/>
          <w:szCs w:val="28"/>
          <w:highlight w:val="none"/>
        </w:rPr>
        <w:t>投标人情况介绍</w:t>
      </w:r>
      <w:r>
        <w:rPr>
          <w:rFonts w:hint="eastAsia" w:ascii="宋体" w:hAnsi="宋体"/>
          <w:color w:val="auto"/>
          <w:sz w:val="28"/>
          <w:szCs w:val="28"/>
          <w:highlight w:val="none"/>
        </w:rPr>
        <w:t>（附件5）；</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w:t>
      </w:r>
      <w:r>
        <w:rPr>
          <w:rFonts w:hint="eastAsia" w:ascii="宋体" w:hAnsi="宋体" w:cs="宋体"/>
          <w:color w:val="auto"/>
          <w:sz w:val="28"/>
          <w:szCs w:val="28"/>
          <w:highlight w:val="none"/>
        </w:rPr>
        <w:t>项目需求的理解与分析</w:t>
      </w:r>
      <w:r>
        <w:rPr>
          <w:rFonts w:hint="eastAsia" w:ascii="宋体" w:hAnsi="宋体"/>
          <w:color w:val="auto"/>
          <w:sz w:val="28"/>
          <w:szCs w:val="28"/>
          <w:highlight w:val="none"/>
        </w:rPr>
        <w:t>；</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w:t>
      </w:r>
      <w:r>
        <w:rPr>
          <w:rFonts w:hint="eastAsia" w:ascii="宋体" w:hAnsi="宋体" w:cs="宋体"/>
          <w:color w:val="auto"/>
          <w:sz w:val="28"/>
          <w:szCs w:val="28"/>
          <w:highlight w:val="none"/>
        </w:rPr>
        <w:t>项目组织实施方案(可视情选用附件6、附件7)</w:t>
      </w:r>
      <w:r>
        <w:rPr>
          <w:rFonts w:ascii="宋体" w:hAnsi="宋体"/>
          <w:color w:val="auto"/>
          <w:sz w:val="28"/>
          <w:szCs w:val="28"/>
          <w:highlight w:val="none"/>
        </w:rPr>
        <w:t xml:space="preserve">； </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w:t>
      </w:r>
      <w:r>
        <w:rPr>
          <w:rFonts w:asciiTheme="minorEastAsia" w:hAnsiTheme="minorEastAsia" w:eastAsiaTheme="minorEastAsia"/>
          <w:color w:val="auto"/>
          <w:kern w:val="0"/>
          <w:sz w:val="28"/>
          <w:szCs w:val="28"/>
          <w:highlight w:val="none"/>
        </w:rPr>
        <w:t>安装、调试及验收方案</w:t>
      </w:r>
      <w:r>
        <w:rPr>
          <w:rFonts w:hint="eastAsia" w:ascii="宋体" w:hAnsi="宋体"/>
          <w:color w:val="auto"/>
          <w:sz w:val="28"/>
          <w:szCs w:val="28"/>
          <w:highlight w:val="none"/>
        </w:rPr>
        <w:t>；</w:t>
      </w:r>
    </w:p>
    <w:p>
      <w:pPr>
        <w:snapToGrid w:val="0"/>
        <w:spacing w:line="360" w:lineRule="auto"/>
        <w:ind w:firstLine="562" w:firstLineChars="200"/>
        <w:jc w:val="left"/>
        <w:rPr>
          <w:rFonts w:ascii="宋体" w:hAnsi="宋体"/>
          <w:b/>
          <w:bCs/>
          <w:color w:val="auto"/>
          <w:sz w:val="28"/>
          <w:szCs w:val="28"/>
          <w:highlight w:val="none"/>
        </w:rPr>
      </w:pPr>
      <w:r>
        <w:rPr>
          <w:rFonts w:hint="eastAsia" w:ascii="宋体" w:hAnsi="宋体"/>
          <w:b/>
          <w:bCs/>
          <w:color w:val="auto"/>
          <w:sz w:val="28"/>
          <w:szCs w:val="28"/>
          <w:highlight w:val="none"/>
        </w:rPr>
        <w:t>第二部分  投标产品描述部分</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sz w:val="28"/>
          <w:szCs w:val="28"/>
          <w:highlight w:val="none"/>
        </w:rPr>
        <w:t>1、</w:t>
      </w:r>
      <w:r>
        <w:rPr>
          <w:rFonts w:hint="eastAsia" w:ascii="宋体" w:hAnsi="宋体"/>
          <w:color w:val="auto"/>
          <w:kern w:val="0"/>
          <w:sz w:val="28"/>
          <w:szCs w:val="28"/>
          <w:highlight w:val="none"/>
        </w:rPr>
        <w:t>投标产品描述及相关资料（</w:t>
      </w:r>
      <w:r>
        <w:rPr>
          <w:rFonts w:hint="eastAsia" w:ascii="宋体" w:hAnsi="宋体" w:cs="宋体"/>
          <w:color w:val="auto"/>
          <w:sz w:val="28"/>
          <w:szCs w:val="28"/>
          <w:highlight w:val="none"/>
        </w:rPr>
        <w:t>可视情选用附件8、附件9</w:t>
      </w:r>
      <w:r>
        <w:rPr>
          <w:rFonts w:hint="eastAsia" w:ascii="宋体" w:hAnsi="宋体"/>
          <w:color w:val="auto"/>
          <w:kern w:val="0"/>
          <w:sz w:val="28"/>
          <w:szCs w:val="28"/>
          <w:highlight w:val="none"/>
        </w:rPr>
        <w:t>）；</w:t>
      </w:r>
    </w:p>
    <w:p>
      <w:pPr>
        <w:snapToGrid w:val="0"/>
        <w:spacing w:line="360" w:lineRule="auto"/>
        <w:ind w:left="837" w:leftChars="260" w:hanging="291" w:hangingChars="104"/>
        <w:rPr>
          <w:rFonts w:ascii="宋体" w:hAnsi="宋体"/>
          <w:color w:val="auto"/>
          <w:kern w:val="0"/>
          <w:sz w:val="28"/>
          <w:szCs w:val="28"/>
          <w:highlight w:val="none"/>
        </w:rPr>
      </w:pPr>
      <w:r>
        <w:rPr>
          <w:rFonts w:hint="eastAsia" w:ascii="宋体" w:hAnsi="宋体"/>
          <w:color w:val="auto"/>
          <w:kern w:val="0"/>
          <w:sz w:val="28"/>
          <w:szCs w:val="28"/>
          <w:highlight w:val="none"/>
        </w:rPr>
        <w:t>2、</w:t>
      </w:r>
      <w:r>
        <w:rPr>
          <w:rFonts w:hint="eastAsia" w:ascii="宋体" w:hAnsi="宋体"/>
          <w:color w:val="auto"/>
          <w:sz w:val="28"/>
          <w:szCs w:val="28"/>
          <w:highlight w:val="none"/>
        </w:rPr>
        <w:t>投标人</w:t>
      </w:r>
      <w:r>
        <w:rPr>
          <w:rFonts w:ascii="宋体" w:hAnsi="宋体"/>
          <w:color w:val="auto"/>
          <w:sz w:val="28"/>
          <w:szCs w:val="28"/>
          <w:highlight w:val="none"/>
        </w:rPr>
        <w:t>需要说明的其他</w:t>
      </w:r>
      <w:r>
        <w:rPr>
          <w:rFonts w:hint="eastAsia" w:ascii="宋体" w:hAnsi="宋体"/>
          <w:color w:val="auto"/>
          <w:sz w:val="28"/>
          <w:szCs w:val="28"/>
          <w:highlight w:val="none"/>
        </w:rPr>
        <w:t>内容；（</w:t>
      </w:r>
      <w:r>
        <w:rPr>
          <w:rFonts w:hint="eastAsia" w:ascii="宋体" w:hAnsi="宋体" w:cs="宋体"/>
          <w:color w:val="auto"/>
          <w:sz w:val="28"/>
          <w:szCs w:val="28"/>
          <w:highlight w:val="none"/>
        </w:rPr>
        <w:t>包括可能影响投标人技术性能评分项的各类证明材料）</w:t>
      </w:r>
    </w:p>
    <w:p>
      <w:pPr>
        <w:snapToGrid w:val="0"/>
        <w:spacing w:line="360" w:lineRule="auto"/>
        <w:ind w:firstLine="551" w:firstLineChars="196"/>
        <w:rPr>
          <w:rFonts w:ascii="宋体" w:hAnsi="宋体"/>
          <w:b/>
          <w:bCs/>
          <w:color w:val="auto"/>
          <w:kern w:val="0"/>
          <w:sz w:val="28"/>
          <w:szCs w:val="28"/>
          <w:highlight w:val="none"/>
        </w:rPr>
      </w:pPr>
      <w:r>
        <w:rPr>
          <w:rFonts w:hint="eastAsia" w:ascii="宋体" w:hAnsi="宋体"/>
          <w:b/>
          <w:bCs/>
          <w:color w:val="auto"/>
          <w:kern w:val="0"/>
          <w:sz w:val="28"/>
          <w:szCs w:val="28"/>
          <w:highlight w:val="none"/>
        </w:rPr>
        <w:t>第三部分  商务响应部分</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1、证书一览表（附件10）；</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2、近三年来类似项目的成功案例（附件11）</w:t>
      </w:r>
    </w:p>
    <w:p>
      <w:pPr>
        <w:snapToGrid w:val="0"/>
        <w:spacing w:line="360" w:lineRule="auto"/>
        <w:ind w:firstLine="548" w:firstLineChars="196"/>
        <w:rPr>
          <w:rFonts w:ascii="宋体" w:hAnsi="宋体"/>
          <w:color w:val="auto"/>
          <w:kern w:val="0"/>
          <w:sz w:val="28"/>
          <w:szCs w:val="28"/>
          <w:highlight w:val="none"/>
        </w:rPr>
      </w:pPr>
      <w:r>
        <w:rPr>
          <w:rFonts w:hint="eastAsia" w:ascii="宋体" w:hAnsi="宋体"/>
          <w:color w:val="auto"/>
          <w:kern w:val="0"/>
          <w:sz w:val="28"/>
          <w:szCs w:val="28"/>
          <w:highlight w:val="none"/>
        </w:rPr>
        <w:t>3、售后服务描述及承诺（可视情选用附件12，附件13）；</w:t>
      </w:r>
    </w:p>
    <w:p>
      <w:pPr>
        <w:snapToGrid w:val="0"/>
        <w:spacing w:line="360" w:lineRule="auto"/>
        <w:ind w:left="837" w:leftChars="260" w:hanging="291" w:hangingChars="104"/>
        <w:rPr>
          <w:rFonts w:ascii="宋体" w:hAnsi="宋体"/>
          <w:color w:val="auto"/>
          <w:kern w:val="0"/>
          <w:sz w:val="28"/>
          <w:szCs w:val="28"/>
          <w:highlight w:val="none"/>
        </w:rPr>
      </w:pPr>
      <w:r>
        <w:rPr>
          <w:rFonts w:hint="eastAsia" w:ascii="宋体" w:hAnsi="宋体"/>
          <w:color w:val="auto"/>
          <w:kern w:val="0"/>
          <w:sz w:val="28"/>
          <w:szCs w:val="28"/>
          <w:highlight w:val="none"/>
        </w:rPr>
        <w:t>4、投标人需要说明的其他内容。（包括可能影响投标人企业实力及信誉评分项以及售后服务评分项的各类证明材料）</w:t>
      </w:r>
    </w:p>
    <w:p>
      <w:pPr>
        <w:pStyle w:val="28"/>
        <w:shd w:val="clear" w:color="auto" w:fill="FFFFFF"/>
        <w:spacing w:before="0" w:beforeAutospacing="0" w:after="0" w:afterAutospacing="0" w:line="360" w:lineRule="auto"/>
        <w:rPr>
          <w:rFonts w:hint="eastAsia"/>
          <w:b/>
          <w:color w:val="auto"/>
          <w:sz w:val="28"/>
          <w:highlight w:val="none"/>
        </w:rPr>
        <w:sectPr>
          <w:pgSz w:w="11906" w:h="16838"/>
          <w:pgMar w:top="1440" w:right="1800" w:bottom="1440" w:left="1800" w:header="851" w:footer="992" w:gutter="0"/>
          <w:cols w:space="425" w:num="1"/>
          <w:docGrid w:type="lines" w:linePitch="312" w:charSpace="0"/>
        </w:sectPr>
      </w:pPr>
    </w:p>
    <w:p>
      <w:pPr>
        <w:pStyle w:val="28"/>
        <w:shd w:val="clear" w:color="auto" w:fill="FFFFFF"/>
        <w:spacing w:before="0" w:beforeAutospacing="0" w:after="0" w:afterAutospacing="0" w:line="360" w:lineRule="auto"/>
        <w:rPr>
          <w:b/>
          <w:color w:val="auto"/>
          <w:sz w:val="28"/>
          <w:highlight w:val="none"/>
        </w:rPr>
      </w:pPr>
      <w:r>
        <w:rPr>
          <w:rFonts w:hint="eastAsia"/>
          <w:b/>
          <w:color w:val="auto"/>
          <w:sz w:val="28"/>
          <w:highlight w:val="none"/>
        </w:rPr>
        <w:t>附件5</w:t>
      </w:r>
    </w:p>
    <w:p>
      <w:pPr>
        <w:pStyle w:val="28"/>
        <w:shd w:val="clear" w:color="auto" w:fill="FFFFFF"/>
        <w:spacing w:before="0" w:beforeAutospacing="0" w:after="0" w:afterAutospacing="0" w:line="360" w:lineRule="auto"/>
        <w:jc w:val="center"/>
        <w:rPr>
          <w:b/>
          <w:bCs/>
          <w:color w:val="auto"/>
          <w:spacing w:val="21"/>
          <w:sz w:val="32"/>
          <w:szCs w:val="32"/>
          <w:highlight w:val="none"/>
        </w:rPr>
      </w:pPr>
      <w:r>
        <w:rPr>
          <w:rFonts w:hint="eastAsia"/>
          <w:b/>
          <w:color w:val="auto"/>
          <w:sz w:val="32"/>
          <w:szCs w:val="32"/>
          <w:highlight w:val="none"/>
        </w:rPr>
        <w:t xml:space="preserve">  投标</w:t>
      </w:r>
      <w:r>
        <w:rPr>
          <w:rFonts w:hint="eastAsia"/>
          <w:b/>
          <w:bCs/>
          <w:color w:val="auto"/>
          <w:spacing w:val="21"/>
          <w:sz w:val="32"/>
          <w:szCs w:val="32"/>
          <w:highlight w:val="none"/>
        </w:rPr>
        <w:t>人基本情况表</w:t>
      </w:r>
    </w:p>
    <w:p>
      <w:pPr>
        <w:pStyle w:val="28"/>
        <w:shd w:val="clear" w:color="auto" w:fill="FFFFFF"/>
        <w:spacing w:before="0" w:beforeAutospacing="0" w:after="0" w:afterAutospacing="0" w:line="360" w:lineRule="auto"/>
        <w:jc w:val="center"/>
        <w:rPr>
          <w:rFonts w:eastAsia="微软雅黑"/>
          <w:color w:val="auto"/>
          <w:sz w:val="36"/>
          <w:szCs w:val="36"/>
          <w:highlight w:val="none"/>
        </w:rPr>
      </w:pPr>
    </w:p>
    <w:tbl>
      <w:tblPr>
        <w:tblStyle w:val="20"/>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682" w:type="dxa"/>
          </w:tcPr>
          <w:p>
            <w:pPr>
              <w:pStyle w:val="28"/>
              <w:shd w:val="clear" w:color="auto" w:fill="FFFFFF"/>
              <w:spacing w:line="360" w:lineRule="auto"/>
              <w:rPr>
                <w:bCs/>
                <w:color w:val="auto"/>
                <w:highlight w:val="none"/>
              </w:rPr>
            </w:pPr>
            <w:r>
              <w:rPr>
                <w:rFonts w:hint="eastAsia"/>
                <w:bCs/>
                <w:color w:val="auto"/>
                <w:spacing w:val="27"/>
                <w:highlight w:val="none"/>
              </w:rPr>
              <w:t>企业名称</w:t>
            </w:r>
          </w:p>
        </w:tc>
        <w:tc>
          <w:tcPr>
            <w:tcW w:w="3979" w:type="dxa"/>
            <w:gridSpan w:val="6"/>
          </w:tcPr>
          <w:p>
            <w:pPr>
              <w:pStyle w:val="28"/>
              <w:shd w:val="clear" w:color="auto" w:fill="FFFFFF"/>
              <w:spacing w:line="360" w:lineRule="auto"/>
              <w:rPr>
                <w:bCs/>
                <w:color w:val="auto"/>
                <w:highlight w:val="none"/>
              </w:rPr>
            </w:pPr>
          </w:p>
        </w:tc>
        <w:tc>
          <w:tcPr>
            <w:tcW w:w="2001" w:type="dxa"/>
            <w:gridSpan w:val="3"/>
          </w:tcPr>
          <w:p>
            <w:pPr>
              <w:pStyle w:val="28"/>
              <w:shd w:val="clear" w:color="auto" w:fill="FFFFFF"/>
              <w:spacing w:line="360" w:lineRule="auto"/>
              <w:rPr>
                <w:bCs/>
                <w:color w:val="auto"/>
                <w:highlight w:val="none"/>
              </w:rPr>
            </w:pPr>
            <w:r>
              <w:rPr>
                <w:rFonts w:hint="eastAsia"/>
                <w:bCs/>
                <w:color w:val="auto"/>
                <w:spacing w:val="16"/>
                <w:highlight w:val="none"/>
              </w:rPr>
              <w:t>法人代表</w:t>
            </w:r>
          </w:p>
        </w:tc>
        <w:tc>
          <w:tcPr>
            <w:tcW w:w="2151" w:type="dxa"/>
            <w:gridSpan w:val="2"/>
          </w:tcPr>
          <w:p>
            <w:pPr>
              <w:pStyle w:val="28"/>
              <w:shd w:val="clear" w:color="auto" w:fill="FFFFFF"/>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682" w:type="dxa"/>
          </w:tcPr>
          <w:p>
            <w:pPr>
              <w:pStyle w:val="28"/>
              <w:shd w:val="clear" w:color="auto" w:fill="FFFFFF"/>
              <w:spacing w:line="360" w:lineRule="auto"/>
              <w:rPr>
                <w:bCs/>
                <w:color w:val="auto"/>
                <w:spacing w:val="16"/>
                <w:highlight w:val="none"/>
              </w:rPr>
            </w:pPr>
            <w:r>
              <w:rPr>
                <w:rFonts w:hint="eastAsia"/>
                <w:bCs/>
                <w:color w:val="auto"/>
                <w:spacing w:val="27"/>
                <w:highlight w:val="none"/>
              </w:rPr>
              <w:t>地址</w:t>
            </w:r>
          </w:p>
        </w:tc>
        <w:tc>
          <w:tcPr>
            <w:tcW w:w="3979" w:type="dxa"/>
            <w:gridSpan w:val="6"/>
            <w:tcBorders>
              <w:bottom w:val="single" w:color="auto" w:sz="4" w:space="0"/>
            </w:tcBorders>
          </w:tcPr>
          <w:p>
            <w:pPr>
              <w:pStyle w:val="28"/>
              <w:shd w:val="clear" w:color="auto" w:fill="FFFFFF"/>
              <w:spacing w:line="360" w:lineRule="auto"/>
              <w:rPr>
                <w:bCs/>
                <w:color w:val="auto"/>
                <w:spacing w:val="16"/>
                <w:highlight w:val="none"/>
              </w:rPr>
            </w:pPr>
          </w:p>
        </w:tc>
        <w:tc>
          <w:tcPr>
            <w:tcW w:w="2001" w:type="dxa"/>
            <w:gridSpan w:val="3"/>
          </w:tcPr>
          <w:p>
            <w:pPr>
              <w:pStyle w:val="28"/>
              <w:shd w:val="clear" w:color="auto" w:fill="FFFFFF"/>
              <w:spacing w:line="360" w:lineRule="auto"/>
              <w:rPr>
                <w:bCs/>
                <w:color w:val="auto"/>
                <w:spacing w:val="16"/>
                <w:highlight w:val="none"/>
              </w:rPr>
            </w:pPr>
            <w:r>
              <w:rPr>
                <w:rFonts w:hint="eastAsia"/>
                <w:bCs/>
                <w:color w:val="auto"/>
                <w:spacing w:val="16"/>
                <w:highlight w:val="none"/>
              </w:rPr>
              <w:t>企业性质</w:t>
            </w:r>
          </w:p>
        </w:tc>
        <w:tc>
          <w:tcPr>
            <w:tcW w:w="2151" w:type="dxa"/>
            <w:gridSpan w:val="2"/>
          </w:tcPr>
          <w:p>
            <w:pPr>
              <w:pStyle w:val="28"/>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682" w:type="dxa"/>
            <w:tcBorders>
              <w:bottom w:val="single" w:color="auto" w:sz="4" w:space="0"/>
            </w:tcBorders>
          </w:tcPr>
          <w:p>
            <w:pPr>
              <w:pStyle w:val="28"/>
              <w:shd w:val="clear" w:color="auto" w:fill="FFFFFF"/>
              <w:spacing w:line="360" w:lineRule="auto"/>
              <w:rPr>
                <w:bCs/>
                <w:color w:val="auto"/>
                <w:spacing w:val="16"/>
                <w:highlight w:val="none"/>
              </w:rPr>
            </w:pPr>
            <w:r>
              <w:rPr>
                <w:rFonts w:hint="eastAsia"/>
                <w:bCs/>
                <w:color w:val="auto"/>
                <w:spacing w:val="27"/>
                <w:highlight w:val="none"/>
              </w:rPr>
              <w:t>股东姓名</w:t>
            </w:r>
          </w:p>
        </w:tc>
        <w:tc>
          <w:tcPr>
            <w:tcW w:w="701" w:type="dxa"/>
            <w:tcBorders>
              <w:bottom w:val="single" w:color="auto" w:sz="4" w:space="0"/>
            </w:tcBorders>
          </w:tcPr>
          <w:p>
            <w:pPr>
              <w:pStyle w:val="28"/>
              <w:shd w:val="clear" w:color="auto" w:fill="FFFFFF"/>
              <w:spacing w:before="0" w:beforeAutospacing="0" w:after="0" w:afterAutospacing="0" w:line="360" w:lineRule="auto"/>
              <w:rPr>
                <w:bCs/>
                <w:color w:val="auto"/>
                <w:spacing w:val="16"/>
                <w:highlight w:val="none"/>
              </w:rPr>
            </w:pPr>
          </w:p>
        </w:tc>
        <w:tc>
          <w:tcPr>
            <w:tcW w:w="910" w:type="dxa"/>
            <w:gridSpan w:val="2"/>
            <w:tcBorders>
              <w:bottom w:val="single" w:color="auto" w:sz="4" w:space="0"/>
            </w:tcBorders>
          </w:tcPr>
          <w:p>
            <w:pPr>
              <w:pStyle w:val="28"/>
              <w:shd w:val="clear" w:color="auto" w:fill="FFFFFF"/>
              <w:spacing w:line="360" w:lineRule="auto"/>
              <w:rPr>
                <w:bCs/>
                <w:color w:val="auto"/>
                <w:spacing w:val="16"/>
                <w:highlight w:val="none"/>
              </w:rPr>
            </w:pPr>
            <w:r>
              <w:rPr>
                <w:rFonts w:hint="eastAsia"/>
                <w:bCs/>
                <w:color w:val="auto"/>
                <w:spacing w:val="16"/>
                <w:highlight w:val="none"/>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auto"/>
                <w:spacing w:val="16"/>
                <w:kern w:val="0"/>
                <w:sz w:val="24"/>
                <w:highlight w:val="none"/>
              </w:rPr>
            </w:pPr>
          </w:p>
          <w:p>
            <w:pPr>
              <w:pStyle w:val="28"/>
              <w:shd w:val="clear" w:color="auto" w:fill="FFFFFF"/>
              <w:spacing w:line="360" w:lineRule="auto"/>
              <w:rPr>
                <w:bCs/>
                <w:color w:val="auto"/>
                <w:spacing w:val="16"/>
                <w:highlight w:val="none"/>
              </w:rPr>
            </w:pPr>
          </w:p>
        </w:tc>
        <w:tc>
          <w:tcPr>
            <w:tcW w:w="2001" w:type="dxa"/>
            <w:gridSpan w:val="3"/>
          </w:tcPr>
          <w:p>
            <w:pPr>
              <w:pStyle w:val="28"/>
              <w:shd w:val="clear" w:color="auto" w:fill="FFFFFF"/>
              <w:spacing w:line="360" w:lineRule="auto"/>
              <w:ind w:left="107"/>
              <w:rPr>
                <w:bCs/>
                <w:color w:val="auto"/>
                <w:spacing w:val="16"/>
                <w:highlight w:val="none"/>
              </w:rPr>
            </w:pPr>
            <w:r>
              <w:rPr>
                <w:rFonts w:hint="eastAsia"/>
                <w:bCs/>
                <w:color w:val="auto"/>
                <w:spacing w:val="16"/>
                <w:highlight w:val="none"/>
              </w:rPr>
              <w:t>股东关系</w:t>
            </w:r>
          </w:p>
        </w:tc>
        <w:tc>
          <w:tcPr>
            <w:tcW w:w="2151" w:type="dxa"/>
            <w:gridSpan w:val="2"/>
          </w:tcPr>
          <w:p>
            <w:pPr>
              <w:pStyle w:val="28"/>
              <w:shd w:val="clear" w:color="auto" w:fill="FFFFFF"/>
              <w:spacing w:line="360" w:lineRule="auto"/>
              <w:ind w:left="107"/>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682" w:type="dxa"/>
            <w:vMerge w:val="restart"/>
          </w:tcPr>
          <w:p>
            <w:pPr>
              <w:pStyle w:val="28"/>
              <w:shd w:val="clear" w:color="auto" w:fill="FFFFFF"/>
              <w:spacing w:line="360" w:lineRule="auto"/>
              <w:rPr>
                <w:bCs/>
                <w:color w:val="auto"/>
                <w:spacing w:val="16"/>
                <w:highlight w:val="none"/>
              </w:rPr>
            </w:pPr>
            <w:r>
              <w:rPr>
                <w:rFonts w:hint="eastAsia"/>
                <w:bCs/>
                <w:color w:val="auto"/>
                <w:spacing w:val="12"/>
                <w:highlight w:val="none"/>
              </w:rPr>
              <w:t>联系人</w:t>
            </w:r>
            <w:r>
              <w:rPr>
                <w:rFonts w:hint="eastAsia"/>
                <w:bCs/>
                <w:color w:val="auto"/>
                <w:spacing w:val="27"/>
                <w:highlight w:val="none"/>
              </w:rPr>
              <w:t>姓名</w:t>
            </w:r>
          </w:p>
        </w:tc>
        <w:tc>
          <w:tcPr>
            <w:tcW w:w="701" w:type="dxa"/>
            <w:vMerge w:val="restart"/>
            <w:tcBorders>
              <w:top w:val="nil"/>
            </w:tcBorders>
          </w:tcPr>
          <w:p>
            <w:pPr>
              <w:pStyle w:val="28"/>
              <w:shd w:val="clear" w:color="auto" w:fill="FFFFFF"/>
              <w:spacing w:line="360" w:lineRule="auto"/>
              <w:rPr>
                <w:bCs/>
                <w:color w:val="auto"/>
                <w:spacing w:val="16"/>
                <w:highlight w:val="none"/>
              </w:rPr>
            </w:pPr>
          </w:p>
        </w:tc>
        <w:tc>
          <w:tcPr>
            <w:tcW w:w="910" w:type="dxa"/>
            <w:gridSpan w:val="2"/>
            <w:tcBorders>
              <w:top w:val="nil"/>
              <w:bottom w:val="single" w:color="auto" w:sz="4" w:space="0"/>
            </w:tcBorders>
          </w:tcPr>
          <w:p>
            <w:pPr>
              <w:pStyle w:val="28"/>
              <w:shd w:val="clear" w:color="auto" w:fill="FFFFFF"/>
              <w:spacing w:line="360" w:lineRule="auto"/>
              <w:rPr>
                <w:bCs/>
                <w:color w:val="auto"/>
                <w:spacing w:val="16"/>
                <w:highlight w:val="none"/>
              </w:rPr>
            </w:pPr>
            <w:r>
              <w:rPr>
                <w:rFonts w:hint="eastAsia"/>
                <w:bCs/>
                <w:color w:val="auto"/>
                <w:spacing w:val="16"/>
                <w:highlight w:val="none"/>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auto"/>
                <w:spacing w:val="16"/>
                <w:kern w:val="0"/>
                <w:sz w:val="24"/>
                <w:highlight w:val="none"/>
              </w:rPr>
            </w:pPr>
          </w:p>
          <w:p>
            <w:pPr>
              <w:pStyle w:val="28"/>
              <w:shd w:val="clear" w:color="auto" w:fill="FFFFFF"/>
              <w:spacing w:line="360" w:lineRule="auto"/>
              <w:rPr>
                <w:bCs/>
                <w:color w:val="auto"/>
                <w:spacing w:val="16"/>
                <w:highlight w:val="none"/>
              </w:rPr>
            </w:pPr>
          </w:p>
        </w:tc>
        <w:tc>
          <w:tcPr>
            <w:tcW w:w="2001" w:type="dxa"/>
            <w:gridSpan w:val="3"/>
            <w:vMerge w:val="restart"/>
          </w:tcPr>
          <w:p>
            <w:pPr>
              <w:pStyle w:val="28"/>
              <w:shd w:val="clear" w:color="auto" w:fill="FFFFFF"/>
              <w:spacing w:before="0" w:beforeAutospacing="0" w:after="0" w:afterAutospacing="0" w:line="360" w:lineRule="auto"/>
              <w:rPr>
                <w:bCs/>
                <w:color w:val="auto"/>
                <w:spacing w:val="16"/>
                <w:highlight w:val="none"/>
              </w:rPr>
            </w:pPr>
            <w:r>
              <w:rPr>
                <w:rFonts w:hint="eastAsia"/>
                <w:bCs/>
                <w:color w:val="auto"/>
                <w:spacing w:val="16"/>
                <w:highlight w:val="none"/>
              </w:rPr>
              <w:t>传真</w:t>
            </w:r>
          </w:p>
        </w:tc>
        <w:tc>
          <w:tcPr>
            <w:tcW w:w="2151" w:type="dxa"/>
            <w:gridSpan w:val="2"/>
            <w:vMerge w:val="restart"/>
          </w:tcPr>
          <w:p>
            <w:pPr>
              <w:pStyle w:val="28"/>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682" w:type="dxa"/>
            <w:vMerge w:val="continue"/>
            <w:tcBorders>
              <w:bottom w:val="single" w:color="auto" w:sz="4" w:space="0"/>
            </w:tcBorders>
          </w:tcPr>
          <w:p>
            <w:pPr>
              <w:pStyle w:val="28"/>
              <w:shd w:val="clear" w:color="auto" w:fill="FFFFFF"/>
              <w:spacing w:line="360" w:lineRule="auto"/>
              <w:ind w:left="107"/>
              <w:rPr>
                <w:bCs/>
                <w:color w:val="auto"/>
                <w:highlight w:val="none"/>
              </w:rPr>
            </w:pPr>
          </w:p>
        </w:tc>
        <w:tc>
          <w:tcPr>
            <w:tcW w:w="701" w:type="dxa"/>
            <w:vMerge w:val="continue"/>
            <w:tcBorders>
              <w:bottom w:val="single" w:color="auto" w:sz="4" w:space="0"/>
            </w:tcBorders>
          </w:tcPr>
          <w:p>
            <w:pPr>
              <w:pStyle w:val="28"/>
              <w:shd w:val="clear" w:color="auto" w:fill="FFFFFF"/>
              <w:spacing w:line="360" w:lineRule="auto"/>
              <w:rPr>
                <w:bCs/>
                <w:color w:val="auto"/>
                <w:spacing w:val="16"/>
                <w:highlight w:val="none"/>
              </w:rPr>
            </w:pPr>
          </w:p>
        </w:tc>
        <w:tc>
          <w:tcPr>
            <w:tcW w:w="910" w:type="dxa"/>
            <w:gridSpan w:val="2"/>
            <w:tcBorders>
              <w:bottom w:val="single" w:color="auto" w:sz="4" w:space="0"/>
            </w:tcBorders>
          </w:tcPr>
          <w:p>
            <w:pPr>
              <w:pStyle w:val="28"/>
              <w:shd w:val="clear" w:color="auto" w:fill="FFFFFF"/>
              <w:spacing w:line="360" w:lineRule="auto"/>
              <w:rPr>
                <w:bCs/>
                <w:color w:val="auto"/>
                <w:spacing w:val="16"/>
                <w:highlight w:val="none"/>
              </w:rPr>
            </w:pPr>
            <w:r>
              <w:rPr>
                <w:rFonts w:hint="eastAsia"/>
                <w:bCs/>
                <w:color w:val="auto"/>
                <w:spacing w:val="27"/>
                <w:highlight w:val="none"/>
              </w:rPr>
              <w:t>手机</w:t>
            </w:r>
          </w:p>
        </w:tc>
        <w:tc>
          <w:tcPr>
            <w:tcW w:w="2368" w:type="dxa"/>
            <w:gridSpan w:val="3"/>
            <w:tcBorders>
              <w:bottom w:val="single" w:color="auto" w:sz="4" w:space="0"/>
            </w:tcBorders>
          </w:tcPr>
          <w:p>
            <w:pPr>
              <w:pStyle w:val="28"/>
              <w:shd w:val="clear" w:color="auto" w:fill="FFFFFF"/>
              <w:spacing w:line="360" w:lineRule="auto"/>
              <w:rPr>
                <w:bCs/>
                <w:color w:val="auto"/>
                <w:spacing w:val="16"/>
                <w:highlight w:val="none"/>
              </w:rPr>
            </w:pPr>
          </w:p>
        </w:tc>
        <w:tc>
          <w:tcPr>
            <w:tcW w:w="2001" w:type="dxa"/>
            <w:gridSpan w:val="3"/>
            <w:vMerge w:val="continue"/>
          </w:tcPr>
          <w:p>
            <w:pPr>
              <w:pStyle w:val="28"/>
              <w:shd w:val="clear" w:color="auto" w:fill="FFFFFF"/>
              <w:spacing w:line="360" w:lineRule="auto"/>
              <w:rPr>
                <w:bCs/>
                <w:color w:val="auto"/>
                <w:spacing w:val="16"/>
                <w:highlight w:val="none"/>
              </w:rPr>
            </w:pPr>
          </w:p>
        </w:tc>
        <w:tc>
          <w:tcPr>
            <w:tcW w:w="2151" w:type="dxa"/>
            <w:gridSpan w:val="2"/>
            <w:vMerge w:val="continue"/>
          </w:tcPr>
          <w:p>
            <w:pPr>
              <w:pStyle w:val="28"/>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682" w:type="dxa"/>
            <w:vMerge w:val="restart"/>
          </w:tcPr>
          <w:p>
            <w:pPr>
              <w:pStyle w:val="28"/>
              <w:shd w:val="clear" w:color="auto" w:fill="FFFFFF"/>
              <w:spacing w:line="360" w:lineRule="auto"/>
              <w:ind w:left="107"/>
              <w:rPr>
                <w:bCs/>
                <w:color w:val="auto"/>
                <w:highlight w:val="none"/>
              </w:rPr>
            </w:pPr>
            <w:r>
              <w:rPr>
                <w:bCs/>
                <w:color w:val="auto"/>
                <w:highlight w:val="none"/>
              </w:rPr>
              <w:t>1</w:t>
            </w:r>
            <w:r>
              <w:rPr>
                <w:rFonts w:hint="eastAsia"/>
                <w:bCs/>
                <w:color w:val="auto"/>
                <w:highlight w:val="none"/>
              </w:rPr>
              <w:t>.</w:t>
            </w:r>
          </w:p>
          <w:p>
            <w:pPr>
              <w:pStyle w:val="28"/>
              <w:shd w:val="clear" w:color="auto" w:fill="FFFFFF"/>
              <w:spacing w:line="360" w:lineRule="auto"/>
              <w:ind w:left="107"/>
              <w:rPr>
                <w:bCs/>
                <w:color w:val="auto"/>
                <w:highlight w:val="none"/>
              </w:rPr>
            </w:pPr>
            <w:r>
              <w:rPr>
                <w:rFonts w:hint="eastAsia"/>
                <w:bCs/>
                <w:color w:val="auto"/>
                <w:highlight w:val="none"/>
              </w:rPr>
              <w:t>企</w:t>
            </w:r>
          </w:p>
          <w:p>
            <w:pPr>
              <w:pStyle w:val="28"/>
              <w:shd w:val="clear" w:color="auto" w:fill="FFFFFF"/>
              <w:spacing w:line="360" w:lineRule="auto"/>
              <w:ind w:left="107"/>
              <w:rPr>
                <w:bCs/>
                <w:color w:val="auto"/>
                <w:highlight w:val="none"/>
              </w:rPr>
            </w:pPr>
            <w:r>
              <w:rPr>
                <w:rFonts w:hint="eastAsia"/>
                <w:bCs/>
                <w:color w:val="auto"/>
                <w:highlight w:val="none"/>
              </w:rPr>
              <w:t>业</w:t>
            </w:r>
          </w:p>
          <w:p>
            <w:pPr>
              <w:pStyle w:val="28"/>
              <w:shd w:val="clear" w:color="auto" w:fill="FFFFFF"/>
              <w:spacing w:line="360" w:lineRule="auto"/>
              <w:ind w:left="107"/>
              <w:rPr>
                <w:bCs/>
                <w:color w:val="auto"/>
                <w:spacing w:val="27"/>
                <w:highlight w:val="none"/>
              </w:rPr>
            </w:pPr>
            <w:r>
              <w:rPr>
                <w:rFonts w:hint="eastAsia"/>
                <w:bCs/>
                <w:color w:val="auto"/>
                <w:spacing w:val="27"/>
                <w:highlight w:val="none"/>
              </w:rPr>
              <w:t>概</w:t>
            </w:r>
          </w:p>
          <w:p>
            <w:pPr>
              <w:pStyle w:val="28"/>
              <w:shd w:val="clear" w:color="auto" w:fill="FFFFFF"/>
              <w:spacing w:line="360" w:lineRule="auto"/>
              <w:ind w:left="107"/>
              <w:rPr>
                <w:bCs/>
                <w:color w:val="auto"/>
                <w:highlight w:val="none"/>
              </w:rPr>
            </w:pPr>
            <w:r>
              <w:rPr>
                <w:rFonts w:hint="eastAsia"/>
                <w:bCs/>
                <w:color w:val="auto"/>
                <w:spacing w:val="27"/>
                <w:highlight w:val="none"/>
              </w:rPr>
              <w:t>况</w:t>
            </w:r>
          </w:p>
        </w:tc>
        <w:tc>
          <w:tcPr>
            <w:tcW w:w="701" w:type="dxa"/>
            <w:tcBorders>
              <w:top w:val="nil"/>
            </w:tcBorders>
          </w:tcPr>
          <w:p>
            <w:pPr>
              <w:pStyle w:val="28"/>
              <w:shd w:val="clear" w:color="auto" w:fill="FFFFFF"/>
              <w:spacing w:line="360" w:lineRule="auto"/>
              <w:rPr>
                <w:bCs/>
                <w:color w:val="auto"/>
                <w:spacing w:val="16"/>
                <w:highlight w:val="none"/>
              </w:rPr>
            </w:pPr>
            <w:r>
              <w:rPr>
                <w:rFonts w:hint="eastAsia"/>
                <w:bCs/>
                <w:color w:val="auto"/>
                <w:spacing w:val="16"/>
                <w:highlight w:val="none"/>
              </w:rPr>
              <w:t>职工人数</w:t>
            </w:r>
          </w:p>
        </w:tc>
        <w:tc>
          <w:tcPr>
            <w:tcW w:w="910" w:type="dxa"/>
            <w:gridSpan w:val="2"/>
            <w:tcBorders>
              <w:top w:val="nil"/>
            </w:tcBorders>
          </w:tcPr>
          <w:p>
            <w:pPr>
              <w:pStyle w:val="28"/>
              <w:shd w:val="clear" w:color="auto" w:fill="FFFFFF"/>
              <w:spacing w:line="360" w:lineRule="auto"/>
              <w:rPr>
                <w:bCs/>
                <w:color w:val="auto"/>
                <w:spacing w:val="16"/>
                <w:highlight w:val="none"/>
              </w:rPr>
            </w:pPr>
          </w:p>
        </w:tc>
        <w:tc>
          <w:tcPr>
            <w:tcW w:w="1163" w:type="dxa"/>
            <w:tcBorders>
              <w:top w:val="nil"/>
            </w:tcBorders>
          </w:tcPr>
          <w:p>
            <w:pPr>
              <w:pStyle w:val="28"/>
              <w:shd w:val="clear" w:color="auto" w:fill="FFFFFF"/>
              <w:spacing w:before="0" w:beforeAutospacing="0" w:after="0" w:afterAutospacing="0" w:line="360" w:lineRule="auto"/>
              <w:rPr>
                <w:bCs/>
                <w:color w:val="auto"/>
                <w:highlight w:val="none"/>
              </w:rPr>
            </w:pPr>
            <w:r>
              <w:rPr>
                <w:rFonts w:hint="eastAsia"/>
                <w:bCs/>
                <w:color w:val="auto"/>
                <w:spacing w:val="18"/>
                <w:highlight w:val="none"/>
              </w:rPr>
              <w:t>具备大专以</w:t>
            </w:r>
            <w:r>
              <w:rPr>
                <w:rFonts w:hint="eastAsia"/>
                <w:bCs/>
                <w:color w:val="auto"/>
                <w:spacing w:val="12"/>
                <w:highlight w:val="none"/>
              </w:rPr>
              <w:t>上学历人数</w:t>
            </w:r>
          </w:p>
        </w:tc>
        <w:tc>
          <w:tcPr>
            <w:tcW w:w="1205" w:type="dxa"/>
            <w:gridSpan w:val="2"/>
            <w:tcBorders>
              <w:top w:val="nil"/>
            </w:tcBorders>
          </w:tcPr>
          <w:p>
            <w:pPr>
              <w:widowControl/>
              <w:spacing w:line="360" w:lineRule="auto"/>
              <w:jc w:val="left"/>
              <w:rPr>
                <w:rFonts w:ascii="宋体" w:hAnsi="宋体" w:cs="宋体"/>
                <w:bCs/>
                <w:color w:val="auto"/>
                <w:spacing w:val="16"/>
                <w:kern w:val="0"/>
                <w:sz w:val="24"/>
                <w:highlight w:val="none"/>
              </w:rPr>
            </w:pPr>
          </w:p>
          <w:p>
            <w:pPr>
              <w:widowControl/>
              <w:spacing w:line="360" w:lineRule="auto"/>
              <w:jc w:val="left"/>
              <w:rPr>
                <w:rFonts w:ascii="宋体" w:hAnsi="宋体" w:cs="宋体"/>
                <w:bCs/>
                <w:color w:val="auto"/>
                <w:spacing w:val="16"/>
                <w:kern w:val="0"/>
                <w:sz w:val="24"/>
                <w:highlight w:val="none"/>
              </w:rPr>
            </w:pPr>
          </w:p>
          <w:p>
            <w:pPr>
              <w:pStyle w:val="28"/>
              <w:shd w:val="clear" w:color="auto" w:fill="FFFFFF"/>
              <w:spacing w:line="360" w:lineRule="auto"/>
              <w:rPr>
                <w:bCs/>
                <w:color w:val="auto"/>
                <w:spacing w:val="16"/>
                <w:highlight w:val="none"/>
              </w:rPr>
            </w:pPr>
          </w:p>
        </w:tc>
        <w:tc>
          <w:tcPr>
            <w:tcW w:w="2001" w:type="dxa"/>
            <w:gridSpan w:val="3"/>
          </w:tcPr>
          <w:p>
            <w:pPr>
              <w:pStyle w:val="28"/>
              <w:shd w:val="clear" w:color="auto" w:fill="FFFFFF"/>
              <w:spacing w:line="360" w:lineRule="auto"/>
              <w:rPr>
                <w:bCs/>
                <w:color w:val="auto"/>
                <w:spacing w:val="16"/>
                <w:highlight w:val="none"/>
              </w:rPr>
            </w:pPr>
            <w:r>
              <w:rPr>
                <w:rFonts w:hint="eastAsia"/>
                <w:bCs/>
                <w:color w:val="auto"/>
                <w:spacing w:val="65"/>
                <w:highlight w:val="none"/>
              </w:rPr>
              <w:t>国家授予技</w:t>
            </w:r>
            <w:r>
              <w:rPr>
                <w:rFonts w:hint="eastAsia"/>
                <w:bCs/>
                <w:color w:val="auto"/>
                <w:spacing w:val="12"/>
                <w:highlight w:val="none"/>
              </w:rPr>
              <w:t>术职称人数</w:t>
            </w:r>
          </w:p>
        </w:tc>
        <w:tc>
          <w:tcPr>
            <w:tcW w:w="2151" w:type="dxa"/>
            <w:gridSpan w:val="2"/>
          </w:tcPr>
          <w:p>
            <w:pPr>
              <w:widowControl/>
              <w:spacing w:line="360" w:lineRule="auto"/>
              <w:jc w:val="left"/>
              <w:rPr>
                <w:rFonts w:ascii="宋体" w:hAnsi="宋体" w:cs="宋体"/>
                <w:bCs/>
                <w:color w:val="auto"/>
                <w:spacing w:val="16"/>
                <w:kern w:val="0"/>
                <w:sz w:val="24"/>
                <w:highlight w:val="none"/>
              </w:rPr>
            </w:pPr>
          </w:p>
          <w:p>
            <w:pPr>
              <w:pStyle w:val="28"/>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trPr>
        <w:tc>
          <w:tcPr>
            <w:tcW w:w="682" w:type="dxa"/>
            <w:vMerge w:val="continue"/>
          </w:tcPr>
          <w:p>
            <w:pPr>
              <w:pStyle w:val="28"/>
              <w:shd w:val="clear" w:color="auto" w:fill="FFFFFF"/>
              <w:spacing w:line="360" w:lineRule="auto"/>
              <w:ind w:left="107"/>
              <w:rPr>
                <w:bCs/>
                <w:color w:val="auto"/>
                <w:highlight w:val="none"/>
              </w:rPr>
            </w:pPr>
          </w:p>
        </w:tc>
        <w:tc>
          <w:tcPr>
            <w:tcW w:w="701" w:type="dxa"/>
          </w:tcPr>
          <w:p>
            <w:pPr>
              <w:pStyle w:val="28"/>
              <w:shd w:val="clear" w:color="auto" w:fill="FFFFFF"/>
              <w:spacing w:line="360" w:lineRule="auto"/>
              <w:rPr>
                <w:bCs/>
                <w:color w:val="auto"/>
                <w:highlight w:val="none"/>
              </w:rPr>
            </w:pPr>
            <w:r>
              <w:rPr>
                <w:rFonts w:hint="eastAsia"/>
                <w:bCs/>
                <w:color w:val="auto"/>
                <w:spacing w:val="16"/>
                <w:highlight w:val="none"/>
              </w:rPr>
              <w:t>占地面积</w:t>
            </w:r>
          </w:p>
        </w:tc>
        <w:tc>
          <w:tcPr>
            <w:tcW w:w="910" w:type="dxa"/>
            <w:gridSpan w:val="2"/>
          </w:tcPr>
          <w:p>
            <w:pPr>
              <w:pStyle w:val="28"/>
              <w:shd w:val="clear" w:color="auto" w:fill="FFFFFF"/>
              <w:spacing w:line="360" w:lineRule="auto"/>
              <w:rPr>
                <w:bCs/>
                <w:color w:val="auto"/>
                <w:highlight w:val="none"/>
              </w:rPr>
            </w:pPr>
          </w:p>
        </w:tc>
        <w:tc>
          <w:tcPr>
            <w:tcW w:w="1163" w:type="dxa"/>
          </w:tcPr>
          <w:p>
            <w:pPr>
              <w:pStyle w:val="28"/>
              <w:shd w:val="clear" w:color="auto" w:fill="FFFFFF"/>
              <w:spacing w:line="360" w:lineRule="auto"/>
              <w:rPr>
                <w:bCs/>
                <w:color w:val="auto"/>
                <w:highlight w:val="none"/>
              </w:rPr>
            </w:pPr>
            <w:r>
              <w:rPr>
                <w:rFonts w:hint="eastAsia"/>
                <w:bCs/>
                <w:color w:val="auto"/>
                <w:spacing w:val="16"/>
                <w:highlight w:val="none"/>
              </w:rPr>
              <w:t>建筑面积</w:t>
            </w:r>
          </w:p>
        </w:tc>
        <w:tc>
          <w:tcPr>
            <w:tcW w:w="1205" w:type="dxa"/>
            <w:gridSpan w:val="2"/>
          </w:tcPr>
          <w:p>
            <w:pPr>
              <w:pStyle w:val="28"/>
              <w:shd w:val="clear" w:color="auto" w:fill="FFFFFF"/>
              <w:spacing w:line="360" w:lineRule="auto"/>
              <w:ind w:firstLine="480" w:firstLineChars="200"/>
              <w:rPr>
                <w:bCs/>
                <w:color w:val="auto"/>
                <w:highlight w:val="none"/>
              </w:rPr>
            </w:pPr>
            <w:r>
              <w:rPr>
                <w:rFonts w:hint="eastAsia"/>
                <w:bCs/>
                <w:color w:val="auto"/>
                <w:highlight w:val="none"/>
              </w:rPr>
              <w:t xml:space="preserve">平方米 </w:t>
            </w:r>
          </w:p>
          <w:p>
            <w:pPr>
              <w:pStyle w:val="28"/>
              <w:shd w:val="clear" w:color="auto" w:fill="FFFFFF"/>
              <w:spacing w:line="360" w:lineRule="auto"/>
              <w:rPr>
                <w:bCs/>
                <w:color w:val="auto"/>
                <w:highlight w:val="none"/>
              </w:rPr>
            </w:pPr>
            <w:r>
              <w:rPr>
                <w:rFonts w:hint="eastAsia"/>
                <w:bCs/>
                <w:color w:val="auto"/>
                <w:spacing w:val="16"/>
                <w:highlight w:val="none"/>
              </w:rPr>
              <w:t>□自有□租賃</w:t>
            </w:r>
          </w:p>
        </w:tc>
        <w:tc>
          <w:tcPr>
            <w:tcW w:w="2001" w:type="dxa"/>
            <w:gridSpan w:val="3"/>
          </w:tcPr>
          <w:p>
            <w:pPr>
              <w:pStyle w:val="28"/>
              <w:shd w:val="clear" w:color="auto" w:fill="FFFFFF"/>
              <w:spacing w:line="360" w:lineRule="auto"/>
              <w:rPr>
                <w:bCs/>
                <w:color w:val="auto"/>
                <w:highlight w:val="none"/>
              </w:rPr>
            </w:pPr>
            <w:r>
              <w:rPr>
                <w:rFonts w:hint="eastAsia"/>
                <w:bCs/>
                <w:color w:val="auto"/>
                <w:spacing w:val="16"/>
                <w:highlight w:val="none"/>
              </w:rPr>
              <w:t>生产经营场所及场所的设施与设备</w:t>
            </w:r>
          </w:p>
        </w:tc>
        <w:tc>
          <w:tcPr>
            <w:tcW w:w="2151" w:type="dxa"/>
            <w:gridSpan w:val="2"/>
          </w:tcPr>
          <w:p>
            <w:pPr>
              <w:pStyle w:val="28"/>
              <w:shd w:val="clear" w:color="auto" w:fill="FFFFFF"/>
              <w:spacing w:before="0" w:beforeAutospacing="0" w:after="0" w:afterAutospacing="0"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682" w:type="dxa"/>
            <w:vMerge w:val="continue"/>
          </w:tcPr>
          <w:p>
            <w:pPr>
              <w:pStyle w:val="28"/>
              <w:shd w:val="clear" w:color="auto" w:fill="FFFFFF"/>
              <w:spacing w:line="360" w:lineRule="auto"/>
              <w:ind w:left="107"/>
              <w:rPr>
                <w:bCs/>
                <w:color w:val="auto"/>
                <w:highlight w:val="none"/>
              </w:rPr>
            </w:pPr>
          </w:p>
        </w:tc>
        <w:tc>
          <w:tcPr>
            <w:tcW w:w="701" w:type="dxa"/>
          </w:tcPr>
          <w:p>
            <w:pPr>
              <w:pStyle w:val="28"/>
              <w:shd w:val="clear" w:color="auto" w:fill="FFFFFF"/>
              <w:spacing w:line="360" w:lineRule="auto"/>
              <w:ind w:left="2"/>
              <w:rPr>
                <w:bCs/>
                <w:color w:val="auto"/>
                <w:spacing w:val="16"/>
                <w:highlight w:val="none"/>
              </w:rPr>
            </w:pPr>
            <w:r>
              <w:rPr>
                <w:rFonts w:hint="eastAsia"/>
                <w:bCs/>
                <w:color w:val="auto"/>
                <w:spacing w:val="16"/>
                <w:highlight w:val="none"/>
              </w:rPr>
              <w:t>注册资金</w:t>
            </w:r>
          </w:p>
        </w:tc>
        <w:tc>
          <w:tcPr>
            <w:tcW w:w="910" w:type="dxa"/>
            <w:gridSpan w:val="2"/>
          </w:tcPr>
          <w:p>
            <w:pPr>
              <w:pStyle w:val="28"/>
              <w:shd w:val="clear" w:color="auto" w:fill="FFFFFF"/>
              <w:spacing w:line="360" w:lineRule="auto"/>
              <w:ind w:left="2"/>
              <w:rPr>
                <w:bCs/>
                <w:color w:val="auto"/>
                <w:highlight w:val="none"/>
              </w:rPr>
            </w:pPr>
          </w:p>
        </w:tc>
        <w:tc>
          <w:tcPr>
            <w:tcW w:w="1163" w:type="dxa"/>
          </w:tcPr>
          <w:p>
            <w:pPr>
              <w:pStyle w:val="28"/>
              <w:shd w:val="clear" w:color="auto" w:fill="FFFFFF"/>
              <w:spacing w:line="360" w:lineRule="auto"/>
              <w:ind w:left="107"/>
              <w:rPr>
                <w:bCs/>
                <w:color w:val="auto"/>
                <w:highlight w:val="none"/>
              </w:rPr>
            </w:pPr>
            <w:r>
              <w:rPr>
                <w:rFonts w:hint="eastAsia"/>
                <w:bCs/>
                <w:color w:val="auto"/>
                <w:spacing w:val="16"/>
                <w:highlight w:val="none"/>
              </w:rPr>
              <w:t>注册发证</w:t>
            </w:r>
            <w:r>
              <w:rPr>
                <w:rFonts w:hint="eastAsia"/>
                <w:bCs/>
                <w:color w:val="auto"/>
                <w:spacing w:val="27"/>
                <w:highlight w:val="none"/>
              </w:rPr>
              <w:t>机关</w:t>
            </w:r>
          </w:p>
        </w:tc>
        <w:tc>
          <w:tcPr>
            <w:tcW w:w="3206" w:type="dxa"/>
            <w:gridSpan w:val="5"/>
          </w:tcPr>
          <w:p>
            <w:pPr>
              <w:widowControl/>
              <w:spacing w:line="360" w:lineRule="auto"/>
              <w:jc w:val="left"/>
              <w:rPr>
                <w:rFonts w:ascii="宋体" w:hAnsi="宋体" w:cs="宋体"/>
                <w:bCs/>
                <w:color w:val="auto"/>
                <w:kern w:val="0"/>
                <w:sz w:val="24"/>
                <w:highlight w:val="none"/>
              </w:rPr>
            </w:pPr>
          </w:p>
          <w:p>
            <w:pPr>
              <w:pStyle w:val="28"/>
              <w:shd w:val="clear" w:color="auto" w:fill="FFFFFF"/>
              <w:spacing w:line="360" w:lineRule="auto"/>
              <w:ind w:left="107"/>
              <w:rPr>
                <w:bCs/>
                <w:color w:val="auto"/>
                <w:highlight w:val="none"/>
              </w:rPr>
            </w:pPr>
          </w:p>
        </w:tc>
        <w:tc>
          <w:tcPr>
            <w:tcW w:w="1218" w:type="dxa"/>
          </w:tcPr>
          <w:p>
            <w:pPr>
              <w:pStyle w:val="28"/>
              <w:shd w:val="clear" w:color="auto" w:fill="FFFFFF"/>
              <w:spacing w:line="360" w:lineRule="auto"/>
              <w:ind w:left="107"/>
              <w:rPr>
                <w:bCs/>
                <w:color w:val="auto"/>
                <w:highlight w:val="none"/>
              </w:rPr>
            </w:pPr>
            <w:r>
              <w:rPr>
                <w:rFonts w:hint="eastAsia"/>
                <w:bCs/>
                <w:color w:val="auto"/>
                <w:highlight w:val="none"/>
              </w:rPr>
              <w:t>公司成</w:t>
            </w:r>
            <w:r>
              <w:rPr>
                <w:rFonts w:hint="eastAsia"/>
                <w:bCs/>
                <w:color w:val="auto"/>
                <w:spacing w:val="12"/>
                <w:highlight w:val="none"/>
              </w:rPr>
              <w:t>立时间</w:t>
            </w:r>
          </w:p>
        </w:tc>
        <w:tc>
          <w:tcPr>
            <w:tcW w:w="933" w:type="dxa"/>
          </w:tcPr>
          <w:p>
            <w:pPr>
              <w:pStyle w:val="28"/>
              <w:shd w:val="clear" w:color="auto" w:fill="FFFFFF"/>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682" w:type="dxa"/>
            <w:vMerge w:val="continue"/>
          </w:tcPr>
          <w:p>
            <w:pPr>
              <w:pStyle w:val="28"/>
              <w:shd w:val="clear" w:color="auto" w:fill="FFFFFF"/>
              <w:spacing w:line="360" w:lineRule="auto"/>
              <w:ind w:left="107"/>
              <w:rPr>
                <w:bCs/>
                <w:color w:val="auto"/>
                <w:highlight w:val="none"/>
              </w:rPr>
            </w:pPr>
          </w:p>
        </w:tc>
        <w:tc>
          <w:tcPr>
            <w:tcW w:w="701" w:type="dxa"/>
          </w:tcPr>
          <w:p>
            <w:pPr>
              <w:pStyle w:val="28"/>
              <w:shd w:val="clear" w:color="auto" w:fill="FFFFFF"/>
              <w:spacing w:line="360" w:lineRule="auto"/>
              <w:ind w:left="2"/>
              <w:rPr>
                <w:bCs/>
                <w:color w:val="auto"/>
                <w:highlight w:val="none"/>
              </w:rPr>
            </w:pPr>
            <w:r>
              <w:rPr>
                <w:rFonts w:hint="eastAsia"/>
                <w:bCs/>
                <w:color w:val="auto"/>
                <w:highlight w:val="none"/>
              </w:rPr>
              <w:t>核准经营范围</w:t>
            </w:r>
          </w:p>
        </w:tc>
        <w:tc>
          <w:tcPr>
            <w:tcW w:w="7430" w:type="dxa"/>
            <w:gridSpan w:val="10"/>
          </w:tcPr>
          <w:p>
            <w:pPr>
              <w:pStyle w:val="28"/>
              <w:shd w:val="clear" w:color="auto" w:fill="FFFFFF"/>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682" w:type="dxa"/>
            <w:vMerge w:val="continue"/>
          </w:tcPr>
          <w:p>
            <w:pPr>
              <w:pStyle w:val="28"/>
              <w:shd w:val="clear" w:color="auto" w:fill="FFFFFF"/>
              <w:spacing w:line="360" w:lineRule="auto"/>
              <w:ind w:left="107"/>
              <w:rPr>
                <w:bCs/>
                <w:color w:val="auto"/>
                <w:highlight w:val="none"/>
              </w:rPr>
            </w:pPr>
          </w:p>
        </w:tc>
        <w:tc>
          <w:tcPr>
            <w:tcW w:w="8131" w:type="dxa"/>
            <w:gridSpan w:val="11"/>
          </w:tcPr>
          <w:p>
            <w:pPr>
              <w:pStyle w:val="28"/>
              <w:shd w:val="clear" w:color="auto" w:fill="FFFFFF"/>
              <w:spacing w:line="360" w:lineRule="auto"/>
              <w:rPr>
                <w:bCs/>
                <w:color w:val="auto"/>
                <w:spacing w:val="13"/>
                <w:highlight w:val="none"/>
              </w:rPr>
            </w:pPr>
            <w:r>
              <w:rPr>
                <w:rFonts w:hint="eastAsia"/>
                <w:bCs/>
                <w:color w:val="auto"/>
                <w:spacing w:val="13"/>
                <w:highlight w:val="none"/>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2" w:type="dxa"/>
            <w:vMerge w:val="restart"/>
          </w:tcPr>
          <w:p>
            <w:pPr>
              <w:pStyle w:val="28"/>
              <w:shd w:val="clear" w:color="auto" w:fill="FFFFFF"/>
              <w:spacing w:line="360" w:lineRule="auto"/>
              <w:ind w:left="107"/>
              <w:rPr>
                <w:bCs/>
                <w:color w:val="auto"/>
                <w:highlight w:val="none"/>
              </w:rPr>
            </w:pPr>
            <w:r>
              <w:rPr>
                <w:bCs/>
                <w:color w:val="auto"/>
                <w:highlight w:val="none"/>
              </w:rPr>
              <w:t>2</w:t>
            </w:r>
            <w:r>
              <w:rPr>
                <w:rFonts w:hint="eastAsia"/>
                <w:bCs/>
                <w:color w:val="auto"/>
                <w:highlight w:val="none"/>
              </w:rPr>
              <w:t>．</w:t>
            </w:r>
          </w:p>
          <w:p>
            <w:pPr>
              <w:pStyle w:val="28"/>
              <w:shd w:val="clear" w:color="auto" w:fill="FFFFFF"/>
              <w:spacing w:line="360" w:lineRule="auto"/>
              <w:ind w:left="107"/>
              <w:rPr>
                <w:bCs/>
                <w:color w:val="auto"/>
                <w:spacing w:val="16"/>
                <w:highlight w:val="none"/>
              </w:rPr>
            </w:pPr>
            <w:r>
              <w:rPr>
                <w:rFonts w:hint="eastAsia"/>
                <w:bCs/>
                <w:color w:val="auto"/>
                <w:highlight w:val="none"/>
              </w:rPr>
              <w:t>企</w:t>
            </w:r>
            <w:r>
              <w:rPr>
                <w:rFonts w:hint="eastAsia"/>
                <w:bCs/>
                <w:color w:val="auto"/>
                <w:spacing w:val="12"/>
                <w:highlight w:val="none"/>
              </w:rPr>
              <w:t>业有关资质获证情况</w:t>
            </w:r>
          </w:p>
        </w:tc>
        <w:tc>
          <w:tcPr>
            <w:tcW w:w="1553" w:type="dxa"/>
            <w:gridSpan w:val="2"/>
            <w:vMerge w:val="restart"/>
          </w:tcPr>
          <w:p>
            <w:pPr>
              <w:pStyle w:val="28"/>
              <w:shd w:val="clear" w:color="auto" w:fill="FFFFFF"/>
              <w:spacing w:before="0" w:beforeAutospacing="0" w:after="0" w:afterAutospacing="0" w:line="360" w:lineRule="auto"/>
              <w:rPr>
                <w:bCs/>
                <w:color w:val="auto"/>
                <w:spacing w:val="16"/>
                <w:highlight w:val="none"/>
              </w:rPr>
            </w:pPr>
            <w:r>
              <w:rPr>
                <w:rFonts w:hint="eastAsia"/>
                <w:bCs/>
                <w:color w:val="auto"/>
                <w:spacing w:val="12"/>
                <w:highlight w:val="none"/>
              </w:rPr>
              <w:t>产品生产许可证情况</w:t>
            </w:r>
            <w:r>
              <w:rPr>
                <w:rFonts w:hint="eastAsia"/>
                <w:bCs/>
                <w:color w:val="auto"/>
                <w:spacing w:val="41"/>
                <w:highlight w:val="none"/>
              </w:rPr>
              <w:t>（对需获得生产许可证的</w:t>
            </w:r>
            <w:r>
              <w:rPr>
                <w:rFonts w:hint="eastAsia"/>
                <w:bCs/>
                <w:color w:val="auto"/>
                <w:spacing w:val="11"/>
                <w:highlight w:val="none"/>
              </w:rPr>
              <w:t>产品要填写此栏）</w:t>
            </w:r>
          </w:p>
        </w:tc>
        <w:tc>
          <w:tcPr>
            <w:tcW w:w="1333" w:type="dxa"/>
            <w:gridSpan w:val="3"/>
          </w:tcPr>
          <w:p>
            <w:pPr>
              <w:pStyle w:val="28"/>
              <w:shd w:val="clear" w:color="auto" w:fill="FFFFFF"/>
              <w:spacing w:line="360" w:lineRule="auto"/>
              <w:ind w:right="-78" w:rightChars="-37"/>
              <w:rPr>
                <w:bCs/>
                <w:color w:val="auto"/>
                <w:spacing w:val="16"/>
                <w:highlight w:val="none"/>
              </w:rPr>
            </w:pPr>
            <w:r>
              <w:rPr>
                <w:rFonts w:hint="eastAsia"/>
                <w:bCs/>
                <w:color w:val="auto"/>
                <w:spacing w:val="16"/>
                <w:highlight w:val="none"/>
              </w:rPr>
              <w:t>产品名称</w:t>
            </w:r>
          </w:p>
        </w:tc>
        <w:tc>
          <w:tcPr>
            <w:tcW w:w="1418" w:type="dxa"/>
            <w:gridSpan w:val="2"/>
          </w:tcPr>
          <w:p>
            <w:pPr>
              <w:pStyle w:val="28"/>
              <w:shd w:val="clear" w:color="auto" w:fill="FFFFFF"/>
              <w:spacing w:before="0" w:beforeAutospacing="0" w:after="0" w:afterAutospacing="0" w:line="360" w:lineRule="auto"/>
              <w:rPr>
                <w:bCs/>
                <w:color w:val="auto"/>
                <w:highlight w:val="none"/>
              </w:rPr>
            </w:pPr>
            <w:r>
              <w:rPr>
                <w:rFonts w:hint="eastAsia"/>
                <w:bCs/>
                <w:color w:val="auto"/>
                <w:spacing w:val="16"/>
                <w:highlight w:val="none"/>
              </w:rPr>
              <w:t>发证机关</w:t>
            </w:r>
          </w:p>
        </w:tc>
        <w:tc>
          <w:tcPr>
            <w:tcW w:w="1276" w:type="dxa"/>
          </w:tcPr>
          <w:p>
            <w:pPr>
              <w:pStyle w:val="28"/>
              <w:shd w:val="clear" w:color="auto" w:fill="FFFFFF"/>
              <w:spacing w:line="360" w:lineRule="auto"/>
              <w:jc w:val="center"/>
              <w:rPr>
                <w:bCs/>
                <w:color w:val="auto"/>
                <w:highlight w:val="none"/>
              </w:rPr>
            </w:pPr>
            <w:r>
              <w:rPr>
                <w:rFonts w:hint="eastAsia"/>
                <w:bCs/>
                <w:color w:val="auto"/>
                <w:spacing w:val="27"/>
                <w:highlight w:val="none"/>
              </w:rPr>
              <w:t>编号</w:t>
            </w:r>
          </w:p>
        </w:tc>
        <w:tc>
          <w:tcPr>
            <w:tcW w:w="1618" w:type="dxa"/>
            <w:gridSpan w:val="2"/>
          </w:tcPr>
          <w:p>
            <w:pPr>
              <w:pStyle w:val="28"/>
              <w:shd w:val="clear" w:color="auto" w:fill="FFFFFF"/>
              <w:spacing w:line="360" w:lineRule="auto"/>
              <w:jc w:val="center"/>
              <w:rPr>
                <w:bCs/>
                <w:color w:val="auto"/>
                <w:highlight w:val="none"/>
              </w:rPr>
            </w:pPr>
            <w:r>
              <w:rPr>
                <w:rFonts w:hint="eastAsia"/>
                <w:bCs/>
                <w:color w:val="auto"/>
                <w:spacing w:val="16"/>
                <w:highlight w:val="none"/>
              </w:rPr>
              <w:t>发证时间</w:t>
            </w:r>
          </w:p>
        </w:tc>
        <w:tc>
          <w:tcPr>
            <w:tcW w:w="933" w:type="dxa"/>
          </w:tcPr>
          <w:p>
            <w:pPr>
              <w:pStyle w:val="28"/>
              <w:shd w:val="clear" w:color="auto" w:fill="FFFFFF"/>
              <w:spacing w:before="0" w:beforeAutospacing="0" w:after="0" w:afterAutospacing="0" w:line="360" w:lineRule="auto"/>
              <w:jc w:val="center"/>
              <w:rPr>
                <w:bCs/>
                <w:color w:val="auto"/>
                <w:highlight w:val="none"/>
              </w:rPr>
            </w:pPr>
            <w:r>
              <w:rPr>
                <w:rFonts w:hint="eastAsia"/>
                <w:bCs/>
                <w:color w:val="auto"/>
                <w:spacing w:val="27"/>
                <w:highlight w:val="none"/>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682" w:type="dxa"/>
            <w:vMerge w:val="continue"/>
          </w:tcPr>
          <w:p>
            <w:pPr>
              <w:pStyle w:val="28"/>
              <w:shd w:val="clear" w:color="auto" w:fill="FFFFFF"/>
              <w:spacing w:line="360" w:lineRule="auto"/>
              <w:ind w:left="107"/>
              <w:rPr>
                <w:bCs/>
                <w:color w:val="auto"/>
                <w:highlight w:val="none"/>
              </w:rPr>
            </w:pPr>
          </w:p>
        </w:tc>
        <w:tc>
          <w:tcPr>
            <w:tcW w:w="1553" w:type="dxa"/>
            <w:gridSpan w:val="2"/>
            <w:vMerge w:val="continue"/>
          </w:tcPr>
          <w:p>
            <w:pPr>
              <w:pStyle w:val="28"/>
              <w:shd w:val="clear" w:color="auto" w:fill="FFFFFF"/>
              <w:spacing w:line="360" w:lineRule="auto"/>
              <w:rPr>
                <w:bCs/>
                <w:color w:val="auto"/>
                <w:highlight w:val="none"/>
              </w:rPr>
            </w:pPr>
          </w:p>
        </w:tc>
        <w:tc>
          <w:tcPr>
            <w:tcW w:w="1333" w:type="dxa"/>
            <w:gridSpan w:val="3"/>
          </w:tcPr>
          <w:p>
            <w:pPr>
              <w:pStyle w:val="28"/>
              <w:shd w:val="clear" w:color="auto" w:fill="FFFFFF"/>
              <w:spacing w:line="360" w:lineRule="auto"/>
              <w:rPr>
                <w:bCs/>
                <w:color w:val="auto"/>
                <w:highlight w:val="none"/>
              </w:rPr>
            </w:pPr>
          </w:p>
        </w:tc>
        <w:tc>
          <w:tcPr>
            <w:tcW w:w="1418" w:type="dxa"/>
            <w:gridSpan w:val="2"/>
          </w:tcPr>
          <w:p>
            <w:pPr>
              <w:pStyle w:val="28"/>
              <w:shd w:val="clear" w:color="auto" w:fill="FFFFFF"/>
              <w:spacing w:line="360" w:lineRule="auto"/>
              <w:rPr>
                <w:bCs/>
                <w:color w:val="auto"/>
                <w:highlight w:val="none"/>
              </w:rPr>
            </w:pPr>
          </w:p>
        </w:tc>
        <w:tc>
          <w:tcPr>
            <w:tcW w:w="1276" w:type="dxa"/>
          </w:tcPr>
          <w:p>
            <w:pPr>
              <w:pStyle w:val="28"/>
              <w:shd w:val="clear" w:color="auto" w:fill="FFFFFF"/>
              <w:spacing w:line="360" w:lineRule="auto"/>
              <w:rPr>
                <w:bCs/>
                <w:color w:val="auto"/>
                <w:highlight w:val="none"/>
              </w:rPr>
            </w:pPr>
          </w:p>
        </w:tc>
        <w:tc>
          <w:tcPr>
            <w:tcW w:w="2551" w:type="dxa"/>
            <w:gridSpan w:val="3"/>
          </w:tcPr>
          <w:p>
            <w:pPr>
              <w:pStyle w:val="28"/>
              <w:shd w:val="clear" w:color="auto" w:fill="FFFFFF"/>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682" w:type="dxa"/>
            <w:vMerge w:val="continue"/>
          </w:tcPr>
          <w:p>
            <w:pPr>
              <w:pStyle w:val="28"/>
              <w:shd w:val="clear" w:color="auto" w:fill="FFFFFF"/>
              <w:spacing w:line="360" w:lineRule="auto"/>
              <w:ind w:left="107"/>
              <w:rPr>
                <w:bCs/>
                <w:color w:val="auto"/>
                <w:spacing w:val="16"/>
                <w:highlight w:val="none"/>
              </w:rPr>
            </w:pPr>
          </w:p>
        </w:tc>
        <w:tc>
          <w:tcPr>
            <w:tcW w:w="1553" w:type="dxa"/>
            <w:gridSpan w:val="2"/>
          </w:tcPr>
          <w:p>
            <w:pPr>
              <w:pStyle w:val="28"/>
              <w:shd w:val="clear" w:color="auto" w:fill="FFFFFF"/>
              <w:spacing w:before="0" w:beforeAutospacing="0" w:after="0" w:afterAutospacing="0" w:line="360" w:lineRule="auto"/>
              <w:ind w:right="-107" w:rightChars="-51"/>
              <w:rPr>
                <w:bCs/>
                <w:color w:val="auto"/>
                <w:spacing w:val="41"/>
                <w:highlight w:val="none"/>
              </w:rPr>
            </w:pPr>
            <w:r>
              <w:rPr>
                <w:rFonts w:hint="eastAsia"/>
                <w:bCs/>
                <w:color w:val="auto"/>
                <w:spacing w:val="41"/>
                <w:highlight w:val="none"/>
              </w:rPr>
              <w:t>企业通过质量体系、环保</w:t>
            </w:r>
            <w:r>
              <w:rPr>
                <w:rFonts w:hint="eastAsia"/>
                <w:bCs/>
                <w:color w:val="auto"/>
                <w:spacing w:val="11"/>
                <w:highlight w:val="none"/>
              </w:rPr>
              <w:t>体系、计量等认证情况</w:t>
            </w:r>
          </w:p>
        </w:tc>
        <w:tc>
          <w:tcPr>
            <w:tcW w:w="6578" w:type="dxa"/>
            <w:gridSpan w:val="9"/>
          </w:tcPr>
          <w:p>
            <w:pPr>
              <w:pStyle w:val="28"/>
              <w:shd w:val="clear" w:color="auto" w:fill="FFFFFF"/>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682" w:type="dxa"/>
            <w:vMerge w:val="continue"/>
          </w:tcPr>
          <w:p>
            <w:pPr>
              <w:pStyle w:val="28"/>
              <w:shd w:val="clear" w:color="auto" w:fill="FFFFFF"/>
              <w:spacing w:line="360" w:lineRule="auto"/>
              <w:ind w:left="107"/>
              <w:rPr>
                <w:bCs/>
                <w:color w:val="auto"/>
                <w:spacing w:val="27"/>
                <w:highlight w:val="none"/>
              </w:rPr>
            </w:pPr>
          </w:p>
        </w:tc>
        <w:tc>
          <w:tcPr>
            <w:tcW w:w="1553" w:type="dxa"/>
            <w:gridSpan w:val="2"/>
          </w:tcPr>
          <w:p>
            <w:pPr>
              <w:pStyle w:val="28"/>
              <w:shd w:val="clear" w:color="auto" w:fill="FFFFFF"/>
              <w:spacing w:line="360" w:lineRule="auto"/>
              <w:rPr>
                <w:bCs/>
                <w:color w:val="auto"/>
                <w:spacing w:val="16"/>
                <w:highlight w:val="none"/>
              </w:rPr>
            </w:pPr>
            <w:r>
              <w:rPr>
                <w:rFonts w:hint="eastAsia"/>
                <w:bCs/>
                <w:color w:val="auto"/>
                <w:spacing w:val="10"/>
                <w:highlight w:val="none"/>
              </w:rPr>
              <w:t>企业获得专利情况</w:t>
            </w:r>
          </w:p>
        </w:tc>
        <w:tc>
          <w:tcPr>
            <w:tcW w:w="6578" w:type="dxa"/>
            <w:gridSpan w:val="9"/>
          </w:tcPr>
          <w:p>
            <w:pPr>
              <w:pStyle w:val="28"/>
              <w:shd w:val="clear" w:color="auto" w:fill="FFFFFF"/>
              <w:spacing w:line="360" w:lineRule="auto"/>
              <w:rPr>
                <w:bCs/>
                <w:color w:val="auto"/>
                <w:spacing w:val="16"/>
                <w:highlight w:val="none"/>
              </w:rPr>
            </w:pPr>
          </w:p>
        </w:tc>
      </w:tr>
    </w:tbl>
    <w:p>
      <w:pPr>
        <w:pStyle w:val="28"/>
        <w:shd w:val="clear" w:color="auto" w:fill="FFFFFF"/>
        <w:spacing w:before="0" w:beforeAutospacing="0" w:after="0" w:afterAutospacing="0" w:line="360" w:lineRule="auto"/>
        <w:rPr>
          <w:rFonts w:ascii="仿宋_GB2312" w:eastAsia="仿宋_GB2312"/>
          <w:color w:val="auto"/>
          <w:highlight w:val="none"/>
        </w:rPr>
      </w:pPr>
    </w:p>
    <w:p>
      <w:pPr>
        <w:pStyle w:val="2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textAlignment w:val="auto"/>
        <w:rPr>
          <w:b/>
          <w:color w:val="auto"/>
          <w:sz w:val="21"/>
          <w:szCs w:val="21"/>
          <w:highlight w:val="none"/>
        </w:rPr>
      </w:pPr>
      <w:r>
        <w:rPr>
          <w:rFonts w:hint="eastAsia"/>
          <w:b/>
          <w:color w:val="auto"/>
          <w:sz w:val="21"/>
          <w:szCs w:val="21"/>
          <w:highlight w:val="none"/>
        </w:rPr>
        <w:t>要求：</w:t>
      </w:r>
    </w:p>
    <w:p>
      <w:pPr>
        <w:pStyle w:val="2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424" w:firstLineChars="202"/>
        <w:textAlignment w:val="auto"/>
        <w:rPr>
          <w:color w:val="auto"/>
          <w:sz w:val="21"/>
          <w:szCs w:val="21"/>
          <w:highlight w:val="none"/>
        </w:rPr>
      </w:pPr>
      <w:r>
        <w:rPr>
          <w:rFonts w:hint="eastAsia" w:ascii="仿宋_GB2312" w:eastAsia="仿宋_GB2312"/>
          <w:color w:val="auto"/>
          <w:sz w:val="21"/>
          <w:szCs w:val="21"/>
          <w:highlight w:val="none"/>
        </w:rPr>
        <w:t>1.</w:t>
      </w:r>
      <w:r>
        <w:rPr>
          <w:rFonts w:hint="eastAsia"/>
          <w:color w:val="auto"/>
          <w:sz w:val="21"/>
          <w:szCs w:val="21"/>
          <w:highlight w:val="none"/>
        </w:rPr>
        <w:t>姓名栏必须将所有股东都统计在内，若非股份公司此行（第三行）无需填写；</w:t>
      </w:r>
    </w:p>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240" w:lineRule="auto"/>
        <w:ind w:firstLine="424" w:firstLineChars="177"/>
        <w:textAlignment w:val="auto"/>
        <w:rPr>
          <w:rFonts w:ascii="宋体" w:hAnsi="宋体"/>
          <w:color w:val="auto"/>
          <w:sz w:val="24"/>
          <w:highlight w:val="none"/>
          <w:u w:val="single"/>
        </w:rPr>
      </w:pPr>
      <w:r>
        <w:rPr>
          <w:rFonts w:hint="eastAsia" w:ascii="宋体" w:hAnsi="宋体"/>
          <w:color w:val="auto"/>
          <w:sz w:val="24"/>
          <w:highlight w:val="none"/>
        </w:rPr>
        <w:t>投标人名称（盖章）：</w:t>
      </w:r>
    </w:p>
    <w:p>
      <w:pPr>
        <w:keepNext w:val="0"/>
        <w:keepLines w:val="0"/>
        <w:pageBreakBefore w:val="0"/>
        <w:kinsoku/>
        <w:wordWrap/>
        <w:overflowPunct/>
        <w:topLinePunct w:val="0"/>
        <w:autoSpaceDE/>
        <w:autoSpaceDN/>
        <w:bidi w:val="0"/>
        <w:adjustRightInd/>
        <w:snapToGrid/>
        <w:spacing w:line="240" w:lineRule="auto"/>
        <w:ind w:left="420"/>
        <w:textAlignment w:val="auto"/>
        <w:rPr>
          <w:rFonts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240" w:lineRule="auto"/>
        <w:ind w:firstLine="424" w:firstLineChars="177"/>
        <w:textAlignment w:val="auto"/>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keepNext w:val="0"/>
        <w:keepLines w:val="0"/>
        <w:pageBreakBefore w:val="0"/>
        <w:kinsoku/>
        <w:wordWrap/>
        <w:overflowPunct/>
        <w:topLinePunct w:val="0"/>
        <w:autoSpaceDE/>
        <w:autoSpaceDN/>
        <w:bidi w:val="0"/>
        <w:adjustRightInd/>
        <w:snapToGrid/>
        <w:spacing w:line="240" w:lineRule="auto"/>
        <w:ind w:firstLine="435"/>
        <w:textAlignment w:val="auto"/>
        <w:rPr>
          <w:rFonts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240" w:lineRule="auto"/>
        <w:ind w:firstLine="424" w:firstLineChars="177"/>
        <w:textAlignment w:val="auto"/>
        <w:rPr>
          <w:rFonts w:ascii="宋体" w:hAnsi="宋体"/>
          <w:color w:val="auto"/>
          <w:sz w:val="24"/>
          <w:highlight w:val="none"/>
          <w:u w:val="single"/>
        </w:rPr>
      </w:pPr>
      <w:r>
        <w:rPr>
          <w:rFonts w:hint="eastAsia" w:ascii="宋体" w:hAnsi="宋体"/>
          <w:color w:val="auto"/>
          <w:sz w:val="24"/>
          <w:highlight w:val="none"/>
        </w:rPr>
        <w:t>职        务：</w:t>
      </w:r>
    </w:p>
    <w:p>
      <w:pPr>
        <w:keepNext w:val="0"/>
        <w:keepLines w:val="0"/>
        <w:pageBreakBefore w:val="0"/>
        <w:kinsoku/>
        <w:wordWrap/>
        <w:overflowPunct/>
        <w:topLinePunct w:val="0"/>
        <w:autoSpaceDE/>
        <w:autoSpaceDN/>
        <w:bidi w:val="0"/>
        <w:adjustRightInd/>
        <w:snapToGrid/>
        <w:spacing w:line="240" w:lineRule="auto"/>
        <w:textAlignment w:val="auto"/>
        <w:rPr>
          <w:rFonts w:ascii="宋体" w:hAnsi="宋体"/>
          <w:color w:val="auto"/>
          <w:sz w:val="24"/>
          <w:highlight w:val="none"/>
        </w:rPr>
      </w:pPr>
    </w:p>
    <w:p>
      <w:pPr>
        <w:pStyle w:val="28"/>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424" w:firstLineChars="177"/>
        <w:textAlignment w:val="auto"/>
        <w:rPr>
          <w:b/>
          <w:bCs/>
          <w:color w:val="auto"/>
          <w:spacing w:val="11"/>
          <w:highlight w:val="none"/>
        </w:rPr>
      </w:pPr>
      <w:r>
        <w:rPr>
          <w:rFonts w:hint="eastAsia"/>
          <w:color w:val="auto"/>
          <w:highlight w:val="none"/>
        </w:rPr>
        <w:t>日        期：：</w:t>
      </w:r>
    </w:p>
    <w:p>
      <w:pPr>
        <w:spacing w:line="360" w:lineRule="auto"/>
        <w:rPr>
          <w:rFonts w:ascii="宋体" w:hAnsi="宋体"/>
          <w:b/>
          <w:color w:val="auto"/>
          <w:sz w:val="24"/>
          <w:highlight w:val="none"/>
        </w:rPr>
      </w:pPr>
    </w:p>
    <w:p>
      <w:pPr>
        <w:spacing w:line="360" w:lineRule="auto"/>
        <w:ind w:firstLine="435"/>
        <w:rPr>
          <w:rFonts w:ascii="宋体" w:hAnsi="宋体"/>
          <w:color w:val="auto"/>
          <w:sz w:val="24"/>
          <w:highlight w:val="none"/>
        </w:rPr>
      </w:pPr>
      <w:r>
        <w:rPr>
          <w:rFonts w:hint="eastAsia" w:ascii="宋体" w:hAnsi="宋体"/>
          <w:b/>
          <w:color w:val="auto"/>
          <w:sz w:val="28"/>
          <w:highlight w:val="none"/>
        </w:rPr>
        <w:t>附件6</w:t>
      </w:r>
    </w:p>
    <w:p>
      <w:pPr>
        <w:snapToGrid w:val="0"/>
        <w:spacing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pPr>
        <w:snapToGrid w:val="0"/>
        <w:spacing w:beforeLines="50" w:after="50" w:line="360" w:lineRule="auto"/>
        <w:ind w:firstLine="2400" w:firstLineChars="1000"/>
        <w:rPr>
          <w:rFonts w:ascii="宋体" w:hAnsi="宋体"/>
          <w:color w:val="auto"/>
          <w:sz w:val="24"/>
          <w:highlight w:val="none"/>
        </w:rPr>
      </w:pPr>
      <w:r>
        <w:rPr>
          <w:rFonts w:hint="eastAsia" w:ascii="宋体" w:hAnsi="宋体"/>
          <w:color w:val="auto"/>
          <w:sz w:val="24"/>
          <w:highlight w:val="none"/>
        </w:rPr>
        <w:t>（主要从业人员及其技术资格）</w:t>
      </w:r>
    </w:p>
    <w:tbl>
      <w:tblPr>
        <w:tblStyle w:val="20"/>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color w:val="auto"/>
                <w:sz w:val="24"/>
                <w:szCs w:val="20"/>
                <w:highlight w:val="none"/>
              </w:rPr>
            </w:pPr>
            <w:r>
              <w:rPr>
                <w:rFonts w:hint="eastAsia" w:ascii="宋体" w:hAnsi="宋体"/>
                <w:b/>
                <w:color w:val="auto"/>
                <w:sz w:val="24"/>
                <w:szCs w:val="20"/>
                <w:highlight w:val="none"/>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color w:val="auto"/>
                <w:sz w:val="24"/>
                <w:szCs w:val="20"/>
                <w:highlight w:val="none"/>
              </w:rPr>
            </w:pPr>
            <w:r>
              <w:rPr>
                <w:rFonts w:hint="eastAsia" w:ascii="宋体" w:hAnsi="宋体"/>
                <w:b/>
                <w:color w:val="auto"/>
                <w:sz w:val="24"/>
                <w:szCs w:val="20"/>
                <w:highlight w:val="none"/>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color w:val="auto"/>
                <w:sz w:val="24"/>
                <w:szCs w:val="20"/>
                <w:highlight w:val="none"/>
              </w:rPr>
            </w:pPr>
            <w:r>
              <w:rPr>
                <w:rFonts w:hint="eastAsia" w:ascii="宋体" w:hAnsi="宋体"/>
                <w:b/>
                <w:color w:val="auto"/>
                <w:sz w:val="24"/>
                <w:highlight w:val="none"/>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color w:val="auto"/>
                <w:sz w:val="24"/>
                <w:szCs w:val="20"/>
                <w:highlight w:val="none"/>
              </w:rPr>
            </w:pPr>
            <w:r>
              <w:rPr>
                <w:rFonts w:hint="eastAsia" w:ascii="宋体" w:hAnsi="宋体"/>
                <w:b/>
                <w:bCs/>
                <w:color w:val="auto"/>
                <w:sz w:val="24"/>
                <w:highlight w:val="none"/>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color w:val="auto"/>
                <w:sz w:val="24"/>
                <w:szCs w:val="20"/>
                <w:highlight w:val="none"/>
              </w:rPr>
            </w:pPr>
            <w:r>
              <w:rPr>
                <w:rFonts w:hint="eastAsia" w:ascii="宋体" w:hAnsi="宋体"/>
                <w:b/>
                <w:color w:val="auto"/>
                <w:sz w:val="24"/>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pStyle w:val="13"/>
              <w:snapToGrid w:val="0"/>
              <w:spacing w:beforeLines="50" w:after="50" w:line="360" w:lineRule="auto"/>
              <w:ind w:left="5250"/>
              <w:rPr>
                <w:rFonts w:ascii="宋体" w:hAnsi="宋体" w:eastAsia="宋体"/>
                <w:b/>
                <w:color w:val="auto"/>
                <w:kern w:val="44"/>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pPr>
              <w:pStyle w:val="13"/>
              <w:snapToGrid w:val="0"/>
              <w:spacing w:beforeLines="50" w:after="50" w:line="360" w:lineRule="auto"/>
              <w:ind w:left="5250"/>
              <w:rPr>
                <w:rFonts w:ascii="宋体" w:hAnsi="宋体" w:eastAsia="宋体"/>
                <w:b/>
                <w:color w:val="auto"/>
                <w:kern w:val="44"/>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13"/>
              <w:spacing w:line="360" w:lineRule="auto"/>
              <w:ind w:left="5250"/>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auto"/>
                <w:sz w:val="24"/>
                <w:szCs w:val="20"/>
                <w:highlight w:val="none"/>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color w:val="auto"/>
                <w:kern w:val="44"/>
                <w:sz w:val="24"/>
                <w:szCs w:val="20"/>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7"/>
        <w:rPr>
          <w:rFonts w:ascii="宋体" w:hAnsi="宋体"/>
          <w:color w:val="auto"/>
          <w:szCs w:val="21"/>
          <w:highlight w:val="none"/>
        </w:rPr>
      </w:pPr>
      <w:r>
        <w:rPr>
          <w:rFonts w:hint="eastAsia" w:ascii="宋体" w:hAnsi="宋体"/>
          <w:b/>
          <w:color w:val="auto"/>
          <w:szCs w:val="21"/>
          <w:highlight w:val="none"/>
        </w:rPr>
        <w:t>1.</w:t>
      </w:r>
      <w:r>
        <w:rPr>
          <w:rFonts w:hint="eastAsia" w:ascii="宋体" w:hAnsi="宋体"/>
          <w:color w:val="auto"/>
          <w:szCs w:val="21"/>
          <w:highlight w:val="none"/>
        </w:rPr>
        <w:t>在填写时，如本表格不适合投标单位的实际情况，可根据本表格式自行划表填写。</w:t>
      </w:r>
    </w:p>
    <w:p>
      <w:pPr>
        <w:pStyle w:val="29"/>
        <w:spacing w:line="360" w:lineRule="auto"/>
        <w:ind w:left="424" w:leftChars="202"/>
        <w:rPr>
          <w:rFonts w:ascii="宋体" w:hAnsi="宋体"/>
          <w:color w:val="auto"/>
          <w:szCs w:val="21"/>
          <w:highlight w:val="none"/>
        </w:rPr>
      </w:pPr>
      <w:r>
        <w:rPr>
          <w:rFonts w:hint="eastAsia" w:ascii="宋体" w:hAnsi="宋体"/>
          <w:color w:val="auto"/>
          <w:szCs w:val="21"/>
          <w:highlight w:val="none"/>
        </w:rPr>
        <w:t>2.附人员证书复印件；</w:t>
      </w:r>
    </w:p>
    <w:p>
      <w:pPr>
        <w:pStyle w:val="29"/>
        <w:spacing w:line="360" w:lineRule="auto"/>
        <w:ind w:left="424" w:hanging="424" w:hangingChars="202"/>
        <w:rPr>
          <w:rFonts w:ascii="宋体" w:hAnsi="宋体"/>
          <w:color w:val="auto"/>
          <w:szCs w:val="21"/>
          <w:highlight w:val="none"/>
        </w:rPr>
      </w:pPr>
      <w:r>
        <w:rPr>
          <w:rFonts w:hint="eastAsia" w:ascii="宋体" w:hAnsi="宋体"/>
          <w:color w:val="auto"/>
          <w:szCs w:val="21"/>
          <w:highlight w:val="none"/>
        </w:rPr>
        <w:t>　　3.出具上述人员在本单位服务的外部证明，如：</w:t>
      </w:r>
      <w:r>
        <w:rPr>
          <w:rFonts w:ascii="宋体" w:hAnsi="宋体"/>
          <w:color w:val="auto"/>
          <w:szCs w:val="21"/>
          <w:highlight w:val="none"/>
        </w:rPr>
        <w:t>投标截止日之前六个月以内的</w:t>
      </w:r>
      <w:r>
        <w:rPr>
          <w:rFonts w:hint="eastAsia" w:ascii="宋体" w:hAnsi="宋体"/>
          <w:color w:val="auto"/>
          <w:szCs w:val="21"/>
          <w:highlight w:val="none"/>
        </w:rPr>
        <w:t>代缴个税税单、参加社会保险的《投保单》或《社会保险参保人员证明》等。</w:t>
      </w:r>
    </w:p>
    <w:p>
      <w:pPr>
        <w:keepNext w:val="0"/>
        <w:keepLines w:val="0"/>
        <w:pageBreakBefore w:val="0"/>
        <w:widowControl w:val="0"/>
        <w:kinsoku/>
        <w:wordWrap/>
        <w:overflowPunct/>
        <w:topLinePunct w:val="0"/>
        <w:autoSpaceDE/>
        <w:autoSpaceDN/>
        <w:bidi w:val="0"/>
        <w:adjustRightInd/>
        <w:snapToGrid w:val="0"/>
        <w:spacing w:before="50" w:afterLines="50" w:line="240" w:lineRule="auto"/>
        <w:jc w:val="left"/>
        <w:textAlignment w:val="auto"/>
        <w:rPr>
          <w:rFonts w:ascii="宋体" w:hAnsi="宋体"/>
          <w:color w:val="auto"/>
          <w:sz w:val="24"/>
          <w:szCs w:val="20"/>
          <w:highlight w:val="none"/>
        </w:rPr>
      </w:pPr>
    </w:p>
    <w:p>
      <w:pPr>
        <w:keepNext w:val="0"/>
        <w:keepLines w:val="0"/>
        <w:pageBreakBefore w:val="0"/>
        <w:widowControl w:val="0"/>
        <w:kinsoku/>
        <w:wordWrap/>
        <w:overflowPunct/>
        <w:topLinePunct w:val="0"/>
        <w:autoSpaceDE/>
        <w:autoSpaceDN/>
        <w:bidi w:val="0"/>
        <w:adjustRightInd/>
        <w:spacing w:line="240" w:lineRule="auto"/>
        <w:ind w:left="420"/>
        <w:textAlignment w:val="auto"/>
        <w:rPr>
          <w:rFonts w:ascii="宋体" w:hAnsi="宋体"/>
          <w:color w:val="auto"/>
          <w:sz w:val="24"/>
          <w:highlight w:val="none"/>
          <w:u w:val="single"/>
        </w:rPr>
      </w:pPr>
      <w:r>
        <w:rPr>
          <w:rFonts w:hint="eastAsia" w:ascii="宋体" w:hAnsi="宋体"/>
          <w:color w:val="auto"/>
          <w:sz w:val="24"/>
          <w:highlight w:val="none"/>
        </w:rPr>
        <w:t>投标人名称（盖章）：</w:t>
      </w:r>
    </w:p>
    <w:p>
      <w:pPr>
        <w:keepNext w:val="0"/>
        <w:keepLines w:val="0"/>
        <w:pageBreakBefore w:val="0"/>
        <w:widowControl w:val="0"/>
        <w:kinsoku/>
        <w:wordWrap/>
        <w:overflowPunct/>
        <w:topLinePunct w:val="0"/>
        <w:autoSpaceDE/>
        <w:autoSpaceDN/>
        <w:bidi w:val="0"/>
        <w:adjustRightInd/>
        <w:spacing w:line="240" w:lineRule="auto"/>
        <w:ind w:left="420"/>
        <w:textAlignment w:val="auto"/>
        <w:rPr>
          <w:rFonts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spacing w:line="240" w:lineRule="auto"/>
        <w:ind w:firstLine="435"/>
        <w:textAlignment w:val="auto"/>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keepNext w:val="0"/>
        <w:keepLines w:val="0"/>
        <w:pageBreakBefore w:val="0"/>
        <w:widowControl w:val="0"/>
        <w:kinsoku/>
        <w:wordWrap/>
        <w:overflowPunct/>
        <w:topLinePunct w:val="0"/>
        <w:autoSpaceDE/>
        <w:autoSpaceDN/>
        <w:bidi w:val="0"/>
        <w:adjustRightInd/>
        <w:spacing w:line="240" w:lineRule="auto"/>
        <w:ind w:firstLine="435"/>
        <w:textAlignment w:val="auto"/>
        <w:rPr>
          <w:rFonts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spacing w:line="240" w:lineRule="auto"/>
        <w:ind w:firstLine="435"/>
        <w:textAlignment w:val="auto"/>
        <w:rPr>
          <w:rFonts w:ascii="宋体" w:hAnsi="宋体"/>
          <w:color w:val="auto"/>
          <w:sz w:val="24"/>
          <w:highlight w:val="none"/>
        </w:rPr>
      </w:pPr>
      <w:r>
        <w:rPr>
          <w:rFonts w:hint="eastAsia" w:ascii="宋体" w:hAnsi="宋体"/>
          <w:color w:val="auto"/>
          <w:sz w:val="24"/>
          <w:highlight w:val="none"/>
        </w:rPr>
        <w:t>职        务：</w:t>
      </w:r>
    </w:p>
    <w:p>
      <w:pPr>
        <w:keepNext w:val="0"/>
        <w:keepLines w:val="0"/>
        <w:pageBreakBefore w:val="0"/>
        <w:widowControl w:val="0"/>
        <w:kinsoku/>
        <w:wordWrap/>
        <w:overflowPunct/>
        <w:topLinePunct w:val="0"/>
        <w:autoSpaceDE/>
        <w:autoSpaceDN/>
        <w:bidi w:val="0"/>
        <w:adjustRightInd/>
        <w:spacing w:line="240" w:lineRule="auto"/>
        <w:ind w:firstLine="435"/>
        <w:textAlignment w:val="auto"/>
        <w:rPr>
          <w:rFonts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spacing w:line="240" w:lineRule="auto"/>
        <w:ind w:firstLine="435"/>
        <w:textAlignment w:val="auto"/>
        <w:rPr>
          <w:rFonts w:ascii="宋体" w:hAnsi="宋体"/>
          <w:color w:val="auto"/>
          <w:sz w:val="24"/>
          <w:highlight w:val="none"/>
        </w:rPr>
      </w:pPr>
      <w:r>
        <w:rPr>
          <w:rFonts w:hint="eastAsia" w:ascii="宋体" w:hAnsi="宋体"/>
          <w:color w:val="auto"/>
          <w:sz w:val="24"/>
          <w:highlight w:val="none"/>
        </w:rPr>
        <w:t>日        期：</w:t>
      </w:r>
    </w:p>
    <w:p>
      <w:pPr>
        <w:spacing w:line="360" w:lineRule="auto"/>
        <w:ind w:firstLine="435"/>
        <w:rPr>
          <w:rFonts w:ascii="宋体" w:hAnsi="宋体"/>
          <w:b/>
          <w:color w:val="auto"/>
          <w:sz w:val="28"/>
          <w:highlight w:val="none"/>
        </w:rPr>
      </w:pPr>
    </w:p>
    <w:p>
      <w:pPr>
        <w:spacing w:line="360" w:lineRule="auto"/>
        <w:ind w:firstLine="435"/>
        <w:rPr>
          <w:rFonts w:hint="eastAsia" w:ascii="宋体" w:hAnsi="宋体"/>
          <w:b/>
          <w:color w:val="auto"/>
          <w:sz w:val="28"/>
          <w:highlight w:val="none"/>
        </w:rPr>
        <w:sectPr>
          <w:pgSz w:w="11906" w:h="16838"/>
          <w:pgMar w:top="1440" w:right="1800" w:bottom="1440" w:left="1800" w:header="851" w:footer="992" w:gutter="0"/>
          <w:cols w:space="425" w:num="1"/>
          <w:docGrid w:type="lines" w:linePitch="312" w:charSpace="0"/>
        </w:sectPr>
      </w:pPr>
    </w:p>
    <w:p>
      <w:pPr>
        <w:spacing w:line="360" w:lineRule="auto"/>
        <w:ind w:firstLine="435"/>
        <w:rPr>
          <w:rFonts w:ascii="宋体" w:hAnsi="宋体"/>
          <w:color w:val="auto"/>
          <w:highlight w:val="none"/>
        </w:rPr>
      </w:pPr>
      <w:r>
        <w:rPr>
          <w:rFonts w:hint="eastAsia" w:ascii="宋体" w:hAnsi="宋体"/>
          <w:b/>
          <w:color w:val="auto"/>
          <w:sz w:val="28"/>
          <w:highlight w:val="none"/>
        </w:rPr>
        <w:t>附件7</w:t>
      </w:r>
    </w:p>
    <w:p>
      <w:pPr>
        <w:spacing w:beforeLines="50" w:afterLines="50" w:line="360" w:lineRule="auto"/>
        <w:ind w:right="-10"/>
        <w:jc w:val="center"/>
        <w:rPr>
          <w:rFonts w:ascii="宋体" w:hAnsi="宋体"/>
          <w:b/>
          <w:bCs/>
          <w:color w:val="auto"/>
          <w:sz w:val="32"/>
          <w:szCs w:val="32"/>
          <w:highlight w:val="none"/>
        </w:rPr>
      </w:pPr>
      <w:r>
        <w:rPr>
          <w:rFonts w:hint="eastAsia" w:ascii="宋体" w:hAnsi="宋体"/>
          <w:b/>
          <w:bCs/>
          <w:color w:val="auto"/>
          <w:sz w:val="32"/>
          <w:szCs w:val="32"/>
          <w:highlight w:val="none"/>
        </w:rPr>
        <w:t>项目负责人资格情况表</w:t>
      </w:r>
    </w:p>
    <w:p>
      <w:pPr>
        <w:spacing w:line="360" w:lineRule="auto"/>
        <w:rPr>
          <w:rFonts w:ascii="宋体" w:hAnsi="宋体"/>
          <w:color w:val="auto"/>
          <w:highlight w:val="none"/>
        </w:rPr>
      </w:pPr>
      <w:r>
        <w:rPr>
          <w:rFonts w:hint="eastAsia" w:ascii="宋体" w:hAnsi="宋体"/>
          <w:color w:val="auto"/>
          <w:highlight w:val="none"/>
        </w:rPr>
        <w:t>采购项目：                                            采购编号：</w:t>
      </w:r>
    </w:p>
    <w:tbl>
      <w:tblPr>
        <w:tblStyle w:val="20"/>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rPr>
            </w:pPr>
            <w:r>
              <w:rPr>
                <w:rFonts w:hint="eastAsia" w:ascii="宋体" w:hAnsi="宋体"/>
                <w:color w:val="auto"/>
                <w:highlight w:val="none"/>
              </w:rPr>
              <w:t>注：业绩证明应提供旁证材料</w:t>
            </w:r>
          </w:p>
          <w:p>
            <w:pPr>
              <w:autoSpaceDE w:val="0"/>
              <w:autoSpaceDN w:val="0"/>
              <w:adjustRightInd w:val="0"/>
              <w:snapToGrid w:val="0"/>
              <w:spacing w:line="360" w:lineRule="auto"/>
              <w:jc w:val="center"/>
              <w:rPr>
                <w:rFonts w:ascii="宋体" w:hAnsi="宋体"/>
                <w:color w:val="auto"/>
                <w:highlight w:val="none"/>
                <w:lang w:val="zh-CN"/>
              </w:rPr>
            </w:pPr>
            <w:r>
              <w:rPr>
                <w:rFonts w:hint="eastAsia" w:ascii="宋体" w:hAnsi="宋体"/>
                <w:color w:val="auto"/>
                <w:highlight w:val="none"/>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auto"/>
                <w:highlight w:val="none"/>
                <w:lang w:val="zh-CN"/>
              </w:rPr>
            </w:pPr>
          </w:p>
        </w:tc>
      </w:tr>
    </w:tbl>
    <w:p>
      <w:pPr>
        <w:spacing w:line="360" w:lineRule="auto"/>
        <w:ind w:left="420"/>
        <w:rPr>
          <w:rFonts w:ascii="宋体" w:hAnsi="宋体"/>
          <w:color w:val="auto"/>
          <w:sz w:val="24"/>
          <w:highlight w:val="none"/>
        </w:rPr>
      </w:pP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napToGrid w:val="0"/>
        <w:spacing w:before="50" w:after="50" w:line="360" w:lineRule="auto"/>
        <w:rPr>
          <w:rFonts w:ascii="宋体" w:hAnsi="宋体"/>
          <w:b/>
          <w:color w:val="auto"/>
          <w:sz w:val="28"/>
          <w:highlight w:val="none"/>
        </w:rPr>
      </w:pPr>
      <w:r>
        <w:rPr>
          <w:rFonts w:hint="eastAsia" w:ascii="宋体" w:hAnsi="宋体"/>
          <w:b/>
          <w:color w:val="auto"/>
          <w:sz w:val="28"/>
          <w:highlight w:val="none"/>
        </w:rPr>
        <w:t>附件8</w:t>
      </w:r>
    </w:p>
    <w:p>
      <w:pPr>
        <w:spacing w:line="360" w:lineRule="auto"/>
        <w:ind w:left="480"/>
        <w:jc w:val="center"/>
        <w:rPr>
          <w:rFonts w:ascii="宋体" w:hAnsi="宋体"/>
          <w:b/>
          <w:color w:val="auto"/>
          <w:sz w:val="32"/>
          <w:szCs w:val="32"/>
          <w:highlight w:val="none"/>
        </w:rPr>
      </w:pPr>
      <w:r>
        <w:rPr>
          <w:rFonts w:hint="eastAsia" w:ascii="宋体" w:hAnsi="宋体"/>
          <w:b/>
          <w:color w:val="auto"/>
          <w:sz w:val="32"/>
          <w:szCs w:val="32"/>
          <w:highlight w:val="none"/>
        </w:rPr>
        <w:t>供货</w:t>
      </w:r>
      <w:r>
        <w:rPr>
          <w:rFonts w:ascii="宋体" w:hAnsi="宋体"/>
          <w:b/>
          <w:color w:val="auto"/>
          <w:sz w:val="32"/>
          <w:szCs w:val="32"/>
          <w:highlight w:val="none"/>
        </w:rPr>
        <w:t>清单</w:t>
      </w:r>
      <w:r>
        <w:rPr>
          <w:rFonts w:hint="eastAsia" w:ascii="宋体" w:hAnsi="宋体"/>
          <w:b/>
          <w:color w:val="auto"/>
          <w:sz w:val="32"/>
          <w:szCs w:val="32"/>
          <w:highlight w:val="none"/>
        </w:rPr>
        <w:t xml:space="preserve"> </w:t>
      </w:r>
    </w:p>
    <w:p>
      <w:pPr>
        <w:spacing w:line="360" w:lineRule="auto"/>
        <w:ind w:left="480"/>
        <w:rPr>
          <w:rFonts w:ascii="宋体" w:hAnsi="宋体"/>
          <w:color w:val="auto"/>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 xml:space="preserve">  项目编号：</w:t>
      </w:r>
    </w:p>
    <w:p>
      <w:pPr>
        <w:spacing w:line="360" w:lineRule="auto"/>
        <w:ind w:left="420"/>
        <w:rPr>
          <w:rFonts w:ascii="宋体" w:hAnsi="宋体"/>
          <w:color w:val="auto"/>
          <w:sz w:val="24"/>
          <w:highlight w:val="none"/>
        </w:rPr>
      </w:pPr>
    </w:p>
    <w:tbl>
      <w:tblPr>
        <w:tblStyle w:val="20"/>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序号</w:t>
            </w:r>
          </w:p>
        </w:tc>
        <w:tc>
          <w:tcPr>
            <w:tcW w:w="2169"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auto"/>
                <w:sz w:val="24"/>
                <w:highlight w:val="none"/>
              </w:rPr>
            </w:pPr>
            <w:r>
              <w:rPr>
                <w:rFonts w:hint="eastAsia" w:ascii="宋体" w:hAnsi="宋体"/>
                <w:b/>
                <w:color w:val="auto"/>
                <w:sz w:val="24"/>
                <w:highlight w:val="none"/>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b/>
                <w:color w:val="auto"/>
                <w:sz w:val="24"/>
                <w:highlight w:val="none"/>
              </w:rPr>
              <w:t>品牌</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auto"/>
                <w:sz w:val="24"/>
                <w:highlight w:val="none"/>
              </w:rPr>
            </w:pPr>
            <w:r>
              <w:rPr>
                <w:rFonts w:hint="eastAsia" w:ascii="宋体" w:hAnsi="宋体"/>
                <w:b/>
                <w:color w:val="auto"/>
                <w:sz w:val="24"/>
                <w:highlight w:val="none"/>
              </w:rPr>
              <w:t>规格型号</w:t>
            </w:r>
          </w:p>
        </w:tc>
        <w:tc>
          <w:tcPr>
            <w:tcW w:w="993" w:type="dxa"/>
            <w:vAlign w:val="center"/>
          </w:tcPr>
          <w:p>
            <w:pPr>
              <w:spacing w:line="360" w:lineRule="auto"/>
              <w:ind w:left="52"/>
              <w:jc w:val="center"/>
              <w:rPr>
                <w:rFonts w:ascii="宋体" w:hAnsi="宋体"/>
                <w:b/>
                <w:color w:val="auto"/>
                <w:sz w:val="24"/>
                <w:highlight w:val="none"/>
              </w:rPr>
            </w:pPr>
            <w:r>
              <w:rPr>
                <w:rFonts w:hint="eastAsia" w:ascii="宋体" w:hAnsi="宋体"/>
                <w:b/>
                <w:color w:val="auto"/>
                <w:sz w:val="24"/>
                <w:highlight w:val="none"/>
              </w:rPr>
              <w:t>产地</w:t>
            </w:r>
          </w:p>
        </w:tc>
        <w:tc>
          <w:tcPr>
            <w:tcW w:w="1559" w:type="dxa"/>
            <w:vAlign w:val="center"/>
          </w:tcPr>
          <w:p>
            <w:pPr>
              <w:spacing w:line="360" w:lineRule="auto"/>
              <w:ind w:left="152"/>
              <w:jc w:val="center"/>
              <w:rPr>
                <w:rFonts w:ascii="宋体" w:hAnsi="宋体"/>
                <w:b/>
                <w:color w:val="auto"/>
                <w:sz w:val="24"/>
                <w:highlight w:val="none"/>
              </w:rPr>
            </w:pPr>
            <w:r>
              <w:rPr>
                <w:rFonts w:hint="eastAsia" w:ascii="宋体" w:hAnsi="宋体"/>
                <w:b/>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color w:val="auto"/>
                <w:sz w:val="24"/>
                <w:highlight w:val="none"/>
              </w:rPr>
            </w:pPr>
          </w:p>
        </w:tc>
        <w:tc>
          <w:tcPr>
            <w:tcW w:w="2169" w:type="dxa"/>
            <w:vAlign w:val="center"/>
          </w:tcPr>
          <w:p>
            <w:pPr>
              <w:spacing w:line="360" w:lineRule="auto"/>
              <w:rPr>
                <w:rFonts w:ascii="宋体" w:hAnsi="宋体"/>
                <w:color w:val="auto"/>
                <w:sz w:val="24"/>
                <w:highlight w:val="none"/>
              </w:rPr>
            </w:pPr>
          </w:p>
        </w:tc>
        <w:tc>
          <w:tcPr>
            <w:tcW w:w="1134" w:type="dxa"/>
            <w:vAlign w:val="center"/>
          </w:tcPr>
          <w:p>
            <w:pPr>
              <w:spacing w:line="360" w:lineRule="auto"/>
              <w:rPr>
                <w:rFonts w:ascii="宋体" w:hAnsi="宋体"/>
                <w:color w:val="auto"/>
                <w:sz w:val="24"/>
                <w:highlight w:val="none"/>
              </w:rPr>
            </w:pPr>
          </w:p>
        </w:tc>
        <w:tc>
          <w:tcPr>
            <w:tcW w:w="1842" w:type="dxa"/>
            <w:vAlign w:val="center"/>
          </w:tcPr>
          <w:p>
            <w:pPr>
              <w:spacing w:line="360" w:lineRule="auto"/>
              <w:rPr>
                <w:rFonts w:ascii="宋体" w:hAnsi="宋体"/>
                <w:color w:val="auto"/>
                <w:sz w:val="24"/>
                <w:highlight w:val="none"/>
              </w:rPr>
            </w:pPr>
          </w:p>
        </w:tc>
        <w:tc>
          <w:tcPr>
            <w:tcW w:w="993" w:type="dxa"/>
            <w:vAlign w:val="center"/>
          </w:tcPr>
          <w:p>
            <w:pPr>
              <w:spacing w:line="360" w:lineRule="auto"/>
              <w:rPr>
                <w:rFonts w:ascii="宋体" w:hAnsi="宋体"/>
                <w:color w:val="auto"/>
                <w:sz w:val="24"/>
                <w:highlight w:val="none"/>
              </w:rPr>
            </w:pPr>
          </w:p>
        </w:tc>
        <w:tc>
          <w:tcPr>
            <w:tcW w:w="1559" w:type="dxa"/>
            <w:vAlign w:val="center"/>
          </w:tcPr>
          <w:p>
            <w:pPr>
              <w:spacing w:line="360" w:lineRule="auto"/>
              <w:rPr>
                <w:rFonts w:ascii="宋体" w:hAnsi="宋体"/>
                <w:color w:val="auto"/>
                <w:sz w:val="24"/>
                <w:highlight w:val="none"/>
              </w:rPr>
            </w:pPr>
          </w:p>
        </w:tc>
      </w:tr>
    </w:tbl>
    <w:p>
      <w:pPr>
        <w:spacing w:line="360" w:lineRule="auto"/>
        <w:ind w:left="420"/>
        <w:rPr>
          <w:rFonts w:ascii="宋体" w:hAnsi="宋体"/>
          <w:color w:val="auto"/>
          <w:sz w:val="24"/>
          <w:highlight w:val="none"/>
        </w:rPr>
      </w:pPr>
    </w:p>
    <w:p>
      <w:pPr>
        <w:spacing w:line="360" w:lineRule="auto"/>
        <w:ind w:left="435"/>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5" w:firstLine="559" w:firstLineChars="265"/>
        <w:rPr>
          <w:rFonts w:ascii="宋体" w:hAnsi="宋体"/>
          <w:color w:val="auto"/>
          <w:szCs w:val="21"/>
          <w:highlight w:val="none"/>
        </w:rPr>
      </w:pPr>
      <w:r>
        <w:rPr>
          <w:rFonts w:hint="eastAsia" w:ascii="宋体" w:hAnsi="宋体"/>
          <w:b/>
          <w:color w:val="auto"/>
          <w:szCs w:val="21"/>
          <w:highlight w:val="none"/>
        </w:rPr>
        <w:t>1.</w:t>
      </w:r>
      <w:r>
        <w:rPr>
          <w:rFonts w:hint="eastAsia" w:ascii="宋体" w:hAnsi="宋体"/>
          <w:color w:val="auto"/>
          <w:szCs w:val="21"/>
          <w:highlight w:val="none"/>
        </w:rPr>
        <w:t>本表中的名称、数量应与报价明细表中相对应的报价名称、数量一致</w:t>
      </w:r>
    </w:p>
    <w:p>
      <w:pPr>
        <w:spacing w:line="360" w:lineRule="auto"/>
        <w:ind w:left="420"/>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firstLine="571" w:firstLineChars="238"/>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993"/>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993"/>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993"/>
        <w:rPr>
          <w:rFonts w:ascii="宋体" w:hAnsi="宋体"/>
          <w:color w:val="auto"/>
          <w:sz w:val="24"/>
          <w:highlight w:val="none"/>
        </w:rPr>
      </w:pPr>
      <w:r>
        <w:rPr>
          <w:rFonts w:hint="eastAsia" w:ascii="宋体" w:hAnsi="宋体"/>
          <w:color w:val="auto"/>
          <w:sz w:val="24"/>
          <w:highlight w:val="none"/>
        </w:rPr>
        <w:t>日        期：</w:t>
      </w:r>
    </w:p>
    <w:p>
      <w:pPr>
        <w:snapToGrid w:val="0"/>
        <w:spacing w:before="50" w:after="50" w:line="360" w:lineRule="auto"/>
        <w:rPr>
          <w:rFonts w:ascii="宋体" w:hAnsi="宋体"/>
          <w:b/>
          <w:color w:val="auto"/>
          <w:sz w:val="28"/>
          <w:highlight w:val="none"/>
        </w:rPr>
      </w:pPr>
    </w:p>
    <w:p>
      <w:pPr>
        <w:snapToGrid w:val="0"/>
        <w:spacing w:before="50" w:after="50" w:line="360" w:lineRule="auto"/>
        <w:rPr>
          <w:rFonts w:ascii="宋体" w:hAnsi="宋体"/>
          <w:b/>
          <w:color w:val="auto"/>
          <w:sz w:val="28"/>
          <w:highlight w:val="none"/>
        </w:rPr>
      </w:pPr>
      <w:r>
        <w:rPr>
          <w:rFonts w:hint="eastAsia" w:ascii="宋体" w:hAnsi="宋体"/>
          <w:b/>
          <w:color w:val="auto"/>
          <w:sz w:val="28"/>
          <w:highlight w:val="none"/>
        </w:rPr>
        <w:t>附件9</w:t>
      </w:r>
    </w:p>
    <w:p>
      <w:pPr>
        <w:spacing w:line="360" w:lineRule="auto"/>
        <w:ind w:left="480"/>
        <w:jc w:val="center"/>
        <w:rPr>
          <w:rFonts w:ascii="宋体" w:hAnsi="宋体"/>
          <w:b/>
          <w:color w:val="auto"/>
          <w:sz w:val="32"/>
          <w:szCs w:val="32"/>
          <w:highlight w:val="none"/>
        </w:rPr>
      </w:pPr>
      <w:r>
        <w:rPr>
          <w:rFonts w:ascii="宋体" w:hAnsi="宋体"/>
          <w:color w:val="auto"/>
          <w:kern w:val="0"/>
          <w:sz w:val="32"/>
          <w:szCs w:val="32"/>
          <w:highlight w:val="none"/>
        </w:rPr>
        <w:t>技术</w:t>
      </w:r>
      <w:r>
        <w:rPr>
          <w:rFonts w:hint="eastAsia" w:ascii="宋体" w:hAnsi="宋体"/>
          <w:color w:val="auto"/>
          <w:kern w:val="0"/>
          <w:sz w:val="32"/>
          <w:szCs w:val="32"/>
          <w:highlight w:val="none"/>
        </w:rPr>
        <w:t>需求</w:t>
      </w:r>
      <w:r>
        <w:rPr>
          <w:rFonts w:ascii="宋体" w:hAnsi="宋体"/>
          <w:color w:val="auto"/>
          <w:kern w:val="0"/>
          <w:sz w:val="32"/>
          <w:szCs w:val="32"/>
          <w:highlight w:val="none"/>
        </w:rPr>
        <w:t>响应表</w:t>
      </w:r>
    </w:p>
    <w:p>
      <w:pPr>
        <w:spacing w:line="360" w:lineRule="auto"/>
        <w:rPr>
          <w:rFonts w:ascii="宋体" w:hAnsi="宋体"/>
          <w:color w:val="auto"/>
          <w:sz w:val="24"/>
          <w:highlight w:val="none"/>
        </w:rPr>
      </w:pPr>
    </w:p>
    <w:tbl>
      <w:tblPr>
        <w:tblStyle w:val="2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序号</w:t>
            </w:r>
          </w:p>
        </w:tc>
        <w:tc>
          <w:tcPr>
            <w:tcW w:w="1785" w:type="dxa"/>
            <w:vAlign w:val="center"/>
          </w:tcPr>
          <w:p>
            <w:pPr>
              <w:spacing w:line="360" w:lineRule="auto"/>
              <w:ind w:left="13" w:leftChars="6" w:firstLine="482" w:firstLineChars="200"/>
              <w:rPr>
                <w:rFonts w:ascii="宋体" w:hAnsi="宋体"/>
                <w:b/>
                <w:color w:val="auto"/>
                <w:sz w:val="24"/>
                <w:highlight w:val="none"/>
              </w:rPr>
            </w:pPr>
            <w:r>
              <w:rPr>
                <w:rFonts w:hint="eastAsia" w:ascii="宋体" w:hAnsi="宋体"/>
                <w:b/>
                <w:color w:val="auto"/>
                <w:sz w:val="24"/>
                <w:highlight w:val="none"/>
              </w:rPr>
              <w:t>名称</w:t>
            </w:r>
          </w:p>
        </w:tc>
        <w:tc>
          <w:tcPr>
            <w:tcW w:w="1449" w:type="dxa"/>
            <w:vAlign w:val="center"/>
          </w:tcPr>
          <w:p>
            <w:pPr>
              <w:spacing w:line="360" w:lineRule="auto"/>
              <w:ind w:left="52"/>
              <w:rPr>
                <w:rFonts w:ascii="宋体" w:hAnsi="宋体"/>
                <w:b/>
                <w:color w:val="auto"/>
                <w:sz w:val="24"/>
                <w:highlight w:val="none"/>
              </w:rPr>
            </w:pPr>
            <w:r>
              <w:rPr>
                <w:rFonts w:hint="eastAsia" w:ascii="宋体" w:hAnsi="宋体"/>
                <w:b/>
                <w:color w:val="auto"/>
                <w:sz w:val="24"/>
                <w:highlight w:val="none"/>
              </w:rPr>
              <w:t>规格型号</w:t>
            </w:r>
          </w:p>
        </w:tc>
        <w:tc>
          <w:tcPr>
            <w:tcW w:w="1560" w:type="dxa"/>
            <w:vAlign w:val="center"/>
          </w:tcPr>
          <w:p>
            <w:pPr>
              <w:spacing w:line="360" w:lineRule="auto"/>
              <w:ind w:left="152"/>
              <w:rPr>
                <w:rFonts w:ascii="宋体" w:hAnsi="宋体"/>
                <w:b/>
                <w:color w:val="auto"/>
                <w:sz w:val="24"/>
                <w:highlight w:val="none"/>
              </w:rPr>
            </w:pPr>
            <w:r>
              <w:rPr>
                <w:rFonts w:hint="eastAsia" w:ascii="宋体" w:hAnsi="宋体"/>
                <w:b/>
                <w:color w:val="auto"/>
                <w:sz w:val="24"/>
                <w:highlight w:val="none"/>
              </w:rPr>
              <w:t>招标参数</w:t>
            </w:r>
          </w:p>
        </w:tc>
        <w:tc>
          <w:tcPr>
            <w:tcW w:w="1401"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投标参数</w:t>
            </w:r>
          </w:p>
        </w:tc>
        <w:tc>
          <w:tcPr>
            <w:tcW w:w="1365"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olor w:val="auto"/>
                <w:sz w:val="24"/>
                <w:highlight w:val="none"/>
              </w:rPr>
            </w:pPr>
          </w:p>
        </w:tc>
        <w:tc>
          <w:tcPr>
            <w:tcW w:w="1785" w:type="dxa"/>
            <w:vAlign w:val="center"/>
          </w:tcPr>
          <w:p>
            <w:pPr>
              <w:spacing w:line="360" w:lineRule="auto"/>
              <w:rPr>
                <w:rFonts w:ascii="宋体" w:hAnsi="宋体"/>
                <w:color w:val="auto"/>
                <w:sz w:val="24"/>
                <w:highlight w:val="none"/>
              </w:rPr>
            </w:pPr>
          </w:p>
        </w:tc>
        <w:tc>
          <w:tcPr>
            <w:tcW w:w="1449" w:type="dxa"/>
            <w:vAlign w:val="center"/>
          </w:tcPr>
          <w:p>
            <w:pPr>
              <w:spacing w:line="360" w:lineRule="auto"/>
              <w:rPr>
                <w:rFonts w:ascii="宋体" w:hAnsi="宋体"/>
                <w:color w:val="auto"/>
                <w:sz w:val="24"/>
                <w:highlight w:val="none"/>
              </w:rPr>
            </w:pPr>
          </w:p>
        </w:tc>
        <w:tc>
          <w:tcPr>
            <w:tcW w:w="1560" w:type="dxa"/>
            <w:vAlign w:val="center"/>
          </w:tcPr>
          <w:p>
            <w:pPr>
              <w:spacing w:line="360" w:lineRule="auto"/>
              <w:rPr>
                <w:rFonts w:ascii="宋体" w:hAnsi="宋体"/>
                <w:color w:val="auto"/>
                <w:sz w:val="24"/>
                <w:highlight w:val="none"/>
              </w:rPr>
            </w:pPr>
          </w:p>
        </w:tc>
        <w:tc>
          <w:tcPr>
            <w:tcW w:w="1401" w:type="dxa"/>
            <w:vAlign w:val="center"/>
          </w:tcPr>
          <w:p>
            <w:pPr>
              <w:spacing w:line="360" w:lineRule="auto"/>
              <w:rPr>
                <w:rFonts w:ascii="宋体" w:hAnsi="宋体"/>
                <w:color w:val="auto"/>
                <w:sz w:val="24"/>
                <w:highlight w:val="none"/>
              </w:rPr>
            </w:pPr>
          </w:p>
        </w:tc>
        <w:tc>
          <w:tcPr>
            <w:tcW w:w="1365" w:type="dxa"/>
            <w:vAlign w:val="center"/>
          </w:tcPr>
          <w:p>
            <w:pPr>
              <w:spacing w:line="360" w:lineRule="auto"/>
              <w:rPr>
                <w:rFonts w:ascii="宋体" w:hAnsi="宋体"/>
                <w:color w:val="auto"/>
                <w:sz w:val="24"/>
                <w:highlight w:val="none"/>
              </w:rPr>
            </w:pPr>
          </w:p>
        </w:tc>
      </w:tr>
    </w:tbl>
    <w:p>
      <w:pPr>
        <w:pStyle w:val="30"/>
        <w:tabs>
          <w:tab w:val="left" w:pos="360"/>
        </w:tabs>
        <w:spacing w:line="360" w:lineRule="auto"/>
        <w:ind w:right="84" w:rightChars="40"/>
        <w:rPr>
          <w:rFonts w:ascii="宋体"/>
          <w:b/>
          <w:color w:val="auto"/>
          <w:szCs w:val="21"/>
          <w:highlight w:val="none"/>
        </w:rPr>
      </w:pPr>
      <w:r>
        <w:rPr>
          <w:rFonts w:hint="eastAsia" w:ascii="宋体"/>
          <w:b/>
          <w:color w:val="auto"/>
          <w:szCs w:val="21"/>
          <w:highlight w:val="none"/>
        </w:rPr>
        <w:t>要求：</w:t>
      </w:r>
    </w:p>
    <w:p>
      <w:pPr>
        <w:pStyle w:val="30"/>
        <w:tabs>
          <w:tab w:val="left" w:pos="360"/>
        </w:tabs>
        <w:spacing w:line="360" w:lineRule="auto"/>
        <w:ind w:right="84" w:rightChars="40" w:firstLine="420" w:firstLineChars="200"/>
        <w:rPr>
          <w:rFonts w:ascii="宋体"/>
          <w:color w:val="auto"/>
          <w:szCs w:val="21"/>
          <w:highlight w:val="none"/>
        </w:rPr>
      </w:pPr>
      <w:r>
        <w:rPr>
          <w:rFonts w:hint="eastAsia" w:ascii="宋体"/>
          <w:color w:val="auto"/>
          <w:szCs w:val="21"/>
          <w:highlight w:val="none"/>
        </w:rPr>
        <w:t>1. 本表的名称须与《报价明细表》一致。</w:t>
      </w:r>
    </w:p>
    <w:p>
      <w:pPr>
        <w:pStyle w:val="30"/>
        <w:spacing w:line="360" w:lineRule="auto"/>
        <w:ind w:right="84" w:rightChars="40" w:firstLine="420" w:firstLineChars="200"/>
        <w:rPr>
          <w:rFonts w:ascii="宋体"/>
          <w:color w:val="auto"/>
          <w:szCs w:val="21"/>
          <w:highlight w:val="none"/>
        </w:rPr>
      </w:pPr>
      <w:r>
        <w:rPr>
          <w:rFonts w:hint="eastAsia" w:ascii="宋体"/>
          <w:color w:val="auto"/>
          <w:szCs w:val="21"/>
          <w:highlight w:val="none"/>
        </w:rPr>
        <w:t>2.本表参照本招标文件第二部分“招标需求”内第二条“具体技术需求”填制，投标人应根据投标设备的性能指标、服务指标，对照招标文件要求在“偏离情况”栏注明“正偏离”、“负偏离”或“无偏离”。</w:t>
      </w:r>
    </w:p>
    <w:p>
      <w:pPr>
        <w:pStyle w:val="30"/>
        <w:spacing w:line="360" w:lineRule="auto"/>
        <w:ind w:right="84" w:rightChars="40" w:firstLine="420" w:firstLineChars="200"/>
        <w:rPr>
          <w:rFonts w:ascii="宋体"/>
          <w:color w:val="auto"/>
          <w:szCs w:val="21"/>
          <w:highlight w:val="none"/>
        </w:rPr>
      </w:pPr>
      <w:r>
        <w:rPr>
          <w:rFonts w:hint="eastAsia" w:ascii="宋体"/>
          <w:color w:val="auto"/>
          <w:szCs w:val="21"/>
          <w:highlight w:val="none"/>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pStyle w:val="31"/>
        <w:spacing w:line="360" w:lineRule="auto"/>
        <w:jc w:val="left"/>
        <w:rPr>
          <w:rFonts w:ascii="宋体" w:hAnsi="宋体"/>
          <w:b/>
          <w:color w:val="auto"/>
          <w:sz w:val="28"/>
          <w:highlight w:val="none"/>
        </w:rPr>
      </w:pPr>
      <w:r>
        <w:rPr>
          <w:rFonts w:hint="eastAsia" w:ascii="宋体" w:hAnsi="宋体"/>
          <w:b/>
          <w:color w:val="auto"/>
          <w:sz w:val="28"/>
          <w:highlight w:val="none"/>
        </w:rPr>
        <w:t>附件10</w:t>
      </w:r>
    </w:p>
    <w:p>
      <w:pPr>
        <w:pStyle w:val="32"/>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证书一览表</w:t>
      </w:r>
    </w:p>
    <w:p>
      <w:pPr>
        <w:pStyle w:val="32"/>
        <w:spacing w:line="360" w:lineRule="auto"/>
        <w:jc w:val="center"/>
        <w:rPr>
          <w:rFonts w:ascii="宋体" w:hAnsi="宋体" w:cs="Arial"/>
          <w:color w:val="auto"/>
          <w:sz w:val="28"/>
          <w:szCs w:val="28"/>
          <w:highlight w:val="none"/>
        </w:rPr>
      </w:pPr>
    </w:p>
    <w:tbl>
      <w:tblPr>
        <w:tblStyle w:val="20"/>
        <w:tblW w:w="843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32"/>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证书名称</w:t>
            </w:r>
          </w:p>
        </w:tc>
        <w:tc>
          <w:tcPr>
            <w:tcW w:w="2258" w:type="dxa"/>
            <w:tcBorders>
              <w:top w:val="single" w:color="auto" w:sz="4" w:space="0"/>
              <w:bottom w:val="single" w:color="auto" w:sz="4" w:space="0"/>
            </w:tcBorders>
          </w:tcPr>
          <w:p>
            <w:pPr>
              <w:pStyle w:val="32"/>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发证单位</w:t>
            </w:r>
          </w:p>
        </w:tc>
        <w:tc>
          <w:tcPr>
            <w:tcW w:w="2260" w:type="dxa"/>
            <w:tcBorders>
              <w:top w:val="single" w:color="auto" w:sz="4" w:space="0"/>
              <w:bottom w:val="single" w:color="auto" w:sz="4" w:space="0"/>
            </w:tcBorders>
          </w:tcPr>
          <w:p>
            <w:pPr>
              <w:pStyle w:val="32"/>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证书等级</w:t>
            </w:r>
          </w:p>
        </w:tc>
        <w:tc>
          <w:tcPr>
            <w:tcW w:w="2047" w:type="dxa"/>
            <w:tcBorders>
              <w:top w:val="single" w:color="auto" w:sz="4" w:space="0"/>
              <w:bottom w:val="single" w:color="auto" w:sz="4" w:space="0"/>
              <w:right w:val="single" w:color="auto" w:sz="4" w:space="0"/>
            </w:tcBorders>
          </w:tcPr>
          <w:p>
            <w:pPr>
              <w:pStyle w:val="32"/>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32"/>
              <w:spacing w:line="360" w:lineRule="auto"/>
              <w:jc w:val="center"/>
              <w:rPr>
                <w:rFonts w:ascii="宋体" w:hAnsi="宋体" w:cs="Arial"/>
                <w:color w:val="auto"/>
                <w:szCs w:val="21"/>
                <w:highlight w:val="none"/>
              </w:rPr>
            </w:pPr>
          </w:p>
        </w:tc>
        <w:tc>
          <w:tcPr>
            <w:tcW w:w="2258" w:type="dxa"/>
            <w:tcBorders>
              <w:top w:val="single" w:color="auto" w:sz="4" w:space="0"/>
            </w:tcBorders>
          </w:tcPr>
          <w:p>
            <w:pPr>
              <w:pStyle w:val="32"/>
              <w:spacing w:line="360" w:lineRule="auto"/>
              <w:jc w:val="center"/>
              <w:rPr>
                <w:rFonts w:ascii="宋体" w:hAnsi="宋体" w:cs="Arial"/>
                <w:color w:val="auto"/>
                <w:szCs w:val="21"/>
                <w:highlight w:val="none"/>
              </w:rPr>
            </w:pPr>
          </w:p>
        </w:tc>
        <w:tc>
          <w:tcPr>
            <w:tcW w:w="2260" w:type="dxa"/>
            <w:tcBorders>
              <w:top w:val="single" w:color="auto" w:sz="4" w:space="0"/>
            </w:tcBorders>
          </w:tcPr>
          <w:p>
            <w:pPr>
              <w:pStyle w:val="32"/>
              <w:spacing w:line="360" w:lineRule="auto"/>
              <w:jc w:val="center"/>
              <w:rPr>
                <w:rFonts w:ascii="宋体" w:hAnsi="宋体" w:cs="Arial"/>
                <w:color w:val="auto"/>
                <w:szCs w:val="21"/>
                <w:highlight w:val="none"/>
              </w:rPr>
            </w:pPr>
          </w:p>
        </w:tc>
        <w:tc>
          <w:tcPr>
            <w:tcW w:w="2047" w:type="dxa"/>
            <w:tcBorders>
              <w:top w:val="single" w:color="auto" w:sz="4" w:space="0"/>
              <w:right w:val="single" w:color="auto" w:sz="4" w:space="0"/>
            </w:tcBorders>
          </w:tcPr>
          <w:p>
            <w:pPr>
              <w:pStyle w:val="32"/>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2"/>
              <w:spacing w:line="360" w:lineRule="auto"/>
              <w:jc w:val="center"/>
              <w:rPr>
                <w:rFonts w:ascii="宋体" w:hAnsi="宋体" w:cs="Arial"/>
                <w:color w:val="auto"/>
                <w:szCs w:val="21"/>
                <w:highlight w:val="none"/>
              </w:rPr>
            </w:pPr>
          </w:p>
        </w:tc>
        <w:tc>
          <w:tcPr>
            <w:tcW w:w="2258" w:type="dxa"/>
          </w:tcPr>
          <w:p>
            <w:pPr>
              <w:pStyle w:val="32"/>
              <w:spacing w:line="360" w:lineRule="auto"/>
              <w:jc w:val="center"/>
              <w:rPr>
                <w:rFonts w:ascii="宋体" w:hAnsi="宋体" w:cs="Arial"/>
                <w:color w:val="auto"/>
                <w:szCs w:val="21"/>
                <w:highlight w:val="none"/>
              </w:rPr>
            </w:pPr>
          </w:p>
        </w:tc>
        <w:tc>
          <w:tcPr>
            <w:tcW w:w="2260" w:type="dxa"/>
          </w:tcPr>
          <w:p>
            <w:pPr>
              <w:pStyle w:val="32"/>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32"/>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2"/>
              <w:spacing w:line="360" w:lineRule="auto"/>
              <w:jc w:val="center"/>
              <w:rPr>
                <w:rFonts w:ascii="宋体" w:hAnsi="宋体" w:cs="Arial"/>
                <w:color w:val="auto"/>
                <w:szCs w:val="21"/>
                <w:highlight w:val="none"/>
              </w:rPr>
            </w:pPr>
          </w:p>
        </w:tc>
        <w:tc>
          <w:tcPr>
            <w:tcW w:w="2258" w:type="dxa"/>
          </w:tcPr>
          <w:p>
            <w:pPr>
              <w:pStyle w:val="32"/>
              <w:spacing w:line="360" w:lineRule="auto"/>
              <w:jc w:val="center"/>
              <w:rPr>
                <w:rFonts w:ascii="宋体" w:hAnsi="宋体" w:cs="Arial"/>
                <w:color w:val="auto"/>
                <w:szCs w:val="21"/>
                <w:highlight w:val="none"/>
              </w:rPr>
            </w:pPr>
          </w:p>
        </w:tc>
        <w:tc>
          <w:tcPr>
            <w:tcW w:w="2260" w:type="dxa"/>
          </w:tcPr>
          <w:p>
            <w:pPr>
              <w:pStyle w:val="32"/>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32"/>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2"/>
              <w:spacing w:line="360" w:lineRule="auto"/>
              <w:jc w:val="center"/>
              <w:rPr>
                <w:rFonts w:ascii="宋体" w:hAnsi="宋体" w:cs="Arial"/>
                <w:color w:val="auto"/>
                <w:szCs w:val="21"/>
                <w:highlight w:val="none"/>
              </w:rPr>
            </w:pPr>
          </w:p>
        </w:tc>
        <w:tc>
          <w:tcPr>
            <w:tcW w:w="2258" w:type="dxa"/>
          </w:tcPr>
          <w:p>
            <w:pPr>
              <w:pStyle w:val="32"/>
              <w:spacing w:line="360" w:lineRule="auto"/>
              <w:jc w:val="center"/>
              <w:rPr>
                <w:rFonts w:ascii="宋体" w:hAnsi="宋体" w:cs="Arial"/>
                <w:color w:val="auto"/>
                <w:szCs w:val="21"/>
                <w:highlight w:val="none"/>
              </w:rPr>
            </w:pPr>
          </w:p>
        </w:tc>
        <w:tc>
          <w:tcPr>
            <w:tcW w:w="2260" w:type="dxa"/>
          </w:tcPr>
          <w:p>
            <w:pPr>
              <w:pStyle w:val="32"/>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32"/>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2"/>
              <w:spacing w:line="360" w:lineRule="auto"/>
              <w:jc w:val="center"/>
              <w:rPr>
                <w:rFonts w:ascii="宋体" w:hAnsi="宋体" w:cs="Arial"/>
                <w:color w:val="auto"/>
                <w:szCs w:val="21"/>
                <w:highlight w:val="none"/>
              </w:rPr>
            </w:pPr>
          </w:p>
        </w:tc>
        <w:tc>
          <w:tcPr>
            <w:tcW w:w="2258" w:type="dxa"/>
          </w:tcPr>
          <w:p>
            <w:pPr>
              <w:pStyle w:val="32"/>
              <w:spacing w:line="360" w:lineRule="auto"/>
              <w:jc w:val="center"/>
              <w:rPr>
                <w:rFonts w:ascii="宋体" w:hAnsi="宋体" w:cs="Arial"/>
                <w:color w:val="auto"/>
                <w:szCs w:val="21"/>
                <w:highlight w:val="none"/>
              </w:rPr>
            </w:pPr>
          </w:p>
        </w:tc>
        <w:tc>
          <w:tcPr>
            <w:tcW w:w="2260" w:type="dxa"/>
          </w:tcPr>
          <w:p>
            <w:pPr>
              <w:pStyle w:val="32"/>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32"/>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2"/>
              <w:spacing w:line="360" w:lineRule="auto"/>
              <w:jc w:val="center"/>
              <w:rPr>
                <w:rFonts w:ascii="宋体" w:hAnsi="宋体" w:cs="Arial"/>
                <w:color w:val="auto"/>
                <w:szCs w:val="21"/>
                <w:highlight w:val="none"/>
              </w:rPr>
            </w:pPr>
          </w:p>
        </w:tc>
        <w:tc>
          <w:tcPr>
            <w:tcW w:w="2258" w:type="dxa"/>
          </w:tcPr>
          <w:p>
            <w:pPr>
              <w:pStyle w:val="32"/>
              <w:spacing w:line="360" w:lineRule="auto"/>
              <w:jc w:val="center"/>
              <w:rPr>
                <w:rFonts w:ascii="宋体" w:hAnsi="宋体" w:cs="Arial"/>
                <w:color w:val="auto"/>
                <w:szCs w:val="21"/>
                <w:highlight w:val="none"/>
              </w:rPr>
            </w:pPr>
          </w:p>
        </w:tc>
        <w:tc>
          <w:tcPr>
            <w:tcW w:w="2260" w:type="dxa"/>
          </w:tcPr>
          <w:p>
            <w:pPr>
              <w:pStyle w:val="32"/>
              <w:spacing w:line="360" w:lineRule="auto"/>
              <w:jc w:val="center"/>
              <w:rPr>
                <w:rFonts w:ascii="宋体" w:hAnsi="宋体" w:cs="Arial"/>
                <w:color w:val="auto"/>
                <w:szCs w:val="21"/>
                <w:highlight w:val="none"/>
              </w:rPr>
            </w:pPr>
          </w:p>
        </w:tc>
        <w:tc>
          <w:tcPr>
            <w:tcW w:w="2047" w:type="dxa"/>
            <w:tcBorders>
              <w:right w:val="single" w:color="auto" w:sz="4" w:space="0"/>
            </w:tcBorders>
          </w:tcPr>
          <w:p>
            <w:pPr>
              <w:pStyle w:val="32"/>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32"/>
              <w:spacing w:line="360" w:lineRule="auto"/>
              <w:jc w:val="center"/>
              <w:rPr>
                <w:rFonts w:ascii="宋体" w:hAnsi="宋体" w:cs="Arial"/>
                <w:color w:val="auto"/>
                <w:szCs w:val="21"/>
                <w:highlight w:val="none"/>
              </w:rPr>
            </w:pPr>
          </w:p>
        </w:tc>
        <w:tc>
          <w:tcPr>
            <w:tcW w:w="2258" w:type="dxa"/>
            <w:tcBorders>
              <w:bottom w:val="single" w:color="auto" w:sz="4" w:space="0"/>
            </w:tcBorders>
          </w:tcPr>
          <w:p>
            <w:pPr>
              <w:pStyle w:val="32"/>
              <w:spacing w:line="360" w:lineRule="auto"/>
              <w:jc w:val="center"/>
              <w:rPr>
                <w:rFonts w:ascii="宋体" w:hAnsi="宋体" w:cs="Arial"/>
                <w:color w:val="auto"/>
                <w:szCs w:val="21"/>
                <w:highlight w:val="none"/>
              </w:rPr>
            </w:pPr>
          </w:p>
        </w:tc>
        <w:tc>
          <w:tcPr>
            <w:tcW w:w="2260" w:type="dxa"/>
            <w:tcBorders>
              <w:bottom w:val="single" w:color="auto" w:sz="4" w:space="0"/>
            </w:tcBorders>
          </w:tcPr>
          <w:p>
            <w:pPr>
              <w:pStyle w:val="32"/>
              <w:spacing w:line="360" w:lineRule="auto"/>
              <w:jc w:val="center"/>
              <w:rPr>
                <w:rFonts w:ascii="宋体" w:hAnsi="宋体" w:cs="Arial"/>
                <w:color w:val="auto"/>
                <w:szCs w:val="21"/>
                <w:highlight w:val="none"/>
              </w:rPr>
            </w:pPr>
          </w:p>
        </w:tc>
        <w:tc>
          <w:tcPr>
            <w:tcW w:w="2047" w:type="dxa"/>
            <w:tcBorders>
              <w:bottom w:val="single" w:color="auto" w:sz="4" w:space="0"/>
              <w:right w:val="single" w:color="auto" w:sz="4" w:space="0"/>
            </w:tcBorders>
          </w:tcPr>
          <w:p>
            <w:pPr>
              <w:pStyle w:val="32"/>
              <w:spacing w:line="360" w:lineRule="auto"/>
              <w:jc w:val="center"/>
              <w:rPr>
                <w:rFonts w:ascii="宋体" w:hAnsi="宋体" w:cs="Arial"/>
                <w:color w:val="auto"/>
                <w:szCs w:val="21"/>
                <w:highlight w:val="none"/>
              </w:rPr>
            </w:pPr>
          </w:p>
        </w:tc>
      </w:tr>
    </w:tbl>
    <w:p>
      <w:pPr>
        <w:pStyle w:val="32"/>
        <w:tabs>
          <w:tab w:val="left" w:pos="1050"/>
        </w:tabs>
        <w:spacing w:line="360" w:lineRule="auto"/>
        <w:rPr>
          <w:rFonts w:ascii="仿宋_GB2312" w:hAnsi="宋体" w:eastAsia="仿宋_GB2312"/>
          <w:color w:val="auto"/>
          <w:sz w:val="24"/>
          <w:highlight w:val="none"/>
        </w:rPr>
      </w:pPr>
    </w:p>
    <w:p>
      <w:pPr>
        <w:pStyle w:val="32"/>
        <w:tabs>
          <w:tab w:val="left" w:pos="1050"/>
        </w:tabs>
        <w:spacing w:line="360" w:lineRule="auto"/>
        <w:rPr>
          <w:rFonts w:ascii="宋体" w:hAnsi="宋体"/>
          <w:color w:val="auto"/>
          <w:szCs w:val="21"/>
          <w:highlight w:val="none"/>
        </w:rPr>
      </w:pPr>
      <w:r>
        <w:rPr>
          <w:rFonts w:hint="eastAsia" w:ascii="宋体" w:hAnsi="宋体"/>
          <w:b/>
          <w:color w:val="auto"/>
          <w:szCs w:val="21"/>
          <w:highlight w:val="none"/>
        </w:rPr>
        <w:t>要求：</w:t>
      </w:r>
    </w:p>
    <w:p>
      <w:pPr>
        <w:pStyle w:val="32"/>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1.填写投标人获得资质、认证或企业信誉证书；</w:t>
      </w:r>
    </w:p>
    <w:p>
      <w:pPr>
        <w:pStyle w:val="32"/>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2.附所列证书复印件或其他证明材料。</w:t>
      </w:r>
    </w:p>
    <w:p>
      <w:pPr>
        <w:pStyle w:val="32"/>
        <w:tabs>
          <w:tab w:val="left" w:pos="1050"/>
        </w:tabs>
        <w:spacing w:line="360" w:lineRule="auto"/>
        <w:ind w:firstLine="720" w:firstLineChars="300"/>
        <w:rPr>
          <w:rFonts w:ascii="仿宋_GB2312" w:hAnsi="宋体" w:eastAsia="仿宋_GB2312"/>
          <w:color w:val="auto"/>
          <w:sz w:val="24"/>
          <w:highlight w:val="none"/>
        </w:rPr>
      </w:pPr>
    </w:p>
    <w:p>
      <w:pPr>
        <w:pStyle w:val="32"/>
        <w:tabs>
          <w:tab w:val="left" w:pos="1050"/>
        </w:tabs>
        <w:spacing w:line="360" w:lineRule="auto"/>
        <w:ind w:firstLine="720" w:firstLineChars="300"/>
        <w:rPr>
          <w:rFonts w:ascii="仿宋_GB2312" w:hAnsi="宋体" w:eastAsia="仿宋_GB2312"/>
          <w:color w:val="auto"/>
          <w:sz w:val="24"/>
          <w:highlight w:val="none"/>
        </w:rPr>
      </w:pPr>
    </w:p>
    <w:p>
      <w:pPr>
        <w:pStyle w:val="32"/>
        <w:tabs>
          <w:tab w:val="left" w:pos="1050"/>
        </w:tabs>
        <w:spacing w:line="360" w:lineRule="auto"/>
        <w:ind w:firstLine="720" w:firstLineChars="300"/>
        <w:rPr>
          <w:rFonts w:ascii="仿宋_GB2312" w:hAnsi="宋体" w:eastAsia="仿宋_GB2312"/>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pStyle w:val="28"/>
        <w:shd w:val="clear" w:color="auto" w:fill="FFFFFF"/>
        <w:spacing w:before="0" w:beforeAutospacing="0" w:after="0" w:afterAutospacing="0" w:line="360" w:lineRule="auto"/>
        <w:ind w:firstLine="424" w:firstLineChars="177"/>
        <w:rPr>
          <w:b/>
          <w:bCs/>
          <w:color w:val="auto"/>
          <w:spacing w:val="11"/>
          <w:highlight w:val="none"/>
        </w:rPr>
      </w:pPr>
      <w:r>
        <w:rPr>
          <w:rFonts w:hint="eastAsia"/>
          <w:color w:val="auto"/>
          <w:highlight w:val="none"/>
        </w:rPr>
        <w:t>日        期：：</w:t>
      </w: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附件11</w:t>
      </w:r>
    </w:p>
    <w:p>
      <w:pPr>
        <w:pStyle w:val="31"/>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投标人类似项目实施情况一览表</w:t>
      </w:r>
    </w:p>
    <w:p>
      <w:pPr>
        <w:pStyle w:val="31"/>
        <w:spacing w:line="360" w:lineRule="auto"/>
        <w:jc w:val="center"/>
        <w:rPr>
          <w:rFonts w:ascii="仿宋_GB2312" w:eastAsia="仿宋_GB2312"/>
          <w:b/>
          <w:color w:val="auto"/>
          <w:sz w:val="28"/>
          <w:szCs w:val="28"/>
          <w:highlight w:val="none"/>
        </w:rPr>
      </w:pPr>
    </w:p>
    <w:tbl>
      <w:tblPr>
        <w:tblStyle w:val="20"/>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1"/>
              <w:spacing w:line="360" w:lineRule="auto"/>
              <w:jc w:val="center"/>
              <w:rPr>
                <w:rFonts w:ascii="宋体" w:hAnsi="宋体" w:cs="Arial"/>
                <w:b/>
                <w:bCs/>
                <w:color w:val="auto"/>
                <w:sz w:val="24"/>
                <w:highlight w:val="none"/>
              </w:rPr>
            </w:pPr>
            <w:r>
              <w:rPr>
                <w:rFonts w:hint="eastAsia" w:ascii="宋体" w:hAnsi="宋体" w:cs="Arial"/>
                <w:b/>
                <w:bCs/>
                <w:color w:val="auto"/>
                <w:sz w:val="24"/>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jc w:val="center"/>
              <w:rPr>
                <w:rFonts w:ascii="宋体" w:hAnsi="宋体" w:cs="Arial"/>
                <w:color w:val="auto"/>
                <w:sz w:val="24"/>
                <w:highlight w:val="none"/>
              </w:rPr>
            </w:pPr>
            <w:r>
              <w:rPr>
                <w:rFonts w:hint="eastAsia" w:ascii="宋体" w:hAnsi="宋体" w:cs="Arial"/>
                <w:color w:val="auto"/>
                <w:sz w:val="24"/>
                <w:highlight w:val="none"/>
              </w:rPr>
              <w:t>1</w:t>
            </w: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jc w:val="center"/>
              <w:rPr>
                <w:rFonts w:ascii="宋体" w:hAnsi="宋体" w:cs="Arial"/>
                <w:color w:val="auto"/>
                <w:sz w:val="24"/>
                <w:highlight w:val="none"/>
              </w:rPr>
            </w:pPr>
            <w:r>
              <w:rPr>
                <w:rFonts w:hint="eastAsia" w:ascii="宋体" w:hAnsi="宋体" w:cs="Arial"/>
                <w:color w:val="auto"/>
                <w:sz w:val="24"/>
                <w:highlight w:val="none"/>
              </w:rPr>
              <w:t>2</w:t>
            </w: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jc w:val="center"/>
              <w:rPr>
                <w:rFonts w:ascii="宋体" w:hAnsi="宋体" w:cs="Arial"/>
                <w:color w:val="auto"/>
                <w:sz w:val="24"/>
                <w:highlight w:val="none"/>
              </w:rPr>
            </w:pPr>
            <w:r>
              <w:rPr>
                <w:rFonts w:hint="eastAsia" w:ascii="宋体" w:hAnsi="宋体" w:cs="Arial"/>
                <w:color w:val="auto"/>
                <w:sz w:val="24"/>
                <w:highlight w:val="none"/>
              </w:rPr>
              <w:t>3</w:t>
            </w: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r>
              <w:rPr>
                <w:rFonts w:hint="eastAsia" w:ascii="宋体" w:hAnsi="宋体" w:cs="Arial"/>
                <w:color w:val="auto"/>
                <w:sz w:val="24"/>
                <w:highlight w:val="none"/>
              </w:rPr>
              <w:t>…</w:t>
            </w: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tcPr>
          <w:p>
            <w:pPr>
              <w:pStyle w:val="31"/>
              <w:spacing w:line="360" w:lineRule="auto"/>
              <w:rPr>
                <w:rFonts w:ascii="宋体" w:hAnsi="宋体" w:cs="Arial"/>
                <w:color w:val="auto"/>
                <w:sz w:val="24"/>
                <w:highlight w:val="none"/>
              </w:rPr>
            </w:pPr>
          </w:p>
        </w:tc>
      </w:tr>
    </w:tbl>
    <w:p>
      <w:pPr>
        <w:autoSpaceDE w:val="0"/>
        <w:autoSpaceDN w:val="0"/>
        <w:adjustRightInd w:val="0"/>
        <w:spacing w:beforeLines="50" w:line="360" w:lineRule="auto"/>
        <w:rPr>
          <w:rFonts w:ascii="宋体" w:hAnsi="宋体" w:cs="Arial"/>
          <w:b/>
          <w:color w:val="auto"/>
          <w:szCs w:val="21"/>
          <w:highlight w:val="none"/>
        </w:rPr>
      </w:pPr>
      <w:r>
        <w:rPr>
          <w:rFonts w:hint="eastAsia" w:ascii="宋体" w:hAnsi="宋体" w:cs="Arial"/>
          <w:b/>
          <w:color w:val="auto"/>
          <w:szCs w:val="21"/>
          <w:highlight w:val="none"/>
        </w:rPr>
        <w:t>要求</w:t>
      </w:r>
      <w:r>
        <w:rPr>
          <w:rFonts w:ascii="宋体" w:hAnsi="宋体" w:cs="Arial"/>
          <w:b/>
          <w:color w:val="auto"/>
          <w:szCs w:val="21"/>
          <w:highlight w:val="none"/>
        </w:rPr>
        <w:t>：</w:t>
      </w:r>
    </w:p>
    <w:p>
      <w:pPr>
        <w:autoSpaceDE w:val="0"/>
        <w:autoSpaceDN w:val="0"/>
        <w:adjustRightInd w:val="0"/>
        <w:spacing w:beforeLines="50" w:line="360" w:lineRule="auto"/>
        <w:ind w:firstLine="424" w:firstLineChars="202"/>
        <w:rPr>
          <w:rFonts w:ascii="宋体" w:hAnsi="宋体" w:cs="Arial"/>
          <w:b/>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w:t>
      </w:r>
      <w:r>
        <w:rPr>
          <w:rFonts w:ascii="宋体" w:hAnsi="宋体" w:cs="Arial"/>
          <w:color w:val="auto"/>
          <w:szCs w:val="21"/>
          <w:highlight w:val="none"/>
        </w:rPr>
        <w:t>业绩证明应提供证明材料（合同</w:t>
      </w:r>
      <w:r>
        <w:rPr>
          <w:rFonts w:hint="eastAsia" w:ascii="宋体" w:hAnsi="宋体" w:cs="Arial"/>
          <w:color w:val="auto"/>
          <w:szCs w:val="21"/>
          <w:highlight w:val="none"/>
        </w:rPr>
        <w:t>复印件可只提供首页、含金额页、盖章页并加盖投标人公章</w:t>
      </w:r>
      <w:r>
        <w:rPr>
          <w:rFonts w:ascii="宋体" w:hAnsi="宋体" w:cs="Arial"/>
          <w:color w:val="auto"/>
          <w:szCs w:val="21"/>
          <w:highlight w:val="none"/>
        </w:rPr>
        <w:t>）；</w:t>
      </w:r>
    </w:p>
    <w:p>
      <w:pPr>
        <w:spacing w:line="360" w:lineRule="auto"/>
        <w:ind w:firstLine="424" w:firstLineChars="202"/>
        <w:jc w:val="left"/>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rPr>
        <w:t>.报价供应商</w:t>
      </w:r>
      <w:r>
        <w:rPr>
          <w:rFonts w:ascii="宋体" w:hAnsi="宋体" w:cs="Arial"/>
          <w:color w:val="auto"/>
          <w:szCs w:val="21"/>
          <w:highlight w:val="none"/>
        </w:rPr>
        <w:t>可按此表格式复制</w:t>
      </w:r>
      <w:r>
        <w:rPr>
          <w:rFonts w:hint="eastAsia" w:ascii="宋体" w:hAnsi="宋体" w:cs="Arial"/>
          <w:color w:val="auto"/>
          <w:szCs w:val="21"/>
          <w:highlight w:val="none"/>
        </w:rPr>
        <w:t>。</w:t>
      </w:r>
    </w:p>
    <w:p>
      <w:pPr>
        <w:spacing w:line="360" w:lineRule="auto"/>
        <w:rPr>
          <w:rFonts w:ascii="宋体" w:hAnsi="宋体"/>
          <w:color w:val="auto"/>
          <w:sz w:val="22"/>
          <w:szCs w:val="22"/>
          <w:highlight w:val="none"/>
        </w:rPr>
      </w:pPr>
    </w:p>
    <w:p>
      <w:pPr>
        <w:spacing w:line="360" w:lineRule="auto"/>
        <w:rPr>
          <w:rFonts w:ascii="宋体" w:hAnsi="宋体"/>
          <w:color w:val="auto"/>
          <w:sz w:val="22"/>
          <w:szCs w:val="22"/>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jc w:val="center"/>
        <w:rPr>
          <w:rFonts w:ascii="仿宋" w:hAnsi="仿宋" w:eastAsia="仿宋"/>
          <w:snapToGrid w:val="0"/>
          <w:color w:val="auto"/>
          <w:kern w:val="0"/>
          <w:sz w:val="24"/>
          <w:highlight w:val="none"/>
        </w:rPr>
      </w:pPr>
    </w:p>
    <w:p>
      <w:pPr>
        <w:pStyle w:val="32"/>
        <w:tabs>
          <w:tab w:val="left" w:pos="1050"/>
        </w:tabs>
        <w:spacing w:line="360" w:lineRule="auto"/>
        <w:rPr>
          <w:rFonts w:ascii="仿宋_GB2312" w:hAnsi="宋体" w:eastAsia="仿宋_GB2312"/>
          <w:color w:val="auto"/>
          <w:sz w:val="24"/>
          <w:highlight w:val="none"/>
        </w:rPr>
      </w:pPr>
      <w:r>
        <w:rPr>
          <w:rFonts w:hint="eastAsia" w:ascii="宋体" w:hAnsi="宋体"/>
          <w:b/>
          <w:color w:val="auto"/>
          <w:sz w:val="28"/>
          <w:highlight w:val="none"/>
        </w:rPr>
        <w:t>附件12</w:t>
      </w:r>
    </w:p>
    <w:p>
      <w:pPr>
        <w:spacing w:line="360" w:lineRule="auto"/>
        <w:ind w:left="549" w:hanging="549" w:hangingChars="171"/>
        <w:jc w:val="center"/>
        <w:rPr>
          <w:rFonts w:ascii="宋体" w:hAnsi="宋体"/>
          <w:b/>
          <w:color w:val="auto"/>
          <w:sz w:val="32"/>
          <w:szCs w:val="32"/>
          <w:highlight w:val="none"/>
        </w:rPr>
      </w:pPr>
      <w:r>
        <w:rPr>
          <w:rFonts w:hint="eastAsia" w:ascii="宋体" w:hAnsi="宋体"/>
          <w:b/>
          <w:color w:val="auto"/>
          <w:sz w:val="32"/>
          <w:szCs w:val="32"/>
          <w:highlight w:val="none"/>
        </w:rPr>
        <w:t>资信及商务需求响应表</w:t>
      </w:r>
    </w:p>
    <w:p>
      <w:pPr>
        <w:spacing w:line="360" w:lineRule="auto"/>
        <w:ind w:left="481" w:leftChars="229" w:firstLine="813" w:firstLineChars="450"/>
        <w:rPr>
          <w:rFonts w:ascii="宋体" w:hAnsi="宋体"/>
          <w:b/>
          <w:color w:val="auto"/>
          <w:sz w:val="18"/>
          <w:szCs w:val="18"/>
          <w:highlight w:val="none"/>
        </w:rPr>
      </w:pPr>
    </w:p>
    <w:tbl>
      <w:tblPr>
        <w:tblStyle w:val="2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vAlign w:val="center"/>
          </w:tcPr>
          <w:p>
            <w:pPr>
              <w:rPr>
                <w:rFonts w:ascii="宋体" w:hAnsi="宋体"/>
                <w:b/>
                <w:color w:val="auto"/>
                <w:sz w:val="24"/>
                <w:highlight w:val="none"/>
              </w:rPr>
            </w:pPr>
            <w:r>
              <w:rPr>
                <w:rFonts w:hint="eastAsia" w:ascii="宋体" w:hAnsi="宋体"/>
                <w:b/>
                <w:color w:val="auto"/>
                <w:sz w:val="24"/>
                <w:highlight w:val="none"/>
              </w:rPr>
              <w:t>序号</w:t>
            </w:r>
          </w:p>
        </w:tc>
        <w:tc>
          <w:tcPr>
            <w:tcW w:w="1785" w:type="dxa"/>
            <w:vAlign w:val="center"/>
          </w:tcPr>
          <w:p>
            <w:pPr>
              <w:rPr>
                <w:rFonts w:ascii="宋体" w:hAnsi="宋体"/>
                <w:b/>
                <w:color w:val="auto"/>
                <w:sz w:val="24"/>
                <w:highlight w:val="none"/>
              </w:rPr>
            </w:pPr>
            <w:r>
              <w:rPr>
                <w:rFonts w:hint="eastAsia" w:ascii="宋体" w:hAnsi="宋体"/>
                <w:b/>
                <w:color w:val="auto"/>
                <w:sz w:val="24"/>
                <w:highlight w:val="none"/>
              </w:rPr>
              <w:t xml:space="preserve">   内容</w:t>
            </w:r>
          </w:p>
        </w:tc>
        <w:tc>
          <w:tcPr>
            <w:tcW w:w="1785" w:type="dxa"/>
            <w:vAlign w:val="center"/>
          </w:tcPr>
          <w:p>
            <w:pPr>
              <w:ind w:left="53" w:leftChars="25" w:firstLine="241" w:firstLineChars="100"/>
              <w:rPr>
                <w:rFonts w:ascii="宋体" w:hAnsi="宋体"/>
                <w:b/>
                <w:color w:val="auto"/>
                <w:sz w:val="24"/>
                <w:highlight w:val="none"/>
              </w:rPr>
            </w:pPr>
            <w:r>
              <w:rPr>
                <w:rFonts w:hint="eastAsia" w:ascii="宋体" w:hAnsi="宋体"/>
                <w:b/>
                <w:color w:val="auto"/>
                <w:sz w:val="24"/>
                <w:highlight w:val="none"/>
              </w:rPr>
              <w:t>招标需求</w:t>
            </w:r>
          </w:p>
        </w:tc>
        <w:tc>
          <w:tcPr>
            <w:tcW w:w="1365" w:type="dxa"/>
            <w:vAlign w:val="center"/>
          </w:tcPr>
          <w:p>
            <w:pPr>
              <w:ind w:left="152"/>
              <w:rPr>
                <w:rFonts w:ascii="宋体" w:hAnsi="宋体"/>
                <w:b/>
                <w:color w:val="auto"/>
                <w:sz w:val="24"/>
                <w:highlight w:val="none"/>
              </w:rPr>
            </w:pPr>
            <w:r>
              <w:rPr>
                <w:rFonts w:hint="eastAsia" w:ascii="宋体" w:hAnsi="宋体"/>
                <w:b/>
                <w:color w:val="auto"/>
                <w:sz w:val="24"/>
                <w:highlight w:val="none"/>
              </w:rPr>
              <w:t>是否响应</w:t>
            </w:r>
          </w:p>
        </w:tc>
        <w:tc>
          <w:tcPr>
            <w:tcW w:w="2625" w:type="dxa"/>
            <w:vAlign w:val="center"/>
          </w:tcPr>
          <w:p>
            <w:pPr>
              <w:jc w:val="center"/>
              <w:rPr>
                <w:rFonts w:ascii="宋体" w:hAnsi="宋体"/>
                <w:b/>
                <w:color w:val="auto"/>
                <w:sz w:val="24"/>
                <w:highlight w:val="none"/>
              </w:rPr>
            </w:pPr>
            <w:r>
              <w:rPr>
                <w:rFonts w:hint="eastAsia" w:ascii="宋体" w:hAnsi="宋体"/>
                <w:b/>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r>
              <w:rPr>
                <w:rFonts w:hint="eastAsia" w:ascii="宋体" w:hAnsi="宋体"/>
                <w:color w:val="auto"/>
                <w:sz w:val="24"/>
                <w:highlight w:val="none"/>
              </w:rPr>
              <w:t>售后服务保障要求</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r>
              <w:rPr>
                <w:rFonts w:hint="eastAsia" w:ascii="宋体" w:hAnsi="宋体"/>
                <w:color w:val="auto"/>
                <w:sz w:val="24"/>
                <w:highlight w:val="none"/>
              </w:rPr>
              <w:t>备品备件及耗材等要求</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r>
              <w:rPr>
                <w:rFonts w:hint="eastAsia" w:ascii="宋体" w:hAnsi="宋体"/>
                <w:color w:val="auto"/>
                <w:sz w:val="24"/>
                <w:highlight w:val="none"/>
              </w:rPr>
              <w:t>质保期</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r>
              <w:rPr>
                <w:rFonts w:hint="eastAsia" w:ascii="宋体" w:hAnsi="宋体"/>
                <w:color w:val="auto"/>
                <w:sz w:val="24"/>
                <w:highlight w:val="none"/>
              </w:rPr>
              <w:t>交货和服务</w:t>
            </w:r>
          </w:p>
          <w:p>
            <w:pPr>
              <w:snapToGrid w:val="0"/>
              <w:rPr>
                <w:rFonts w:ascii="宋体" w:hAnsi="宋体"/>
                <w:color w:val="auto"/>
                <w:sz w:val="24"/>
                <w:highlight w:val="none"/>
              </w:rPr>
            </w:pPr>
            <w:r>
              <w:rPr>
                <w:rFonts w:hint="eastAsia" w:ascii="宋体" w:hAnsi="宋体"/>
                <w:color w:val="auto"/>
                <w:sz w:val="24"/>
                <w:highlight w:val="none"/>
              </w:rPr>
              <w:t>时间及地点</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r>
              <w:rPr>
                <w:rFonts w:hint="eastAsia" w:ascii="宋体" w:hAnsi="宋体"/>
                <w:color w:val="auto"/>
                <w:sz w:val="24"/>
                <w:highlight w:val="none"/>
              </w:rPr>
              <w:t>付款条件</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r>
              <w:rPr>
                <w:rFonts w:hint="eastAsia" w:ascii="宋体" w:hAnsi="宋体"/>
                <w:color w:val="auto"/>
                <w:sz w:val="24"/>
                <w:highlight w:val="none"/>
              </w:rPr>
              <w:t>……</w:t>
            </w: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rPr>
                <w:rFonts w:ascii="宋体" w:hAnsi="宋体"/>
                <w:color w:val="auto"/>
                <w:sz w:val="24"/>
                <w:highlight w:val="none"/>
              </w:rPr>
            </w:pPr>
          </w:p>
        </w:tc>
        <w:tc>
          <w:tcPr>
            <w:tcW w:w="1785" w:type="dxa"/>
          </w:tcPr>
          <w:p>
            <w:pPr>
              <w:snapToGrid w:val="0"/>
              <w:rPr>
                <w:rFonts w:ascii="宋体" w:hAnsi="宋体"/>
                <w:color w:val="auto"/>
                <w:sz w:val="24"/>
                <w:highlight w:val="none"/>
              </w:rPr>
            </w:pPr>
          </w:p>
        </w:tc>
        <w:tc>
          <w:tcPr>
            <w:tcW w:w="1785" w:type="dxa"/>
            <w:vAlign w:val="center"/>
          </w:tcPr>
          <w:p>
            <w:pPr>
              <w:rPr>
                <w:rFonts w:ascii="宋体" w:hAnsi="宋体"/>
                <w:color w:val="auto"/>
                <w:sz w:val="24"/>
                <w:highlight w:val="none"/>
              </w:rPr>
            </w:pPr>
          </w:p>
        </w:tc>
        <w:tc>
          <w:tcPr>
            <w:tcW w:w="1365" w:type="dxa"/>
            <w:vAlign w:val="center"/>
          </w:tcPr>
          <w:p>
            <w:pPr>
              <w:rPr>
                <w:rFonts w:ascii="宋体" w:hAnsi="宋体"/>
                <w:color w:val="auto"/>
                <w:sz w:val="24"/>
                <w:highlight w:val="none"/>
              </w:rPr>
            </w:pPr>
          </w:p>
        </w:tc>
        <w:tc>
          <w:tcPr>
            <w:tcW w:w="2625" w:type="dxa"/>
            <w:vAlign w:val="center"/>
          </w:tcPr>
          <w:p>
            <w:pPr>
              <w:rPr>
                <w:rFonts w:ascii="宋体" w:hAnsi="宋体"/>
                <w:color w:val="auto"/>
                <w:sz w:val="24"/>
                <w:highlight w:val="none"/>
              </w:rPr>
            </w:pPr>
          </w:p>
        </w:tc>
      </w:tr>
    </w:tbl>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日        期：</w:t>
      </w:r>
    </w:p>
    <w:p>
      <w:pPr>
        <w:tabs>
          <w:tab w:val="left" w:pos="2460"/>
        </w:tabs>
        <w:spacing w:line="360" w:lineRule="auto"/>
        <w:ind w:firstLine="435"/>
        <w:rPr>
          <w:rFonts w:hint="eastAsia" w:ascii="宋体" w:hAnsi="宋体"/>
          <w:b/>
          <w:color w:val="auto"/>
          <w:sz w:val="28"/>
          <w:highlight w:val="none"/>
        </w:rPr>
        <w:sectPr>
          <w:pgSz w:w="11906" w:h="16838"/>
          <w:pgMar w:top="1440" w:right="1800" w:bottom="1440" w:left="1800" w:header="851" w:footer="992" w:gutter="0"/>
          <w:cols w:space="425" w:num="1"/>
          <w:docGrid w:type="lines" w:linePitch="312" w:charSpace="0"/>
        </w:sectPr>
      </w:pPr>
    </w:p>
    <w:p>
      <w:pPr>
        <w:tabs>
          <w:tab w:val="left" w:pos="2460"/>
        </w:tabs>
        <w:spacing w:line="360" w:lineRule="auto"/>
        <w:ind w:firstLine="435"/>
        <w:rPr>
          <w:rFonts w:ascii="宋体" w:hAnsi="宋体"/>
          <w:b/>
          <w:color w:val="auto"/>
          <w:sz w:val="28"/>
          <w:highlight w:val="none"/>
        </w:rPr>
      </w:pPr>
      <w:r>
        <w:rPr>
          <w:rFonts w:hint="eastAsia" w:ascii="宋体" w:hAnsi="宋体"/>
          <w:b/>
          <w:color w:val="auto"/>
          <w:sz w:val="28"/>
          <w:highlight w:val="none"/>
        </w:rPr>
        <w:t>附件13</w:t>
      </w:r>
      <w:r>
        <w:rPr>
          <w:rFonts w:ascii="宋体" w:hAnsi="宋体"/>
          <w:b/>
          <w:color w:val="auto"/>
          <w:sz w:val="28"/>
          <w:highlight w:val="none"/>
        </w:rPr>
        <w:tab/>
      </w:r>
    </w:p>
    <w:p>
      <w:pPr>
        <w:spacing w:line="360" w:lineRule="auto"/>
        <w:ind w:firstLine="435"/>
        <w:jc w:val="center"/>
        <w:rPr>
          <w:rFonts w:ascii="宋体" w:hAnsi="宋体"/>
          <w:b/>
          <w:color w:val="auto"/>
          <w:sz w:val="32"/>
          <w:szCs w:val="32"/>
          <w:highlight w:val="none"/>
        </w:rPr>
      </w:pPr>
      <w:r>
        <w:rPr>
          <w:rFonts w:hint="eastAsia" w:ascii="宋体" w:hAnsi="宋体"/>
          <w:b/>
          <w:color w:val="auto"/>
          <w:sz w:val="32"/>
          <w:szCs w:val="32"/>
          <w:highlight w:val="none"/>
        </w:rPr>
        <w:t>售后服务情况表</w:t>
      </w:r>
    </w:p>
    <w:p>
      <w:pPr>
        <w:spacing w:line="360" w:lineRule="auto"/>
        <w:ind w:firstLine="435"/>
        <w:jc w:val="center"/>
        <w:rPr>
          <w:rFonts w:ascii="宋体" w:hAnsi="宋体"/>
          <w:b/>
          <w:color w:val="auto"/>
          <w:sz w:val="36"/>
          <w:szCs w:val="36"/>
          <w:highlight w:val="none"/>
        </w:rPr>
      </w:pPr>
    </w:p>
    <w:tbl>
      <w:tblPr>
        <w:tblStyle w:val="20"/>
        <w:tblW w:w="852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vAlign w:val="center"/>
          </w:tcPr>
          <w:p>
            <w:pPr>
              <w:pStyle w:val="33"/>
              <w:spacing w:line="360" w:lineRule="auto"/>
              <w:jc w:val="center"/>
              <w:rPr>
                <w:rFonts w:ascii="宋体" w:hAnsi="宋体" w:cs="Arial"/>
                <w:b/>
                <w:color w:val="auto"/>
                <w:sz w:val="24"/>
                <w:highlight w:val="none"/>
              </w:rPr>
            </w:pPr>
            <w:r>
              <w:rPr>
                <w:rFonts w:hint="eastAsia" w:ascii="宋体" w:hAnsi="宋体" w:cs="Arial"/>
                <w:b/>
                <w:color w:val="auto"/>
                <w:sz w:val="24"/>
                <w:highlight w:val="none"/>
              </w:rPr>
              <w:t>序号</w:t>
            </w:r>
          </w:p>
        </w:tc>
        <w:tc>
          <w:tcPr>
            <w:tcW w:w="2355" w:type="dxa"/>
            <w:vAlign w:val="center"/>
          </w:tcPr>
          <w:p>
            <w:pPr>
              <w:pStyle w:val="33"/>
              <w:spacing w:line="360" w:lineRule="auto"/>
              <w:jc w:val="center"/>
              <w:rPr>
                <w:rFonts w:ascii="宋体" w:hAnsi="宋体" w:cs="Arial"/>
                <w:b/>
                <w:color w:val="auto"/>
                <w:sz w:val="24"/>
                <w:highlight w:val="none"/>
              </w:rPr>
            </w:pPr>
            <w:r>
              <w:rPr>
                <w:rFonts w:hint="eastAsia" w:ascii="宋体" w:hAnsi="宋体" w:cs="Arial"/>
                <w:b/>
                <w:color w:val="auto"/>
                <w:sz w:val="24"/>
                <w:highlight w:val="none"/>
              </w:rPr>
              <w:t>项目</w:t>
            </w:r>
          </w:p>
        </w:tc>
        <w:tc>
          <w:tcPr>
            <w:tcW w:w="4061" w:type="dxa"/>
            <w:vAlign w:val="center"/>
          </w:tcPr>
          <w:p>
            <w:pPr>
              <w:pStyle w:val="33"/>
              <w:spacing w:line="360" w:lineRule="auto"/>
              <w:jc w:val="center"/>
              <w:rPr>
                <w:rFonts w:ascii="宋体" w:hAnsi="宋体" w:cs="Arial"/>
                <w:b/>
                <w:color w:val="auto"/>
                <w:sz w:val="24"/>
                <w:highlight w:val="none"/>
              </w:rPr>
            </w:pPr>
            <w:r>
              <w:rPr>
                <w:rFonts w:hint="eastAsia" w:ascii="宋体" w:hAnsi="宋体" w:cs="Arial"/>
                <w:b/>
                <w:color w:val="auto"/>
                <w:sz w:val="24"/>
                <w:highlight w:val="none"/>
              </w:rPr>
              <w:t>投标人情况</w:t>
            </w:r>
          </w:p>
        </w:tc>
        <w:tc>
          <w:tcPr>
            <w:tcW w:w="1373" w:type="dxa"/>
            <w:vAlign w:val="center"/>
          </w:tcPr>
          <w:p>
            <w:pPr>
              <w:pStyle w:val="33"/>
              <w:spacing w:line="360" w:lineRule="auto"/>
              <w:jc w:val="center"/>
              <w:rPr>
                <w:rFonts w:ascii="宋体" w:hAnsi="宋体" w:cs="Arial"/>
                <w:b/>
                <w:color w:val="auto"/>
                <w:sz w:val="24"/>
                <w:highlight w:val="none"/>
              </w:rPr>
            </w:pPr>
            <w:r>
              <w:rPr>
                <w:rFonts w:hint="eastAsia" w:ascii="宋体" w:hAnsi="宋体" w:cs="Arial"/>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33"/>
              <w:spacing w:line="360" w:lineRule="auto"/>
              <w:jc w:val="center"/>
              <w:rPr>
                <w:rFonts w:ascii="宋体" w:hAnsi="宋体" w:cs="Arial"/>
                <w:bCs/>
                <w:color w:val="auto"/>
                <w:sz w:val="24"/>
                <w:highlight w:val="none"/>
              </w:rPr>
            </w:pPr>
            <w:r>
              <w:rPr>
                <w:rFonts w:hint="eastAsia" w:ascii="宋体" w:hAnsi="宋体" w:cs="Arial"/>
                <w:bCs/>
                <w:color w:val="auto"/>
                <w:sz w:val="24"/>
                <w:highlight w:val="none"/>
              </w:rPr>
              <w:t>1</w:t>
            </w:r>
          </w:p>
        </w:tc>
        <w:tc>
          <w:tcPr>
            <w:tcW w:w="2355" w:type="dxa"/>
            <w:vMerge w:val="restart"/>
            <w:vAlign w:val="center"/>
          </w:tcPr>
          <w:p>
            <w:pPr>
              <w:pStyle w:val="33"/>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保修期内售后服务情况(</w:t>
            </w:r>
            <w:r>
              <w:rPr>
                <w:rFonts w:ascii="宋体" w:hAnsi="宋体" w:cs="Arial"/>
                <w:bCs/>
                <w:color w:val="auto"/>
                <w:sz w:val="24"/>
                <w:highlight w:val="none"/>
              </w:rPr>
              <w:t>服务</w:t>
            </w:r>
            <w:r>
              <w:rPr>
                <w:rFonts w:hint="eastAsia" w:ascii="宋体" w:hAnsi="宋体" w:cs="Arial"/>
                <w:bCs/>
                <w:color w:val="auto"/>
                <w:sz w:val="24"/>
                <w:highlight w:val="none"/>
              </w:rPr>
              <w:t>方式、服务网点</w:t>
            </w:r>
            <w:r>
              <w:rPr>
                <w:rFonts w:ascii="宋体" w:hAnsi="宋体" w:cs="Arial"/>
                <w:bCs/>
                <w:color w:val="auto"/>
                <w:sz w:val="24"/>
                <w:highlight w:val="none"/>
              </w:rPr>
              <w:t>、售后服务的内容和措施</w:t>
            </w:r>
            <w:r>
              <w:rPr>
                <w:rFonts w:hint="eastAsia" w:ascii="宋体" w:hAnsi="宋体" w:cs="Arial"/>
                <w:bCs/>
                <w:color w:val="auto"/>
                <w:sz w:val="24"/>
                <w:highlight w:val="none"/>
              </w:rPr>
              <w:t>等等，可用附页和宣传材料)</w:t>
            </w:r>
          </w:p>
        </w:tc>
        <w:tc>
          <w:tcPr>
            <w:tcW w:w="4061" w:type="dxa"/>
          </w:tcPr>
          <w:p>
            <w:pPr>
              <w:pStyle w:val="33"/>
              <w:spacing w:line="360" w:lineRule="auto"/>
              <w:rPr>
                <w:rFonts w:ascii="宋体" w:hAnsi="宋体" w:cs="Arial"/>
                <w:bCs/>
                <w:color w:val="auto"/>
                <w:sz w:val="24"/>
                <w:highlight w:val="none"/>
              </w:rPr>
            </w:pPr>
            <w:r>
              <w:rPr>
                <w:rFonts w:hint="eastAsia" w:ascii="宋体" w:hAnsi="宋体" w:cs="Arial"/>
                <w:bCs/>
                <w:color w:val="auto"/>
                <w:sz w:val="24"/>
                <w:highlight w:val="none"/>
              </w:rPr>
              <w:t>生产厂商售后服务情况：</w:t>
            </w:r>
          </w:p>
        </w:tc>
        <w:tc>
          <w:tcPr>
            <w:tcW w:w="1373" w:type="dxa"/>
          </w:tcPr>
          <w:p>
            <w:pPr>
              <w:pStyle w:val="33"/>
              <w:spacing w:line="360" w:lineRule="auto"/>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33"/>
              <w:widowControl/>
              <w:spacing w:line="360" w:lineRule="auto"/>
              <w:jc w:val="left"/>
              <w:rPr>
                <w:rFonts w:ascii="宋体" w:hAnsi="宋体" w:cs="Arial"/>
                <w:bCs/>
                <w:color w:val="auto"/>
                <w:sz w:val="24"/>
                <w:highlight w:val="none"/>
              </w:rPr>
            </w:pPr>
          </w:p>
        </w:tc>
        <w:tc>
          <w:tcPr>
            <w:tcW w:w="2355" w:type="dxa"/>
            <w:vMerge w:val="continue"/>
            <w:vAlign w:val="center"/>
          </w:tcPr>
          <w:p>
            <w:pPr>
              <w:pStyle w:val="33"/>
              <w:widowControl/>
              <w:spacing w:line="360" w:lineRule="auto"/>
              <w:jc w:val="left"/>
              <w:rPr>
                <w:rFonts w:ascii="宋体" w:hAnsi="宋体" w:cs="Arial"/>
                <w:bCs/>
                <w:color w:val="auto"/>
                <w:sz w:val="24"/>
                <w:highlight w:val="none"/>
              </w:rPr>
            </w:pPr>
          </w:p>
        </w:tc>
        <w:tc>
          <w:tcPr>
            <w:tcW w:w="4061" w:type="dxa"/>
          </w:tcPr>
          <w:p>
            <w:pPr>
              <w:pStyle w:val="33"/>
              <w:spacing w:line="360" w:lineRule="auto"/>
              <w:rPr>
                <w:rFonts w:ascii="宋体" w:hAnsi="宋体" w:cs="Arial"/>
                <w:bCs/>
                <w:color w:val="auto"/>
                <w:sz w:val="24"/>
                <w:highlight w:val="none"/>
              </w:rPr>
            </w:pPr>
            <w:r>
              <w:rPr>
                <w:rFonts w:hint="eastAsia" w:ascii="宋体" w:hAnsi="宋体" w:cs="Arial"/>
                <w:bCs/>
                <w:color w:val="auto"/>
                <w:sz w:val="24"/>
                <w:highlight w:val="none"/>
              </w:rPr>
              <w:t>投标人售后服务情况：</w:t>
            </w:r>
          </w:p>
        </w:tc>
        <w:tc>
          <w:tcPr>
            <w:tcW w:w="1373" w:type="dxa"/>
          </w:tcPr>
          <w:p>
            <w:pPr>
              <w:pStyle w:val="33"/>
              <w:spacing w:line="360" w:lineRule="auto"/>
              <w:jc w:val="left"/>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739" w:type="dxa"/>
            <w:vAlign w:val="center"/>
          </w:tcPr>
          <w:p>
            <w:pPr>
              <w:pStyle w:val="33"/>
              <w:spacing w:line="360" w:lineRule="auto"/>
              <w:jc w:val="center"/>
              <w:rPr>
                <w:rFonts w:ascii="宋体" w:hAnsi="宋体" w:cs="Arial"/>
                <w:bCs/>
                <w:color w:val="auto"/>
                <w:sz w:val="24"/>
                <w:highlight w:val="none"/>
              </w:rPr>
            </w:pPr>
            <w:r>
              <w:rPr>
                <w:rFonts w:hint="eastAsia" w:ascii="宋体" w:hAnsi="宋体" w:cs="Arial"/>
                <w:bCs/>
                <w:color w:val="auto"/>
                <w:sz w:val="24"/>
                <w:highlight w:val="none"/>
              </w:rPr>
              <w:t>2</w:t>
            </w:r>
          </w:p>
        </w:tc>
        <w:tc>
          <w:tcPr>
            <w:tcW w:w="2355" w:type="dxa"/>
            <w:vAlign w:val="center"/>
          </w:tcPr>
          <w:p>
            <w:pPr>
              <w:pStyle w:val="33"/>
              <w:spacing w:line="360" w:lineRule="auto"/>
              <w:rPr>
                <w:rFonts w:ascii="宋体" w:hAnsi="宋体" w:cs="Arial"/>
                <w:bCs/>
                <w:color w:val="auto"/>
                <w:sz w:val="24"/>
                <w:highlight w:val="none"/>
              </w:rPr>
            </w:pPr>
            <w:r>
              <w:rPr>
                <w:rFonts w:hint="eastAsia" w:ascii="宋体" w:hAnsi="宋体" w:cs="Arial"/>
                <w:bCs/>
                <w:color w:val="auto"/>
                <w:sz w:val="24"/>
                <w:highlight w:val="none"/>
              </w:rPr>
              <w:t>保修期后售后服务</w:t>
            </w:r>
          </w:p>
        </w:tc>
        <w:tc>
          <w:tcPr>
            <w:tcW w:w="4061" w:type="dxa"/>
          </w:tcPr>
          <w:p>
            <w:pPr>
              <w:pStyle w:val="33"/>
              <w:widowControl/>
              <w:spacing w:line="360" w:lineRule="auto"/>
              <w:jc w:val="left"/>
              <w:rPr>
                <w:rFonts w:ascii="宋体" w:hAnsi="宋体" w:cs="Arial"/>
                <w:bCs/>
                <w:color w:val="auto"/>
                <w:sz w:val="24"/>
                <w:highlight w:val="none"/>
              </w:rPr>
            </w:pPr>
          </w:p>
          <w:p>
            <w:pPr>
              <w:pStyle w:val="33"/>
              <w:widowControl/>
              <w:spacing w:line="360" w:lineRule="auto"/>
              <w:jc w:val="left"/>
              <w:rPr>
                <w:rFonts w:ascii="宋体" w:hAnsi="宋体" w:cs="Arial"/>
                <w:bCs/>
                <w:color w:val="auto"/>
                <w:sz w:val="24"/>
                <w:highlight w:val="none"/>
              </w:rPr>
            </w:pPr>
          </w:p>
          <w:p>
            <w:pPr>
              <w:pStyle w:val="33"/>
              <w:spacing w:line="360" w:lineRule="auto"/>
              <w:rPr>
                <w:rFonts w:ascii="宋体" w:hAnsi="宋体" w:cs="Arial"/>
                <w:bCs/>
                <w:color w:val="auto"/>
                <w:sz w:val="24"/>
                <w:highlight w:val="none"/>
              </w:rPr>
            </w:pPr>
          </w:p>
        </w:tc>
        <w:tc>
          <w:tcPr>
            <w:tcW w:w="1373" w:type="dxa"/>
          </w:tcPr>
          <w:p>
            <w:pPr>
              <w:pStyle w:val="33"/>
              <w:widowControl/>
              <w:spacing w:line="360" w:lineRule="auto"/>
              <w:jc w:val="left"/>
              <w:rPr>
                <w:rFonts w:ascii="宋体" w:hAnsi="宋体" w:cs="Arial"/>
                <w:bCs/>
                <w:color w:val="auto"/>
                <w:sz w:val="24"/>
                <w:highlight w:val="none"/>
              </w:rPr>
            </w:pPr>
          </w:p>
          <w:p>
            <w:pPr>
              <w:pStyle w:val="33"/>
              <w:widowControl/>
              <w:spacing w:line="360" w:lineRule="auto"/>
              <w:jc w:val="left"/>
              <w:rPr>
                <w:rFonts w:ascii="宋体" w:hAnsi="宋体" w:cs="Arial"/>
                <w:bCs/>
                <w:color w:val="auto"/>
                <w:sz w:val="24"/>
                <w:highlight w:val="none"/>
              </w:rPr>
            </w:pPr>
          </w:p>
          <w:p>
            <w:pPr>
              <w:pStyle w:val="33"/>
              <w:spacing w:line="360" w:lineRule="auto"/>
              <w:rPr>
                <w:rFonts w:ascii="宋体" w:hAnsi="宋体"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jc w:val="center"/>
        </w:trPr>
        <w:tc>
          <w:tcPr>
            <w:tcW w:w="739" w:type="dxa"/>
            <w:vAlign w:val="center"/>
          </w:tcPr>
          <w:p>
            <w:pPr>
              <w:pStyle w:val="33"/>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 xml:space="preserve"> 3</w:t>
            </w:r>
          </w:p>
        </w:tc>
        <w:tc>
          <w:tcPr>
            <w:tcW w:w="2355" w:type="dxa"/>
            <w:vAlign w:val="center"/>
          </w:tcPr>
          <w:p>
            <w:pPr>
              <w:pStyle w:val="33"/>
              <w:widowControl/>
              <w:spacing w:line="360" w:lineRule="auto"/>
              <w:jc w:val="left"/>
              <w:rPr>
                <w:rFonts w:ascii="宋体" w:hAnsi="宋体" w:cs="Arial"/>
                <w:bCs/>
                <w:color w:val="auto"/>
                <w:sz w:val="24"/>
                <w:highlight w:val="none"/>
              </w:rPr>
            </w:pPr>
            <w:r>
              <w:rPr>
                <w:rFonts w:hint="eastAsia" w:ascii="宋体" w:hAnsi="宋体" w:cs="Arial"/>
                <w:bCs/>
                <w:color w:val="auto"/>
                <w:sz w:val="24"/>
                <w:highlight w:val="none"/>
              </w:rPr>
              <w:t>培训方案（可用附页）</w:t>
            </w:r>
          </w:p>
        </w:tc>
        <w:tc>
          <w:tcPr>
            <w:tcW w:w="4061" w:type="dxa"/>
          </w:tcPr>
          <w:p>
            <w:pPr>
              <w:pStyle w:val="33"/>
              <w:widowControl/>
              <w:spacing w:line="360" w:lineRule="auto"/>
              <w:jc w:val="left"/>
              <w:rPr>
                <w:rFonts w:ascii="宋体" w:hAnsi="宋体" w:cs="Arial"/>
                <w:bCs/>
                <w:i/>
                <w:color w:val="auto"/>
                <w:sz w:val="24"/>
                <w:highlight w:val="none"/>
              </w:rPr>
            </w:pPr>
          </w:p>
          <w:p>
            <w:pPr>
              <w:pStyle w:val="33"/>
              <w:widowControl/>
              <w:spacing w:line="360" w:lineRule="auto"/>
              <w:jc w:val="left"/>
              <w:rPr>
                <w:rFonts w:ascii="宋体" w:hAnsi="宋体" w:cs="Arial"/>
                <w:bCs/>
                <w:i/>
                <w:color w:val="auto"/>
                <w:sz w:val="24"/>
                <w:highlight w:val="none"/>
              </w:rPr>
            </w:pPr>
          </w:p>
        </w:tc>
        <w:tc>
          <w:tcPr>
            <w:tcW w:w="1373" w:type="dxa"/>
          </w:tcPr>
          <w:p>
            <w:pPr>
              <w:pStyle w:val="33"/>
              <w:widowControl/>
              <w:spacing w:line="360" w:lineRule="auto"/>
              <w:jc w:val="left"/>
              <w:rPr>
                <w:rFonts w:ascii="宋体" w:hAnsi="宋体" w:cs="Arial"/>
                <w:bCs/>
                <w:i/>
                <w:color w:val="auto"/>
                <w:sz w:val="24"/>
                <w:highlight w:val="none"/>
              </w:rPr>
            </w:pPr>
          </w:p>
          <w:p>
            <w:pPr>
              <w:pStyle w:val="33"/>
              <w:widowControl/>
              <w:spacing w:line="360" w:lineRule="auto"/>
              <w:jc w:val="left"/>
              <w:rPr>
                <w:rFonts w:ascii="宋体" w:hAnsi="宋体" w:cs="Arial"/>
                <w:bCs/>
                <w:i/>
                <w:color w:val="auto"/>
                <w:sz w:val="24"/>
                <w:highlight w:val="none"/>
              </w:rPr>
            </w:pPr>
          </w:p>
          <w:p>
            <w:pPr>
              <w:pStyle w:val="33"/>
              <w:widowControl/>
              <w:spacing w:line="360" w:lineRule="auto"/>
              <w:jc w:val="left"/>
              <w:rPr>
                <w:rFonts w:ascii="宋体" w:hAnsi="宋体" w:cs="Arial"/>
                <w:bCs/>
                <w:i/>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9" w:hRule="exact"/>
          <w:jc w:val="center"/>
        </w:trPr>
        <w:tc>
          <w:tcPr>
            <w:tcW w:w="739" w:type="dxa"/>
            <w:vAlign w:val="center"/>
          </w:tcPr>
          <w:p>
            <w:pPr>
              <w:pStyle w:val="33"/>
              <w:widowControl/>
              <w:spacing w:line="360" w:lineRule="auto"/>
              <w:jc w:val="left"/>
              <w:rPr>
                <w:rFonts w:ascii="宋体" w:hAnsi="宋体" w:cs="Arial"/>
                <w:bCs/>
                <w:color w:val="auto"/>
                <w:sz w:val="24"/>
                <w:highlight w:val="none"/>
              </w:rPr>
            </w:pPr>
            <w:r>
              <w:rPr>
                <w:rFonts w:ascii="宋体" w:hAnsi="宋体" w:cs="Arial"/>
                <w:bCs/>
                <w:color w:val="auto"/>
                <w:sz w:val="24"/>
                <w:highlight w:val="none"/>
              </w:rPr>
              <w:t>……</w:t>
            </w:r>
          </w:p>
        </w:tc>
        <w:tc>
          <w:tcPr>
            <w:tcW w:w="2355" w:type="dxa"/>
            <w:vAlign w:val="center"/>
          </w:tcPr>
          <w:p>
            <w:pPr>
              <w:pStyle w:val="33"/>
              <w:widowControl/>
              <w:spacing w:line="360" w:lineRule="auto"/>
              <w:jc w:val="left"/>
              <w:rPr>
                <w:rFonts w:ascii="宋体" w:hAnsi="宋体" w:cs="Arial"/>
                <w:bCs/>
                <w:color w:val="auto"/>
                <w:sz w:val="24"/>
                <w:highlight w:val="none"/>
              </w:rPr>
            </w:pPr>
            <w:r>
              <w:rPr>
                <w:rFonts w:ascii="宋体" w:hAnsi="宋体" w:cs="Arial"/>
                <w:bCs/>
                <w:color w:val="auto"/>
                <w:sz w:val="24"/>
                <w:highlight w:val="none"/>
              </w:rPr>
              <w:t>……</w:t>
            </w:r>
          </w:p>
        </w:tc>
        <w:tc>
          <w:tcPr>
            <w:tcW w:w="4061" w:type="dxa"/>
          </w:tcPr>
          <w:p>
            <w:pPr>
              <w:pStyle w:val="33"/>
              <w:widowControl/>
              <w:spacing w:line="360" w:lineRule="auto"/>
              <w:jc w:val="left"/>
              <w:rPr>
                <w:rFonts w:ascii="宋体" w:hAnsi="宋体" w:cs="Arial"/>
                <w:bCs/>
                <w:color w:val="auto"/>
                <w:sz w:val="24"/>
                <w:highlight w:val="none"/>
              </w:rPr>
            </w:pPr>
          </w:p>
        </w:tc>
        <w:tc>
          <w:tcPr>
            <w:tcW w:w="1373" w:type="dxa"/>
          </w:tcPr>
          <w:p>
            <w:pPr>
              <w:pStyle w:val="33"/>
              <w:widowControl/>
              <w:spacing w:line="360" w:lineRule="auto"/>
              <w:jc w:val="left"/>
              <w:rPr>
                <w:rFonts w:ascii="宋体" w:hAnsi="宋体" w:cs="Arial"/>
                <w:bCs/>
                <w:color w:val="auto"/>
                <w:sz w:val="24"/>
                <w:highlight w:val="none"/>
              </w:rPr>
            </w:pPr>
          </w:p>
        </w:tc>
      </w:tr>
    </w:tbl>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hint="eastAsia" w:ascii="宋体" w:hAnsi="宋体"/>
          <w:color w:val="auto"/>
          <w:sz w:val="24"/>
          <w:highlight w:val="none"/>
        </w:rPr>
        <w:sectPr>
          <w:pgSz w:w="11906" w:h="16838"/>
          <w:pgMar w:top="1440" w:right="1800" w:bottom="1440" w:left="1800" w:header="851" w:footer="992" w:gutter="0"/>
          <w:cols w:space="425" w:num="1"/>
          <w:docGrid w:type="lines" w:linePitch="312" w:charSpace="0"/>
        </w:sectPr>
      </w:pPr>
      <w:r>
        <w:rPr>
          <w:rFonts w:hint="eastAsia" w:ascii="宋体" w:hAnsi="宋体"/>
          <w:color w:val="auto"/>
          <w:sz w:val="24"/>
          <w:highlight w:val="none"/>
        </w:rPr>
        <w:t>日        期：</w:t>
      </w:r>
    </w:p>
    <w:p>
      <w:pPr>
        <w:spacing w:line="360" w:lineRule="auto"/>
        <w:ind w:right="-110"/>
        <w:jc w:val="left"/>
        <w:rPr>
          <w:rFonts w:ascii="宋体" w:hAnsi="宋体"/>
          <w:color w:val="auto"/>
          <w:spacing w:val="40"/>
          <w:sz w:val="52"/>
          <w:szCs w:val="52"/>
          <w:highlight w:val="none"/>
        </w:rPr>
      </w:pPr>
      <w:r>
        <w:rPr>
          <w:rFonts w:hint="eastAsia" w:ascii="宋体" w:hAnsi="宋体"/>
          <w:b/>
          <w:color w:val="auto"/>
          <w:sz w:val="28"/>
          <w:highlight w:val="none"/>
        </w:rPr>
        <w:t>附件15</w:t>
      </w:r>
    </w:p>
    <w:p>
      <w:pPr>
        <w:spacing w:beforeLines="100" w:line="360" w:lineRule="auto"/>
        <w:ind w:right="-108"/>
        <w:jc w:val="center"/>
        <w:rPr>
          <w:rFonts w:hint="eastAsia" w:ascii="宋体" w:hAnsi="宋体"/>
          <w:color w:val="auto"/>
          <w:sz w:val="36"/>
          <w:szCs w:val="36"/>
          <w:highlight w:val="none"/>
          <w:lang w:eastAsia="zh-CN"/>
        </w:rPr>
      </w:pPr>
      <w:r>
        <w:rPr>
          <w:rFonts w:hint="eastAsia" w:ascii="宋体" w:hAnsi="宋体"/>
          <w:color w:val="auto"/>
          <w:sz w:val="36"/>
          <w:szCs w:val="36"/>
          <w:highlight w:val="none"/>
          <w:lang w:eastAsia="zh-CN"/>
        </w:rPr>
        <w:t>2018年玉环市公安局交通警察大队“天眼工程”（二期）（重新）</w:t>
      </w:r>
    </w:p>
    <w:p>
      <w:pPr>
        <w:spacing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w:t>
      </w:r>
    </w:p>
    <w:p>
      <w:pPr>
        <w:spacing w:after="100" w:afterAutospacing="1" w:line="360" w:lineRule="auto"/>
        <w:ind w:right="-108"/>
        <w:jc w:val="center"/>
        <w:rPr>
          <w:rFonts w:ascii="宋体" w:hAnsi="宋体"/>
          <w:b/>
          <w:color w:val="auto"/>
          <w:spacing w:val="40"/>
          <w:sz w:val="84"/>
          <w:szCs w:val="84"/>
          <w:highlight w:val="none"/>
        </w:rPr>
      </w:pP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报</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价</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文</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件</w:t>
      </w:r>
    </w:p>
    <w:p>
      <w:pPr>
        <w:spacing w:line="360" w:lineRule="auto"/>
        <w:ind w:right="532"/>
        <w:jc w:val="center"/>
        <w:rPr>
          <w:rFonts w:ascii="宋体" w:hAnsi="宋体"/>
          <w:color w:val="auto"/>
          <w:sz w:val="36"/>
          <w:szCs w:val="36"/>
          <w:highlight w:val="none"/>
        </w:rPr>
      </w:pP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供应商全称（公章）：</w:t>
      </w:r>
    </w:p>
    <w:p>
      <w:pPr>
        <w:spacing w:line="360" w:lineRule="auto"/>
        <w:ind w:right="-108"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108"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pacing w:line="360" w:lineRule="auto"/>
        <w:ind w:right="-108"/>
        <w:jc w:val="center"/>
        <w:rPr>
          <w:rFonts w:ascii="仿宋_GB2312" w:hAnsi="宋体" w:eastAsia="仿宋_GB2312"/>
          <w:b/>
          <w:color w:val="auto"/>
          <w:sz w:val="36"/>
          <w:szCs w:val="36"/>
          <w:highlight w:val="none"/>
        </w:rPr>
      </w:pPr>
    </w:p>
    <w:p>
      <w:pPr>
        <w:spacing w:line="360" w:lineRule="auto"/>
        <w:ind w:right="-108"/>
        <w:jc w:val="center"/>
        <w:rPr>
          <w:rFonts w:ascii="宋体" w:hAnsi="宋体"/>
          <w:b/>
          <w:color w:val="auto"/>
          <w:sz w:val="32"/>
          <w:szCs w:val="32"/>
          <w:highlight w:val="none"/>
        </w:rPr>
      </w:pPr>
      <w:r>
        <w:rPr>
          <w:rFonts w:hint="eastAsia" w:ascii="宋体" w:hAnsi="宋体"/>
          <w:b/>
          <w:color w:val="auto"/>
          <w:sz w:val="32"/>
          <w:szCs w:val="32"/>
          <w:highlight w:val="none"/>
        </w:rPr>
        <w:t>报价文件目录</w:t>
      </w:r>
    </w:p>
    <w:p>
      <w:pPr>
        <w:spacing w:line="360" w:lineRule="auto"/>
        <w:ind w:right="-108"/>
        <w:jc w:val="center"/>
        <w:rPr>
          <w:rFonts w:ascii="仿宋_GB2312" w:hAnsi="宋体" w:eastAsia="仿宋_GB2312"/>
          <w:b/>
          <w:color w:val="auto"/>
          <w:sz w:val="36"/>
          <w:szCs w:val="36"/>
          <w:highlight w:val="none"/>
        </w:rPr>
      </w:pPr>
    </w:p>
    <w:p>
      <w:pPr>
        <w:spacing w:line="360" w:lineRule="auto"/>
        <w:rPr>
          <w:rFonts w:ascii="宋体" w:hAnsi="宋体"/>
          <w:color w:val="auto"/>
          <w:sz w:val="24"/>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1、开标一览表（附件16）；</w:t>
      </w:r>
    </w:p>
    <w:p>
      <w:pPr>
        <w:pStyle w:val="13"/>
        <w:snapToGrid w:val="0"/>
        <w:spacing w:line="360" w:lineRule="auto"/>
        <w:ind w:left="0" w:leftChars="0"/>
        <w:rPr>
          <w:rFonts w:ascii="宋体" w:hAnsi="宋体" w:eastAsia="宋体"/>
          <w:color w:val="auto"/>
          <w:sz w:val="24"/>
          <w:szCs w:val="24"/>
          <w:highlight w:val="none"/>
        </w:rPr>
      </w:pPr>
      <w:r>
        <w:rPr>
          <w:rFonts w:hint="eastAsia" w:ascii="宋体" w:hAnsi="宋体" w:eastAsia="宋体"/>
          <w:color w:val="auto"/>
          <w:sz w:val="24"/>
          <w:szCs w:val="24"/>
          <w:highlight w:val="none"/>
        </w:rPr>
        <w:t>2、报价明细表</w:t>
      </w:r>
      <w:r>
        <w:rPr>
          <w:rFonts w:hint="eastAsia" w:ascii="宋体" w:hAnsi="宋体"/>
          <w:color w:val="auto"/>
          <w:sz w:val="24"/>
          <w:highlight w:val="none"/>
        </w:rPr>
        <w:t>（附件17）</w:t>
      </w:r>
      <w:r>
        <w:rPr>
          <w:rFonts w:hint="eastAsia" w:ascii="宋体" w:hAnsi="宋体" w:eastAsia="宋体"/>
          <w:color w:val="auto"/>
          <w:sz w:val="24"/>
          <w:szCs w:val="24"/>
          <w:highlight w:val="none"/>
        </w:rPr>
        <w:t>；</w:t>
      </w:r>
    </w:p>
    <w:p>
      <w:pPr>
        <w:snapToGrid w:val="0"/>
        <w:spacing w:line="360" w:lineRule="auto"/>
        <w:rPr>
          <w:rFonts w:ascii="宋体" w:hAnsi="宋体"/>
          <w:color w:val="auto"/>
          <w:sz w:val="24"/>
          <w:highlight w:val="none"/>
        </w:rPr>
      </w:pPr>
      <w:r>
        <w:rPr>
          <w:rFonts w:hint="eastAsia" w:hAnsi="宋体"/>
          <w:color w:val="auto"/>
          <w:sz w:val="24"/>
          <w:highlight w:val="none"/>
        </w:rPr>
        <w:t>3、</w:t>
      </w:r>
      <w:r>
        <w:rPr>
          <w:rFonts w:hint="eastAsia" w:ascii="宋体" w:hAnsi="宋体"/>
          <w:color w:val="auto"/>
          <w:sz w:val="24"/>
          <w:highlight w:val="none"/>
        </w:rPr>
        <w:t>针对报价投标人认为其他需要说明的；</w:t>
      </w:r>
    </w:p>
    <w:p>
      <w:pPr>
        <w:spacing w:line="360" w:lineRule="auto"/>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rPr>
          <w:rFonts w:hint="eastAsia" w:ascii="宋体" w:hAnsi="宋体"/>
          <w:b/>
          <w:color w:val="auto"/>
          <w:sz w:val="28"/>
          <w:highlight w:val="none"/>
        </w:r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auto"/>
          <w:sz w:val="28"/>
          <w:highlight w:val="none"/>
        </w:rPr>
      </w:pPr>
      <w:r>
        <w:rPr>
          <w:rFonts w:hint="eastAsia" w:ascii="宋体" w:hAnsi="宋体"/>
          <w:b/>
          <w:color w:val="auto"/>
          <w:sz w:val="28"/>
          <w:highlight w:val="none"/>
        </w:rPr>
        <w:t>附件16</w:t>
      </w:r>
    </w:p>
    <w:p>
      <w:pPr>
        <w:spacing w:line="360" w:lineRule="auto"/>
        <w:ind w:left="-2" w:hanging="2"/>
        <w:jc w:val="center"/>
        <w:rPr>
          <w:rFonts w:ascii="宋体" w:hAnsi="宋体"/>
          <w:b/>
          <w:color w:val="auto"/>
          <w:sz w:val="32"/>
          <w:szCs w:val="32"/>
          <w:highlight w:val="none"/>
        </w:rPr>
      </w:pPr>
      <w:r>
        <w:rPr>
          <w:rFonts w:hint="eastAsia" w:ascii="宋体" w:hAnsi="宋体"/>
          <w:b/>
          <w:color w:val="auto"/>
          <w:sz w:val="32"/>
          <w:szCs w:val="32"/>
          <w:highlight w:val="none"/>
        </w:rPr>
        <w:t>开标一览表</w:t>
      </w:r>
    </w:p>
    <w:p>
      <w:pPr>
        <w:spacing w:line="360" w:lineRule="auto"/>
        <w:ind w:left="-2" w:hanging="2"/>
        <w:jc w:val="center"/>
        <w:rPr>
          <w:rFonts w:ascii="宋体" w:hAnsi="宋体"/>
          <w:b/>
          <w:color w:val="auto"/>
          <w:sz w:val="32"/>
          <w:szCs w:val="32"/>
          <w:highlight w:val="none"/>
        </w:rPr>
      </w:pPr>
    </w:p>
    <w:p>
      <w:pPr>
        <w:pStyle w:val="2"/>
        <w:spacing w:line="320" w:lineRule="exact"/>
        <w:rPr>
          <w:rFonts w:hAnsi="宋体"/>
          <w:b/>
          <w:color w:val="auto"/>
          <w:sz w:val="24"/>
          <w:highlight w:val="none"/>
        </w:rPr>
      </w:pPr>
      <w:r>
        <w:rPr>
          <w:rFonts w:hAnsi="宋体"/>
          <w:b/>
          <w:color w:val="auto"/>
          <w:sz w:val="24"/>
          <w:highlight w:val="none"/>
        </w:rPr>
        <w:t>项目编号：</w:t>
      </w:r>
    </w:p>
    <w:p>
      <w:pPr>
        <w:pStyle w:val="37"/>
        <w:spacing w:line="360" w:lineRule="auto"/>
        <w:ind w:right="480"/>
        <w:jc w:val="left"/>
        <w:rPr>
          <w:rFonts w:hAnsi="宋体"/>
          <w:color w:val="auto"/>
          <w:sz w:val="24"/>
          <w:highlight w:val="none"/>
        </w:rPr>
      </w:pPr>
      <w:r>
        <w:rPr>
          <w:rFonts w:hAnsi="宋体"/>
          <w:b/>
          <w:color w:val="auto"/>
          <w:sz w:val="24"/>
          <w:highlight w:val="none"/>
        </w:rPr>
        <w:t>项目名称：</w:t>
      </w:r>
      <w:r>
        <w:rPr>
          <w:rFonts w:hint="eastAsia" w:ascii="宋体" w:hAnsi="宋体"/>
          <w:color w:val="auto"/>
          <w:sz w:val="24"/>
          <w:highlight w:val="none"/>
        </w:rPr>
        <w:t xml:space="preserve">                                     [货币单位：人民币元]</w:t>
      </w:r>
    </w:p>
    <w:tbl>
      <w:tblPr>
        <w:tblStyle w:val="20"/>
        <w:tblW w:w="8672" w:type="dxa"/>
        <w:jc w:val="center"/>
        <w:tblInd w:w="-15"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highlight w:val="none"/>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 w:val="24"/>
                <w:highlight w:val="none"/>
              </w:rPr>
            </w:pPr>
          </w:p>
        </w:tc>
      </w:tr>
    </w:tbl>
    <w:p>
      <w:pPr>
        <w:spacing w:line="360" w:lineRule="auto"/>
        <w:ind w:left="480"/>
        <w:rPr>
          <w:rFonts w:ascii="宋体" w:hAnsi="宋体"/>
          <w:b/>
          <w:color w:val="auto"/>
          <w:sz w:val="30"/>
          <w:highlight w:val="none"/>
        </w:rPr>
      </w:pPr>
    </w:p>
    <w:p>
      <w:pPr>
        <w:spacing w:line="360" w:lineRule="auto"/>
        <w:rPr>
          <w:rFonts w:ascii="宋体" w:hAnsi="宋体"/>
          <w:color w:val="auto"/>
          <w:sz w:val="24"/>
          <w:highlight w:val="none"/>
        </w:rPr>
      </w:pPr>
      <w:r>
        <w:rPr>
          <w:rFonts w:hint="eastAsia" w:ascii="宋体" w:hAnsi="宋体"/>
          <w:b/>
          <w:color w:val="auto"/>
          <w:szCs w:val="21"/>
          <w:highlight w:val="none"/>
        </w:rPr>
        <w:t>填报要求：</w:t>
      </w:r>
    </w:p>
    <w:p>
      <w:pPr>
        <w:pStyle w:val="9"/>
        <w:spacing w:line="360" w:lineRule="auto"/>
        <w:ind w:firstLineChars="200"/>
        <w:rPr>
          <w:rFonts w:ascii="宋体" w:hAnsi="宋体"/>
          <w:color w:val="auto"/>
          <w:kern w:val="0"/>
          <w:szCs w:val="21"/>
          <w:highlight w:val="none"/>
        </w:rPr>
      </w:pPr>
      <w:r>
        <w:rPr>
          <w:rFonts w:hint="eastAsia" w:ascii="宋体" w:hAnsi="宋体"/>
          <w:color w:val="auto"/>
          <w:kern w:val="0"/>
          <w:szCs w:val="21"/>
          <w:highlight w:val="none"/>
        </w:rPr>
        <w:t>1.投标</w:t>
      </w:r>
      <w:r>
        <w:rPr>
          <w:rFonts w:hint="eastAsia" w:ascii="宋体" w:hAnsi="宋体"/>
          <w:color w:val="auto"/>
          <w:kern w:val="0"/>
          <w:szCs w:val="21"/>
          <w:highlight w:val="none"/>
          <w:lang w:eastAsia="zh-CN"/>
        </w:rPr>
        <w:t>总</w:t>
      </w:r>
      <w:r>
        <w:rPr>
          <w:rFonts w:hint="eastAsia" w:ascii="宋体" w:hAnsi="宋体"/>
          <w:color w:val="auto"/>
          <w:kern w:val="0"/>
          <w:szCs w:val="21"/>
          <w:highlight w:val="none"/>
        </w:rPr>
        <w:t>报价是包括货款、标准附件、备品备件、专用工具、包装、运输、装卸、保险、税金、货到就位以及安装、调试、培训、保修、合同包含的所有风险责任等各项费用及不可预见费等所需的全部费用。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b/>
          <w:i/>
          <w:color w:val="auto"/>
          <w:szCs w:val="21"/>
          <w:highlight w:val="none"/>
          <w:u w:val="single"/>
        </w:rPr>
      </w:pPr>
      <w:r>
        <w:rPr>
          <w:rFonts w:hint="eastAsia" w:ascii="宋体" w:hAnsi="宋体"/>
          <w:color w:val="auto"/>
          <w:kern w:val="0"/>
          <w:szCs w:val="21"/>
          <w:highlight w:val="none"/>
        </w:rPr>
        <w:t>2.报价一经涂改，应在涂改处加盖单位公章，或者由法定代表人或全权代表</w:t>
      </w:r>
      <w:r>
        <w:rPr>
          <w:rFonts w:hint="eastAsia" w:ascii="宋体" w:hAnsi="宋体"/>
          <w:color w:val="auto"/>
          <w:kern w:val="0"/>
          <w:szCs w:val="21"/>
          <w:highlight w:val="none"/>
          <w:lang w:eastAsia="zh-CN"/>
        </w:rPr>
        <w:t>签字</w:t>
      </w:r>
      <w:r>
        <w:rPr>
          <w:rFonts w:hint="eastAsia" w:ascii="宋体" w:hAnsi="宋体"/>
          <w:color w:val="auto"/>
          <w:kern w:val="0"/>
          <w:szCs w:val="21"/>
          <w:highlight w:val="none"/>
        </w:rPr>
        <w:t>或盖章，否则其投标作无效标处理。</w:t>
      </w: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pacing w:line="360" w:lineRule="auto"/>
        <w:rPr>
          <w:rFonts w:ascii="宋体" w:hAnsi="宋体"/>
          <w:b/>
          <w:color w:val="auto"/>
          <w:sz w:val="28"/>
          <w:highlight w:val="none"/>
        </w:rPr>
      </w:pPr>
      <w:r>
        <w:rPr>
          <w:rFonts w:hint="eastAsia" w:ascii="宋体" w:hAnsi="宋体"/>
          <w:b/>
          <w:color w:val="auto"/>
          <w:sz w:val="28"/>
          <w:highlight w:val="none"/>
        </w:rPr>
        <w:t>附件17</w:t>
      </w:r>
    </w:p>
    <w:p>
      <w:pPr>
        <w:spacing w:line="360" w:lineRule="auto"/>
        <w:ind w:left="480"/>
        <w:jc w:val="center"/>
        <w:rPr>
          <w:rFonts w:ascii="宋体" w:hAnsi="宋体"/>
          <w:color w:val="auto"/>
          <w:highlight w:val="none"/>
        </w:rPr>
      </w:pPr>
      <w:r>
        <w:rPr>
          <w:rFonts w:hint="eastAsia" w:ascii="宋体" w:hAnsi="宋体"/>
          <w:b/>
          <w:color w:val="auto"/>
          <w:sz w:val="32"/>
          <w:szCs w:val="32"/>
          <w:highlight w:val="none"/>
        </w:rPr>
        <w:t xml:space="preserve">报价明细表 </w:t>
      </w:r>
    </w:p>
    <w:p>
      <w:pPr>
        <w:spacing w:line="360" w:lineRule="auto"/>
        <w:rPr>
          <w:rFonts w:ascii="宋体" w:hAnsi="宋体"/>
          <w:color w:val="auto"/>
          <w:sz w:val="24"/>
          <w:highlight w:val="none"/>
        </w:rPr>
      </w:pPr>
      <w:r>
        <w:rPr>
          <w:rFonts w:hint="eastAsia" w:ascii="宋体" w:hAnsi="宋体"/>
          <w:color w:val="auto"/>
          <w:sz w:val="24"/>
          <w:highlight w:val="none"/>
        </w:rPr>
        <w:t xml:space="preserve">  项目编号：                                    [货币单位：人民币元]</w:t>
      </w:r>
    </w:p>
    <w:tbl>
      <w:tblPr>
        <w:tblStyle w:val="20"/>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477"/>
        <w:gridCol w:w="477"/>
        <w:gridCol w:w="479"/>
        <w:gridCol w:w="3612"/>
        <w:gridCol w:w="840"/>
        <w:gridCol w:w="718"/>
        <w:gridCol w:w="71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序号</w:t>
            </w:r>
          </w:p>
        </w:tc>
        <w:tc>
          <w:tcPr>
            <w:tcW w:w="1433" w:type="dxa"/>
            <w:gridSpan w:val="3"/>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设备名称</w:t>
            </w:r>
          </w:p>
        </w:tc>
        <w:tc>
          <w:tcPr>
            <w:tcW w:w="3612"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型号/规格/功能</w:t>
            </w:r>
          </w:p>
        </w:tc>
        <w:tc>
          <w:tcPr>
            <w:tcW w:w="840"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单位</w:t>
            </w:r>
          </w:p>
        </w:tc>
        <w:tc>
          <w:tcPr>
            <w:tcW w:w="718" w:type="dxa"/>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数量</w:t>
            </w:r>
          </w:p>
        </w:tc>
        <w:tc>
          <w:tcPr>
            <w:tcW w:w="718" w:type="dxa"/>
            <w:shd w:val="clear" w:color="auto" w:fill="auto"/>
            <w:vAlign w:val="center"/>
          </w:tcPr>
          <w:p>
            <w:pPr>
              <w:widowControl/>
              <w:jc w:val="center"/>
              <w:rPr>
                <w:rFonts w:hint="eastAsia" w:ascii="宋体" w:hAnsi="宋体" w:eastAsia="宋体" w:cs="宋体"/>
                <w:b/>
                <w:bCs/>
                <w:color w:val="auto"/>
                <w:kern w:val="0"/>
                <w:sz w:val="22"/>
                <w:highlight w:val="none"/>
                <w:lang w:eastAsia="zh-CN"/>
              </w:rPr>
            </w:pPr>
            <w:r>
              <w:rPr>
                <w:rFonts w:hint="eastAsia" w:ascii="宋体" w:hAnsi="宋体" w:cs="宋体"/>
                <w:b/>
                <w:bCs/>
                <w:color w:val="auto"/>
                <w:kern w:val="0"/>
                <w:sz w:val="22"/>
                <w:highlight w:val="none"/>
                <w:lang w:eastAsia="zh-CN"/>
              </w:rPr>
              <w:t>单价</w:t>
            </w:r>
          </w:p>
        </w:tc>
        <w:tc>
          <w:tcPr>
            <w:tcW w:w="718" w:type="dxa"/>
            <w:shd w:val="clear" w:color="auto" w:fill="auto"/>
            <w:vAlign w:val="center"/>
          </w:tcPr>
          <w:p>
            <w:pPr>
              <w:widowControl/>
              <w:jc w:val="center"/>
              <w:rPr>
                <w:rFonts w:hint="eastAsia" w:ascii="宋体" w:hAnsi="宋体" w:eastAsia="宋体" w:cs="宋体"/>
                <w:b/>
                <w:bCs/>
                <w:color w:val="auto"/>
                <w:kern w:val="0"/>
                <w:sz w:val="22"/>
                <w:highlight w:val="none"/>
                <w:lang w:eastAsia="zh-CN"/>
              </w:rPr>
            </w:pPr>
            <w:r>
              <w:rPr>
                <w:rFonts w:hint="eastAsia" w:ascii="宋体" w:hAnsi="宋体" w:cs="宋体"/>
                <w:b/>
                <w:bCs/>
                <w:color w:val="auto"/>
                <w:kern w:val="0"/>
                <w:sz w:val="22"/>
                <w:highlight w:val="none"/>
                <w:lang w:eastAsia="zh-CN"/>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800" w:type="dxa"/>
            <w:gridSpan w:val="8"/>
            <w:shd w:val="clear" w:color="auto" w:fill="auto"/>
            <w:vAlign w:val="center"/>
          </w:tcPr>
          <w:p>
            <w:pPr>
              <w:widowControl/>
              <w:jc w:val="center"/>
              <w:rPr>
                <w:rFonts w:hint="eastAsia" w:ascii="宋体" w:hAnsi="宋体" w:cs="宋体"/>
                <w:b/>
                <w:bCs/>
                <w:color w:val="auto"/>
                <w:kern w:val="0"/>
                <w:sz w:val="22"/>
                <w:highlight w:val="none"/>
                <w:lang w:eastAsia="zh-CN"/>
              </w:rPr>
            </w:pPr>
            <w:r>
              <w:rPr>
                <w:rFonts w:hint="eastAsia" w:ascii="宋体" w:hAnsi="宋体" w:cs="宋体"/>
                <w:b/>
                <w:bCs/>
                <w:color w:val="auto"/>
                <w:kern w:val="0"/>
                <w:sz w:val="22"/>
                <w:highlight w:val="none"/>
              </w:rPr>
              <w:t>交通态势分析系统</w:t>
            </w:r>
          </w:p>
        </w:tc>
        <w:tc>
          <w:tcPr>
            <w:tcW w:w="718" w:type="dxa"/>
            <w:shd w:val="clear" w:color="auto" w:fill="auto"/>
            <w:vAlign w:val="center"/>
          </w:tcPr>
          <w:p>
            <w:pPr>
              <w:widowControl/>
              <w:jc w:val="center"/>
              <w:rPr>
                <w:rFonts w:hint="default" w:ascii="宋体" w:hAnsi="宋体" w:eastAsia="宋体" w:cs="宋体"/>
                <w:b/>
                <w:bCs/>
                <w:color w:val="auto"/>
                <w:kern w:val="0"/>
                <w:sz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视频雷达车检器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设备借用天网或天眼杆件，含安装调试</w:t>
            </w:r>
          </w:p>
        </w:tc>
        <w:tc>
          <w:tcPr>
            <w:tcW w:w="840"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eastAsia="zh-CN"/>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55</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数据接入、系统应用部署和数据库服务服务器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4114(10核2.2GHz)×2/128GB DDR4/600G 10K SAS×2（raid1）/1.2T 10K SAS×8（raid 10）/SAS_HBA/1GbE×4+10GbE×2/2U电源：1+1冗余电源</w:t>
            </w:r>
          </w:p>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含数据通讯及接入转发软件</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大数据分析计算服务器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4114(10核2.2GHz)×2/128GB DDR4/600G 10K SAS×2（raid1）/1.2T 10K SAS×8（raid 10）/SAS_HBA/1GbE×4+10GbE×2/2U电源：1+1冗余电源</w:t>
            </w:r>
          </w:p>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含大数据框架软件</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477"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多维指标分析模块</w:t>
            </w:r>
          </w:p>
        </w:tc>
        <w:tc>
          <w:tcPr>
            <w:tcW w:w="477"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指标监测</w:t>
            </w: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指标评价</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以路段、道路、区域为交通对象，实时评价路段指标、道路指标、区域指标及其运行状态。</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477" w:type="dxa"/>
            <w:vMerge w:val="continue"/>
            <w:vAlign w:val="center"/>
          </w:tcPr>
          <w:p>
            <w:pPr>
              <w:widowControl/>
              <w:jc w:val="left"/>
              <w:rPr>
                <w:rFonts w:ascii="宋体" w:hAnsi="宋体" w:cs="宋体"/>
                <w:color w:val="auto"/>
                <w:kern w:val="0"/>
                <w:sz w:val="22"/>
                <w:highlight w:val="none"/>
              </w:rPr>
            </w:pPr>
          </w:p>
        </w:tc>
        <w:tc>
          <w:tcPr>
            <w:tcW w:w="477" w:type="dxa"/>
            <w:vMerge w:val="continue"/>
            <w:vAlign w:val="center"/>
          </w:tcPr>
          <w:p>
            <w:pPr>
              <w:widowControl/>
              <w:jc w:val="left"/>
              <w:rPr>
                <w:rFonts w:ascii="宋体" w:hAnsi="宋体" w:cs="宋体"/>
                <w:color w:val="auto"/>
                <w:kern w:val="0"/>
                <w:sz w:val="22"/>
                <w:highlight w:val="none"/>
              </w:rPr>
            </w:pP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指标报警</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对城市路段、道路、区域的常发及突发的自动报警。</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477" w:type="dxa"/>
            <w:vMerge w:val="continue"/>
            <w:vAlign w:val="center"/>
          </w:tcPr>
          <w:p>
            <w:pPr>
              <w:widowControl/>
              <w:jc w:val="left"/>
              <w:rPr>
                <w:rFonts w:ascii="宋体" w:hAnsi="宋体" w:cs="宋体"/>
                <w:color w:val="auto"/>
                <w:kern w:val="0"/>
                <w:sz w:val="22"/>
                <w:highlight w:val="none"/>
              </w:rPr>
            </w:pPr>
          </w:p>
        </w:tc>
        <w:tc>
          <w:tcPr>
            <w:tcW w:w="477" w:type="dxa"/>
            <w:vMerge w:val="continue"/>
            <w:vAlign w:val="center"/>
          </w:tcPr>
          <w:p>
            <w:pPr>
              <w:widowControl/>
              <w:jc w:val="left"/>
              <w:rPr>
                <w:rFonts w:ascii="宋体" w:hAnsi="宋体" w:cs="宋体"/>
                <w:color w:val="auto"/>
                <w:kern w:val="0"/>
                <w:sz w:val="22"/>
                <w:highlight w:val="none"/>
              </w:rPr>
            </w:pP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指标回放</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对历史的交通流指标进行回放，</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477" w:type="dxa"/>
            <w:vMerge w:val="continue"/>
            <w:vAlign w:val="center"/>
          </w:tcPr>
          <w:p>
            <w:pPr>
              <w:widowControl/>
              <w:jc w:val="left"/>
              <w:rPr>
                <w:rFonts w:ascii="宋体" w:hAnsi="宋体" w:cs="宋体"/>
                <w:color w:val="auto"/>
                <w:kern w:val="0"/>
                <w:sz w:val="22"/>
                <w:highlight w:val="none"/>
              </w:rPr>
            </w:pPr>
          </w:p>
        </w:tc>
        <w:tc>
          <w:tcPr>
            <w:tcW w:w="477" w:type="dxa"/>
            <w:vMerge w:val="continue"/>
            <w:vAlign w:val="center"/>
          </w:tcPr>
          <w:p>
            <w:pPr>
              <w:widowControl/>
              <w:jc w:val="left"/>
              <w:rPr>
                <w:rFonts w:ascii="宋体" w:hAnsi="宋体" w:cs="宋体"/>
                <w:color w:val="auto"/>
                <w:kern w:val="0"/>
                <w:sz w:val="22"/>
                <w:highlight w:val="none"/>
              </w:rPr>
            </w:pP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指标预测</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包括长时预测、短时预测、节假日预测。</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477" w:type="dxa"/>
            <w:vMerge w:val="continue"/>
            <w:vAlign w:val="center"/>
          </w:tcPr>
          <w:p>
            <w:pPr>
              <w:widowControl/>
              <w:jc w:val="left"/>
              <w:rPr>
                <w:rFonts w:ascii="宋体" w:hAnsi="宋体" w:cs="宋体"/>
                <w:color w:val="auto"/>
                <w:kern w:val="0"/>
                <w:sz w:val="22"/>
                <w:highlight w:val="none"/>
              </w:rPr>
            </w:pP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指标检索</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路段、道路、区域等对象下，时间和空间等多项条件联合检索，精确定位检索目标，还可定向溯源确定数据来源的设备。</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477" w:type="dxa"/>
            <w:vMerge w:val="continue"/>
            <w:vAlign w:val="center"/>
          </w:tcPr>
          <w:p>
            <w:pPr>
              <w:widowControl/>
              <w:jc w:val="left"/>
              <w:rPr>
                <w:rFonts w:ascii="宋体" w:hAnsi="宋体" w:cs="宋体"/>
                <w:color w:val="auto"/>
                <w:kern w:val="0"/>
                <w:sz w:val="22"/>
                <w:highlight w:val="none"/>
              </w:rPr>
            </w:pP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统计分析</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以路段、道路、区域为交通对象，进行多维统计</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477"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出行分析</w:t>
            </w:r>
          </w:p>
        </w:tc>
        <w:tc>
          <w:tcPr>
            <w:tcW w:w="477"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车流分析</w:t>
            </w: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交叉口流入流出分析</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通过分析流入或流出该交叉口的车流轨迹，结合中心交叉口上游或下游的周围交叉口的车流信息，获得流入流出中心交叉口不同时段的流量比例等信息</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477" w:type="dxa"/>
            <w:vMerge w:val="continue"/>
            <w:vAlign w:val="center"/>
          </w:tcPr>
          <w:p>
            <w:pPr>
              <w:widowControl/>
              <w:jc w:val="left"/>
              <w:rPr>
                <w:rFonts w:ascii="宋体" w:hAnsi="宋体" w:cs="宋体"/>
                <w:color w:val="auto"/>
                <w:kern w:val="0"/>
                <w:sz w:val="22"/>
                <w:highlight w:val="none"/>
              </w:rPr>
            </w:pPr>
          </w:p>
        </w:tc>
        <w:tc>
          <w:tcPr>
            <w:tcW w:w="477" w:type="dxa"/>
            <w:vMerge w:val="continue"/>
            <w:vAlign w:val="center"/>
          </w:tcPr>
          <w:p>
            <w:pPr>
              <w:widowControl/>
              <w:jc w:val="left"/>
              <w:rPr>
                <w:rFonts w:ascii="宋体" w:hAnsi="宋体" w:cs="宋体"/>
                <w:color w:val="auto"/>
                <w:kern w:val="0"/>
                <w:sz w:val="22"/>
                <w:highlight w:val="none"/>
              </w:rPr>
            </w:pP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路段来源去向分析</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通过分析通过中心路段上游或下游的周围路段的车流轨迹和交通流指标，获得流入流出中心路段不同时段的的拥堵情况和流量信息</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477" w:type="dxa"/>
            <w:vMerge w:val="continue"/>
            <w:vAlign w:val="center"/>
          </w:tcPr>
          <w:p>
            <w:pPr>
              <w:widowControl/>
              <w:jc w:val="left"/>
              <w:rPr>
                <w:rFonts w:ascii="宋体" w:hAnsi="宋体" w:cs="宋体"/>
                <w:color w:val="auto"/>
                <w:kern w:val="0"/>
                <w:sz w:val="22"/>
                <w:highlight w:val="none"/>
              </w:rPr>
            </w:pPr>
          </w:p>
        </w:tc>
        <w:tc>
          <w:tcPr>
            <w:tcW w:w="477" w:type="dxa"/>
            <w:vMerge w:val="continue"/>
            <w:vAlign w:val="center"/>
          </w:tcPr>
          <w:p>
            <w:pPr>
              <w:widowControl/>
              <w:jc w:val="left"/>
              <w:rPr>
                <w:rFonts w:ascii="宋体" w:hAnsi="宋体" w:cs="宋体"/>
                <w:color w:val="auto"/>
                <w:kern w:val="0"/>
                <w:sz w:val="22"/>
                <w:highlight w:val="none"/>
              </w:rPr>
            </w:pPr>
          </w:p>
        </w:tc>
        <w:tc>
          <w:tcPr>
            <w:tcW w:w="479"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区域关键路径</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分析流入或流出指定某个区域的车流量、关键路径和关键路径的车型分类</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13</w:t>
            </w:r>
          </w:p>
        </w:tc>
        <w:tc>
          <w:tcPr>
            <w:tcW w:w="477" w:type="dxa"/>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数据监测</w:t>
            </w: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数据监测</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对接入的流量检测仪等设备的数据进行在线和离线情况等多个方面的精细分析</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14</w:t>
            </w:r>
          </w:p>
        </w:tc>
        <w:tc>
          <w:tcPr>
            <w:tcW w:w="477"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运行报告及可视化</w:t>
            </w: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运行报告</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按周、月、年不同的时间维度自动生成包括拥堵情况总体概述，全城和重点区域的拥堵指数、运行速度、拥堵时间和最拥堵路段排名的报告</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15</w:t>
            </w:r>
          </w:p>
        </w:tc>
        <w:tc>
          <w:tcPr>
            <w:tcW w:w="477" w:type="dxa"/>
            <w:vMerge w:val="continue"/>
            <w:vAlign w:val="center"/>
          </w:tcPr>
          <w:p>
            <w:pPr>
              <w:widowControl/>
              <w:jc w:val="left"/>
              <w:rPr>
                <w:rFonts w:ascii="宋体" w:hAnsi="宋体" w:cs="宋体"/>
                <w:color w:val="auto"/>
                <w:kern w:val="0"/>
                <w:sz w:val="22"/>
                <w:highlight w:val="none"/>
              </w:rPr>
            </w:pP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可视化</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交通流数据可视化大屏展示。展示的内容包括运行指数、平均速度、拥堵路段、车流量等信息</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16</w:t>
            </w:r>
          </w:p>
        </w:tc>
        <w:tc>
          <w:tcPr>
            <w:tcW w:w="477" w:type="dxa"/>
            <w:vMerge w:val="restart"/>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系统配置</w:t>
            </w: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系统配置</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对产品功能及算法层面参数的设置</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17</w:t>
            </w:r>
          </w:p>
        </w:tc>
        <w:tc>
          <w:tcPr>
            <w:tcW w:w="477" w:type="dxa"/>
            <w:vMerge w:val="continue"/>
            <w:vAlign w:val="center"/>
          </w:tcPr>
          <w:p>
            <w:pPr>
              <w:widowControl/>
              <w:jc w:val="left"/>
              <w:rPr>
                <w:rFonts w:ascii="宋体" w:hAnsi="宋体" w:cs="宋体"/>
                <w:color w:val="auto"/>
                <w:kern w:val="0"/>
                <w:sz w:val="22"/>
                <w:highlight w:val="none"/>
              </w:rPr>
            </w:pPr>
          </w:p>
        </w:tc>
        <w:tc>
          <w:tcPr>
            <w:tcW w:w="956" w:type="dxa"/>
            <w:gridSpan w:val="2"/>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实施部署</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路网绘制、数据接入、数据校验、结果优化等实施工作</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警用摩托勤务管理系统</w:t>
            </w:r>
          </w:p>
        </w:tc>
        <w:tc>
          <w:tcPr>
            <w:tcW w:w="718" w:type="dxa"/>
            <w:shd w:val="clear" w:color="auto" w:fill="auto"/>
            <w:noWrap/>
            <w:vAlign w:val="center"/>
          </w:tcPr>
          <w:p>
            <w:pPr>
              <w:widowControl/>
              <w:jc w:val="center"/>
              <w:rPr>
                <w:rFonts w:hint="eastAsia" w:ascii="宋体" w:hAnsi="宋体" w:cs="宋体"/>
                <w:b/>
                <w:bCs/>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铁骑勤务考核管理服务器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铁骑勤务考核管理软件</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设备接入：50台；警力警卫、轨迹回放、勤务排版、行驶轨迹统计、出警数据对接定制等功能；</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移动缉查布控系统</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利用智能化车载设备，实现违停车辆的自动违法取证</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警用智能执法无人机系统</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智能自主巡逻、监视、预警喊话的警用智能执法无人机系统</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重点车辆通讯传输流量费</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重点车辆信息实时传输3年流量通讯费用</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数字勤务中心升级建设</w:t>
            </w:r>
          </w:p>
        </w:tc>
        <w:tc>
          <w:tcPr>
            <w:tcW w:w="718" w:type="dxa"/>
            <w:shd w:val="clear" w:color="auto" w:fill="auto"/>
            <w:noWrap/>
            <w:vAlign w:val="center"/>
          </w:tcPr>
          <w:p>
            <w:pPr>
              <w:widowControl/>
              <w:jc w:val="center"/>
              <w:rPr>
                <w:rFonts w:hint="eastAsia" w:ascii="宋体" w:hAnsi="宋体" w:cs="宋体"/>
                <w:b/>
                <w:bCs/>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55寸拼接屏</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大屏支架</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采用高强度铝合金或钢材，能够承担重力抗变形，根据现场尺寸定制，并且需要跟装修配套</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视频综合平台</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网络摇杆控制键盘</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办公电脑</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含24寸宽屏液晶显示器；Intel I7以上，8G内存,速度DDR4.，硬盘容量:2TB（7200转，硬盘不返还维修）；2G独显；DVD光驱；视频接口：VGA\HDMI；含鼠标、键盘；显示器与主机同一品牌。</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交换机</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全网管三层交换机，机架式，24个千兆电口，4个千兆光口，交换容量336Gbps，包转发率96Mpps，1U高度，19英寸宽，工作温度：0℃～45℃，满负荷功耗24W；支持RIP/OSPF/VRRP，IPv6，VLAN，流量控制，ACL，QoS，端口镜像，环网RRPP/ERPS、支持SNMP V1/V2c/V3网管</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操作台</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 xml:space="preserve">配套工位含办公椅，单个操作工位≥1200*600*760mm(根据中队实际情况确定工位长度)，2、台板采用中密度板为基材应采用防火、防潮、防刻划、强度高的防火板，台板整体厚度不得低于36mm，3、框架采用优质冷轧钢板，材料厚度≥1.2mm。4、 每工位配备配件包含6位国标万能孔插座电源条1件，安装所需的紧固件配件。                                                                                       </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工位</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网络机柜</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机柜(600*800*2000)，含2个8位PDU，优质冷轧钢板，厚度2mm。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视频切换器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HDMI切换器，二进一出。分辨率:1080P/4K</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线缆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大屏、计算机连接线缆等</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安装辅材</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根据现场情况定制</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批</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机动车不礼让行人抓拍系统</w:t>
            </w:r>
          </w:p>
        </w:tc>
        <w:tc>
          <w:tcPr>
            <w:tcW w:w="718" w:type="dxa"/>
            <w:shd w:val="clear" w:color="auto" w:fill="auto"/>
            <w:noWrap/>
            <w:vAlign w:val="center"/>
          </w:tcPr>
          <w:p>
            <w:pPr>
              <w:widowControl/>
              <w:jc w:val="center"/>
              <w:rPr>
                <w:rFonts w:hint="eastAsia" w:ascii="宋体" w:hAnsi="宋体" w:cs="宋体"/>
                <w:b/>
                <w:bCs/>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智能交通终端管理设备</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抱杆机箱</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5</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一体化高清抓拍单元</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LED补光灯</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11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4光</w:t>
            </w:r>
            <w:r>
              <w:rPr>
                <w:rFonts w:hint="eastAsia" w:ascii="宋体" w:hAnsi="宋体" w:cs="宋体"/>
                <w:color w:val="auto"/>
                <w:kern w:val="0"/>
                <w:sz w:val="22"/>
                <w:highlight w:val="none"/>
                <w:lang w:val="en-US" w:eastAsia="zh-CN"/>
              </w:rPr>
              <w:t>4</w:t>
            </w:r>
            <w:r>
              <w:rPr>
                <w:rFonts w:hint="eastAsia" w:ascii="宋体" w:hAnsi="宋体" w:cs="宋体"/>
                <w:color w:val="auto"/>
                <w:kern w:val="0"/>
                <w:sz w:val="22"/>
                <w:highlight w:val="none"/>
              </w:rPr>
              <w:t>电光纤收发器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1光4电光纤收发器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电源线</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RVV3*1.5，含线缆敷设人工费</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500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电源线</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RVV4*1，含线缆敷设人工费</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15</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室外网线</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六类，含线缆敷设人工费</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20</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四芯光缆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定制，含线缆敷设人工费</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2</w:t>
            </w:r>
            <w:r>
              <w:rPr>
                <w:rFonts w:hint="eastAsia" w:ascii="宋体" w:hAnsi="宋体" w:cs="宋体"/>
                <w:color w:val="auto"/>
                <w:kern w:val="0"/>
                <w:sz w:val="22"/>
                <w:highlight w:val="none"/>
              </w:rPr>
              <w:t>00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挑6米，含预埋件、安装及基础施工等（基础：1.6m*1.6m*2.1m）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挑7米，含预埋件、安装及基础施工等（基础：1.6m*1.6m*2.1m）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3</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挑9米，含预埋件、安装及基础施工等（基础：1.6m*1.6m*2.1m）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14</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过路管道</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水泥路面、沥青路面开挖恢复，含75镀锌钢管</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15</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15</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人行道管道</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人行道开挖恢复，含PE75</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12</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16</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绿化带管道</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绿化带开挖恢复，含PE75</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lang w:val="en-US" w:eastAsia="zh-CN"/>
              </w:rPr>
              <w:t>15</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17</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窨井</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500*500</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只</w:t>
            </w:r>
          </w:p>
        </w:tc>
        <w:tc>
          <w:tcPr>
            <w:tcW w:w="718"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15</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违法停车抓拍子系统</w:t>
            </w:r>
          </w:p>
        </w:tc>
        <w:tc>
          <w:tcPr>
            <w:tcW w:w="718" w:type="dxa"/>
            <w:shd w:val="clear" w:color="auto" w:fill="auto"/>
            <w:noWrap/>
            <w:vAlign w:val="center"/>
          </w:tcPr>
          <w:p>
            <w:pPr>
              <w:widowControl/>
              <w:jc w:val="center"/>
              <w:rPr>
                <w:rFonts w:hint="eastAsia" w:ascii="宋体" w:hAnsi="宋体" w:cs="宋体"/>
                <w:b/>
                <w:bCs/>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800万违停抓拍球机</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55</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抱杆机箱</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40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1光4电光纤收发器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详见技术方案</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对</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rPr>
              <w:t>4</w:t>
            </w:r>
            <w:r>
              <w:rPr>
                <w:rFonts w:hint="eastAsia" w:ascii="宋体" w:hAnsi="宋体" w:cs="宋体"/>
                <w:color w:val="auto"/>
                <w:kern w:val="0"/>
                <w:sz w:val="22"/>
                <w:highlight w:val="none"/>
                <w:lang w:val="en-US" w:eastAsia="zh-CN"/>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电源线</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RVV3*1.5，含线缆敷设人工费</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r>
              <w:rPr>
                <w:rFonts w:hint="eastAsia" w:ascii="宋体" w:hAnsi="宋体" w:cs="宋体"/>
                <w:color w:val="auto"/>
                <w:kern w:val="0"/>
                <w:sz w:val="22"/>
                <w:highlight w:val="none"/>
                <w:lang w:val="en-US" w:eastAsia="zh-CN"/>
              </w:rPr>
              <w:t>6</w:t>
            </w:r>
            <w:r>
              <w:rPr>
                <w:rFonts w:ascii="宋体" w:hAnsi="宋体" w:cs="宋体"/>
                <w:color w:val="auto"/>
                <w:kern w:val="0"/>
                <w:sz w:val="22"/>
                <w:highlight w:val="none"/>
              </w:rPr>
              <w:t>8</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挑3米，含预埋件、安装及基础施工等（基础：1.4m*1.4m*1.8m）</w:t>
            </w:r>
          </w:p>
        </w:tc>
        <w:tc>
          <w:tcPr>
            <w:tcW w:w="840" w:type="dxa"/>
            <w:shd w:val="clear" w:color="auto" w:fill="auto"/>
            <w:noWrap/>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ascii="宋体" w:hAnsi="宋体" w:cs="宋体"/>
                <w:color w:val="auto"/>
                <w:kern w:val="0"/>
                <w:sz w:val="22"/>
                <w:highlight w:val="none"/>
              </w:rPr>
              <w:t>6</w:t>
            </w:r>
          </w:p>
        </w:tc>
        <w:tc>
          <w:tcPr>
            <w:tcW w:w="718" w:type="dxa"/>
            <w:shd w:val="clear" w:color="auto" w:fill="auto"/>
            <w:noWrap/>
            <w:vAlign w:val="center"/>
          </w:tcPr>
          <w:p>
            <w:pPr>
              <w:widowControl/>
              <w:jc w:val="center"/>
              <w:rPr>
                <w:rFonts w:ascii="宋体" w:hAnsi="宋体" w:cs="宋体"/>
                <w:color w:val="auto"/>
                <w:kern w:val="0"/>
                <w:sz w:val="22"/>
                <w:highlight w:val="none"/>
              </w:rPr>
            </w:pPr>
          </w:p>
        </w:tc>
        <w:tc>
          <w:tcPr>
            <w:tcW w:w="718" w:type="dxa"/>
            <w:shd w:val="clear" w:color="auto" w:fill="auto"/>
            <w:noWrap/>
            <w:vAlign w:val="center"/>
          </w:tcPr>
          <w:p>
            <w:pPr>
              <w:widowControl/>
              <w:jc w:val="center"/>
              <w:rPr>
                <w:rFonts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挑5米，含预埋件、安装及基础施工等（基础：1.4m*1.4m*1.8m）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9</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双挑3米，,含预埋件、安装及基础施工等（基础：1.4m*1.4m*1.8m）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八角杆</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双挑5米，,含预埋件、安装及基础施工等（基础：1.4m*1.4m*1.8m）</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lang w:val="en-US" w:eastAsia="zh-CN"/>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窨井</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500*500</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只</w:t>
            </w:r>
          </w:p>
        </w:tc>
        <w:tc>
          <w:tcPr>
            <w:tcW w:w="718" w:type="dxa"/>
            <w:shd w:val="clear" w:color="auto" w:fill="auto"/>
            <w:noWrap/>
            <w:vAlign w:val="center"/>
          </w:tcPr>
          <w:p>
            <w:pPr>
              <w:widowControl/>
              <w:jc w:val="center"/>
              <w:rPr>
                <w:rFonts w:hint="eastAsia" w:ascii="宋体" w:hAnsi="宋体" w:eastAsia="宋体" w:cs="宋体"/>
                <w:color w:val="auto"/>
                <w:kern w:val="0"/>
                <w:sz w:val="22"/>
                <w:highlight w:val="none"/>
                <w:lang w:val="en-US" w:eastAsia="zh-CN"/>
              </w:rPr>
            </w:pPr>
            <w:r>
              <w:rPr>
                <w:rFonts w:ascii="宋体" w:hAnsi="宋体" w:cs="宋体"/>
                <w:color w:val="auto"/>
                <w:kern w:val="0"/>
                <w:sz w:val="22"/>
                <w:highlight w:val="none"/>
              </w:rPr>
              <w:t>2</w:t>
            </w:r>
            <w:r>
              <w:rPr>
                <w:rFonts w:hint="eastAsia" w:ascii="宋体" w:hAnsi="宋体" w:cs="宋体"/>
                <w:color w:val="auto"/>
                <w:kern w:val="0"/>
                <w:sz w:val="22"/>
                <w:highlight w:val="none"/>
                <w:lang w:val="en-US" w:eastAsia="zh-CN"/>
              </w:rPr>
              <w:t>0</w:t>
            </w:r>
          </w:p>
        </w:tc>
        <w:tc>
          <w:tcPr>
            <w:tcW w:w="718" w:type="dxa"/>
            <w:shd w:val="clear" w:color="auto" w:fill="auto"/>
            <w:noWrap/>
            <w:vAlign w:val="center"/>
          </w:tcPr>
          <w:p>
            <w:pPr>
              <w:widowControl/>
              <w:jc w:val="center"/>
              <w:rPr>
                <w:rFonts w:ascii="宋体" w:hAnsi="宋体" w:cs="宋体"/>
                <w:color w:val="auto"/>
                <w:kern w:val="0"/>
                <w:sz w:val="22"/>
                <w:highlight w:val="none"/>
              </w:rPr>
            </w:pPr>
          </w:p>
        </w:tc>
        <w:tc>
          <w:tcPr>
            <w:tcW w:w="718" w:type="dxa"/>
            <w:shd w:val="clear" w:color="auto" w:fill="auto"/>
            <w:noWrap/>
            <w:vAlign w:val="center"/>
          </w:tcPr>
          <w:p>
            <w:pPr>
              <w:widowControl/>
              <w:jc w:val="center"/>
              <w:rPr>
                <w:rFonts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网线</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六类，含线缆敷设人工费</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r>
              <w:rPr>
                <w:rFonts w:ascii="宋体" w:hAnsi="宋体" w:cs="宋体"/>
                <w:color w:val="auto"/>
                <w:kern w:val="0"/>
                <w:sz w:val="22"/>
                <w:highlight w:val="none"/>
              </w:rPr>
              <w:t>200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过路管道</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水泥路面、沥青路面开挖恢复，含75镀锌钢管</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230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人行道管道</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人行道开挖恢复，含PE75</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r>
              <w:rPr>
                <w:rFonts w:ascii="宋体" w:hAnsi="宋体" w:cs="宋体"/>
                <w:color w:val="auto"/>
                <w:kern w:val="0"/>
                <w:sz w:val="22"/>
                <w:highlight w:val="none"/>
              </w:rPr>
              <w:t>9</w:t>
            </w:r>
            <w:r>
              <w:rPr>
                <w:rFonts w:hint="eastAsia" w:ascii="宋体" w:hAnsi="宋体" w:cs="宋体"/>
                <w:color w:val="auto"/>
                <w:kern w:val="0"/>
                <w:sz w:val="22"/>
                <w:highlight w:val="none"/>
              </w:rPr>
              <w:t>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13</w:t>
            </w:r>
          </w:p>
        </w:tc>
        <w:tc>
          <w:tcPr>
            <w:tcW w:w="1433" w:type="dxa"/>
            <w:gridSpan w:val="3"/>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绿化带管道</w:t>
            </w:r>
          </w:p>
        </w:tc>
        <w:tc>
          <w:tcPr>
            <w:tcW w:w="3612" w:type="dxa"/>
            <w:shd w:val="clear" w:color="auto" w:fill="auto"/>
            <w:vAlign w:val="center"/>
          </w:tcPr>
          <w:p>
            <w:pPr>
              <w:widowControl/>
              <w:jc w:val="left"/>
              <w:rPr>
                <w:rFonts w:hint="eastAsia" w:ascii="宋体" w:hAnsi="宋体" w:cs="宋体"/>
                <w:color w:val="auto"/>
                <w:kern w:val="0"/>
                <w:sz w:val="22"/>
                <w:highlight w:val="none"/>
              </w:rPr>
            </w:pPr>
            <w:r>
              <w:rPr>
                <w:rFonts w:hint="eastAsia" w:ascii="宋体" w:hAnsi="宋体" w:cs="宋体"/>
                <w:color w:val="auto"/>
                <w:kern w:val="0"/>
                <w:sz w:val="22"/>
                <w:highlight w:val="none"/>
              </w:rPr>
              <w:t>绿化带开挖恢复，含PE75</w:t>
            </w:r>
          </w:p>
        </w:tc>
        <w:tc>
          <w:tcPr>
            <w:tcW w:w="840"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米</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1050</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中心增补设备</w:t>
            </w:r>
          </w:p>
        </w:tc>
        <w:tc>
          <w:tcPr>
            <w:tcW w:w="718" w:type="dxa"/>
            <w:shd w:val="clear" w:color="auto" w:fill="auto"/>
            <w:noWrap/>
            <w:vAlign w:val="center"/>
          </w:tcPr>
          <w:p>
            <w:pPr>
              <w:widowControl/>
              <w:jc w:val="center"/>
              <w:rPr>
                <w:rFonts w:hint="eastAsia" w:ascii="宋体" w:hAnsi="宋体" w:cs="宋体"/>
                <w:b/>
                <w:bCs/>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36盘位存储服务器（云存储）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硬件参数：</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4核CPU；16GB DDR3；8个10/100/1000Mbps数据网口，1个千兆管理网口；支持负载均衡模式；1个USB3.0；2个SAS口,支持SAS多级级联，外部SAS接口带宽双向≥192Gbps；至少配置一个eSATA接口用于数据下载备份；冗余电源，支持在线更换；支持36个2.5"或3.5"的SATA硬盘或者SAS硬盘，独立硬盘支架，支持硬盘热插拔。</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软件功能：</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内嵌云存储系统软件的数据存储服务。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负责数据存储访问以及硬盘管理。</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采用分布式非对称式对象存储架构，存储节点全集群。</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支持基于硬盘性能和容量的负载均衡。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 xml:space="preserve">◎ 支持硬盘热插拔，即插即用。 </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6T企业级硬盘（SATA）</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3.5英寸，容量6000G；转速7200RPM；缓存256M；接口SATA</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72</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操作终端1</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CPU类型:英特尔酷睿i5处理器</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核心:双核</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硬盘容量:1TB</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类型:独立显卡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内存：8GB</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含显示器</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操作终端2</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第八代英特尔 酷睿 i7-8700处理器；128GB Pcle 固态硬盘+1.0TB 机械硬盘；8GB DDR4 2666MHz 内存；NVIDIA GeForce GTX1060 3GB GDDR5；23英寸显示屏，分辨率：1920×1080</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48口全千兆三层交换机</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48*10/100/1000Base-T电口，4*SFP+ 10G Base-X非复用光口；</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交换容量≧256Gbps，包转发速率≧132MPPS</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人脸对接服务</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根据定制化开发要求与台州市局人像平台的对接及扩容服务，实现不少于1000张/天人脸身份确认</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对接服务器</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CPU E5-2603 v2 @ 1.80GHz*2颗，内存128G，硬盘4块600G，Raid 5，硬盘不返还，三年质保。</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8</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平台对接网关</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CPU E3-12 产品系列*1颗，内存16GB，硬盘1块1T，550W冗余均流电源，硬盘不返还，三年质保</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9</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设备接入网关</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Intel Xeon E3-1230 v5；8G DDR4；1T 3.5吋 7200转 6Gb SATA硬盘；2个千兆；显示屏无；单电源；250W；支持标准协议GB28181/ONVIF/PSIA/RTSP/HTTP接入，支持500个设备接入，2000路通道接入，600M码流以上转发</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套</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10</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千兆光模块</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千兆，单模单纤，传输距离20公里</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114</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接入交换机</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24口千兆全网管二层交换机，机架式，24个千兆光口，8个复用的千兆电口,4个万兆SFP+万口，支持通过console口管理。交换容量256Gbps,包转发率96Mpps,1U高度，19英寸宽，工作温度：0℃～40℃，支持220v交流，满负荷功耗30瓦；支持VLAN,流量控制，ACL，QOS，支持SNMP V1/V2c/V3网管。</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若中标单位进行光缆线路优化设计，接入交换机放在运营商机房，需要增加接入交换机数量，中标单位应承诺无偿提供额外增加的交换机及对应光模块</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3</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万兆光模块</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万兆，单模双纤，传输距离10公里</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6</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13</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安全数据交互平台请求与响应交换模块</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现有安全数据交互平台模块补充</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1、转换成xml文件落地交换</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2、支持对请求与响应的参数类型、长度等进行安全格式检查</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3、支持FTP、POP3、SMTP、SOAP1.1/1.2、WSDL2.0等多种访问协议</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4、支持对请求与响应内容进行关键字过滤</w:t>
            </w:r>
            <w:r>
              <w:rPr>
                <w:rFonts w:hint="eastAsia" w:ascii="宋体" w:hAnsi="宋体" w:cs="宋体"/>
                <w:color w:val="auto"/>
                <w:kern w:val="0"/>
                <w:sz w:val="22"/>
                <w:highlight w:val="none"/>
              </w:rPr>
              <w:br w:type="textWrapping"/>
            </w:r>
            <w:r>
              <w:rPr>
                <w:rFonts w:hint="eastAsia" w:ascii="宋体" w:hAnsi="宋体" w:cs="宋体"/>
                <w:color w:val="auto"/>
                <w:kern w:val="0"/>
                <w:sz w:val="22"/>
                <w:highlight w:val="none"/>
              </w:rPr>
              <w:t>5、支持SQL注入识别，自动识别和拦截请求数据内容中的SQL注入行为</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台</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rPr>
              <w:t>光纤链路</w:t>
            </w:r>
          </w:p>
        </w:tc>
        <w:tc>
          <w:tcPr>
            <w:tcW w:w="718" w:type="dxa"/>
            <w:shd w:val="clear" w:color="auto" w:fill="auto"/>
            <w:noWrap/>
            <w:vAlign w:val="center"/>
          </w:tcPr>
          <w:p>
            <w:pPr>
              <w:widowControl/>
              <w:jc w:val="center"/>
              <w:rPr>
                <w:rFonts w:hint="eastAsia" w:ascii="宋体" w:hAnsi="宋体" w:cs="宋体"/>
                <w:b/>
                <w:bCs/>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1</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链路租赁费用1</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三年光缆租赁费用</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个/月</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55</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79"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2</w:t>
            </w:r>
          </w:p>
        </w:tc>
        <w:tc>
          <w:tcPr>
            <w:tcW w:w="1433" w:type="dxa"/>
            <w:gridSpan w:val="3"/>
            <w:shd w:val="clear" w:color="auto" w:fill="auto"/>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链路租赁费用2</w:t>
            </w:r>
          </w:p>
        </w:tc>
        <w:tc>
          <w:tcPr>
            <w:tcW w:w="3612" w:type="dxa"/>
            <w:shd w:val="clear" w:color="auto" w:fill="auto"/>
            <w:vAlign w:val="center"/>
          </w:tcPr>
          <w:p>
            <w:pPr>
              <w:widowControl/>
              <w:jc w:val="left"/>
              <w:rPr>
                <w:rFonts w:ascii="宋体" w:hAnsi="宋体" w:cs="宋体"/>
                <w:color w:val="auto"/>
                <w:kern w:val="0"/>
                <w:sz w:val="22"/>
                <w:highlight w:val="none"/>
              </w:rPr>
            </w:pPr>
            <w:r>
              <w:rPr>
                <w:rFonts w:hint="eastAsia" w:ascii="宋体" w:hAnsi="宋体" w:cs="宋体"/>
                <w:color w:val="auto"/>
                <w:kern w:val="0"/>
                <w:sz w:val="22"/>
                <w:highlight w:val="none"/>
              </w:rPr>
              <w:t>二期项目中，部分点位借用一期项目光缆链路。由于一期和二期项目存在时间差，故一期项目维保到期后，投标人应负责二期剩余期限的光缆租赁费用。此部分租赁时长和费用，以实际发生的为准。</w:t>
            </w:r>
          </w:p>
        </w:tc>
        <w:tc>
          <w:tcPr>
            <w:tcW w:w="840"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个/月</w:t>
            </w:r>
          </w:p>
        </w:tc>
        <w:tc>
          <w:tcPr>
            <w:tcW w:w="718" w:type="dxa"/>
            <w:shd w:val="clear" w:color="auto" w:fill="auto"/>
            <w:noWrap/>
            <w:vAlign w:val="center"/>
          </w:tcPr>
          <w:p>
            <w:pPr>
              <w:widowControl/>
              <w:jc w:val="center"/>
              <w:rPr>
                <w:rFonts w:ascii="宋体" w:hAnsi="宋体" w:cs="宋体"/>
                <w:color w:val="auto"/>
                <w:kern w:val="0"/>
                <w:sz w:val="22"/>
                <w:highlight w:val="none"/>
              </w:rPr>
            </w:pPr>
            <w:r>
              <w:rPr>
                <w:rFonts w:hint="eastAsia" w:ascii="宋体" w:hAnsi="宋体" w:cs="宋体"/>
                <w:color w:val="auto"/>
                <w:kern w:val="0"/>
                <w:sz w:val="22"/>
                <w:highlight w:val="none"/>
              </w:rPr>
              <w:t>7</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7800" w:type="dxa"/>
            <w:gridSpan w:val="8"/>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b/>
                <w:bCs/>
                <w:color w:val="auto"/>
                <w:kern w:val="0"/>
                <w:sz w:val="22"/>
                <w:highlight w:val="none"/>
                <w:lang w:val="en-US" w:eastAsia="zh-CN"/>
              </w:rPr>
              <w:t>设备维护</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79"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lang w:val="en-US" w:eastAsia="zh-CN"/>
              </w:rPr>
              <w:t>1</w:t>
            </w:r>
          </w:p>
        </w:tc>
        <w:tc>
          <w:tcPr>
            <w:tcW w:w="1433" w:type="dxa"/>
            <w:gridSpan w:val="3"/>
            <w:shd w:val="clear" w:color="auto" w:fill="auto"/>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lang w:val="en-US" w:eastAsia="zh-CN"/>
              </w:rPr>
              <w:t>设备维护费</w:t>
            </w:r>
          </w:p>
        </w:tc>
        <w:tc>
          <w:tcPr>
            <w:tcW w:w="3612" w:type="dxa"/>
            <w:shd w:val="clear" w:color="auto" w:fill="auto"/>
            <w:vAlign w:val="center"/>
          </w:tcPr>
          <w:p>
            <w:pPr>
              <w:widowControl/>
              <w:jc w:val="left"/>
              <w:rPr>
                <w:rFonts w:hint="eastAsia" w:ascii="宋体" w:hAnsi="宋体" w:cs="宋体"/>
                <w:color w:val="auto"/>
                <w:kern w:val="0"/>
                <w:sz w:val="22"/>
                <w:highlight w:val="none"/>
              </w:rPr>
            </w:pPr>
            <w:r>
              <w:rPr>
                <w:rFonts w:hint="eastAsia" w:ascii="宋体" w:hAnsi="宋体" w:cs="宋体"/>
                <w:color w:val="auto"/>
                <w:kern w:val="0"/>
                <w:sz w:val="22"/>
                <w:highlight w:val="none"/>
              </w:rPr>
              <w:t>玉环已建视频流量检测设备的维护</w:t>
            </w:r>
          </w:p>
        </w:tc>
        <w:tc>
          <w:tcPr>
            <w:tcW w:w="840"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rPr>
              <w:t>个/月</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r>
              <w:rPr>
                <w:rFonts w:hint="eastAsia" w:ascii="宋体" w:hAnsi="宋体" w:cs="宋体"/>
                <w:color w:val="auto"/>
                <w:kern w:val="0"/>
                <w:sz w:val="22"/>
                <w:highlight w:val="none"/>
                <w:lang w:val="en-US" w:eastAsia="zh-CN"/>
              </w:rPr>
              <w:t>36</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7800" w:type="dxa"/>
            <w:gridSpan w:val="8"/>
            <w:shd w:val="clear" w:color="auto" w:fill="auto"/>
            <w:noWrap/>
            <w:vAlign w:val="center"/>
          </w:tcPr>
          <w:p>
            <w:pPr>
              <w:widowControl/>
              <w:jc w:val="center"/>
              <w:rPr>
                <w:rFonts w:hint="eastAsia" w:ascii="宋体" w:hAnsi="宋体" w:eastAsia="宋体" w:cs="宋体"/>
                <w:color w:val="auto"/>
                <w:kern w:val="0"/>
                <w:sz w:val="22"/>
                <w:highlight w:val="none"/>
                <w:lang w:eastAsia="zh-CN"/>
              </w:rPr>
            </w:pPr>
            <w:r>
              <w:rPr>
                <w:rFonts w:hint="eastAsia" w:ascii="宋体" w:hAnsi="宋体" w:cs="宋体"/>
                <w:color w:val="auto"/>
                <w:kern w:val="0"/>
                <w:sz w:val="22"/>
                <w:highlight w:val="none"/>
              </w:rPr>
              <w:t>玉环天眼工程项目（二期）</w:t>
            </w:r>
            <w:r>
              <w:rPr>
                <w:rFonts w:hint="eastAsia" w:ascii="宋体" w:hAnsi="宋体" w:cs="宋体"/>
                <w:color w:val="auto"/>
                <w:kern w:val="0"/>
                <w:sz w:val="22"/>
                <w:highlight w:val="none"/>
                <w:lang w:eastAsia="zh-CN"/>
              </w:rPr>
              <w:t>合计</w:t>
            </w:r>
          </w:p>
        </w:tc>
        <w:tc>
          <w:tcPr>
            <w:tcW w:w="718" w:type="dxa"/>
            <w:shd w:val="clear" w:color="auto" w:fill="auto"/>
            <w:noWrap/>
            <w:vAlign w:val="center"/>
          </w:tcPr>
          <w:p>
            <w:pPr>
              <w:widowControl/>
              <w:jc w:val="center"/>
              <w:rPr>
                <w:rFonts w:hint="eastAsia" w:ascii="宋体" w:hAnsi="宋体" w:cs="宋体"/>
                <w:color w:val="auto"/>
                <w:kern w:val="0"/>
                <w:sz w:val="22"/>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开标一览表中投标价为符合招标文件要求的设备总价（含税、运保、安装、随机工具、随机附件等费用），同时包括设备技术服务费（含设备调试直至能够正常使用的费用）、</w:t>
      </w:r>
      <w:r>
        <w:rPr>
          <w:rFonts w:hint="eastAsia" w:ascii="宋体" w:hAnsi="宋体" w:cs="宋体"/>
          <w:b/>
          <w:bCs/>
          <w:color w:val="auto"/>
          <w:kern w:val="0"/>
          <w:sz w:val="24"/>
          <w:highlight w:val="none"/>
          <w:lang w:eastAsia="zh-CN"/>
        </w:rPr>
        <w:t>设备供电服务费、</w:t>
      </w:r>
      <w:r>
        <w:rPr>
          <w:rFonts w:hint="eastAsia" w:ascii="宋体" w:hAnsi="宋体" w:cs="宋体"/>
          <w:color w:val="auto"/>
          <w:kern w:val="0"/>
          <w:sz w:val="24"/>
          <w:highlight w:val="none"/>
        </w:rPr>
        <w:t>材料费、税金、人工费、技术培训费、验收费等。</w:t>
      </w:r>
    </w:p>
    <w:p>
      <w:pPr>
        <w:spacing w:line="360" w:lineRule="auto"/>
        <w:rPr>
          <w:rFonts w:ascii="宋体" w:hAnsi="宋体"/>
          <w:color w:val="auto"/>
          <w:sz w:val="24"/>
          <w:highlight w:val="none"/>
        </w:rPr>
      </w:pPr>
      <w:r>
        <w:rPr>
          <w:rFonts w:hint="eastAsia" w:ascii="宋体" w:hAnsi="宋体" w:cs="宋体"/>
          <w:color w:val="auto"/>
          <w:kern w:val="0"/>
          <w:sz w:val="24"/>
          <w:highlight w:val="none"/>
        </w:rPr>
        <w:t>不提供此表格的将视为没有实质性响应招标文件。</w:t>
      </w:r>
    </w:p>
    <w:p>
      <w:pPr>
        <w:spacing w:line="360" w:lineRule="auto"/>
        <w:ind w:left="420"/>
        <w:rPr>
          <w:rFonts w:ascii="宋体" w:hAnsi="宋体"/>
          <w:color w:val="auto"/>
          <w:sz w:val="24"/>
          <w:highlight w:val="none"/>
        </w:rPr>
      </w:pPr>
      <w:r>
        <w:rPr>
          <w:rFonts w:hint="eastAsia" w:ascii="宋体" w:hAnsi="宋体"/>
          <w:color w:val="auto"/>
          <w:sz w:val="24"/>
          <w:highlight w:val="none"/>
        </w:rPr>
        <w:t>投标人名称（盖章）：</w:t>
      </w: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w:t>
      </w:r>
      <w:r>
        <w:rPr>
          <w:rFonts w:hint="eastAsia" w:ascii="宋体" w:hAnsi="宋体"/>
          <w:color w:val="auto"/>
          <w:sz w:val="24"/>
          <w:highlight w:val="none"/>
          <w:lang w:eastAsia="zh-CN"/>
        </w:rPr>
        <w:t>签字</w:t>
      </w:r>
      <w:r>
        <w:rPr>
          <w:rFonts w:hint="eastAsia" w:ascii="宋体" w:hAnsi="宋体"/>
          <w:color w:val="auto"/>
          <w:sz w:val="24"/>
          <w:highlight w:val="none"/>
        </w:rPr>
        <w:t>或盖章：</w:t>
      </w: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color w:val="auto"/>
          <w:highlight w:val="none"/>
        </w:rPr>
      </w:pPr>
      <w:r>
        <w:rPr>
          <w:rFonts w:hint="eastAsia" w:ascii="宋体" w:hAnsi="宋体"/>
          <w:color w:val="auto"/>
          <w:sz w:val="24"/>
          <w:highlight w:val="none"/>
        </w:rPr>
        <w:t>日        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lang w:eastAsia="zh-CN"/>
        <w14:textFill>
          <w14:solidFill>
            <w14:schemeClr w14:val="tx1"/>
          </w14:solidFill>
        </w14:textFill>
      </w:rPr>
      <w:t>玉环</w:t>
    </w:r>
    <w:r>
      <w:rPr>
        <w:rFonts w:hint="eastAsia"/>
        <w:b/>
        <w:i/>
        <w:color w:val="000000" w:themeColor="text1"/>
        <w:kern w:val="0"/>
        <w:sz w:val="18"/>
        <w:u w:val="single"/>
        <w14:textFill>
          <w14:solidFill>
            <w14:schemeClr w14:val="tx1"/>
          </w14:solidFill>
        </w14:textFill>
      </w:rPr>
      <w:t xml:space="preserve">市政府采购招标文件                                                        </w:t>
    </w:r>
    <w:r>
      <w:rPr>
        <w:rFonts w:hint="eastAsia"/>
        <w:b/>
        <w:i/>
        <w:color w:val="000000" w:themeColor="text1"/>
        <w:spacing w:val="-20"/>
        <w:kern w:val="0"/>
        <w:sz w:val="18"/>
        <w:u w:val="single"/>
        <w14:textFill>
          <w14:solidFill>
            <w14:schemeClr w14:val="tx1"/>
          </w14:solidFill>
        </w14:textFill>
      </w:rPr>
      <w:t>第</w:t>
    </w:r>
    <w:r>
      <w:rPr>
        <w:rFonts w:hint="eastAsia"/>
        <w:b/>
        <w:i/>
        <w:color w:val="000000" w:themeColor="text1"/>
        <w:spacing w:val="-20"/>
        <w:kern w:val="0"/>
        <w:sz w:val="18"/>
        <w:u w:val="single"/>
        <w:lang w:val="en-US" w:eastAsia="zh-CN"/>
        <w14:textFill>
          <w14:solidFill>
            <w14:schemeClr w14:val="tx1"/>
          </w14:solidFill>
        </w14:textFill>
      </w:rPr>
      <w:t xml:space="preserve">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18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59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AE2D8F7B"/>
    <w:multiLevelType w:val="singleLevel"/>
    <w:tmpl w:val="AE2D8F7B"/>
    <w:lvl w:ilvl="0" w:tentative="0">
      <w:start w:val="1"/>
      <w:numFmt w:val="decimal"/>
      <w:pStyle w:val="8"/>
      <w:lvlText w:val="%1."/>
      <w:lvlJc w:val="left"/>
      <w:pPr>
        <w:tabs>
          <w:tab w:val="left" w:pos="360"/>
        </w:tabs>
        <w:ind w:left="360" w:hanging="360"/>
      </w:pPr>
    </w:lvl>
  </w:abstractNum>
  <w:abstractNum w:abstractNumId="2">
    <w:nsid w:val="AF3E1766"/>
    <w:multiLevelType w:val="singleLevel"/>
    <w:tmpl w:val="AF3E1766"/>
    <w:lvl w:ilvl="0" w:tentative="0">
      <w:start w:val="1"/>
      <w:numFmt w:val="decimal"/>
      <w:suff w:val="nothing"/>
      <w:lvlText w:val="（%1）"/>
      <w:lvlJc w:val="left"/>
    </w:lvl>
  </w:abstractNum>
  <w:abstractNum w:abstractNumId="3">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4">
    <w:nsid w:val="07685D99"/>
    <w:multiLevelType w:val="multilevel"/>
    <w:tmpl w:val="07685D9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9F067D3"/>
    <w:multiLevelType w:val="multilevel"/>
    <w:tmpl w:val="09F067D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14D85204"/>
    <w:multiLevelType w:val="multilevel"/>
    <w:tmpl w:val="14D85204"/>
    <w:lvl w:ilvl="0" w:tentative="0">
      <w:start w:val="1"/>
      <w:numFmt w:val="decimal"/>
      <w:lvlText w:val="%1)"/>
      <w:lvlJc w:val="left"/>
      <w:pPr>
        <w:ind w:left="840" w:hanging="420"/>
      </w:pPr>
      <w:rPr>
        <w:color w:val="00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ACE0681"/>
    <w:multiLevelType w:val="multilevel"/>
    <w:tmpl w:val="1ACE068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206570A0"/>
    <w:multiLevelType w:val="multilevel"/>
    <w:tmpl w:val="206570A0"/>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0DE461"/>
    <w:multiLevelType w:val="singleLevel"/>
    <w:tmpl w:val="260DE461"/>
    <w:lvl w:ilvl="0" w:tentative="0">
      <w:start w:val="2"/>
      <w:numFmt w:val="chineseCounting"/>
      <w:suff w:val="nothing"/>
      <w:lvlText w:val="%1、"/>
      <w:lvlJc w:val="left"/>
      <w:rPr>
        <w:rFonts w:hint="eastAsia"/>
      </w:rPr>
    </w:lvl>
  </w:abstractNum>
  <w:abstractNum w:abstractNumId="10">
    <w:nsid w:val="2627538B"/>
    <w:multiLevelType w:val="multilevel"/>
    <w:tmpl w:val="2627538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28B71CA7"/>
    <w:multiLevelType w:val="multilevel"/>
    <w:tmpl w:val="28B71CA7"/>
    <w:lvl w:ilvl="0" w:tentative="0">
      <w:start w:val="1"/>
      <w:numFmt w:val="decimal"/>
      <w:lvlText w:val="（%1）"/>
      <w:lvlJc w:val="left"/>
      <w:pPr>
        <w:ind w:left="900" w:hanging="420"/>
      </w:pPr>
      <w:rPr>
        <w:rFonts w:hint="default"/>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64F356D"/>
    <w:multiLevelType w:val="multilevel"/>
    <w:tmpl w:val="364F356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461E5E94"/>
    <w:multiLevelType w:val="singleLevel"/>
    <w:tmpl w:val="461E5E94"/>
    <w:lvl w:ilvl="0" w:tentative="0">
      <w:start w:val="2"/>
      <w:numFmt w:val="chineseCounting"/>
      <w:suff w:val="space"/>
      <w:lvlText w:val="第%1章"/>
      <w:lvlJc w:val="left"/>
      <w:rPr>
        <w:rFonts w:hint="eastAsia"/>
      </w:rPr>
    </w:lvl>
  </w:abstractNum>
  <w:abstractNum w:abstractNumId="14">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15">
    <w:nsid w:val="4ABA0E4E"/>
    <w:multiLevelType w:val="multilevel"/>
    <w:tmpl w:val="4ABA0E4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55B53E83"/>
    <w:multiLevelType w:val="multilevel"/>
    <w:tmpl w:val="55B53E8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5C7B22B3"/>
    <w:multiLevelType w:val="multilevel"/>
    <w:tmpl w:val="5C7B22B3"/>
    <w:lvl w:ilvl="0" w:tentative="0">
      <w:start w:val="1"/>
      <w:numFmt w:val="chineseCountingThousand"/>
      <w:pStyle w:val="3"/>
      <w:suff w:val="space"/>
      <w:lvlText w:val="第%1章"/>
      <w:lvlJc w:val="left"/>
      <w:pPr>
        <w:ind w:left="0" w:firstLine="0"/>
      </w:pPr>
      <w:rPr>
        <w:rFonts w:hint="eastAsia"/>
      </w:rPr>
    </w:lvl>
    <w:lvl w:ilvl="1" w:tentative="0">
      <w:start w:val="1"/>
      <w:numFmt w:val="decimal"/>
      <w:pStyle w:val="4"/>
      <w:isLgl/>
      <w:suff w:val="space"/>
      <w:lvlText w:val="%1.%2"/>
      <w:lvlJc w:val="left"/>
      <w:pPr>
        <w:ind w:left="0" w:firstLine="0"/>
      </w:pPr>
      <w:rPr>
        <w:b w:val="0"/>
        <w:bCs w:val="0"/>
        <w:i w:val="0"/>
        <w:iCs w:val="0"/>
        <w:caps w:val="0"/>
        <w:smallCaps w:val="0"/>
        <w:strike w:val="0"/>
        <w:dstrike w:val="0"/>
        <w:vanish w:val="0"/>
        <w:color w:val="000000"/>
        <w:spacing w:val="0"/>
        <w:position w:val="0"/>
        <w:u w:val="none"/>
        <w:vertAlign w:val="baseline"/>
      </w:rPr>
    </w:lvl>
    <w:lvl w:ilvl="2" w:tentative="0">
      <w:start w:val="1"/>
      <w:numFmt w:val="decimal"/>
      <w:isLgl/>
      <w:suff w:val="space"/>
      <w:lvlText w:val="%1.%2.%3"/>
      <w:lvlJc w:val="left"/>
      <w:pPr>
        <w:ind w:left="0" w:firstLine="0"/>
      </w:pPr>
      <w:rPr>
        <w:b w:val="0"/>
        <w:bCs w:val="0"/>
        <w:i w:val="0"/>
        <w:iCs w:val="0"/>
        <w:caps w:val="0"/>
        <w:smallCaps w:val="0"/>
        <w:strike w:val="0"/>
        <w:dstrike w:val="0"/>
        <w:vanish w:val="0"/>
        <w:color w:val="000000"/>
        <w:spacing w:val="0"/>
        <w:position w:val="0"/>
        <w:u w:val="none"/>
        <w:vertAlign w:val="baseline"/>
      </w:rPr>
    </w:lvl>
    <w:lvl w:ilvl="3" w:tentative="0">
      <w:start w:val="1"/>
      <w:numFmt w:val="decimal"/>
      <w:pStyle w:val="6"/>
      <w:isLgl/>
      <w:suff w:val="space"/>
      <w:lvlText w:val="%1.%2.%3.%4"/>
      <w:lvlJc w:val="left"/>
      <w:pPr>
        <w:ind w:left="0" w:firstLine="0"/>
      </w:pPr>
      <w:rPr>
        <w:rFonts w:hint="eastAsia"/>
      </w:rPr>
    </w:lvl>
    <w:lvl w:ilvl="4" w:tentative="0">
      <w:start w:val="1"/>
      <w:numFmt w:val="decimal"/>
      <w:lvlRestart w:val="1"/>
      <w:pStyle w:val="7"/>
      <w:isLgl/>
      <w:suff w:val="space"/>
      <w:lvlText w:val="图%1-%5"/>
      <w:lvlJc w:val="left"/>
      <w:pPr>
        <w:ind w:left="0" w:firstLine="0"/>
      </w:pPr>
      <w:rPr>
        <w:rFonts w:hint="eastAsia"/>
      </w:rPr>
    </w:lvl>
    <w:lvl w:ilvl="5" w:tentative="0">
      <w:start w:val="1"/>
      <w:numFmt w:val="decimal"/>
      <w:lvlRestart w:val="1"/>
      <w:isLgl/>
      <w:suff w:val="space"/>
      <w:lvlText w:val="表%1-%6"/>
      <w:lvlJc w:val="left"/>
      <w:pPr>
        <w:ind w:left="0" w:firstLine="0"/>
      </w:pPr>
      <w:rPr>
        <w:rFonts w:hint="eastAsia"/>
        <w:lang w:val="en-US"/>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8">
    <w:nsid w:val="660B0F6A"/>
    <w:multiLevelType w:val="multilevel"/>
    <w:tmpl w:val="660B0F6A"/>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010625F"/>
    <w:multiLevelType w:val="multilevel"/>
    <w:tmpl w:val="7010625F"/>
    <w:lvl w:ilvl="0" w:tentative="0">
      <w:start w:val="1"/>
      <w:numFmt w:val="decimal"/>
      <w:lvlText w:val="%1)"/>
      <w:lvlJc w:val="left"/>
      <w:pPr>
        <w:ind w:left="840" w:hanging="420"/>
      </w:pPr>
      <w:rPr>
        <w:color w:val="00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7AF720C7"/>
    <w:multiLevelType w:val="multilevel"/>
    <w:tmpl w:val="7AF720C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7D3126F0"/>
    <w:multiLevelType w:val="multilevel"/>
    <w:tmpl w:val="7D3126F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22">
    <w:nsid w:val="7F621ED0"/>
    <w:multiLevelType w:val="multilevel"/>
    <w:tmpl w:val="7F621E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17"/>
  </w:num>
  <w:num w:numId="2">
    <w:abstractNumId w:val="1"/>
  </w:num>
  <w:num w:numId="3">
    <w:abstractNumId w:val="14"/>
  </w:num>
  <w:num w:numId="4">
    <w:abstractNumId w:val="10"/>
  </w:num>
  <w:num w:numId="5">
    <w:abstractNumId w:val="13"/>
  </w:num>
  <w:num w:numId="6">
    <w:abstractNumId w:val="2"/>
  </w:num>
  <w:num w:numId="7">
    <w:abstractNumId w:val="3"/>
  </w:num>
  <w:num w:numId="8">
    <w:abstractNumId w:val="9"/>
  </w:num>
  <w:num w:numId="9">
    <w:abstractNumId w:val="21"/>
  </w:num>
  <w:num w:numId="10">
    <w:abstractNumId w:val="11"/>
  </w:num>
  <w:num w:numId="11">
    <w:abstractNumId w:val="20"/>
  </w:num>
  <w:num w:numId="12">
    <w:abstractNumId w:val="6"/>
  </w:num>
  <w:num w:numId="13">
    <w:abstractNumId w:val="19"/>
  </w:num>
  <w:num w:numId="14">
    <w:abstractNumId w:val="1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5"/>
  </w:num>
  <w:num w:numId="19">
    <w:abstractNumId w:val="18"/>
  </w:num>
  <w:num w:numId="20">
    <w:abstractNumId w:val="16"/>
  </w:num>
  <w:num w:numId="21">
    <w:abstractNumId w:val="7"/>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6294D"/>
    <w:rsid w:val="00062AB3"/>
    <w:rsid w:val="00107BF6"/>
    <w:rsid w:val="00165F2A"/>
    <w:rsid w:val="00201D62"/>
    <w:rsid w:val="0021318F"/>
    <w:rsid w:val="002A1620"/>
    <w:rsid w:val="003102FB"/>
    <w:rsid w:val="00332E30"/>
    <w:rsid w:val="003C5E00"/>
    <w:rsid w:val="003F595C"/>
    <w:rsid w:val="003F78E0"/>
    <w:rsid w:val="00441FAE"/>
    <w:rsid w:val="00446CEF"/>
    <w:rsid w:val="00491BDF"/>
    <w:rsid w:val="004B4165"/>
    <w:rsid w:val="00616E31"/>
    <w:rsid w:val="00655E3C"/>
    <w:rsid w:val="00674C42"/>
    <w:rsid w:val="006F4DFE"/>
    <w:rsid w:val="00777E65"/>
    <w:rsid w:val="007A2629"/>
    <w:rsid w:val="007C1005"/>
    <w:rsid w:val="00802325"/>
    <w:rsid w:val="00847BE5"/>
    <w:rsid w:val="0088066B"/>
    <w:rsid w:val="00912983"/>
    <w:rsid w:val="009B3E22"/>
    <w:rsid w:val="009F3459"/>
    <w:rsid w:val="00A30B75"/>
    <w:rsid w:val="00A730CA"/>
    <w:rsid w:val="00C52E14"/>
    <w:rsid w:val="00C767D4"/>
    <w:rsid w:val="00CC232E"/>
    <w:rsid w:val="00CD1804"/>
    <w:rsid w:val="00E319E7"/>
    <w:rsid w:val="00EF2797"/>
    <w:rsid w:val="00F127FF"/>
    <w:rsid w:val="01935887"/>
    <w:rsid w:val="035D6B0F"/>
    <w:rsid w:val="04CC341D"/>
    <w:rsid w:val="05137CD7"/>
    <w:rsid w:val="059C1327"/>
    <w:rsid w:val="060B26E0"/>
    <w:rsid w:val="0B0D2915"/>
    <w:rsid w:val="0C1E2BA0"/>
    <w:rsid w:val="0C765CB2"/>
    <w:rsid w:val="0E970358"/>
    <w:rsid w:val="0ED913EB"/>
    <w:rsid w:val="10392EAE"/>
    <w:rsid w:val="10706EC2"/>
    <w:rsid w:val="12807280"/>
    <w:rsid w:val="13CF59AC"/>
    <w:rsid w:val="148463E6"/>
    <w:rsid w:val="14882026"/>
    <w:rsid w:val="14D20D9B"/>
    <w:rsid w:val="15A72BED"/>
    <w:rsid w:val="1621170E"/>
    <w:rsid w:val="18B91D2B"/>
    <w:rsid w:val="18C40414"/>
    <w:rsid w:val="1A6A6D44"/>
    <w:rsid w:val="1A817123"/>
    <w:rsid w:val="1B26019A"/>
    <w:rsid w:val="1BB14780"/>
    <w:rsid w:val="1C093ECB"/>
    <w:rsid w:val="1CE4433A"/>
    <w:rsid w:val="1EB6413E"/>
    <w:rsid w:val="1EE84AA8"/>
    <w:rsid w:val="2198035F"/>
    <w:rsid w:val="228447E5"/>
    <w:rsid w:val="23424F53"/>
    <w:rsid w:val="236E14E2"/>
    <w:rsid w:val="298C6A75"/>
    <w:rsid w:val="29D148D0"/>
    <w:rsid w:val="2AC803DC"/>
    <w:rsid w:val="2BFA15C9"/>
    <w:rsid w:val="2E0472C1"/>
    <w:rsid w:val="2E7F52D2"/>
    <w:rsid w:val="2FD171D7"/>
    <w:rsid w:val="30143D85"/>
    <w:rsid w:val="31752B09"/>
    <w:rsid w:val="341548E3"/>
    <w:rsid w:val="37712A39"/>
    <w:rsid w:val="3A8A37F3"/>
    <w:rsid w:val="3AE50133"/>
    <w:rsid w:val="3B345EA5"/>
    <w:rsid w:val="3DB531EC"/>
    <w:rsid w:val="43036342"/>
    <w:rsid w:val="43112305"/>
    <w:rsid w:val="4563730C"/>
    <w:rsid w:val="46914847"/>
    <w:rsid w:val="48694FA0"/>
    <w:rsid w:val="488E768B"/>
    <w:rsid w:val="49F41D5E"/>
    <w:rsid w:val="4B1E31F7"/>
    <w:rsid w:val="4BCB3573"/>
    <w:rsid w:val="4BD87EC3"/>
    <w:rsid w:val="4CE75373"/>
    <w:rsid w:val="4CF5099C"/>
    <w:rsid w:val="556D3002"/>
    <w:rsid w:val="566D4B95"/>
    <w:rsid w:val="572656D4"/>
    <w:rsid w:val="59AD06A4"/>
    <w:rsid w:val="59C57FD2"/>
    <w:rsid w:val="5A4D586D"/>
    <w:rsid w:val="5A6249B0"/>
    <w:rsid w:val="5E5C6CF7"/>
    <w:rsid w:val="5EE84C68"/>
    <w:rsid w:val="621D5BA4"/>
    <w:rsid w:val="62724CBE"/>
    <w:rsid w:val="635B6748"/>
    <w:rsid w:val="63947A95"/>
    <w:rsid w:val="64097A18"/>
    <w:rsid w:val="67B167D1"/>
    <w:rsid w:val="685F1C50"/>
    <w:rsid w:val="699022E9"/>
    <w:rsid w:val="6A714498"/>
    <w:rsid w:val="6B6E20A1"/>
    <w:rsid w:val="6B903ADD"/>
    <w:rsid w:val="6CEF44E3"/>
    <w:rsid w:val="6EF20B40"/>
    <w:rsid w:val="70CE1C13"/>
    <w:rsid w:val="734466BA"/>
    <w:rsid w:val="745919C6"/>
    <w:rsid w:val="745F65BE"/>
    <w:rsid w:val="74702A9A"/>
    <w:rsid w:val="761C2BBB"/>
    <w:rsid w:val="76867B05"/>
    <w:rsid w:val="776A1DE8"/>
    <w:rsid w:val="785D00CA"/>
    <w:rsid w:val="79490BF5"/>
    <w:rsid w:val="7DDD6CEA"/>
    <w:rsid w:val="7E636E14"/>
    <w:rsid w:val="7F514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340" w:after="330" w:line="578" w:lineRule="auto"/>
      <w:jc w:val="center"/>
      <w:outlineLvl w:val="0"/>
    </w:pPr>
    <w:rPr>
      <w:rFonts w:ascii="Arial" w:hAnsi="Arial" w:eastAsia="黑体" w:cs="Times New Roman"/>
      <w:bCs/>
      <w:kern w:val="44"/>
      <w:sz w:val="32"/>
      <w:szCs w:val="44"/>
      <w:lang w:val="zh-CN"/>
    </w:rPr>
  </w:style>
  <w:style w:type="paragraph" w:styleId="4">
    <w:name w:val="heading 2"/>
    <w:basedOn w:val="1"/>
    <w:next w:val="1"/>
    <w:qFormat/>
    <w:uiPriority w:val="9"/>
    <w:pPr>
      <w:keepNext/>
      <w:keepLines/>
      <w:numPr>
        <w:ilvl w:val="1"/>
        <w:numId w:val="1"/>
      </w:numPr>
      <w:spacing w:before="260" w:after="260" w:line="415" w:lineRule="auto"/>
      <w:jc w:val="left"/>
      <w:outlineLvl w:val="1"/>
    </w:pPr>
    <w:rPr>
      <w:rFonts w:ascii="Arial" w:hAnsi="Arial" w:eastAsia="黑体" w:cs="Times New Roman"/>
      <w:bCs/>
      <w:sz w:val="28"/>
      <w:szCs w:val="32"/>
      <w:lang w:val="zh-CN"/>
    </w:rPr>
  </w:style>
  <w:style w:type="paragraph" w:styleId="5">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numPr>
        <w:ilvl w:val="3"/>
        <w:numId w:val="1"/>
      </w:numPr>
      <w:spacing w:before="280" w:after="290" w:line="377" w:lineRule="auto"/>
      <w:outlineLvl w:val="3"/>
    </w:pPr>
    <w:rPr>
      <w:rFonts w:ascii="Arial" w:hAnsi="Arial" w:eastAsia="黑体" w:cs="Times New Roman"/>
      <w:bCs/>
      <w:sz w:val="24"/>
      <w:szCs w:val="28"/>
      <w:lang w:val="zh-CN"/>
    </w:rPr>
  </w:style>
  <w:style w:type="paragraph" w:styleId="7">
    <w:name w:val="heading 5"/>
    <w:basedOn w:val="1"/>
    <w:next w:val="1"/>
    <w:qFormat/>
    <w:uiPriority w:val="9"/>
    <w:pPr>
      <w:keepLines/>
      <w:numPr>
        <w:ilvl w:val="4"/>
        <w:numId w:val="1"/>
      </w:numPr>
      <w:spacing w:line="360" w:lineRule="auto"/>
      <w:jc w:val="center"/>
      <w:outlineLvl w:val="4"/>
    </w:pPr>
    <w:rPr>
      <w:rFonts w:ascii="Times New Roman" w:hAnsi="Times New Roman" w:eastAsia="宋体" w:cs="Times New Roman"/>
      <w:bCs/>
      <w:szCs w:val="28"/>
      <w:lang w:val="zh-CN"/>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theme="minorBidi"/>
    </w:rPr>
  </w:style>
  <w:style w:type="paragraph" w:styleId="8">
    <w:name w:val="List Number"/>
    <w:basedOn w:val="1"/>
    <w:qFormat/>
    <w:uiPriority w:val="0"/>
    <w:pPr>
      <w:numPr>
        <w:ilvl w:val="0"/>
        <w:numId w:val="2"/>
      </w:numPr>
    </w:pPr>
  </w:style>
  <w:style w:type="paragraph" w:styleId="9">
    <w:name w:val="Normal Indent"/>
    <w:basedOn w:val="1"/>
    <w:qFormat/>
    <w:uiPriority w:val="0"/>
    <w:pPr>
      <w:ind w:firstLine="420"/>
    </w:pPr>
    <w:rPr>
      <w:szCs w:val="20"/>
    </w:rPr>
  </w:style>
  <w:style w:type="paragraph" w:styleId="10">
    <w:name w:val="annotation text"/>
    <w:basedOn w:val="1"/>
    <w:link w:val="40"/>
    <w:qFormat/>
    <w:uiPriority w:val="0"/>
    <w:pPr>
      <w:jc w:val="left"/>
    </w:pPr>
  </w:style>
  <w:style w:type="paragraph" w:styleId="11">
    <w:name w:val="Body Text"/>
    <w:basedOn w:val="1"/>
    <w:qFormat/>
    <w:uiPriority w:val="0"/>
    <w:pPr>
      <w:spacing w:line="360" w:lineRule="exact"/>
    </w:pPr>
    <w:rPr>
      <w:sz w:val="24"/>
    </w:rPr>
  </w:style>
  <w:style w:type="paragraph" w:styleId="12">
    <w:name w:val="Body Text Indent"/>
    <w:basedOn w:val="1"/>
    <w:link w:val="43"/>
    <w:qFormat/>
    <w:uiPriority w:val="0"/>
    <w:pPr>
      <w:spacing w:after="120"/>
      <w:ind w:left="420" w:leftChars="200"/>
    </w:pPr>
  </w:style>
  <w:style w:type="paragraph" w:styleId="13">
    <w:name w:val="Date"/>
    <w:basedOn w:val="1"/>
    <w:next w:val="1"/>
    <w:qFormat/>
    <w:uiPriority w:val="0"/>
    <w:pPr>
      <w:ind w:left="2500" w:leftChars="2500"/>
    </w:pPr>
    <w:rPr>
      <w:rFonts w:eastAsia="楷体_GB2312" w:asciiTheme="minorHAnsi" w:hAnsiTheme="minorHAnsi" w:cstheme="minorBidi"/>
      <w:sz w:val="32"/>
      <w:szCs w:val="22"/>
    </w:rPr>
  </w:style>
  <w:style w:type="paragraph" w:styleId="14">
    <w:name w:val="Body Text Indent 2"/>
    <w:basedOn w:val="1"/>
    <w:qFormat/>
    <w:uiPriority w:val="99"/>
    <w:pPr>
      <w:widowControl/>
      <w:spacing w:line="480" w:lineRule="atLeast"/>
      <w:ind w:firstLine="480"/>
    </w:pPr>
    <w:rPr>
      <w:rFonts w:ascii="Times New Roman" w:hAnsi="Times New Roman" w:eastAsia="仿宋_GB2312" w:cs="宋体"/>
      <w:bCs/>
      <w:color w:val="000000"/>
      <w:kern w:val="0"/>
      <w:sz w:val="20"/>
      <w:szCs w:val="20"/>
    </w:rPr>
  </w:style>
  <w:style w:type="paragraph" w:styleId="15">
    <w:name w:val="Balloon Text"/>
    <w:basedOn w:val="1"/>
    <w:link w:val="42"/>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9">
    <w:name w:val="annotation subject"/>
    <w:basedOn w:val="10"/>
    <w:next w:val="10"/>
    <w:link w:val="41"/>
    <w:qFormat/>
    <w:uiPriority w:val="0"/>
    <w:rPr>
      <w:b/>
      <w:bCs/>
    </w:rPr>
  </w:style>
  <w:style w:type="character" w:styleId="22">
    <w:name w:val="annotation reference"/>
    <w:basedOn w:val="21"/>
    <w:qFormat/>
    <w:uiPriority w:val="0"/>
    <w:rPr>
      <w:sz w:val="21"/>
      <w:szCs w:val="21"/>
    </w:rPr>
  </w:style>
  <w:style w:type="paragraph" w:customStyle="1" w:styleId="2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24">
    <w:name w:val="List Paragraph"/>
    <w:basedOn w:val="1"/>
    <w:qFormat/>
    <w:uiPriority w:val="34"/>
    <w:pPr>
      <w:ind w:firstLine="420" w:firstLineChars="200"/>
    </w:pPr>
    <w:rPr>
      <w:rFonts w:ascii="Calibri" w:hAnsi="Calibri"/>
      <w:szCs w:val="22"/>
    </w:rPr>
  </w:style>
  <w:style w:type="paragraph" w:customStyle="1" w:styleId="25">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26">
    <w:name w:val="列出段落1"/>
    <w:basedOn w:val="1"/>
    <w:qFormat/>
    <w:uiPriority w:val="0"/>
    <w:pPr>
      <w:ind w:firstLine="420" w:firstLineChars="200"/>
    </w:pPr>
    <w:rPr>
      <w:rFonts w:ascii="Calibri" w:hAnsi="Calibri"/>
      <w:kern w:val="0"/>
      <w:szCs w:val="20"/>
    </w:rPr>
  </w:style>
  <w:style w:type="paragraph" w:customStyle="1" w:styleId="27">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2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_14"/>
    <w:qFormat/>
    <w:uiPriority w:val="0"/>
    <w:rPr>
      <w:rFonts w:ascii="Times New Roman" w:hAnsi="Times New Roman" w:eastAsia="宋体" w:cs="Times New Roman"/>
      <w:sz w:val="21"/>
      <w:szCs w:val="22"/>
      <w:lang w:val="en-US" w:eastAsia="zh-CN" w:bidi="ar-SA"/>
    </w:rPr>
  </w:style>
  <w:style w:type="paragraph" w:customStyle="1" w:styleId="3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纯文本_3"/>
    <w:basedOn w:val="33"/>
    <w:qFormat/>
    <w:uiPriority w:val="0"/>
    <w:pPr>
      <w:widowControl/>
      <w:jc w:val="left"/>
    </w:pPr>
    <w:rPr>
      <w:rFonts w:ascii="宋体" w:hAnsi="Courier New" w:eastAsiaTheme="minorEastAsia" w:cstheme="minorBidi"/>
      <w:szCs w:val="21"/>
    </w:rPr>
  </w:style>
  <w:style w:type="paragraph" w:customStyle="1" w:styleId="35">
    <w:name w:val="纯文本_0_1"/>
    <w:basedOn w:val="1"/>
    <w:qFormat/>
    <w:uiPriority w:val="0"/>
    <w:pPr>
      <w:widowControl/>
      <w:jc w:val="left"/>
    </w:pPr>
    <w:rPr>
      <w:rFonts w:ascii="宋体" w:hAnsi="Courier New" w:eastAsiaTheme="minorEastAsia" w:cstheme="minorBidi"/>
      <w:szCs w:val="21"/>
    </w:rPr>
  </w:style>
  <w:style w:type="paragraph" w:customStyle="1" w:styleId="36">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批注文字 Char"/>
    <w:basedOn w:val="21"/>
    <w:link w:val="10"/>
    <w:qFormat/>
    <w:uiPriority w:val="0"/>
    <w:rPr>
      <w:rFonts w:ascii="Times New Roman" w:hAnsi="Times New Roman" w:eastAsia="宋体" w:cs="Times New Roman"/>
      <w:kern w:val="2"/>
      <w:sz w:val="21"/>
      <w:szCs w:val="24"/>
    </w:rPr>
  </w:style>
  <w:style w:type="character" w:customStyle="1" w:styleId="41">
    <w:name w:val="批注主题 Char"/>
    <w:basedOn w:val="40"/>
    <w:link w:val="19"/>
    <w:qFormat/>
    <w:uiPriority w:val="0"/>
    <w:rPr>
      <w:b/>
      <w:bCs/>
    </w:rPr>
  </w:style>
  <w:style w:type="character" w:customStyle="1" w:styleId="42">
    <w:name w:val="批注框文本 Char"/>
    <w:basedOn w:val="21"/>
    <w:link w:val="15"/>
    <w:qFormat/>
    <w:uiPriority w:val="0"/>
    <w:rPr>
      <w:rFonts w:ascii="Times New Roman" w:hAnsi="Times New Roman" w:eastAsia="宋体" w:cs="Times New Roman"/>
      <w:kern w:val="2"/>
      <w:sz w:val="18"/>
      <w:szCs w:val="18"/>
    </w:rPr>
  </w:style>
  <w:style w:type="character" w:customStyle="1" w:styleId="43">
    <w:name w:val="正文文本缩进 Char"/>
    <w:basedOn w:val="21"/>
    <w:link w:val="12"/>
    <w:qFormat/>
    <w:uiPriority w:val="0"/>
    <w:rPr>
      <w:kern w:val="2"/>
      <w:sz w:val="21"/>
      <w:szCs w:val="24"/>
    </w:rPr>
  </w:style>
  <w:style w:type="paragraph" w:customStyle="1" w:styleId="44">
    <w:name w:val="正文-MINE"/>
    <w:basedOn w:val="1"/>
    <w:qFormat/>
    <w:uiPriority w:val="0"/>
    <w:pPr>
      <w:widowControl/>
      <w:adjustRightInd w:val="0"/>
      <w:snapToGrid w:val="0"/>
      <w:spacing w:beforeLines="50" w:afterLines="50"/>
      <w:ind w:firstLine="482"/>
      <w:jc w:val="left"/>
    </w:pPr>
    <w:rPr>
      <w:rFonts w:ascii="微软雅黑" w:hAnsi="微软雅黑" w:eastAsia="微软雅黑" w:cs="Times New Roman"/>
      <w:szCs w:val="21"/>
    </w:rPr>
  </w:style>
  <w:style w:type="paragraph" w:customStyle="1" w:styleId="45">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b/>
      <w:bCs/>
      <w:kern w:val="0"/>
      <w:sz w:val="28"/>
      <w:szCs w:val="28"/>
    </w:rPr>
  </w:style>
  <w:style w:type="paragraph" w:customStyle="1" w:styleId="46">
    <w:name w:val="标书正文"/>
    <w:basedOn w:val="1"/>
    <w:qFormat/>
    <w:uiPriority w:val="0"/>
    <w:pPr>
      <w:spacing w:line="360" w:lineRule="auto"/>
      <w:ind w:firstLine="200" w:firstLineChars="200"/>
    </w:pPr>
    <w:rPr>
      <w:rFonts w:ascii="宋体" w:hAnsi="宋体" w:eastAsia="宋体" w:cs="Times New Roman"/>
      <w:sz w:val="24"/>
      <w:szCs w:val="24"/>
    </w:rPr>
  </w:style>
  <w:style w:type="paragraph" w:customStyle="1" w:styleId="47">
    <w:name w:val="样式 首行缩进:  0 字符"/>
    <w:basedOn w:val="1"/>
    <w:qFormat/>
    <w:uiPriority w:val="0"/>
    <w:pPr>
      <w:spacing w:line="360" w:lineRule="auto"/>
      <w:ind w:firstLine="200" w:firstLineChars="200"/>
    </w:pPr>
    <w:rPr>
      <w:rFonts w:ascii="Arial" w:hAnsi="Arial" w:eastAsia="宋体" w:cs="Times New Roman"/>
      <w:sz w:val="24"/>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59</Pages>
  <Words>4169</Words>
  <Characters>23767</Characters>
  <Lines>198</Lines>
  <Paragraphs>55</Paragraphs>
  <TotalTime>70</TotalTime>
  <ScaleCrop>false</ScaleCrop>
  <LinksUpToDate>false</LinksUpToDate>
  <CharactersWithSpaces>27881</CharactersWithSpaces>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2018-06-19T13:33:00Z</dcterms:created>
  <dc:creator>S-mile</dc:creator>
  <cp:lastModifiedBy>Administrator</cp:lastModifiedBy>
  <cp:lastPrinted>2019-07-19T01:25:00Z</cp:lastPrinted>
  <dcterms:modified xsi:type="dcterms:W3CDTF">2019-07-19T04:02:51Z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