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cs="宋体"/>
          <w:b w:val="0"/>
          <w:bCs w:val="0"/>
          <w:color w:val="auto"/>
          <w:kern w:val="0"/>
          <w:sz w:val="30"/>
          <w:szCs w:val="30"/>
          <w:highlight w:val="none"/>
          <w:lang w:eastAsia="zh-CN"/>
        </w:rPr>
      </w:pPr>
      <w:r>
        <w:rPr>
          <w:rFonts w:hint="eastAsia" w:ascii="宋体" w:hAnsi="宋体" w:cs="宋体"/>
          <w:b w:val="0"/>
          <w:bCs w:val="0"/>
          <w:color w:val="auto"/>
          <w:kern w:val="0"/>
          <w:sz w:val="30"/>
          <w:szCs w:val="30"/>
          <w:highlight w:val="none"/>
          <w:lang w:eastAsia="zh-CN"/>
        </w:rPr>
        <w:t>TZHX-2019-02</w:t>
      </w:r>
      <w:r>
        <w:rPr>
          <w:rFonts w:hint="eastAsia" w:ascii="宋体" w:hAnsi="宋体" w:cs="宋体"/>
          <w:b w:val="0"/>
          <w:bCs w:val="0"/>
          <w:color w:val="auto"/>
          <w:kern w:val="0"/>
          <w:sz w:val="30"/>
          <w:szCs w:val="30"/>
          <w:highlight w:val="none"/>
          <w:lang w:val="en-US" w:eastAsia="zh-CN"/>
        </w:rPr>
        <w:t>8</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p>
    <w:p>
      <w:pPr>
        <w:spacing w:line="360" w:lineRule="auto"/>
        <w:ind w:firstLine="560" w:firstLineChars="200"/>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 xml:space="preserve">采购项目：玉环市渔业应急指挥平台渔船近岸动态监管视频系统 </w:t>
      </w:r>
    </w:p>
    <w:p>
      <w:pPr>
        <w:spacing w:line="360" w:lineRule="auto"/>
        <w:ind w:firstLine="560" w:firstLineChars="200"/>
        <w:jc w:val="left"/>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采购人</w:t>
      </w:r>
      <w:r>
        <w:rPr>
          <w:rFonts w:hint="eastAsia" w:ascii="宋体" w:hAnsi="宋体" w:cs="宋体"/>
          <w:color w:val="auto"/>
          <w:kern w:val="0"/>
          <w:sz w:val="28"/>
          <w:szCs w:val="28"/>
          <w:highlight w:val="none"/>
        </w:rPr>
        <w:t>：玉环市港航口岸和渔业管理局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pPr>
        <w:pStyle w:val="30"/>
        <w:rPr>
          <w:rFonts w:hint="eastAsia" w:ascii="宋体" w:hAnsi="宋体" w:cs="宋体"/>
          <w:color w:val="auto"/>
          <w:kern w:val="0"/>
          <w:sz w:val="30"/>
          <w:szCs w:val="30"/>
          <w:highlight w:val="none"/>
        </w:rPr>
      </w:pPr>
    </w:p>
    <w:p>
      <w:pPr>
        <w:pStyle w:val="8"/>
        <w:rPr>
          <w:rFonts w:hint="eastAsia" w:ascii="宋体" w:hAnsi="宋体" w:cs="宋体"/>
          <w:color w:val="auto"/>
          <w:kern w:val="0"/>
          <w:sz w:val="30"/>
          <w:szCs w:val="30"/>
          <w:highlight w:val="none"/>
        </w:rPr>
      </w:pPr>
    </w:p>
    <w:p>
      <w:pPr>
        <w:pStyle w:val="9"/>
        <w:rPr>
          <w:rFonts w:hint="eastAsia" w:ascii="宋体" w:hAnsi="宋体" w:cs="宋体"/>
          <w:color w:val="auto"/>
          <w:kern w:val="0"/>
          <w:sz w:val="30"/>
          <w:szCs w:val="30"/>
          <w:highlight w:val="none"/>
        </w:rPr>
      </w:pPr>
    </w:p>
    <w:p>
      <w:pPr>
        <w:rPr>
          <w:rFonts w:hint="eastAsia" w:ascii="宋体" w:hAnsi="宋体" w:cs="宋体"/>
          <w:color w:val="auto"/>
          <w:kern w:val="0"/>
          <w:sz w:val="30"/>
          <w:szCs w:val="30"/>
          <w:highlight w:val="none"/>
        </w:rPr>
      </w:pPr>
    </w:p>
    <w:p>
      <w:pPr>
        <w:pStyle w:val="30"/>
        <w:rPr>
          <w:rFonts w:hint="eastAsia" w:ascii="宋体" w:hAnsi="宋体" w:cs="宋体"/>
          <w:color w:val="auto"/>
          <w:kern w:val="0"/>
          <w:sz w:val="30"/>
          <w:szCs w:val="30"/>
          <w:highlight w:val="none"/>
        </w:rPr>
      </w:pPr>
    </w:p>
    <w:p>
      <w:pPr>
        <w:pStyle w:val="8"/>
        <w:rPr>
          <w:rFonts w:hint="eastAsia"/>
          <w:color w:val="auto"/>
          <w:highlight w:val="none"/>
        </w:rPr>
      </w:pP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台州恒信工程造价咨询有限公司</w:t>
      </w: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2019</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7</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2"/>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rPr>
        <w:t>玉环市港航口岸和渔业管理局单</w:t>
      </w:r>
      <w:r>
        <w:rPr>
          <w:rFonts w:hint="eastAsia" w:asciiTheme="minorEastAsia" w:hAnsiTheme="minorEastAsia" w:eastAsiaTheme="minorEastAsia"/>
          <w:color w:val="auto"/>
          <w:kern w:val="0"/>
          <w:sz w:val="24"/>
          <w:highlight w:val="none"/>
        </w:rPr>
        <w:t>位</w:t>
      </w:r>
      <w:r>
        <w:rPr>
          <w:rFonts w:hint="eastAsia" w:asciiTheme="minorEastAsia" w:hAnsiTheme="minorEastAsia" w:eastAsiaTheme="minorEastAsia"/>
          <w:color w:val="auto"/>
          <w:sz w:val="24"/>
          <w:highlight w:val="none"/>
          <w:lang w:eastAsia="zh-CN"/>
        </w:rPr>
        <w:t>玉环市渔业应急指挥平台渔船近岸动态监管视频系统</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TZHX-2019-02</w:t>
      </w:r>
      <w:r>
        <w:rPr>
          <w:rFonts w:hint="eastAsia" w:asciiTheme="minorEastAsia" w:hAnsiTheme="minorEastAsia" w:eastAsiaTheme="minorEastAsia"/>
          <w:b/>
          <w:color w:val="auto"/>
          <w:kern w:val="0"/>
          <w:sz w:val="24"/>
          <w:highlight w:val="none"/>
          <w:lang w:val="en-US" w:eastAsia="zh-CN"/>
        </w:rPr>
        <w:t>8</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18"/>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14"/>
        <w:gridCol w:w="2552"/>
        <w:gridCol w:w="581"/>
        <w:gridCol w:w="582"/>
        <w:gridCol w:w="1090"/>
        <w:gridCol w:w="130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7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114"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2552" w:type="dxa"/>
            <w:vAlign w:val="center"/>
          </w:tcPr>
          <w:p>
            <w:pPr>
              <w:tabs>
                <w:tab w:val="left" w:pos="8280"/>
              </w:tabs>
              <w:autoSpaceDE w:val="0"/>
              <w:autoSpaceDN w:val="0"/>
              <w:adjustRightInd w:val="0"/>
              <w:ind w:right="25"/>
              <w:rPr>
                <w:rFonts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58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82"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090"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1300"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1037"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2" w:hRule="atLeast"/>
          <w:jc w:val="center"/>
        </w:trPr>
        <w:tc>
          <w:tcPr>
            <w:tcW w:w="775"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14" w:type="dxa"/>
            <w:vAlign w:val="center"/>
          </w:tcPr>
          <w:p>
            <w:pPr>
              <w:widowControl/>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玉环市渔业应急指挥平台渔船近岸动态监管视频系统</w:t>
            </w:r>
          </w:p>
          <w:p>
            <w:pPr>
              <w:tabs>
                <w:tab w:val="left" w:pos="8280"/>
              </w:tabs>
              <w:autoSpaceDE w:val="0"/>
              <w:autoSpaceDN w:val="0"/>
              <w:adjustRightInd w:val="0"/>
              <w:ind w:right="25"/>
              <w:rPr>
                <w:rFonts w:asciiTheme="minorEastAsia" w:hAnsiTheme="minorEastAsia" w:eastAsiaTheme="minorEastAsia"/>
                <w:color w:val="auto"/>
                <w:sz w:val="24"/>
                <w:highlight w:val="none"/>
              </w:rPr>
            </w:pPr>
          </w:p>
        </w:tc>
        <w:tc>
          <w:tcPr>
            <w:tcW w:w="2552" w:type="dxa"/>
            <w:vAlign w:val="center"/>
          </w:tcPr>
          <w:p>
            <w:pPr>
              <w:widowControl/>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玉环市渔业应急指挥平台渔船近岸动态监管视频系统项目包括大麦屿、坎门、栈台、灵门、乌岩、黄门、灯塔、鸡山8个渔港、船舶集中停靠点、航道、港池、锚地、停泊区、防波堤、出入口等重点区域监控站点建设。并利用无人机和现场调查相结合，采集加工渔港空中全景信息，以提升我市渔港现代化、信息化管理水平，强化我市应对突发渔业生产安全事件风险分析与精细化管理能力。</w:t>
            </w:r>
          </w:p>
        </w:tc>
        <w:tc>
          <w:tcPr>
            <w:tcW w:w="581"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582"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109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320</w:t>
            </w:r>
          </w:p>
        </w:tc>
        <w:tc>
          <w:tcPr>
            <w:tcW w:w="130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320</w:t>
            </w:r>
          </w:p>
        </w:tc>
        <w:tc>
          <w:tcPr>
            <w:tcW w:w="1037"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合同签订后</w:t>
            </w:r>
            <w:r>
              <w:rPr>
                <w:rFonts w:asciiTheme="minorEastAsia" w:hAnsiTheme="minorEastAsia" w:eastAsiaTheme="minorEastAsia"/>
                <w:color w:val="auto"/>
                <w:sz w:val="24"/>
                <w:highlight w:val="none"/>
              </w:rPr>
              <w:t>120</w:t>
            </w:r>
            <w:r>
              <w:rPr>
                <w:rFonts w:hint="eastAsia" w:asciiTheme="minorEastAsia" w:hAnsiTheme="minorEastAsia" w:eastAsiaTheme="minorEastAsia"/>
                <w:color w:val="auto"/>
                <w:sz w:val="24"/>
                <w:highlight w:val="none"/>
              </w:rPr>
              <w:t>天内</w:t>
            </w:r>
          </w:p>
        </w:tc>
      </w:tr>
    </w:tbl>
    <w:p>
      <w:pPr>
        <w:widowControl/>
        <w:tabs>
          <w:tab w:val="left" w:pos="0"/>
        </w:tabs>
        <w:spacing w:line="360" w:lineRule="auto"/>
        <w:ind w:firstLine="480" w:firstLineChars="200"/>
        <w:rPr>
          <w:rFonts w:asciiTheme="minorEastAsia" w:hAnsiTheme="minorEastAsia" w:eastAsiaTheme="minorEastAsia"/>
          <w:color w:val="auto"/>
          <w:sz w:val="24"/>
          <w:highlight w:val="none"/>
        </w:rPr>
      </w:pPr>
      <w:bookmarkStart w:id="0" w:name="EBc3c9f0bc06b6413d849824fe98ba274c"/>
      <w:r>
        <w:rPr>
          <w:rFonts w:hint="eastAsia" w:asciiTheme="minorEastAsia" w:hAnsiTheme="minorEastAsia" w:eastAsiaTheme="minorEastAsia"/>
          <w:color w:val="auto"/>
          <w:sz w:val="24"/>
          <w:highlight w:val="none"/>
        </w:rPr>
        <w:t>本次采购产品为非进口产品。</w:t>
      </w:r>
    </w:p>
    <w:bookmarkEnd w:id="0"/>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spacing w:line="400" w:lineRule="exact"/>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r>
        <w:rPr>
          <w:rFonts w:hint="eastAsia" w:ascii="宋体" w:hAnsi="宋体"/>
          <w:color w:val="auto"/>
          <w:sz w:val="24"/>
          <w:highlight w:val="none"/>
        </w:rPr>
        <w:t>具有与本项目采购相适应的商品经营能力（包括供应能力、施工能力、售后服务能力等）供应商。</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highlight w:val="none"/>
        </w:rPr>
      </w:pPr>
      <w:r>
        <w:rPr>
          <w:rFonts w:hint="eastAsia" w:asciiTheme="minorEastAsia" w:hAnsiTheme="minorEastAsia" w:eastAsiaTheme="minorEastAsia"/>
          <w:color w:val="auto"/>
          <w:sz w:val="24"/>
          <w:highlight w:val="none"/>
        </w:rPr>
        <w:t>1、本项目不接受联合体投标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1、获取方式：网上免费下载</w:t>
      </w:r>
      <w:r>
        <w:rPr>
          <w:rFonts w:hint="eastAsia" w:cs="Arial" w:asciiTheme="minorEastAsia" w:hAnsiTheme="minorEastAsia" w:eastAsiaTheme="minorEastAsia"/>
          <w:b/>
          <w:bCs/>
          <w:color w:val="auto"/>
          <w:sz w:val="24"/>
          <w:highlight w:val="none"/>
        </w:rPr>
        <w:t>（不接受网上报名）</w:t>
      </w:r>
      <w:r>
        <w:rPr>
          <w:rFonts w:hint="eastAsia" w:cs="Arial" w:asciiTheme="minorEastAsia" w:hAnsiTheme="minorEastAsia" w:eastAsiaTheme="minorEastAsia"/>
          <w:color w:val="auto"/>
          <w:sz w:val="24"/>
          <w:highlight w:val="none"/>
        </w:rPr>
        <w:t>，下载地址为http://www.zjzfcg.gov.cn或https://www.yhjyzx.com/home/index</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2、获取（公告）时间：</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07</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25</w:t>
      </w:r>
      <w:r>
        <w:rPr>
          <w:rFonts w:hint="eastAsia" w:ascii="宋体" w:hAnsi="宋体" w:cs="Arial"/>
          <w:color w:val="auto"/>
          <w:sz w:val="24"/>
          <w:highlight w:val="none"/>
        </w:rPr>
        <w:t>日至</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08</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02</w:t>
      </w:r>
      <w:r>
        <w:rPr>
          <w:rFonts w:hint="eastAsia" w:ascii="宋体" w:hAnsi="宋体" w:cs="Arial"/>
          <w:color w:val="auto"/>
          <w:sz w:val="24"/>
          <w:highlight w:val="none"/>
        </w:rPr>
        <w:t>日</w:t>
      </w:r>
    </w:p>
    <w:p>
      <w:pPr>
        <w:spacing w:line="360" w:lineRule="auto"/>
        <w:ind w:firstLine="960" w:firstLineChars="400"/>
        <w:rPr>
          <w:rFonts w:cs="Arial" w:asciiTheme="minorEastAsia" w:hAnsiTheme="minorEastAsia" w:eastAsiaTheme="minorEastAsia"/>
          <w:color w:val="auto"/>
          <w:sz w:val="24"/>
          <w:highlight w:val="none"/>
        </w:rPr>
      </w:pPr>
      <w:r>
        <w:rPr>
          <w:rFonts w:hint="eastAsia" w:ascii="宋体" w:hAnsi="宋体" w:cs="Arial"/>
          <w:color w:val="auto"/>
          <w:sz w:val="24"/>
          <w:highlight w:val="none"/>
        </w:rPr>
        <w:t>上午：8:30-12:00      下午</w:t>
      </w:r>
      <w:r>
        <w:rPr>
          <w:rFonts w:hint="eastAsia" w:ascii="宋体" w:hAnsi="宋体" w:cs="Arial"/>
          <w:color w:val="auto"/>
          <w:sz w:val="24"/>
          <w:highlight w:val="none"/>
          <w:lang w:eastAsia="zh-CN"/>
        </w:rPr>
        <w:t>：</w:t>
      </w: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0-16:30</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报名地址</w:t>
      </w:r>
      <w:r>
        <w:rPr>
          <w:rFonts w:hint="eastAsia" w:cs="Arial" w:asciiTheme="minorEastAsia" w:hAnsiTheme="minorEastAsia" w:eastAsiaTheme="minorEastAsia"/>
          <w:color w:val="auto"/>
          <w:sz w:val="24"/>
          <w:highlight w:val="none"/>
        </w:rPr>
        <w:t>：玉环市玉城街道泰安路312号财富中心5号楼1002室</w:t>
      </w:r>
      <w:r>
        <w:rPr>
          <w:rFonts w:hint="eastAsia" w:cs="Arial" w:asciiTheme="minorEastAsia" w:hAnsiTheme="minorEastAsia" w:eastAsiaTheme="minorEastAsia"/>
          <w:color w:val="auto"/>
          <w:sz w:val="24"/>
          <w:highlight w:val="none"/>
          <w:lang w:eastAsia="zh-CN"/>
        </w:rPr>
        <w:t>（台州恒信工程造价咨询有限公司）</w:t>
      </w:r>
      <w:r>
        <w:rPr>
          <w:rFonts w:hint="eastAsia" w:cs="Arial" w:asciiTheme="minorEastAsia" w:hAnsiTheme="minorEastAsia" w:eastAsiaTheme="minorEastAsia"/>
          <w:color w:val="auto"/>
          <w:sz w:val="24"/>
          <w:highlight w:val="none"/>
        </w:rPr>
        <w:t>。</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lang w:eastAsia="zh-CN"/>
        </w:rPr>
        <w:t>报名时时应提交的资料：①采购报名申请表（可现场填写）；②营业执照（携原件备查）；③法定代表人授权委托书原件及被授权人身份证复印件，以上资料的复印件加盖单位公章按顺序装订成册提交。</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投标截止及开标时间、地点：</w:t>
      </w:r>
    </w:p>
    <w:p>
      <w:pPr>
        <w:snapToGrid w:val="0"/>
        <w:spacing w:line="360"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本次招标将于</w:t>
      </w:r>
      <w:r>
        <w:rPr>
          <w:rFonts w:hint="eastAsia" w:cs="Arial" w:asciiTheme="minorEastAsia" w:hAnsiTheme="minorEastAsia" w:eastAsiaTheme="minorEastAsia"/>
          <w:color w:val="auto"/>
          <w:sz w:val="24"/>
          <w:highlight w:val="none"/>
          <w:lang w:val="en-US" w:eastAsia="zh-CN"/>
        </w:rPr>
        <w:t>2019</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val="en-US" w:eastAsia="zh-CN"/>
        </w:rPr>
        <w:t>08</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14</w:t>
      </w:r>
      <w:r>
        <w:rPr>
          <w:rFonts w:hint="eastAsia" w:cs="Arial" w:asciiTheme="minorEastAsia" w:hAnsiTheme="minorEastAsia" w:eastAsiaTheme="minorEastAsia"/>
          <w:color w:val="auto"/>
          <w:sz w:val="24"/>
          <w:highlight w:val="none"/>
        </w:rPr>
        <w:t>日星期</w:t>
      </w:r>
      <w:r>
        <w:rPr>
          <w:rFonts w:hint="eastAsia" w:cs="Arial" w:asciiTheme="minorEastAsia" w:hAnsiTheme="minorEastAsia" w:eastAsiaTheme="minorEastAsia"/>
          <w:color w:val="auto"/>
          <w:sz w:val="24"/>
          <w:highlight w:val="none"/>
          <w:lang w:eastAsia="zh-CN"/>
        </w:rPr>
        <w:t>三上</w:t>
      </w:r>
      <w:r>
        <w:rPr>
          <w:rFonts w:hint="eastAsia" w:cs="Arial" w:asciiTheme="minorEastAsia" w:hAnsiTheme="minorEastAsia" w:eastAsiaTheme="minorEastAsia"/>
          <w:color w:val="auto"/>
          <w:sz w:val="24"/>
          <w:highlight w:val="none"/>
        </w:rPr>
        <w:t>午</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时</w:t>
      </w:r>
      <w:r>
        <w:rPr>
          <w:rFonts w:hint="eastAsia" w:cs="Arial" w:asciiTheme="minorEastAsia" w:hAnsiTheme="minorEastAsia" w:eastAsiaTheme="minorEastAsia"/>
          <w:color w:val="auto"/>
          <w:sz w:val="24"/>
          <w:highlight w:val="none"/>
          <w:lang w:val="en-US" w:eastAsia="zh-CN"/>
        </w:rPr>
        <w:t>30分</w:t>
      </w:r>
      <w:r>
        <w:rPr>
          <w:rFonts w:hint="eastAsia" w:cs="Arial" w:asciiTheme="minorEastAsia" w:hAnsiTheme="minorEastAsia" w:eastAsiaTheme="minorEastAsia"/>
          <w:color w:val="auto"/>
          <w:sz w:val="24"/>
          <w:highlight w:val="none"/>
        </w:rPr>
        <w:t>在</w:t>
      </w:r>
      <w:r>
        <w:rPr>
          <w:rFonts w:hint="eastAsia" w:cs="Arial" w:asciiTheme="minorEastAsia" w:hAnsiTheme="minorEastAsia" w:eastAsiaTheme="minorEastAsia"/>
          <w:color w:val="auto"/>
          <w:sz w:val="24"/>
          <w:highlight w:val="none"/>
          <w:lang w:val="en-US" w:eastAsia="zh-CN"/>
        </w:rPr>
        <w:t>玉环市公共资源交易中心二楼开标室（3）（玉环市新城中路与长治路（南一路）交叉路口）开标</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请在开标当日</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kern w:val="0"/>
          <w:sz w:val="24"/>
          <w:highlight w:val="none"/>
        </w:rPr>
        <w:t>至</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0</w:t>
      </w:r>
      <w:r>
        <w:rPr>
          <w:rFonts w:hint="eastAsia" w:asciiTheme="minorEastAsia" w:hAnsiTheme="minorEastAsia" w:eastAsiaTheme="minorEastAsia"/>
          <w:color w:val="auto"/>
          <w:kern w:val="0"/>
          <w:sz w:val="24"/>
          <w:highlight w:val="none"/>
        </w:rPr>
        <w:t>将投标文件送达开标地点，逾期或不符合规定的投标文件恕不接受。</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1、查询渠道：国家企业信用信息公示系统（http://www.gsxt.gov.cn/index.html）。</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3、参与政府采购项目的供应商，应当先在浙江政府采购网上申请注册，注册终审通过后可从网上直接下载。</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4、本项目所有公告发布网站：“浙江省政府采购网”（http:// www.zjzfcg.gov.cn）和“玉环市公共资源交易中心”（ https://www.yhjyzx.com/News/zcfg/zfcg）。</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季先生</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val="en-US" w:eastAsia="zh-CN"/>
        </w:rPr>
        <w:t>0576-87229474</w:t>
      </w:r>
      <w:r>
        <w:rPr>
          <w:rFonts w:hint="eastAsia" w:asciiTheme="minorEastAsia" w:hAnsiTheme="minorEastAsia" w:eastAsiaTheme="minorEastAsia"/>
          <w:color w:val="auto"/>
          <w:kern w:val="0"/>
          <w:sz w:val="24"/>
          <w:highlight w:val="none"/>
        </w:rPr>
        <w:t xml:space="preserve">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玉环市玉城街道泰安路</w:t>
      </w:r>
      <w:r>
        <w:rPr>
          <w:rFonts w:hint="eastAsia" w:asciiTheme="minorEastAsia" w:hAnsiTheme="minorEastAsia" w:eastAsiaTheme="minorEastAsia"/>
          <w:color w:val="auto"/>
          <w:kern w:val="0"/>
          <w:sz w:val="24"/>
          <w:highlight w:val="none"/>
          <w:lang w:val="en-US" w:eastAsia="zh-CN"/>
        </w:rPr>
        <w:t>312号财富中心5号楼1002</w:t>
      </w:r>
      <w:r>
        <w:rPr>
          <w:rFonts w:hint="eastAsia" w:asciiTheme="minorEastAsia" w:hAnsiTheme="minorEastAsia" w:eastAsiaTheme="minorEastAsia"/>
          <w:color w:val="auto"/>
          <w:kern w:val="0"/>
          <w:sz w:val="24"/>
          <w:highlight w:val="none"/>
        </w:rPr>
        <w:t xml:space="preserve">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玉环市港航口岸和渔业管理局</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地址：玉环市珠城西路</w:t>
      </w:r>
      <w:r>
        <w:rPr>
          <w:rFonts w:hint="eastAsia" w:cs="Arial" w:asciiTheme="minorEastAsia" w:hAnsiTheme="minorEastAsia" w:eastAsiaTheme="minorEastAsia"/>
          <w:color w:val="auto"/>
          <w:sz w:val="24"/>
          <w:highlight w:val="none"/>
        </w:rPr>
        <w:t>5号</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蔡世超</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谢主任</w:t>
      </w:r>
      <w:r>
        <w:rPr>
          <w:rFonts w:hint="eastAsia" w:cs="Arial" w:asciiTheme="minorEastAsia" w:hAnsiTheme="minorEastAsia" w:eastAsiaTheme="minorEastAsia"/>
          <w:color w:val="auto"/>
          <w:sz w:val="24"/>
          <w:highlight w:val="none"/>
        </w:rPr>
        <w:t xml:space="preserve">   监督投诉电话：0576-87250185   传真：0576-8725018</w:t>
      </w:r>
      <w:r>
        <w:rPr>
          <w:rFonts w:hint="eastAsia" w:cs="Arial" w:asciiTheme="minorEastAsia" w:hAnsiTheme="minorEastAsia" w:eastAsiaTheme="minorEastAsia"/>
          <w:color w:val="auto"/>
          <w:sz w:val="24"/>
          <w:highlight w:val="none"/>
          <w:lang w:val="en-US" w:eastAsia="zh-CN"/>
        </w:rPr>
        <w:t>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2019年07月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auto"/>
          <w:kern w:val="0"/>
          <w:sz w:val="24"/>
          <w:highlight w:val="none"/>
        </w:rPr>
      </w:pPr>
    </w:p>
    <w:p>
      <w:pPr>
        <w:rPr>
          <w:color w:val="auto"/>
          <w:highlight w:val="none"/>
        </w:rPr>
      </w:pPr>
      <w:r>
        <w:rPr>
          <w:color w:val="auto"/>
          <w:highlight w:val="none"/>
        </w:rPr>
        <w:br w:type="page"/>
      </w:r>
    </w:p>
    <w:p>
      <w:pPr>
        <w:widowControl/>
        <w:jc w:val="center"/>
        <w:rPr>
          <w:b/>
          <w:bCs/>
          <w:color w:val="auto"/>
          <w:kern w:val="0"/>
          <w:sz w:val="44"/>
          <w:szCs w:val="44"/>
          <w:highlight w:val="none"/>
        </w:rPr>
      </w:pPr>
      <w:r>
        <w:rPr>
          <w:rFonts w:ascii="方正魏碑简体" w:hAnsi="方正魏碑简体"/>
          <w:b/>
          <w:bCs/>
          <w:color w:val="auto"/>
          <w:kern w:val="0"/>
          <w:sz w:val="44"/>
          <w:szCs w:val="44"/>
          <w:highlight w:val="none"/>
        </w:rPr>
        <w:t>采购报名申请表</w:t>
      </w:r>
    </w:p>
    <w:tbl>
      <w:tblPr>
        <w:tblStyle w:val="18"/>
        <w:tblW w:w="9205" w:type="dxa"/>
        <w:tblInd w:w="-91"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bCs/>
                <w:color w:val="auto"/>
                <w:sz w:val="22"/>
                <w:szCs w:val="22"/>
                <w:highlight w:val="none"/>
              </w:rPr>
            </w:pPr>
            <w:r>
              <w:rPr>
                <w:rFonts w:hint="eastAsia" w:ascii="宋体"/>
                <w:bCs/>
                <w:color w:val="auto"/>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b/>
                <w:bCs/>
                <w:color w:val="auto"/>
                <w:kern w:val="0"/>
                <w:sz w:val="22"/>
                <w:szCs w:val="22"/>
                <w:highlight w:val="none"/>
                <w:lang w:eastAsia="zh-CN"/>
              </w:rPr>
            </w:pPr>
            <w:r>
              <w:rPr>
                <w:rFonts w:hint="eastAsia" w:ascii="宋体" w:hAnsi="宋体"/>
                <w:b/>
                <w:bCs/>
                <w:color w:val="auto"/>
                <w:kern w:val="0"/>
                <w:sz w:val="22"/>
                <w:szCs w:val="22"/>
                <w:highlight w:val="none"/>
              </w:rPr>
              <w:t>提交的报名资料清单</w:t>
            </w:r>
            <w:r>
              <w:rPr>
                <w:rFonts w:hint="eastAsia" w:ascii="宋体" w:hAnsi="宋体"/>
                <w:b/>
                <w:bCs/>
                <w:color w:val="auto"/>
                <w:kern w:val="0"/>
                <w:sz w:val="22"/>
                <w:szCs w:val="22"/>
                <w:highlight w:val="none"/>
                <w:lang w:eastAsia="zh-CN"/>
              </w:rPr>
              <w:t>（原件备查）</w:t>
            </w: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备  注</w:t>
            </w: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auto"/>
                <w:sz w:val="22"/>
                <w:highlight w:val="none"/>
              </w:rPr>
            </w:pPr>
            <w:r>
              <w:rPr>
                <w:rFonts w:hint="eastAsia" w:ascii="宋体"/>
                <w:color w:val="auto"/>
                <w:sz w:val="22"/>
                <w:highlight w:val="none"/>
              </w:rPr>
              <w:t>营业执照副本（</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hAnsi="宋体"/>
                <w:color w:val="auto"/>
                <w:kern w:val="0"/>
                <w:sz w:val="22"/>
                <w:szCs w:val="22"/>
                <w:highlight w:val="none"/>
                <w:lang w:eastAsia="zh-CN"/>
              </w:rPr>
              <w:t>法定代表人授权委托书</w:t>
            </w:r>
            <w:r>
              <w:rPr>
                <w:rFonts w:hint="eastAsia" w:ascii="宋体" w:hAnsi="宋体"/>
                <w:color w:val="auto"/>
                <w:kern w:val="0"/>
                <w:sz w:val="22"/>
                <w:szCs w:val="22"/>
                <w:highlight w:val="none"/>
              </w:rPr>
              <w:t>原件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hAnsi="宋体"/>
                <w:color w:val="auto"/>
                <w:kern w:val="0"/>
                <w:sz w:val="22"/>
                <w:szCs w:val="22"/>
                <w:highlight w:val="none"/>
                <w:lang w:eastAsia="zh-CN"/>
              </w:rPr>
              <w:t>被授权人的有效身份证件</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复印件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bl>
    <w:p>
      <w:pPr>
        <w:rPr>
          <w:color w:val="auto"/>
          <w:highlight w:val="none"/>
        </w:rPr>
      </w:pPr>
      <w:r>
        <w:rPr>
          <w:rFonts w:hint="eastAsia" w:ascii="楷体_GB2312" w:eastAsia="楷体_GB2312"/>
          <w:b/>
          <w:bCs/>
          <w:color w:val="auto"/>
          <w:kern w:val="0"/>
          <w:sz w:val="24"/>
          <w:highlight w:val="none"/>
        </w:rPr>
        <w:t>以上报名资料请</w:t>
      </w:r>
      <w:r>
        <w:rPr>
          <w:rFonts w:hint="eastAsia" w:ascii="楷体_GB2312" w:eastAsia="楷体_GB2312"/>
          <w:b/>
          <w:bCs/>
          <w:color w:val="auto"/>
          <w:kern w:val="0"/>
          <w:sz w:val="24"/>
          <w:highlight w:val="none"/>
          <w:lang w:eastAsia="zh-CN"/>
        </w:rPr>
        <w:t>按顺序</w:t>
      </w:r>
      <w:r>
        <w:rPr>
          <w:rFonts w:hint="eastAsia" w:ascii="楷体_GB2312" w:eastAsia="楷体_GB2312"/>
          <w:b/>
          <w:bCs/>
          <w:color w:val="auto"/>
          <w:kern w:val="0"/>
          <w:sz w:val="24"/>
          <w:highlight w:val="none"/>
        </w:rPr>
        <w:t>装订成册。</w:t>
      </w:r>
    </w:p>
    <w:p>
      <w:pPr>
        <w:rPr>
          <w:color w:val="auto"/>
          <w:highlight w:val="none"/>
        </w:rPr>
      </w:pPr>
    </w:p>
    <w:p>
      <w:pPr>
        <w:rPr>
          <w:color w:val="auto"/>
          <w:sz w:val="30"/>
          <w:szCs w:val="30"/>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18"/>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符合招标公告资格要求的供应商</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各供应商请自行踏勘</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投标文件中的报价文件必须与其他文件分开各自密封包装。</w:t>
            </w:r>
          </w:p>
          <w:p>
            <w:pPr>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截止时间：北京时间20</w:t>
            </w:r>
            <w:r>
              <w:rPr>
                <w:rFonts w:hint="eastAsia" w:ascii="宋体" w:hAnsi="宋体" w:cs="Arial" w:eastAsiaTheme="majorEastAsia"/>
                <w:color w:val="auto"/>
                <w:sz w:val="24"/>
                <w:highlight w:val="none"/>
                <w:lang w:val="en-US" w:eastAsia="zh-CN"/>
              </w:rPr>
              <w:t>19</w:t>
            </w:r>
            <w:r>
              <w:rPr>
                <w:rFonts w:hint="eastAsia" w:ascii="宋体" w:hAnsi="宋体" w:cs="宋体"/>
                <w:color w:val="auto"/>
                <w:sz w:val="24"/>
                <w:highlight w:val="none"/>
              </w:rPr>
              <w:t>年</w:t>
            </w:r>
            <w:r>
              <w:rPr>
                <w:rFonts w:hint="eastAsia" w:ascii="宋体" w:hAnsi="宋体" w:cs="Arial"/>
                <w:color w:val="auto"/>
                <w:sz w:val="24"/>
                <w:highlight w:val="none"/>
                <w:lang w:val="en-US" w:eastAsia="zh-CN"/>
              </w:rPr>
              <w:t>08</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14</w:t>
            </w:r>
            <w:r>
              <w:rPr>
                <w:rFonts w:hint="eastAsia" w:ascii="宋体" w:hAnsi="宋体" w:cs="Arial"/>
                <w:color w:val="auto"/>
                <w:sz w:val="24"/>
                <w:highlight w:val="none"/>
              </w:rPr>
              <w:t>日</w:t>
            </w:r>
            <w:r>
              <w:rPr>
                <w:rFonts w:hint="eastAsia" w:ascii="宋体" w:hAnsi="宋体" w:cs="Arial"/>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时间：北京时间20</w:t>
            </w:r>
            <w:r>
              <w:rPr>
                <w:rFonts w:hint="eastAsia" w:ascii="宋体" w:hAnsi="宋体" w:cs="Arial" w:eastAsiaTheme="majorEastAsia"/>
                <w:color w:val="auto"/>
                <w:sz w:val="24"/>
                <w:highlight w:val="none"/>
                <w:lang w:val="en-US" w:eastAsia="zh-CN"/>
              </w:rPr>
              <w:t>19</w:t>
            </w:r>
            <w:r>
              <w:rPr>
                <w:rFonts w:hint="eastAsia" w:ascii="宋体" w:hAnsi="宋体" w:cs="宋体"/>
                <w:color w:val="auto"/>
                <w:sz w:val="24"/>
                <w:highlight w:val="none"/>
              </w:rPr>
              <w:t>年</w:t>
            </w:r>
            <w:r>
              <w:rPr>
                <w:rFonts w:hint="eastAsia" w:ascii="宋体" w:hAnsi="宋体" w:cs="Arial"/>
                <w:color w:val="auto"/>
                <w:sz w:val="24"/>
                <w:highlight w:val="none"/>
                <w:lang w:val="en-US" w:eastAsia="zh-CN"/>
              </w:rPr>
              <w:t>08</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14</w:t>
            </w:r>
            <w:r>
              <w:rPr>
                <w:rFonts w:hint="eastAsia" w:ascii="宋体" w:hAnsi="宋体" w:cs="Arial"/>
                <w:color w:val="auto"/>
                <w:sz w:val="24"/>
                <w:highlight w:val="none"/>
              </w:rPr>
              <w:t>日</w:t>
            </w:r>
            <w:r>
              <w:rPr>
                <w:rFonts w:hint="eastAsia" w:ascii="宋体" w:hAnsi="宋体" w:cs="Arial"/>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地点：玉环市公共资源交易中心二楼开标室（</w:t>
            </w:r>
            <w:bookmarkStart w:id="4" w:name="_GoBack"/>
            <w:bookmarkEnd w:id="4"/>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3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w:t>
            </w:r>
            <w:r>
              <w:rPr>
                <w:rFonts w:hint="eastAsia" w:asciiTheme="majorEastAsia" w:hAnsiTheme="majorEastAsia" w:eastAsiaTheme="majorEastAsia" w:cstheme="maj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in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r>
              <w:rPr>
                <w:rFonts w:hint="eastAsia" w:cs="Arial" w:asciiTheme="minorEastAsia" w:hAnsiTheme="minorEastAsia" w:eastAsiaTheme="minorEastAsia"/>
                <w:color w:val="auto"/>
                <w:sz w:val="24"/>
                <w:highlight w:val="none"/>
                <w:lang w:eastAsia="zh-CN"/>
              </w:rPr>
              <w:t>。</w:t>
            </w:r>
          </w:p>
        </w:tc>
      </w:tr>
    </w:tbl>
    <w:p>
      <w:pPr>
        <w:pStyle w:val="11"/>
        <w:snapToGrid w:val="0"/>
        <w:spacing w:before="120" w:after="120" w:line="360" w:lineRule="auto"/>
        <w:rPr>
          <w:rFonts w:asciiTheme="minorEastAsia" w:hAnsiTheme="minorEastAsia" w:eastAsiaTheme="minorEastAsia"/>
          <w:b/>
          <w:color w:val="auto"/>
          <w:sz w:val="24"/>
          <w:highlight w:val="none"/>
        </w:rPr>
      </w:pPr>
    </w:p>
    <w:p>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2"/>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olor w:val="auto"/>
          <w:kern w:val="0"/>
          <w:sz w:val="24"/>
          <w:highlight w:val="none"/>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提供采购公告中符合供应商特定条件的有效资质证书复印件（投标供应商特定条件中有要求的必须提供），以及</w:t>
      </w:r>
      <w:r>
        <w:rPr>
          <w:rFonts w:hint="eastAsia" w:ascii="宋体" w:hAnsi="宋体" w:cs="宋体"/>
          <w:color w:val="auto"/>
          <w:sz w:val="24"/>
          <w:highlight w:val="none"/>
          <w:lang w:eastAsia="zh-CN"/>
        </w:rPr>
        <w:t>评标时</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6"/>
        <w:widowControl/>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（1）投标人情况介绍（人员与技术力量、企业规模、经营业绩等）</w:t>
      </w:r>
      <w:r>
        <w:rPr>
          <w:rFonts w:hint="eastAsia" w:ascii="宋体" w:hAnsi="宋体" w:cs="宋体"/>
          <w:color w:val="auto"/>
          <w:sz w:val="24"/>
          <w:szCs w:val="24"/>
          <w:highlight w:val="none"/>
          <w:lang w:eastAsia="zh-CN"/>
        </w:rPr>
        <w:t>。</w:t>
      </w:r>
    </w:p>
    <w:p>
      <w:pPr>
        <w:pStyle w:val="6"/>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总体设计方案描述：投标人结合玉环市渔业安全生产及应急指挥现状，阐述如何配合玉环市重点渔港近岸渔船进出港业务、日常监视巡查、渔港近岸空中全景等需求，提出具备全面性、准确性、针对性的项目功能设计，给出渔船近岸动态视频监管总体设计方案。</w:t>
      </w:r>
    </w:p>
    <w:p>
      <w:pPr>
        <w:pStyle w:val="6"/>
        <w:widowControl/>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项目实施方案：</w:t>
      </w:r>
    </w:p>
    <w:p>
      <w:pPr>
        <w:pStyle w:val="6"/>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A.项目需求的理解与分析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pStyle w:val="6"/>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C.安装、调试及验收方案（包括项目验收标准和验收方法等）和措施</w:t>
      </w:r>
      <w:r>
        <w:rPr>
          <w:rFonts w:hint="eastAsia" w:ascii="宋体" w:hAnsi="宋体" w:cs="宋体"/>
          <w:color w:val="auto"/>
          <w:sz w:val="24"/>
          <w:szCs w:val="24"/>
          <w:highlight w:val="none"/>
          <w:lang w:eastAsia="zh-CN"/>
        </w:rPr>
        <w:t>。</w:t>
      </w:r>
    </w:p>
    <w:p>
      <w:pPr>
        <w:pStyle w:val="6"/>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现场产品展示：</w:t>
      </w:r>
    </w:p>
    <w:p>
      <w:pPr>
        <w:pStyle w:val="6"/>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A.</w:t>
      </w:r>
      <w:r>
        <w:rPr>
          <w:rFonts w:hint="eastAsia" w:ascii="宋体" w:hAnsi="宋体" w:cs="宋体"/>
          <w:color w:val="auto"/>
          <w:sz w:val="24"/>
          <w:highlight w:val="none"/>
          <w:lang w:val="zh-CN"/>
        </w:rPr>
        <w:t>投标人需提供与投标文件参数一致的超高精度球形转台和高精度球形转台的样品</w:t>
      </w:r>
      <w:r>
        <w:rPr>
          <w:rFonts w:ascii="宋体" w:hAnsi="宋体" w:cs="宋体"/>
          <w:color w:val="auto"/>
          <w:sz w:val="24"/>
          <w:highlight w:val="none"/>
        </w:rPr>
        <w:t>，针对设备高精度转台设计、</w:t>
      </w:r>
      <w:r>
        <w:rPr>
          <w:rFonts w:hint="eastAsia" w:ascii="宋体" w:hAnsi="宋体" w:cs="宋体"/>
          <w:color w:val="auto"/>
          <w:sz w:val="24"/>
          <w:highlight w:val="none"/>
        </w:rPr>
        <w:t>抗风性设计，远距离激光设计</w:t>
      </w:r>
      <w:r>
        <w:rPr>
          <w:rFonts w:hint="eastAsia" w:ascii="宋体" w:hAnsi="宋体" w:cs="宋体"/>
          <w:color w:val="auto"/>
          <w:sz w:val="24"/>
          <w:highlight w:val="none"/>
          <w:lang w:val="zh-CN"/>
        </w:rPr>
        <w:t>进行现场</w:t>
      </w:r>
      <w:r>
        <w:rPr>
          <w:rFonts w:ascii="宋体" w:hAnsi="宋体" w:cs="宋体"/>
          <w:color w:val="auto"/>
          <w:sz w:val="24"/>
          <w:highlight w:val="none"/>
        </w:rPr>
        <w:t>讲解展示</w:t>
      </w:r>
      <w:r>
        <w:rPr>
          <w:rFonts w:hint="eastAsia" w:ascii="宋体" w:hAnsi="宋体" w:cs="宋体"/>
          <w:color w:val="auto"/>
          <w:sz w:val="24"/>
          <w:highlight w:val="none"/>
        </w:rPr>
        <w:t>。</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B</w:t>
      </w:r>
      <w:r>
        <w:rPr>
          <w:rFonts w:hint="eastAsia" w:ascii="宋体" w:hAnsi="宋体" w:cs="宋体"/>
          <w:color w:val="auto"/>
          <w:sz w:val="24"/>
          <w:szCs w:val="24"/>
          <w:highlight w:val="none"/>
        </w:rPr>
        <w:t>.</w:t>
      </w:r>
      <w:r>
        <w:rPr>
          <w:rFonts w:hint="eastAsia" w:ascii="宋体" w:hAnsi="宋体" w:cs="宋体"/>
          <w:color w:val="auto"/>
          <w:sz w:val="24"/>
          <w:highlight w:val="none"/>
          <w:lang w:val="zh-CN"/>
        </w:rPr>
        <w:t>投标人需提供渔港空中全景信息采集与控制系统</w:t>
      </w:r>
      <w:r>
        <w:rPr>
          <w:rFonts w:hint="eastAsia" w:ascii="宋体" w:hAnsi="宋体" w:cs="宋体"/>
          <w:color w:val="auto"/>
          <w:sz w:val="24"/>
          <w:highlight w:val="none"/>
        </w:rPr>
        <w:t>软件</w:t>
      </w:r>
      <w:r>
        <w:rPr>
          <w:rFonts w:ascii="宋体" w:hAnsi="宋体" w:cs="宋体"/>
          <w:color w:val="auto"/>
          <w:sz w:val="24"/>
          <w:highlight w:val="none"/>
        </w:rPr>
        <w:t>展示</w:t>
      </w:r>
      <w:r>
        <w:rPr>
          <w:rFonts w:hint="eastAsia" w:ascii="宋体" w:hAnsi="宋体" w:cs="宋体"/>
          <w:color w:val="auto"/>
          <w:sz w:val="24"/>
          <w:highlight w:val="none"/>
          <w:lang w:eastAsia="zh-CN"/>
        </w:rPr>
        <w:t>（包括但不限于</w:t>
      </w:r>
      <w:r>
        <w:rPr>
          <w:rFonts w:ascii="宋体" w:hAnsi="宋体" w:cs="宋体"/>
          <w:color w:val="auto"/>
          <w:sz w:val="24"/>
          <w:highlight w:val="none"/>
        </w:rPr>
        <w:t>渔港全景影像效果、显示渔港范围和基础信息、全景系统小地图导览效果</w:t>
      </w:r>
      <w:r>
        <w:rPr>
          <w:rFonts w:hint="eastAsia" w:ascii="宋体" w:hAnsi="宋体" w:cs="宋体"/>
          <w:color w:val="auto"/>
          <w:sz w:val="24"/>
          <w:highlight w:val="none"/>
          <w:lang w:eastAsia="zh-CN"/>
        </w:rPr>
        <w:t>）。</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）投标产品描述及相关资料：</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A.设备配置清单（均不含报价）。</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C.技术需求响应表（招标文件采购清单中</w:t>
      </w:r>
      <w:r>
        <w:rPr>
          <w:rFonts w:hint="eastAsia" w:ascii="宋体" w:hAnsi="宋体" w:cs="宋体"/>
          <w:color w:val="auto"/>
          <w:sz w:val="24"/>
          <w:highlight w:val="none"/>
          <w:lang w:val="zh-CN" w:eastAsia="zh-CN"/>
        </w:rPr>
        <w:t>含“★”为</w:t>
      </w:r>
      <w:r>
        <w:rPr>
          <w:rFonts w:hint="eastAsia" w:ascii="宋体" w:hAnsi="宋体" w:cs="宋体"/>
          <w:color w:val="auto"/>
          <w:sz w:val="24"/>
          <w:highlight w:val="none"/>
          <w:lang w:eastAsia="zh-CN"/>
        </w:rPr>
        <w:t>重要</w:t>
      </w:r>
      <w:r>
        <w:rPr>
          <w:rFonts w:hint="eastAsia" w:ascii="宋体" w:hAnsi="宋体" w:cs="宋体"/>
          <w:color w:val="auto"/>
          <w:sz w:val="24"/>
          <w:highlight w:val="none"/>
          <w:lang w:val="zh-CN" w:eastAsia="zh-CN"/>
        </w:rPr>
        <w:t>技术指标</w:t>
      </w:r>
      <w:r>
        <w:rPr>
          <w:rFonts w:hint="eastAsia" w:ascii="宋体" w:hAnsi="宋体" w:cs="宋体"/>
          <w:color w:val="auto"/>
          <w:sz w:val="24"/>
          <w:highlight w:val="none"/>
          <w:lang w:eastAsia="zh-CN"/>
        </w:rPr>
        <w:t>）。</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Style w:val="6"/>
        <w:widowControl/>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【特别提示：节能和环境标志产品最新一期政府采购清单，可在“中国政府采购网”中查看】</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）类似项目的成功案例（投标人类似项目实施情况一览表、项目合同复印件和项目验收报告）。</w:t>
      </w:r>
    </w:p>
    <w:p>
      <w:pPr>
        <w:snapToGrid w:val="0"/>
        <w:spacing w:line="360" w:lineRule="auto"/>
        <w:ind w:firstLine="480" w:firstLineChars="200"/>
        <w:rPr>
          <w:rFonts w:ascii="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）投标人认为需要提供的其他资料（包括可能影响投标人商务与技术文件评分的各类证明材料）。</w:t>
      </w:r>
    </w:p>
    <w:p>
      <w:pPr>
        <w:pStyle w:val="6"/>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）售后服务描述及承诺：</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6"/>
        </w:numPr>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投标人</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投标文件以及投标人与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（3）请在密封袋的封口处应有投标单位公章或投标全权代表签字。封皮上写明项目编号、标段、招标项目名称、投标人名称，并注明“投标文件名称（资格证明文件、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采购组织机构在“招标公告”规定的时间和地点公开开标，投标人的法定代表人或其授权代表应参加开标会并签到。</w:t>
      </w:r>
      <w:r>
        <w:rPr>
          <w:rFonts w:asciiTheme="minorEastAsia" w:hAnsiTheme="minorEastAsia" w:eastAsiaTheme="minorEastAsia"/>
          <w:bCs/>
          <w:color w:val="auto"/>
          <w:sz w:val="24"/>
          <w:highlight w:val="none"/>
        </w:rPr>
        <w:t>投标人的法定代表人或其授权代表未按时签到的，视同放弃开标监督权利、认可开标结果。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（本次招标</w:t>
      </w:r>
      <w:r>
        <w:rPr>
          <w:rFonts w:cs="Arial" w:asciiTheme="minorEastAsia" w:hAnsiTheme="minorEastAsia" w:eastAsiaTheme="minorEastAsia"/>
          <w:color w:val="auto"/>
          <w:sz w:val="24"/>
          <w:highlight w:val="none"/>
        </w:rPr>
        <w:t>采用先评审商务资格</w:t>
      </w:r>
      <w:r>
        <w:rPr>
          <w:rFonts w:hint="eastAsia" w:cs="Arial" w:asciiTheme="minorEastAsia" w:hAnsiTheme="minorEastAsia" w:eastAsiaTheme="minorEastAsia"/>
          <w:color w:val="auto"/>
          <w:sz w:val="24"/>
          <w:highlight w:val="none"/>
        </w:rPr>
        <w:t>和</w:t>
      </w:r>
      <w:r>
        <w:rPr>
          <w:rFonts w:cs="Arial" w:asciiTheme="minorEastAsia" w:hAnsiTheme="minorEastAsia" w:eastAsiaTheme="minorEastAsia"/>
          <w:color w:val="auto"/>
          <w:sz w:val="24"/>
          <w:highlight w:val="none"/>
        </w:rPr>
        <w:t>技术服务方案</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后公开并评审商务报价的办法</w:t>
      </w:r>
      <w:r>
        <w:rPr>
          <w:rFonts w:hint="eastAsia" w:asciiTheme="minorEastAsia" w:hAnsiTheme="minorEastAsia" w:eastAsiaTheme="minorEastAsia"/>
          <w:color w:val="auto"/>
          <w:kern w:val="0"/>
          <w:sz w:val="24"/>
          <w:highlight w:val="none"/>
        </w:rPr>
        <w:t>实施）。</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1"/>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六</w:t>
      </w:r>
      <w:r>
        <w:rPr>
          <w:rFonts w:asciiTheme="minorEastAsia" w:hAnsiTheme="minorEastAsia" w:eastAsiaTheme="minorEastAsia"/>
          <w:b/>
          <w:color w:val="auto"/>
          <w:highlight w:val="none"/>
        </w:rPr>
        <w:t>、定标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（二）合同公告及备案</w:t>
      </w:r>
    </w:p>
    <w:p>
      <w:pPr>
        <w:pStyle w:val="10"/>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10"/>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30000元整</w:t>
      </w:r>
      <w:r>
        <w:rPr>
          <w:rFonts w:hint="eastAsia" w:ascii="宋体" w:hAnsi="宋体"/>
          <w:color w:val="auto"/>
          <w:sz w:val="24"/>
          <w:highlight w:val="none"/>
          <w:lang w:eastAsia="zh-CN"/>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s="Arial"/>
          <w:color w:val="auto"/>
          <w:sz w:val="24"/>
          <w:highlight w:val="none"/>
          <w:lang w:eastAsia="zh-CN"/>
        </w:rPr>
        <w:t>（</w:t>
      </w:r>
      <w:r>
        <w:rPr>
          <w:rFonts w:hint="eastAsia" w:ascii="宋体" w:hAnsi="宋体"/>
          <w:color w:val="auto"/>
          <w:sz w:val="24"/>
          <w:highlight w:val="none"/>
        </w:rPr>
        <w:t>招标代理服务费</w:t>
      </w:r>
      <w:r>
        <w:rPr>
          <w:rFonts w:hint="eastAsia" w:ascii="宋体" w:hAnsi="宋体" w:cs="Arial"/>
          <w:color w:val="auto"/>
          <w:sz w:val="24"/>
          <w:highlight w:val="none"/>
          <w:lang w:eastAsia="zh-CN"/>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总计100分。报价评分30分，商务与技术、资信综合评分 70分</w:t>
      </w:r>
      <w:r>
        <w:rPr>
          <w:rFonts w:hint="eastAsia" w:asciiTheme="minorEastAsia" w:hAnsiTheme="minorEastAsia" w:eastAsiaTheme="minorEastAsia"/>
          <w:color w:val="auto"/>
          <w:kern w:val="0"/>
          <w:sz w:val="24"/>
          <w:highlight w:val="none"/>
        </w:rPr>
        <w:t>。合格投标人的评标得分为各项目汇总得分，中标候选资格按评标得分由高到低顺序排列，得分相同的，按投标报价由低到高顺序排列；得分且投标报价相同的，则抽签确定。排名第一的的投标人为中标候选人,排名第二的投标人为候补中标候选人。评分过程中采用四舍五入法，并保留小数2位。</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91"/>
        <w:gridCol w:w="2212"/>
        <w:gridCol w:w="1108"/>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97"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803" w:type="dxa"/>
            <w:gridSpan w:val="2"/>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评分项目</w:t>
            </w:r>
          </w:p>
        </w:tc>
        <w:tc>
          <w:tcPr>
            <w:tcW w:w="1108"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分值</w:t>
            </w:r>
          </w:p>
        </w:tc>
        <w:tc>
          <w:tcPr>
            <w:tcW w:w="2714"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asciiTheme="minorEastAsia" w:hAnsiTheme="minorEastAsia" w:eastAsiaTheme="minorEastAsia" w:cstheme="minorEastAsia"/>
                <w:b/>
                <w:color w:val="auto"/>
                <w:szCs w:val="21"/>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Align w:val="center"/>
          </w:tcPr>
          <w:p>
            <w:pPr>
              <w:pStyle w:val="11"/>
              <w:adjustRightInd w:val="0"/>
              <w:snapToGrid w:val="0"/>
              <w:spacing w:before="156" w:after="156"/>
              <w:jc w:val="center"/>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1</w:t>
            </w:r>
          </w:p>
        </w:tc>
        <w:tc>
          <w:tcPr>
            <w:tcW w:w="1591" w:type="dxa"/>
            <w:vAlign w:val="center"/>
          </w:tcPr>
          <w:p>
            <w:pPr>
              <w:pStyle w:val="11"/>
              <w:adjustRightInd w:val="0"/>
              <w:snapToGrid w:val="0"/>
              <w:spacing w:before="156" w:after="156"/>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资格</w:t>
            </w:r>
            <w:r>
              <w:rPr>
                <w:rFonts w:asciiTheme="minorEastAsia" w:hAnsiTheme="minorEastAsia" w:eastAsiaTheme="minorEastAsia" w:cstheme="minorEastAsia"/>
                <w:bCs/>
                <w:color w:val="auto"/>
                <w:sz w:val="24"/>
                <w:highlight w:val="none"/>
              </w:rPr>
              <w:t>分</w:t>
            </w:r>
          </w:p>
        </w:tc>
        <w:tc>
          <w:tcPr>
            <w:tcW w:w="2212" w:type="dxa"/>
            <w:vAlign w:val="center"/>
          </w:tcPr>
          <w:p>
            <w:pPr>
              <w:pStyle w:val="11"/>
              <w:adjustRightInd w:val="0"/>
              <w:snapToGrid w:val="0"/>
              <w:spacing w:before="156" w:after="156"/>
              <w:jc w:val="center"/>
              <w:rPr>
                <w:rFonts w:asciiTheme="minorEastAsia" w:hAnsiTheme="minorEastAsia" w:eastAsiaTheme="minorEastAsia" w:cstheme="minorEastAsia"/>
                <w:b/>
                <w:color w:val="auto"/>
                <w:sz w:val="24"/>
                <w:highlight w:val="none"/>
              </w:rPr>
            </w:pPr>
            <w:r>
              <w:rPr>
                <w:rFonts w:hint="eastAsia" w:cs="宋体" w:asciiTheme="minorEastAsia" w:hAnsiTheme="minorEastAsia" w:eastAsiaTheme="minorEastAsia"/>
                <w:bCs/>
                <w:color w:val="auto"/>
                <w:kern w:val="0"/>
                <w:sz w:val="24"/>
                <w:highlight w:val="none"/>
              </w:rPr>
              <w:t>资质及能力</w:t>
            </w:r>
          </w:p>
        </w:tc>
        <w:tc>
          <w:tcPr>
            <w:tcW w:w="1108" w:type="dxa"/>
            <w:vAlign w:val="center"/>
          </w:tcPr>
          <w:p>
            <w:pPr>
              <w:pStyle w:val="11"/>
              <w:adjustRightInd w:val="0"/>
              <w:snapToGrid w:val="0"/>
              <w:spacing w:before="156" w:after="156"/>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5</w:t>
            </w:r>
            <w:r>
              <w:rPr>
                <w:rFonts w:asciiTheme="minorEastAsia" w:hAnsiTheme="minorEastAsia" w:eastAsiaTheme="minorEastAsia" w:cstheme="minorEastAsia"/>
                <w:bCs/>
                <w:color w:val="auto"/>
                <w:sz w:val="24"/>
                <w:highlight w:val="none"/>
              </w:rPr>
              <w:t>分</w:t>
            </w:r>
          </w:p>
        </w:tc>
        <w:tc>
          <w:tcPr>
            <w:tcW w:w="2714" w:type="dxa"/>
            <w:vAlign w:val="center"/>
          </w:tcPr>
          <w:p>
            <w:pPr>
              <w:pStyle w:val="11"/>
              <w:adjustRightInd w:val="0"/>
              <w:snapToGrid w:val="0"/>
              <w:spacing w:before="156" w:after="156"/>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restart"/>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p>
        </w:tc>
        <w:tc>
          <w:tcPr>
            <w:tcW w:w="1591" w:type="dxa"/>
            <w:vMerge w:val="restart"/>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商务技术分</w:t>
            </w:r>
          </w:p>
        </w:tc>
        <w:tc>
          <w:tcPr>
            <w:tcW w:w="2212" w:type="dxa"/>
            <w:vAlign w:val="center"/>
          </w:tcPr>
          <w:p>
            <w:pPr>
              <w:widowControl/>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案例</w:t>
            </w: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3</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continue"/>
            <w:vAlign w:val="center"/>
          </w:tcPr>
          <w:p>
            <w:pPr>
              <w:jc w:val="center"/>
              <w:rPr>
                <w:rFonts w:asciiTheme="minorEastAsia" w:hAnsiTheme="minorEastAsia" w:eastAsiaTheme="minorEastAsia"/>
                <w:color w:val="auto"/>
                <w:sz w:val="24"/>
                <w:highlight w:val="none"/>
              </w:rPr>
            </w:pPr>
          </w:p>
        </w:tc>
        <w:tc>
          <w:tcPr>
            <w:tcW w:w="1591" w:type="dxa"/>
            <w:vMerge w:val="continue"/>
            <w:vAlign w:val="center"/>
          </w:tcPr>
          <w:p>
            <w:pPr>
              <w:jc w:val="center"/>
              <w:rPr>
                <w:rFonts w:asciiTheme="minorEastAsia" w:hAnsiTheme="minorEastAsia" w:eastAsiaTheme="minorEastAsia"/>
                <w:color w:val="auto"/>
                <w:sz w:val="24"/>
                <w:highlight w:val="none"/>
              </w:rPr>
            </w:pPr>
          </w:p>
        </w:tc>
        <w:tc>
          <w:tcPr>
            <w:tcW w:w="2212" w:type="dxa"/>
            <w:vAlign w:val="center"/>
          </w:tcPr>
          <w:p>
            <w:pPr>
              <w:widowControl/>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总体方案</w:t>
            </w: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9</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continue"/>
            <w:vAlign w:val="center"/>
          </w:tcPr>
          <w:p>
            <w:pPr>
              <w:jc w:val="center"/>
              <w:rPr>
                <w:rFonts w:asciiTheme="minorEastAsia" w:hAnsiTheme="minorEastAsia" w:eastAsiaTheme="minorEastAsia"/>
                <w:color w:val="auto"/>
                <w:sz w:val="24"/>
                <w:highlight w:val="none"/>
              </w:rPr>
            </w:pPr>
          </w:p>
        </w:tc>
        <w:tc>
          <w:tcPr>
            <w:tcW w:w="1591" w:type="dxa"/>
            <w:vMerge w:val="continue"/>
            <w:vAlign w:val="center"/>
          </w:tcPr>
          <w:p>
            <w:pPr>
              <w:jc w:val="center"/>
              <w:rPr>
                <w:rFonts w:asciiTheme="minorEastAsia" w:hAnsiTheme="minorEastAsia" w:eastAsiaTheme="minorEastAsia"/>
                <w:color w:val="auto"/>
                <w:sz w:val="24"/>
                <w:highlight w:val="none"/>
              </w:rPr>
            </w:pPr>
          </w:p>
        </w:tc>
        <w:tc>
          <w:tcPr>
            <w:tcW w:w="2212" w:type="dxa"/>
            <w:vAlign w:val="center"/>
          </w:tcPr>
          <w:p>
            <w:pPr>
              <w:autoSpaceDE w:val="0"/>
              <w:autoSpaceDN w:val="0"/>
              <w:adjustRightInd w:val="0"/>
              <w:spacing w:line="360"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现场产品展示</w:t>
            </w:r>
          </w:p>
        </w:tc>
        <w:tc>
          <w:tcPr>
            <w:tcW w:w="1108" w:type="dxa"/>
            <w:vAlign w:val="center"/>
          </w:tcPr>
          <w:p>
            <w:pPr>
              <w:jc w:val="center"/>
              <w:rPr>
                <w:rFonts w:asciiTheme="minorEastAsia" w:hAnsiTheme="minorEastAsia" w:eastAsiaTheme="minorEastAsia"/>
                <w:snapToGrid w:val="0"/>
                <w:color w:val="auto"/>
                <w:sz w:val="24"/>
                <w:highlight w:val="none"/>
              </w:rPr>
            </w:pPr>
            <w:r>
              <w:rPr>
                <w:rFonts w:asciiTheme="minorEastAsia" w:hAnsiTheme="minorEastAsia" w:eastAsiaTheme="minorEastAsia"/>
                <w:snapToGrid w:val="0"/>
                <w:color w:val="auto"/>
                <w:sz w:val="24"/>
                <w:highlight w:val="none"/>
              </w:rPr>
              <w:t>10</w:t>
            </w:r>
            <w:r>
              <w:rPr>
                <w:rFonts w:asciiTheme="minorEastAsia" w:hAnsiTheme="minorEastAsia" w:eastAsiaTheme="minorEastAsia" w:cstheme="minorEastAsia"/>
                <w:bCs/>
                <w:color w:val="auto"/>
                <w:sz w:val="24"/>
                <w:highlight w:val="none"/>
              </w:rPr>
              <w:t>分</w:t>
            </w:r>
          </w:p>
        </w:tc>
        <w:tc>
          <w:tcPr>
            <w:tcW w:w="2714" w:type="dxa"/>
            <w:vAlign w:val="center"/>
          </w:tcPr>
          <w:p>
            <w:pPr>
              <w:jc w:val="center"/>
              <w:rPr>
                <w:rFonts w:asciiTheme="minorEastAsia" w:hAnsiTheme="minorEastAsia" w:eastAsiaTheme="minorEastAsia"/>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continue"/>
            <w:vAlign w:val="center"/>
          </w:tcPr>
          <w:p>
            <w:pPr>
              <w:jc w:val="center"/>
              <w:rPr>
                <w:rFonts w:asciiTheme="minorEastAsia" w:hAnsiTheme="minorEastAsia" w:eastAsiaTheme="minorEastAsia"/>
                <w:color w:val="auto"/>
                <w:sz w:val="24"/>
                <w:highlight w:val="none"/>
              </w:rPr>
            </w:pPr>
          </w:p>
        </w:tc>
        <w:tc>
          <w:tcPr>
            <w:tcW w:w="1591" w:type="dxa"/>
            <w:vMerge w:val="continue"/>
            <w:vAlign w:val="center"/>
          </w:tcPr>
          <w:p>
            <w:pPr>
              <w:jc w:val="center"/>
              <w:rPr>
                <w:rFonts w:asciiTheme="minorEastAsia" w:hAnsiTheme="minorEastAsia" w:eastAsiaTheme="minorEastAsia"/>
                <w:color w:val="auto"/>
                <w:sz w:val="24"/>
                <w:highlight w:val="none"/>
              </w:rPr>
            </w:pPr>
          </w:p>
        </w:tc>
        <w:tc>
          <w:tcPr>
            <w:tcW w:w="2212" w:type="dxa"/>
            <w:vAlign w:val="center"/>
          </w:tcPr>
          <w:p>
            <w:pPr>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设备偏离</w:t>
            </w: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24</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continue"/>
            <w:vAlign w:val="center"/>
          </w:tcPr>
          <w:p>
            <w:pPr>
              <w:jc w:val="center"/>
              <w:rPr>
                <w:rFonts w:asciiTheme="minorEastAsia" w:hAnsiTheme="minorEastAsia" w:eastAsiaTheme="minorEastAsia"/>
                <w:color w:val="auto"/>
                <w:sz w:val="24"/>
                <w:highlight w:val="none"/>
              </w:rPr>
            </w:pPr>
          </w:p>
        </w:tc>
        <w:tc>
          <w:tcPr>
            <w:tcW w:w="1591" w:type="dxa"/>
            <w:vMerge w:val="continue"/>
            <w:vAlign w:val="center"/>
          </w:tcPr>
          <w:p>
            <w:pPr>
              <w:jc w:val="center"/>
              <w:rPr>
                <w:rFonts w:asciiTheme="minorEastAsia" w:hAnsiTheme="minorEastAsia" w:eastAsiaTheme="minorEastAsia"/>
                <w:color w:val="auto"/>
                <w:sz w:val="24"/>
                <w:highlight w:val="none"/>
              </w:rPr>
            </w:pPr>
          </w:p>
        </w:tc>
        <w:tc>
          <w:tcPr>
            <w:tcW w:w="2212" w:type="dxa"/>
            <w:vMerge w:val="restart"/>
            <w:vAlign w:val="center"/>
          </w:tcPr>
          <w:p>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项目实施方案</w:t>
            </w: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4</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continue"/>
            <w:vAlign w:val="center"/>
          </w:tcPr>
          <w:p>
            <w:pPr>
              <w:jc w:val="center"/>
              <w:rPr>
                <w:rFonts w:asciiTheme="minorEastAsia" w:hAnsiTheme="minorEastAsia" w:eastAsiaTheme="minorEastAsia"/>
                <w:color w:val="auto"/>
                <w:sz w:val="24"/>
                <w:highlight w:val="none"/>
              </w:rPr>
            </w:pPr>
          </w:p>
        </w:tc>
        <w:tc>
          <w:tcPr>
            <w:tcW w:w="1591" w:type="dxa"/>
            <w:vMerge w:val="continue"/>
            <w:vAlign w:val="center"/>
          </w:tcPr>
          <w:p>
            <w:pPr>
              <w:jc w:val="center"/>
              <w:rPr>
                <w:rFonts w:asciiTheme="minorEastAsia" w:hAnsiTheme="minorEastAsia" w:eastAsiaTheme="minorEastAsia"/>
                <w:color w:val="auto"/>
                <w:sz w:val="24"/>
                <w:highlight w:val="none"/>
              </w:rPr>
            </w:pPr>
          </w:p>
        </w:tc>
        <w:tc>
          <w:tcPr>
            <w:tcW w:w="2212" w:type="dxa"/>
            <w:vMerge w:val="continue"/>
            <w:vAlign w:val="center"/>
          </w:tcPr>
          <w:p>
            <w:pPr>
              <w:widowControl/>
              <w:jc w:val="center"/>
              <w:rPr>
                <w:rFonts w:cs="宋体" w:asciiTheme="minorEastAsia" w:hAnsiTheme="minorEastAsia" w:eastAsiaTheme="minorEastAsia"/>
                <w:color w:val="auto"/>
                <w:kern w:val="0"/>
                <w:sz w:val="24"/>
                <w:highlight w:val="none"/>
              </w:rPr>
            </w:pP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9</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Merge w:val="continue"/>
            <w:vAlign w:val="center"/>
          </w:tcPr>
          <w:p>
            <w:pPr>
              <w:jc w:val="center"/>
              <w:rPr>
                <w:rFonts w:asciiTheme="minorEastAsia" w:hAnsiTheme="minorEastAsia" w:eastAsiaTheme="minorEastAsia"/>
                <w:color w:val="auto"/>
                <w:sz w:val="24"/>
                <w:highlight w:val="none"/>
              </w:rPr>
            </w:pPr>
          </w:p>
        </w:tc>
        <w:tc>
          <w:tcPr>
            <w:tcW w:w="1591" w:type="dxa"/>
            <w:vMerge w:val="continue"/>
            <w:vAlign w:val="center"/>
          </w:tcPr>
          <w:p>
            <w:pPr>
              <w:jc w:val="center"/>
              <w:rPr>
                <w:rFonts w:asciiTheme="minorEastAsia" w:hAnsiTheme="minorEastAsia" w:eastAsiaTheme="minorEastAsia"/>
                <w:color w:val="auto"/>
                <w:sz w:val="24"/>
                <w:highlight w:val="none"/>
              </w:rPr>
            </w:pPr>
          </w:p>
        </w:tc>
        <w:tc>
          <w:tcPr>
            <w:tcW w:w="2212" w:type="dxa"/>
            <w:vAlign w:val="center"/>
          </w:tcPr>
          <w:p>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售后服务</w:t>
            </w: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6</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7"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591"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价格分</w:t>
            </w:r>
          </w:p>
        </w:tc>
        <w:tc>
          <w:tcPr>
            <w:tcW w:w="2212" w:type="dxa"/>
            <w:vAlign w:val="center"/>
          </w:tcPr>
          <w:p>
            <w:pPr>
              <w:widowControl/>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报价</w:t>
            </w:r>
          </w:p>
        </w:tc>
        <w:tc>
          <w:tcPr>
            <w:tcW w:w="1108" w:type="dxa"/>
            <w:vAlign w:val="center"/>
          </w:tcPr>
          <w:p>
            <w:pPr>
              <w:widowControl/>
              <w:jc w:val="center"/>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30</w:t>
            </w:r>
            <w:r>
              <w:rPr>
                <w:rFonts w:asciiTheme="minorEastAsia" w:hAnsiTheme="minorEastAsia" w:eastAsiaTheme="minorEastAsia" w:cstheme="minorEastAsia"/>
                <w:bCs/>
                <w:color w:val="auto"/>
                <w:sz w:val="24"/>
                <w:highlight w:val="none"/>
              </w:rPr>
              <w:t>分</w:t>
            </w:r>
          </w:p>
        </w:tc>
        <w:tc>
          <w:tcPr>
            <w:tcW w:w="2714" w:type="dxa"/>
            <w:vAlign w:val="center"/>
          </w:tcPr>
          <w:p>
            <w:pPr>
              <w:widowControl/>
              <w:jc w:val="center"/>
              <w:rPr>
                <w:rFonts w:cs="宋体" w:asciiTheme="minorEastAsia" w:hAnsiTheme="minorEastAsia" w:eastAsiaTheme="minorEastAsia"/>
                <w:bCs/>
                <w:color w:val="auto"/>
                <w:kern w:val="0"/>
                <w:sz w:val="24"/>
                <w:highlight w:val="none"/>
              </w:rPr>
            </w:pPr>
          </w:p>
        </w:tc>
      </w:tr>
    </w:tbl>
    <w:p>
      <w:p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color w:val="auto"/>
          <w:sz w:val="24"/>
          <w:highlight w:val="none"/>
          <w:u w:val="single"/>
        </w:rPr>
        <w:t>投标报价得</w:t>
      </w:r>
      <w:r>
        <w:rPr>
          <w:color w:val="auto"/>
          <w:sz w:val="24"/>
          <w:highlight w:val="none"/>
          <w:u w:val="single"/>
        </w:rPr>
        <w:t>分=</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rPr>
        <w:t>30%</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具体优惠：对于小型微型企业产品的价格给予</w:t>
      </w:r>
      <w:r>
        <w:rPr>
          <w:rFonts w:hint="eastAsia" w:ascii="宋体"/>
          <w:color w:val="auto"/>
          <w:sz w:val="24"/>
          <w:highlight w:val="none"/>
          <w:u w:val="single"/>
          <w:lang w:val="zh-CN"/>
        </w:rPr>
        <w:t>6</w:t>
      </w:r>
      <w:r>
        <w:rPr>
          <w:rFonts w:hint="eastAsia" w:ascii="宋体"/>
          <w:color w:val="auto"/>
          <w:sz w:val="24"/>
          <w:highlight w:val="none"/>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六、本次评分具体分值细化条款如下表：</w:t>
      </w:r>
    </w:p>
    <w:tbl>
      <w:tblPr>
        <w:tblStyle w:val="18"/>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09"/>
        <w:gridCol w:w="851"/>
        <w:gridCol w:w="56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10"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460" w:type="dxa"/>
            <w:gridSpan w:val="2"/>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评分项目</w:t>
            </w:r>
          </w:p>
        </w:tc>
        <w:tc>
          <w:tcPr>
            <w:tcW w:w="5652"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 分 内 容</w:t>
            </w:r>
          </w:p>
        </w:tc>
        <w:tc>
          <w:tcPr>
            <w:tcW w:w="737"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10" w:type="dxa"/>
            <w:vAlign w:val="center"/>
          </w:tcPr>
          <w:p>
            <w:pPr>
              <w:pStyle w:val="11"/>
              <w:adjustRightInd w:val="0"/>
              <w:snapToGrid w:val="0"/>
              <w:spacing w:before="156" w:after="156"/>
              <w:jc w:val="center"/>
              <w:rPr>
                <w:rFonts w:asciiTheme="minorEastAsia" w:hAnsiTheme="minorEastAsia" w:eastAsiaTheme="minorEastAsia" w:cstheme="minorEastAsia"/>
                <w:b w:val="0"/>
                <w:bCs/>
                <w:color w:val="auto"/>
                <w:szCs w:val="21"/>
                <w:highlight w:val="none"/>
              </w:rPr>
            </w:pPr>
            <w:r>
              <w:rPr>
                <w:rFonts w:asciiTheme="minorEastAsia" w:hAnsiTheme="minorEastAsia" w:eastAsiaTheme="minorEastAsia" w:cstheme="minorEastAsia"/>
                <w:b w:val="0"/>
                <w:bCs/>
                <w:color w:val="auto"/>
                <w:szCs w:val="21"/>
                <w:highlight w:val="none"/>
              </w:rPr>
              <w:t>1</w:t>
            </w:r>
          </w:p>
        </w:tc>
        <w:tc>
          <w:tcPr>
            <w:tcW w:w="609"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资格</w:t>
            </w:r>
            <w:r>
              <w:rPr>
                <w:rFonts w:asciiTheme="minorEastAsia" w:hAnsiTheme="minorEastAsia" w:eastAsiaTheme="minorEastAsia" w:cstheme="minorEastAsia"/>
                <w:bCs/>
                <w:color w:val="auto"/>
                <w:szCs w:val="21"/>
                <w:highlight w:val="none"/>
              </w:rPr>
              <w:t>部分</w:t>
            </w:r>
          </w:p>
        </w:tc>
        <w:tc>
          <w:tcPr>
            <w:tcW w:w="851"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bCs/>
                <w:color w:val="auto"/>
                <w:kern w:val="0"/>
                <w:highlight w:val="none"/>
              </w:rPr>
              <w:t>资质及能力</w:t>
            </w:r>
          </w:p>
        </w:tc>
        <w:tc>
          <w:tcPr>
            <w:tcW w:w="5652" w:type="dxa"/>
            <w:vAlign w:val="center"/>
          </w:tcPr>
          <w:p>
            <w:pPr>
              <w:widowControl/>
              <w:numPr>
                <w:ilvl w:val="0"/>
                <w:numId w:val="7"/>
              </w:numPr>
              <w:ind w:firstLine="0"/>
              <w:jc w:val="left"/>
              <w:rPr>
                <w:color w:val="auto"/>
                <w:spacing w:val="-4"/>
                <w:szCs w:val="21"/>
                <w:highlight w:val="none"/>
              </w:rPr>
            </w:pPr>
            <w:r>
              <w:rPr>
                <w:rFonts w:hint="eastAsia" w:cs="宋体" w:asciiTheme="minorEastAsia" w:hAnsiTheme="minorEastAsia" w:eastAsiaTheme="minorEastAsia"/>
                <w:bCs/>
                <w:color w:val="auto"/>
                <w:kern w:val="0"/>
                <w:highlight w:val="none"/>
              </w:rPr>
              <w:t>投标人同时具备浙江省安全技术防范行业资信等级壹级、</w:t>
            </w:r>
            <w:r>
              <w:rPr>
                <w:rFonts w:hint="eastAsia" w:eastAsiaTheme="minorEastAsia"/>
                <w:color w:val="auto"/>
                <w:spacing w:val="-4"/>
                <w:szCs w:val="21"/>
                <w:highlight w:val="none"/>
              </w:rPr>
              <w:t>通信工程施工总承包叁级</w:t>
            </w:r>
            <w:r>
              <w:rPr>
                <w:rFonts w:hint="eastAsia"/>
                <w:color w:val="auto"/>
                <w:spacing w:val="-4"/>
                <w:szCs w:val="21"/>
                <w:highlight w:val="none"/>
              </w:rPr>
              <w:t>及以上</w:t>
            </w:r>
            <w:r>
              <w:rPr>
                <w:color w:val="auto"/>
                <w:spacing w:val="-4"/>
                <w:szCs w:val="21"/>
                <w:highlight w:val="none"/>
              </w:rPr>
              <w:t>的</w:t>
            </w:r>
            <w:r>
              <w:rPr>
                <w:rFonts w:hint="eastAsia" w:cs="宋体" w:asciiTheme="minorEastAsia" w:hAnsiTheme="minorEastAsia" w:eastAsiaTheme="minorEastAsia"/>
                <w:bCs/>
                <w:color w:val="auto"/>
                <w:kern w:val="0"/>
                <w:highlight w:val="none"/>
              </w:rPr>
              <w:t>得2分</w:t>
            </w:r>
            <w:r>
              <w:rPr>
                <w:rFonts w:cs="宋体" w:asciiTheme="minorEastAsia" w:hAnsiTheme="minorEastAsia" w:eastAsiaTheme="minorEastAsia"/>
                <w:bCs/>
                <w:color w:val="auto"/>
                <w:kern w:val="0"/>
                <w:highlight w:val="none"/>
              </w:rPr>
              <w:t>，</w:t>
            </w:r>
            <w:r>
              <w:rPr>
                <w:rFonts w:hint="eastAsia" w:cs="宋体" w:asciiTheme="minorEastAsia" w:hAnsiTheme="minorEastAsia" w:eastAsiaTheme="minorEastAsia"/>
                <w:bCs/>
                <w:color w:val="auto"/>
                <w:kern w:val="0"/>
                <w:highlight w:val="none"/>
              </w:rPr>
              <w:t>缺少其中任意一项不得分。</w:t>
            </w:r>
          </w:p>
          <w:p>
            <w:pPr>
              <w:widowControl/>
              <w:numPr>
                <w:ilvl w:val="0"/>
                <w:numId w:val="7"/>
              </w:numPr>
              <w:ind w:firstLine="0"/>
              <w:jc w:val="left"/>
              <w:rPr>
                <w:rFonts w:cs="宋体" w:asciiTheme="minorEastAsia" w:hAnsiTheme="minorEastAsia" w:eastAsiaTheme="minorEastAsia"/>
                <w:b w:val="0"/>
                <w:bCs/>
                <w:color w:val="auto"/>
                <w:kern w:val="0"/>
                <w:highlight w:val="none"/>
              </w:rPr>
            </w:pPr>
            <w:r>
              <w:rPr>
                <w:rFonts w:hint="eastAsia" w:cs="宋体" w:asciiTheme="minorEastAsia" w:hAnsiTheme="minorEastAsia" w:eastAsiaTheme="minorEastAsia"/>
                <w:b w:val="0"/>
                <w:bCs/>
                <w:color w:val="auto"/>
                <w:kern w:val="0"/>
                <w:highlight w:val="none"/>
              </w:rPr>
              <w:t>投标人同时具备电子与智能化工程专业承包壹级、建筑智能化系统设计专项甲级</w:t>
            </w:r>
            <w:r>
              <w:rPr>
                <w:b w:val="0"/>
                <w:bCs/>
                <w:color w:val="auto"/>
                <w:spacing w:val="-4"/>
                <w:szCs w:val="21"/>
                <w:highlight w:val="none"/>
              </w:rPr>
              <w:t>的</w:t>
            </w:r>
            <w:r>
              <w:rPr>
                <w:rFonts w:hint="eastAsia" w:cs="宋体" w:asciiTheme="minorEastAsia" w:hAnsiTheme="minorEastAsia" w:eastAsiaTheme="minorEastAsia"/>
                <w:b w:val="0"/>
                <w:bCs/>
                <w:color w:val="auto"/>
                <w:kern w:val="0"/>
                <w:highlight w:val="none"/>
              </w:rPr>
              <w:t>得</w:t>
            </w:r>
            <w:r>
              <w:rPr>
                <w:rFonts w:cs="宋体" w:asciiTheme="minorEastAsia" w:hAnsiTheme="minorEastAsia" w:eastAsiaTheme="minorEastAsia"/>
                <w:b w:val="0"/>
                <w:bCs/>
                <w:color w:val="auto"/>
                <w:kern w:val="0"/>
                <w:highlight w:val="none"/>
              </w:rPr>
              <w:t>2</w:t>
            </w:r>
            <w:r>
              <w:rPr>
                <w:rFonts w:hint="eastAsia" w:cs="宋体" w:asciiTheme="minorEastAsia" w:hAnsiTheme="minorEastAsia" w:eastAsiaTheme="minorEastAsia"/>
                <w:b w:val="0"/>
                <w:bCs/>
                <w:color w:val="auto"/>
                <w:kern w:val="0"/>
                <w:highlight w:val="none"/>
              </w:rPr>
              <w:t>分</w:t>
            </w:r>
            <w:r>
              <w:rPr>
                <w:rFonts w:cs="宋体" w:asciiTheme="minorEastAsia" w:hAnsiTheme="minorEastAsia" w:eastAsiaTheme="minorEastAsia"/>
                <w:b w:val="0"/>
                <w:bCs/>
                <w:color w:val="auto"/>
                <w:kern w:val="0"/>
                <w:highlight w:val="none"/>
              </w:rPr>
              <w:t>，</w:t>
            </w:r>
            <w:r>
              <w:rPr>
                <w:rFonts w:hint="eastAsia" w:cs="宋体" w:asciiTheme="minorEastAsia" w:hAnsiTheme="minorEastAsia" w:eastAsiaTheme="minorEastAsia"/>
                <w:b w:val="0"/>
                <w:bCs/>
                <w:color w:val="auto"/>
                <w:kern w:val="0"/>
                <w:highlight w:val="none"/>
              </w:rPr>
              <w:t>缺少其中任意一项不得分。</w:t>
            </w:r>
          </w:p>
          <w:p>
            <w:pPr>
              <w:widowControl/>
              <w:numPr>
                <w:ilvl w:val="0"/>
                <w:numId w:val="7"/>
              </w:numPr>
              <w:ind w:firstLine="0"/>
              <w:jc w:val="left"/>
              <w:rPr>
                <w:rFonts w:asciiTheme="minorEastAsia" w:hAnsiTheme="minorEastAsia" w:eastAsiaTheme="minorEastAsia" w:cstheme="minorEastAsia"/>
                <w:b w:val="0"/>
                <w:bCs/>
                <w:color w:val="auto"/>
                <w:szCs w:val="21"/>
                <w:highlight w:val="none"/>
              </w:rPr>
            </w:pPr>
            <w:r>
              <w:rPr>
                <w:rFonts w:hint="eastAsia" w:cs="宋体" w:asciiTheme="minorEastAsia" w:hAnsiTheme="minorEastAsia" w:eastAsiaTheme="minorEastAsia"/>
                <w:b w:val="0"/>
                <w:bCs/>
                <w:color w:val="auto"/>
                <w:kern w:val="0"/>
                <w:highlight w:val="none"/>
              </w:rPr>
              <w:t>投标人具备质量管理体系认证、环境管理体系认证、职业健康安全管理体系认证</w:t>
            </w:r>
            <w:r>
              <w:rPr>
                <w:b w:val="0"/>
                <w:bCs/>
                <w:color w:val="auto"/>
                <w:spacing w:val="-4"/>
                <w:szCs w:val="21"/>
                <w:highlight w:val="none"/>
              </w:rPr>
              <w:t>的</w:t>
            </w:r>
            <w:r>
              <w:rPr>
                <w:rFonts w:hint="eastAsia" w:cs="宋体" w:asciiTheme="minorEastAsia" w:hAnsiTheme="minorEastAsia" w:eastAsiaTheme="minorEastAsia"/>
                <w:b w:val="0"/>
                <w:bCs/>
                <w:color w:val="auto"/>
                <w:kern w:val="0"/>
                <w:highlight w:val="none"/>
              </w:rPr>
              <w:t>得1分，缺少其中任意一项不得分。</w:t>
            </w:r>
          </w:p>
          <w:p>
            <w:pPr>
              <w:widowControl/>
              <w:numPr>
                <w:ilvl w:val="0"/>
                <w:numId w:val="0"/>
              </w:numPr>
              <w:ind w:leftChars="0"/>
              <w:jc w:val="left"/>
              <w:rPr>
                <w:rFonts w:asciiTheme="minorEastAsia" w:hAnsiTheme="minorEastAsia" w:eastAsiaTheme="minorEastAsia" w:cstheme="minorEastAsia"/>
                <w:b/>
                <w:color w:val="auto"/>
                <w:szCs w:val="21"/>
                <w:highlight w:val="none"/>
              </w:rPr>
            </w:pPr>
            <w:r>
              <w:rPr>
                <w:rFonts w:hint="eastAsia"/>
                <w:color w:val="auto"/>
                <w:spacing w:val="-4"/>
                <w:szCs w:val="21"/>
                <w:highlight w:val="none"/>
              </w:rPr>
              <w:t>(以上证书复印件编入标书，提供资质原件核查，无原件不得分</w:t>
            </w:r>
            <w:r>
              <w:rPr>
                <w:rFonts w:hint="eastAsia"/>
                <w:color w:val="auto"/>
                <w:szCs w:val="21"/>
                <w:highlight w:val="none"/>
              </w:rPr>
              <w:t>）</w:t>
            </w:r>
          </w:p>
        </w:tc>
        <w:tc>
          <w:tcPr>
            <w:tcW w:w="737" w:type="dxa"/>
            <w:vAlign w:val="center"/>
          </w:tcPr>
          <w:p>
            <w:pPr>
              <w:pStyle w:val="11"/>
              <w:adjustRightInd w:val="0"/>
              <w:snapToGrid w:val="0"/>
              <w:spacing w:before="156" w:after="156"/>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val="0"/>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610" w:type="dxa"/>
            <w:vMerge w:val="restart"/>
            <w:vAlign w:val="center"/>
          </w:tcPr>
          <w:p>
            <w:pPr>
              <w:jc w:val="center"/>
              <w:rPr>
                <w:rFonts w:asciiTheme="minorEastAsia" w:hAnsiTheme="minorEastAsia" w:eastAsiaTheme="minorEastAsia"/>
                <w:b w:val="0"/>
                <w:bCs/>
                <w:color w:val="auto"/>
                <w:szCs w:val="21"/>
                <w:highlight w:val="none"/>
              </w:rPr>
            </w:pPr>
            <w:r>
              <w:rPr>
                <w:rFonts w:asciiTheme="minorEastAsia" w:hAnsiTheme="minorEastAsia" w:eastAsiaTheme="minorEastAsia"/>
                <w:b w:val="0"/>
                <w:bCs/>
                <w:color w:val="auto"/>
                <w:szCs w:val="21"/>
                <w:highlight w:val="none"/>
              </w:rPr>
              <w:t>2</w:t>
            </w:r>
          </w:p>
        </w:tc>
        <w:tc>
          <w:tcPr>
            <w:tcW w:w="60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w:t>
            </w:r>
            <w:r>
              <w:rPr>
                <w:rFonts w:asciiTheme="minorEastAsia" w:hAnsiTheme="minorEastAsia" w:eastAsiaTheme="minorEastAsia"/>
                <w:color w:val="auto"/>
                <w:szCs w:val="21"/>
                <w:highlight w:val="none"/>
              </w:rPr>
              <w:t>和</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技术部分</w:t>
            </w:r>
          </w:p>
        </w:tc>
        <w:tc>
          <w:tcPr>
            <w:tcW w:w="851" w:type="dxa"/>
            <w:vAlign w:val="center"/>
          </w:tcPr>
          <w:p>
            <w:pPr>
              <w:widowControl/>
              <w:jc w:val="center"/>
              <w:rPr>
                <w:rFonts w:cs="宋体" w:asciiTheme="minorEastAsia" w:hAnsiTheme="minorEastAsia" w:eastAsiaTheme="minorEastAsia"/>
                <w:bCs/>
                <w:color w:val="auto"/>
                <w:kern w:val="0"/>
                <w:highlight w:val="none"/>
              </w:rPr>
            </w:pPr>
            <w:r>
              <w:rPr>
                <w:rFonts w:hint="eastAsia" w:cs="宋体" w:asciiTheme="minorEastAsia" w:hAnsiTheme="minorEastAsia" w:eastAsiaTheme="minorEastAsia"/>
                <w:bCs/>
                <w:color w:val="auto"/>
                <w:kern w:val="0"/>
                <w:highlight w:val="none"/>
              </w:rPr>
              <w:t>案例</w:t>
            </w:r>
          </w:p>
        </w:tc>
        <w:tc>
          <w:tcPr>
            <w:tcW w:w="5652" w:type="dxa"/>
            <w:vAlign w:val="center"/>
          </w:tcPr>
          <w:p>
            <w:pPr>
              <w:widowControl/>
              <w:jc w:val="left"/>
              <w:rPr>
                <w:rFonts w:cs="宋体" w:asciiTheme="minorEastAsia" w:hAnsiTheme="minorEastAsia" w:eastAsiaTheme="minorEastAsia"/>
                <w:bCs/>
                <w:color w:val="auto"/>
                <w:kern w:val="0"/>
                <w:highlight w:val="none"/>
              </w:rPr>
            </w:pPr>
            <w:r>
              <w:rPr>
                <w:rFonts w:hint="eastAsia" w:cs="宋体" w:asciiTheme="minorEastAsia" w:hAnsiTheme="minorEastAsia" w:eastAsiaTheme="minorEastAsia"/>
                <w:bCs/>
                <w:color w:val="auto"/>
                <w:kern w:val="0"/>
                <w:highlight w:val="none"/>
              </w:rPr>
              <w:t>投标人提供类似项目建设成功案例，合同金额300万及以上每提供一个案例得</w:t>
            </w:r>
            <w:r>
              <w:rPr>
                <w:rFonts w:cs="宋体" w:asciiTheme="minorEastAsia" w:hAnsiTheme="minorEastAsia" w:eastAsiaTheme="minorEastAsia"/>
                <w:bCs/>
                <w:color w:val="auto"/>
                <w:kern w:val="0"/>
                <w:highlight w:val="none"/>
              </w:rPr>
              <w:t>1</w:t>
            </w:r>
            <w:r>
              <w:rPr>
                <w:rFonts w:hint="eastAsia" w:cs="宋体" w:asciiTheme="minorEastAsia" w:hAnsiTheme="minorEastAsia" w:eastAsiaTheme="minorEastAsia"/>
                <w:bCs/>
                <w:color w:val="auto"/>
                <w:kern w:val="0"/>
                <w:highlight w:val="none"/>
              </w:rPr>
              <w:t>分</w:t>
            </w:r>
            <w:r>
              <w:rPr>
                <w:rFonts w:cs="宋体" w:asciiTheme="minorEastAsia" w:hAnsiTheme="minorEastAsia" w:eastAsiaTheme="minorEastAsia"/>
                <w:bCs/>
                <w:color w:val="auto"/>
                <w:kern w:val="0"/>
                <w:highlight w:val="none"/>
              </w:rPr>
              <w:t>（0-3分），</w:t>
            </w:r>
            <w:r>
              <w:rPr>
                <w:rFonts w:hint="eastAsia" w:cs="宋体" w:asciiTheme="minorEastAsia" w:hAnsiTheme="minorEastAsia" w:eastAsiaTheme="minorEastAsia"/>
                <w:bCs/>
                <w:color w:val="auto"/>
                <w:kern w:val="0"/>
                <w:highlight w:val="none"/>
              </w:rPr>
              <w:t>须提供项目合同复印件</w:t>
            </w:r>
            <w:r>
              <w:rPr>
                <w:rFonts w:cs="宋体" w:asciiTheme="minorEastAsia" w:hAnsiTheme="minorEastAsia" w:eastAsiaTheme="minorEastAsia"/>
                <w:bCs/>
                <w:color w:val="auto"/>
                <w:kern w:val="0"/>
                <w:highlight w:val="none"/>
              </w:rPr>
              <w:t>和项目验收报告，</w:t>
            </w:r>
            <w:r>
              <w:rPr>
                <w:rFonts w:hint="eastAsia" w:cs="宋体" w:asciiTheme="minorEastAsia" w:hAnsiTheme="minorEastAsia" w:eastAsiaTheme="minorEastAsia"/>
                <w:bCs/>
                <w:color w:val="auto"/>
                <w:kern w:val="0"/>
                <w:highlight w:val="none"/>
              </w:rPr>
              <w:t>原件备查</w:t>
            </w:r>
            <w:r>
              <w:rPr>
                <w:rFonts w:cs="宋体" w:asciiTheme="minorEastAsia" w:hAnsiTheme="minorEastAsia" w:eastAsiaTheme="minorEastAsia"/>
                <w:bCs/>
                <w:color w:val="auto"/>
                <w:kern w:val="0"/>
                <w:highlight w:val="none"/>
              </w:rPr>
              <w:t>。</w:t>
            </w:r>
          </w:p>
          <w:p>
            <w:pPr>
              <w:widowControl/>
              <w:jc w:val="left"/>
              <w:rPr>
                <w:color w:val="auto"/>
                <w:spacing w:val="-4"/>
                <w:szCs w:val="21"/>
                <w:highlight w:val="none"/>
                <w:lang w:val="zh-CN"/>
              </w:rPr>
            </w:pPr>
            <w:r>
              <w:rPr>
                <w:rFonts w:hint="eastAsia"/>
                <w:color w:val="auto"/>
                <w:spacing w:val="-4"/>
                <w:szCs w:val="21"/>
                <w:highlight w:val="none"/>
              </w:rPr>
              <w:t>(以上</w:t>
            </w:r>
            <w:r>
              <w:rPr>
                <w:color w:val="auto"/>
                <w:spacing w:val="-4"/>
                <w:szCs w:val="21"/>
                <w:highlight w:val="none"/>
              </w:rPr>
              <w:t>合同及验收报告</w:t>
            </w:r>
            <w:r>
              <w:rPr>
                <w:rFonts w:hint="eastAsia"/>
                <w:color w:val="auto"/>
                <w:spacing w:val="-4"/>
                <w:szCs w:val="21"/>
                <w:highlight w:val="none"/>
              </w:rPr>
              <w:t>复印件编入标书，提供</w:t>
            </w:r>
            <w:r>
              <w:rPr>
                <w:color w:val="auto"/>
                <w:spacing w:val="-4"/>
                <w:szCs w:val="21"/>
                <w:highlight w:val="none"/>
              </w:rPr>
              <w:t>合同</w:t>
            </w:r>
            <w:r>
              <w:rPr>
                <w:rFonts w:hint="eastAsia"/>
                <w:color w:val="auto"/>
                <w:spacing w:val="-4"/>
                <w:szCs w:val="21"/>
                <w:highlight w:val="none"/>
              </w:rPr>
              <w:t>原件核查，无原件不得分</w:t>
            </w:r>
            <w:r>
              <w:rPr>
                <w:color w:val="auto"/>
                <w:spacing w:val="-4"/>
                <w:szCs w:val="21"/>
                <w:highlight w:val="none"/>
              </w:rPr>
              <w:t>。</w:t>
            </w:r>
            <w:r>
              <w:rPr>
                <w:rFonts w:hint="eastAsia"/>
                <w:color w:val="auto"/>
                <w:szCs w:val="21"/>
                <w:highlight w:val="none"/>
              </w:rPr>
              <w:t>）</w:t>
            </w:r>
          </w:p>
        </w:tc>
        <w:tc>
          <w:tcPr>
            <w:tcW w:w="737" w:type="dxa"/>
            <w:vAlign w:val="center"/>
          </w:tcPr>
          <w:p>
            <w:pPr>
              <w:widowControl/>
              <w:jc w:val="center"/>
              <w:rPr>
                <w:rFonts w:cs="宋体" w:asciiTheme="minorEastAsia" w:hAnsiTheme="minorEastAsia" w:eastAsiaTheme="minorEastAsia"/>
                <w:bCs/>
                <w:color w:val="auto"/>
                <w:kern w:val="0"/>
                <w:highlight w:val="none"/>
              </w:rPr>
            </w:pPr>
            <w:r>
              <w:rPr>
                <w:rFonts w:cs="宋体" w:asciiTheme="minorEastAsia" w:hAnsiTheme="minorEastAsia" w:eastAsiaTheme="minorEastAsia"/>
                <w:bCs/>
                <w:color w:val="auto"/>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610" w:type="dxa"/>
            <w:vMerge w:val="continue"/>
            <w:vAlign w:val="center"/>
          </w:tcPr>
          <w:p>
            <w:pPr>
              <w:jc w:val="center"/>
              <w:rPr>
                <w:rFonts w:asciiTheme="minorEastAsia" w:hAnsiTheme="minorEastAsia" w:eastAsiaTheme="minorEastAsia"/>
                <w:color w:val="auto"/>
                <w:szCs w:val="21"/>
                <w:highlight w:val="none"/>
              </w:rPr>
            </w:pPr>
          </w:p>
        </w:tc>
        <w:tc>
          <w:tcPr>
            <w:tcW w:w="609" w:type="dxa"/>
            <w:vMerge w:val="continue"/>
            <w:vAlign w:val="center"/>
          </w:tcPr>
          <w:p>
            <w:pPr>
              <w:jc w:val="center"/>
              <w:rPr>
                <w:rFonts w:asciiTheme="minorEastAsia" w:hAnsiTheme="minorEastAsia" w:eastAsiaTheme="minorEastAsia"/>
                <w:color w:val="auto"/>
                <w:szCs w:val="21"/>
                <w:highlight w:val="none"/>
              </w:rPr>
            </w:pPr>
          </w:p>
        </w:tc>
        <w:tc>
          <w:tcPr>
            <w:tcW w:w="851" w:type="dxa"/>
            <w:vAlign w:val="center"/>
          </w:tcPr>
          <w:p>
            <w:pPr>
              <w:widowControl/>
              <w:jc w:val="center"/>
              <w:rPr>
                <w:rFonts w:cs="宋体" w:asciiTheme="minorEastAsia" w:hAnsiTheme="minorEastAsia" w:eastAsiaTheme="minorEastAsia"/>
                <w:color w:val="auto"/>
                <w:kern w:val="0"/>
                <w:highlight w:val="none"/>
              </w:rPr>
            </w:pPr>
          </w:p>
          <w:p>
            <w:pPr>
              <w:widowControl/>
              <w:jc w:val="center"/>
              <w:rPr>
                <w:rFonts w:cs="宋体" w:asciiTheme="minorEastAsia" w:hAnsiTheme="minorEastAsia" w:eastAsiaTheme="minorEastAsia"/>
                <w:bCs/>
                <w:color w:val="auto"/>
                <w:kern w:val="0"/>
                <w:highlight w:val="none"/>
              </w:rPr>
            </w:pPr>
            <w:r>
              <w:rPr>
                <w:rFonts w:hint="eastAsia" w:cs="宋体" w:asciiTheme="minorEastAsia" w:hAnsiTheme="minorEastAsia" w:eastAsiaTheme="minorEastAsia"/>
                <w:bCs/>
                <w:color w:val="auto"/>
                <w:kern w:val="0"/>
                <w:highlight w:val="none"/>
              </w:rPr>
              <w:t>总体方案</w:t>
            </w:r>
          </w:p>
        </w:tc>
        <w:tc>
          <w:tcPr>
            <w:tcW w:w="5652" w:type="dxa"/>
            <w:vAlign w:val="center"/>
          </w:tcPr>
          <w:p>
            <w:pPr>
              <w:widowControl/>
              <w:jc w:val="left"/>
              <w:rPr>
                <w:color w:val="auto"/>
                <w:spacing w:val="-4"/>
                <w:szCs w:val="21"/>
                <w:highlight w:val="none"/>
              </w:rPr>
            </w:pPr>
            <w:r>
              <w:rPr>
                <w:rFonts w:hint="eastAsia"/>
                <w:color w:val="auto"/>
                <w:spacing w:val="-4"/>
                <w:szCs w:val="21"/>
                <w:highlight w:val="none"/>
              </w:rPr>
              <w:t>总体设计方案。</w:t>
            </w:r>
          </w:p>
          <w:p>
            <w:pPr>
              <w:widowControl/>
              <w:jc w:val="left"/>
              <w:rPr>
                <w:color w:val="auto"/>
                <w:spacing w:val="-4"/>
                <w:szCs w:val="21"/>
                <w:highlight w:val="none"/>
              </w:rPr>
            </w:pPr>
            <w:r>
              <w:rPr>
                <w:rFonts w:hint="eastAsia"/>
                <w:color w:val="auto"/>
                <w:spacing w:val="-4"/>
                <w:szCs w:val="21"/>
                <w:highlight w:val="none"/>
              </w:rPr>
              <w:t>投标人结合</w:t>
            </w:r>
            <w:r>
              <w:rPr>
                <w:color w:val="auto"/>
                <w:spacing w:val="-4"/>
                <w:szCs w:val="21"/>
                <w:highlight w:val="none"/>
              </w:rPr>
              <w:t>玉环</w:t>
            </w:r>
            <w:r>
              <w:rPr>
                <w:rFonts w:hint="eastAsia"/>
                <w:color w:val="auto"/>
                <w:spacing w:val="-4"/>
                <w:szCs w:val="21"/>
                <w:highlight w:val="none"/>
              </w:rPr>
              <w:t>市</w:t>
            </w:r>
            <w:r>
              <w:rPr>
                <w:color w:val="auto"/>
                <w:spacing w:val="-4"/>
                <w:szCs w:val="21"/>
                <w:highlight w:val="none"/>
              </w:rPr>
              <w:t>渔业安全生产及应急指挥</w:t>
            </w:r>
            <w:r>
              <w:rPr>
                <w:rFonts w:hint="eastAsia"/>
                <w:color w:val="auto"/>
                <w:spacing w:val="-4"/>
                <w:szCs w:val="21"/>
                <w:highlight w:val="none"/>
              </w:rPr>
              <w:t>现状</w:t>
            </w:r>
            <w:r>
              <w:rPr>
                <w:color w:val="auto"/>
                <w:spacing w:val="-4"/>
                <w:szCs w:val="21"/>
                <w:highlight w:val="none"/>
              </w:rPr>
              <w:t>，</w:t>
            </w:r>
            <w:r>
              <w:rPr>
                <w:rFonts w:hint="eastAsia"/>
                <w:color w:val="auto"/>
                <w:spacing w:val="-4"/>
                <w:szCs w:val="21"/>
                <w:highlight w:val="none"/>
              </w:rPr>
              <w:t>阐述如何配合</w:t>
            </w:r>
            <w:r>
              <w:rPr>
                <w:color w:val="auto"/>
                <w:spacing w:val="-4"/>
                <w:szCs w:val="21"/>
                <w:highlight w:val="none"/>
              </w:rPr>
              <w:t>玉环</w:t>
            </w:r>
            <w:r>
              <w:rPr>
                <w:rFonts w:hint="eastAsia"/>
                <w:color w:val="auto"/>
                <w:spacing w:val="-4"/>
                <w:szCs w:val="21"/>
                <w:highlight w:val="none"/>
              </w:rPr>
              <w:t>市重点渔港</w:t>
            </w:r>
            <w:r>
              <w:rPr>
                <w:color w:val="auto"/>
                <w:spacing w:val="-4"/>
                <w:szCs w:val="21"/>
                <w:highlight w:val="none"/>
              </w:rPr>
              <w:t>近岸</w:t>
            </w:r>
            <w:r>
              <w:rPr>
                <w:rFonts w:hint="eastAsia"/>
                <w:color w:val="auto"/>
                <w:spacing w:val="-4"/>
                <w:szCs w:val="21"/>
                <w:highlight w:val="none"/>
              </w:rPr>
              <w:t>渔船进出港业务、日常</w:t>
            </w:r>
            <w:r>
              <w:rPr>
                <w:color w:val="auto"/>
                <w:spacing w:val="-4"/>
                <w:szCs w:val="21"/>
                <w:highlight w:val="none"/>
              </w:rPr>
              <w:t>监视</w:t>
            </w:r>
            <w:r>
              <w:rPr>
                <w:rFonts w:hint="eastAsia"/>
                <w:color w:val="auto"/>
                <w:spacing w:val="-4"/>
                <w:szCs w:val="21"/>
                <w:highlight w:val="none"/>
              </w:rPr>
              <w:t>巡查</w:t>
            </w:r>
            <w:r>
              <w:rPr>
                <w:color w:val="auto"/>
                <w:spacing w:val="-4"/>
                <w:szCs w:val="21"/>
                <w:highlight w:val="none"/>
              </w:rPr>
              <w:t>、渔港近岸空中全景等</w:t>
            </w:r>
            <w:r>
              <w:rPr>
                <w:rFonts w:hint="eastAsia"/>
                <w:color w:val="auto"/>
                <w:spacing w:val="-4"/>
                <w:szCs w:val="21"/>
                <w:highlight w:val="none"/>
              </w:rPr>
              <w:t>需求</w:t>
            </w:r>
            <w:r>
              <w:rPr>
                <w:color w:val="auto"/>
                <w:spacing w:val="-4"/>
                <w:szCs w:val="21"/>
                <w:highlight w:val="none"/>
              </w:rPr>
              <w:t>，</w:t>
            </w:r>
            <w:r>
              <w:rPr>
                <w:rFonts w:hint="eastAsia"/>
                <w:color w:val="auto"/>
                <w:spacing w:val="-4"/>
                <w:szCs w:val="21"/>
                <w:highlight w:val="none"/>
              </w:rPr>
              <w:t>提出具备全面性、准确性、针对性的项目功能设计，给出</w:t>
            </w:r>
            <w:r>
              <w:rPr>
                <w:color w:val="auto"/>
                <w:spacing w:val="-4"/>
                <w:szCs w:val="21"/>
                <w:highlight w:val="none"/>
              </w:rPr>
              <w:t>渔船近岸动态视频监管</w:t>
            </w:r>
            <w:r>
              <w:rPr>
                <w:rFonts w:hint="eastAsia"/>
                <w:color w:val="auto"/>
                <w:spacing w:val="-4"/>
                <w:szCs w:val="21"/>
                <w:highlight w:val="none"/>
              </w:rPr>
              <w:t>总体设计方案。</w:t>
            </w:r>
          </w:p>
          <w:p>
            <w:pPr>
              <w:widowControl/>
              <w:jc w:val="left"/>
              <w:rPr>
                <w:rFonts w:cs="宋体" w:asciiTheme="minorEastAsia" w:hAnsiTheme="minorEastAsia" w:eastAsiaTheme="minorEastAsia"/>
                <w:bCs/>
                <w:color w:val="auto"/>
                <w:kern w:val="0"/>
                <w:highlight w:val="none"/>
              </w:rPr>
            </w:pPr>
            <w:r>
              <w:rPr>
                <w:rFonts w:hint="eastAsia"/>
                <w:color w:val="auto"/>
                <w:spacing w:val="-4"/>
                <w:szCs w:val="21"/>
                <w:highlight w:val="none"/>
              </w:rPr>
              <w:t>评标委员会根据投标人对项目重点、难点的把握、解决方案的优劣、合理化建议的可行性先进性等方面综合比较后酌情打分</w:t>
            </w:r>
            <w:r>
              <w:rPr>
                <w:color w:val="auto"/>
                <w:spacing w:val="-4"/>
                <w:szCs w:val="21"/>
                <w:highlight w:val="none"/>
              </w:rPr>
              <w:t>（0-</w:t>
            </w:r>
            <w:r>
              <w:rPr>
                <w:rFonts w:hint="eastAsia"/>
                <w:color w:val="auto"/>
                <w:spacing w:val="-4"/>
                <w:szCs w:val="21"/>
                <w:highlight w:val="none"/>
              </w:rPr>
              <w:t>9</w:t>
            </w:r>
            <w:r>
              <w:rPr>
                <w:color w:val="auto"/>
                <w:spacing w:val="-4"/>
                <w:szCs w:val="21"/>
                <w:highlight w:val="none"/>
              </w:rPr>
              <w:t>分）</w:t>
            </w:r>
            <w:r>
              <w:rPr>
                <w:rFonts w:hint="eastAsia"/>
                <w:color w:val="auto"/>
                <w:spacing w:val="-4"/>
                <w:szCs w:val="21"/>
                <w:highlight w:val="none"/>
              </w:rPr>
              <w:t>，一档5-9分，二档2-4分，三档0-1分。</w:t>
            </w:r>
          </w:p>
        </w:tc>
        <w:tc>
          <w:tcPr>
            <w:tcW w:w="737" w:type="dxa"/>
            <w:vAlign w:val="center"/>
          </w:tcPr>
          <w:p>
            <w:pPr>
              <w:widowControl/>
              <w:jc w:val="center"/>
              <w:rPr>
                <w:rFonts w:cs="宋体" w:asciiTheme="minorEastAsia" w:hAnsiTheme="minorEastAsia" w:eastAsiaTheme="minorEastAsia"/>
                <w:bCs/>
                <w:color w:val="auto"/>
                <w:kern w:val="0"/>
                <w:highlight w:val="none"/>
              </w:rPr>
            </w:pPr>
            <w:r>
              <w:rPr>
                <w:rFonts w:hint="eastAsia" w:cs="宋体" w:asciiTheme="minorEastAsia" w:hAnsiTheme="minorEastAsia" w:eastAsiaTheme="minorEastAsia"/>
                <w:bCs/>
                <w:color w:val="auto"/>
                <w:kern w:val="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0" w:type="dxa"/>
            <w:vMerge w:val="continue"/>
            <w:vAlign w:val="center"/>
          </w:tcPr>
          <w:p>
            <w:pPr>
              <w:jc w:val="center"/>
              <w:rPr>
                <w:rFonts w:asciiTheme="minorEastAsia" w:hAnsiTheme="minorEastAsia" w:eastAsiaTheme="minorEastAsia"/>
                <w:color w:val="auto"/>
                <w:szCs w:val="21"/>
                <w:highlight w:val="none"/>
              </w:rPr>
            </w:pPr>
          </w:p>
        </w:tc>
        <w:tc>
          <w:tcPr>
            <w:tcW w:w="609" w:type="dxa"/>
            <w:vMerge w:val="continue"/>
            <w:vAlign w:val="center"/>
          </w:tcPr>
          <w:p>
            <w:pPr>
              <w:jc w:val="center"/>
              <w:rPr>
                <w:rFonts w:asciiTheme="minorEastAsia" w:hAnsiTheme="minorEastAsia" w:eastAsiaTheme="minorEastAsia"/>
                <w:color w:val="auto"/>
                <w:szCs w:val="21"/>
                <w:highlight w:val="none"/>
              </w:rPr>
            </w:pPr>
          </w:p>
        </w:tc>
        <w:tc>
          <w:tcPr>
            <w:tcW w:w="851" w:type="dxa"/>
            <w:vAlign w:val="center"/>
          </w:tcPr>
          <w:p>
            <w:pPr>
              <w:autoSpaceDE w:val="0"/>
              <w:autoSpaceDN w:val="0"/>
              <w:adjustRightIn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现场产品展示</w:t>
            </w:r>
          </w:p>
        </w:tc>
        <w:tc>
          <w:tcPr>
            <w:tcW w:w="5652" w:type="dxa"/>
            <w:vAlign w:val="center"/>
          </w:tcPr>
          <w:p>
            <w:pPr>
              <w:widowControl/>
              <w:rPr>
                <w:color w:val="auto"/>
                <w:highlight w:val="none"/>
                <w:lang w:val="zh-CN"/>
              </w:rPr>
            </w:pPr>
            <w:r>
              <w:rPr>
                <w:rFonts w:hint="eastAsia"/>
                <w:color w:val="auto"/>
                <w:highlight w:val="none"/>
                <w:lang w:val="zh-CN"/>
              </w:rPr>
              <w:t>投标时</w:t>
            </w:r>
            <w:r>
              <w:rPr>
                <w:color w:val="auto"/>
                <w:highlight w:val="none"/>
              </w:rPr>
              <w:t>产品展示。</w:t>
            </w:r>
          </w:p>
          <w:p>
            <w:pPr>
              <w:widowControl/>
              <w:numPr>
                <w:ilvl w:val="0"/>
                <w:numId w:val="8"/>
              </w:numPr>
              <w:rPr>
                <w:color w:val="auto"/>
                <w:highlight w:val="none"/>
              </w:rPr>
            </w:pPr>
            <w:r>
              <w:rPr>
                <w:rFonts w:hint="eastAsia"/>
                <w:color w:val="auto"/>
                <w:highlight w:val="none"/>
                <w:lang w:val="zh-CN"/>
              </w:rPr>
              <w:t>投标人需提供与投标文件参数一致的超高精度球形转台和高精度球形转台的样品</w:t>
            </w:r>
            <w:r>
              <w:rPr>
                <w:color w:val="auto"/>
                <w:highlight w:val="none"/>
              </w:rPr>
              <w:t>，针对设备高精度转台设计、</w:t>
            </w:r>
            <w:r>
              <w:rPr>
                <w:rFonts w:hint="eastAsia"/>
                <w:color w:val="auto"/>
                <w:highlight w:val="none"/>
              </w:rPr>
              <w:t>抗风性设计，远距离激光设计</w:t>
            </w:r>
            <w:r>
              <w:rPr>
                <w:rFonts w:hint="eastAsia"/>
                <w:color w:val="auto"/>
                <w:highlight w:val="none"/>
                <w:lang w:val="zh-CN"/>
              </w:rPr>
              <w:t>进行现场</w:t>
            </w:r>
            <w:r>
              <w:rPr>
                <w:color w:val="auto"/>
                <w:highlight w:val="none"/>
              </w:rPr>
              <w:t>讲解展示</w:t>
            </w:r>
            <w:r>
              <w:rPr>
                <w:rFonts w:hint="eastAsia"/>
                <w:color w:val="auto"/>
                <w:highlight w:val="none"/>
                <w:lang w:val="zh-CN"/>
              </w:rPr>
              <w:t>，没有提供样品</w:t>
            </w:r>
            <w:r>
              <w:rPr>
                <w:color w:val="auto"/>
                <w:highlight w:val="none"/>
              </w:rPr>
              <w:t>展示</w:t>
            </w:r>
            <w:r>
              <w:rPr>
                <w:rFonts w:hint="eastAsia"/>
                <w:color w:val="auto"/>
                <w:highlight w:val="none"/>
                <w:lang w:val="zh-CN"/>
              </w:rPr>
              <w:t>或不符合标准与要求的样品不得分</w:t>
            </w:r>
            <w:r>
              <w:rPr>
                <w:color w:val="auto"/>
                <w:highlight w:val="none"/>
              </w:rPr>
              <w:t>（0-7分）</w:t>
            </w:r>
            <w:r>
              <w:rPr>
                <w:rFonts w:hint="eastAsia"/>
                <w:color w:val="auto"/>
                <w:highlight w:val="none"/>
                <w:lang w:val="zh-CN"/>
              </w:rPr>
              <w:t>，</w:t>
            </w:r>
            <w:r>
              <w:rPr>
                <w:rFonts w:hint="eastAsia"/>
                <w:color w:val="auto"/>
                <w:highlight w:val="none"/>
              </w:rPr>
              <w:t>一档</w:t>
            </w:r>
            <w:r>
              <w:rPr>
                <w:color w:val="auto"/>
                <w:highlight w:val="none"/>
              </w:rPr>
              <w:t>5</w:t>
            </w:r>
            <w:r>
              <w:rPr>
                <w:rFonts w:hint="eastAsia"/>
                <w:color w:val="auto"/>
                <w:highlight w:val="none"/>
              </w:rPr>
              <w:t>-</w:t>
            </w:r>
            <w:r>
              <w:rPr>
                <w:color w:val="auto"/>
                <w:highlight w:val="none"/>
              </w:rPr>
              <w:t>7</w:t>
            </w:r>
            <w:r>
              <w:rPr>
                <w:rFonts w:hint="eastAsia"/>
                <w:color w:val="auto"/>
                <w:highlight w:val="none"/>
              </w:rPr>
              <w:t>分，二档</w:t>
            </w:r>
            <w:r>
              <w:rPr>
                <w:color w:val="auto"/>
                <w:highlight w:val="none"/>
              </w:rPr>
              <w:t>3</w:t>
            </w:r>
            <w:r>
              <w:rPr>
                <w:rFonts w:hint="eastAsia"/>
                <w:color w:val="auto"/>
                <w:highlight w:val="none"/>
              </w:rPr>
              <w:t>-</w:t>
            </w:r>
            <w:r>
              <w:rPr>
                <w:color w:val="auto"/>
                <w:highlight w:val="none"/>
              </w:rPr>
              <w:t>4</w:t>
            </w:r>
            <w:r>
              <w:rPr>
                <w:rFonts w:hint="eastAsia"/>
                <w:color w:val="auto"/>
                <w:highlight w:val="none"/>
              </w:rPr>
              <w:t>分，三档0-</w:t>
            </w:r>
            <w:r>
              <w:rPr>
                <w:color w:val="auto"/>
                <w:highlight w:val="none"/>
              </w:rPr>
              <w:t>2</w:t>
            </w:r>
            <w:r>
              <w:rPr>
                <w:rFonts w:hint="eastAsia"/>
                <w:color w:val="auto"/>
                <w:highlight w:val="none"/>
              </w:rPr>
              <w:t>分。</w:t>
            </w:r>
          </w:p>
          <w:p>
            <w:pPr>
              <w:widowControl/>
              <w:numPr>
                <w:ilvl w:val="0"/>
                <w:numId w:val="8"/>
              </w:numPr>
              <w:rPr>
                <w:color w:val="auto"/>
                <w:highlight w:val="none"/>
                <w:lang w:val="zh-CN"/>
              </w:rPr>
            </w:pPr>
            <w:r>
              <w:rPr>
                <w:rFonts w:hint="eastAsia"/>
                <w:color w:val="auto"/>
                <w:highlight w:val="none"/>
                <w:lang w:val="zh-CN"/>
              </w:rPr>
              <w:t>投标人需提供渔港空中全景信息采集与控制系统</w:t>
            </w:r>
            <w:r>
              <w:rPr>
                <w:rFonts w:hint="eastAsia"/>
                <w:color w:val="auto"/>
                <w:highlight w:val="none"/>
              </w:rPr>
              <w:t>软件</w:t>
            </w:r>
            <w:r>
              <w:rPr>
                <w:color w:val="auto"/>
                <w:highlight w:val="none"/>
              </w:rPr>
              <w:t>展示，针对渔港全景影像效果、显示渔港范围和基础信息、全景系统小地图导览效果进行</w:t>
            </w:r>
            <w:r>
              <w:rPr>
                <w:rFonts w:hint="eastAsia"/>
                <w:color w:val="auto"/>
                <w:highlight w:val="none"/>
              </w:rPr>
              <w:t>评分</w:t>
            </w:r>
            <w:r>
              <w:rPr>
                <w:color w:val="auto"/>
                <w:highlight w:val="none"/>
              </w:rPr>
              <w:t>，</w:t>
            </w:r>
            <w:r>
              <w:rPr>
                <w:rFonts w:hint="eastAsia"/>
                <w:color w:val="auto"/>
                <w:highlight w:val="none"/>
                <w:lang w:val="zh-CN"/>
              </w:rPr>
              <w:t>没有提供</w:t>
            </w:r>
            <w:r>
              <w:rPr>
                <w:rFonts w:hint="eastAsia"/>
                <w:color w:val="auto"/>
                <w:highlight w:val="none"/>
              </w:rPr>
              <w:t>软件</w:t>
            </w:r>
            <w:r>
              <w:rPr>
                <w:color w:val="auto"/>
                <w:highlight w:val="none"/>
              </w:rPr>
              <w:t>展示</w:t>
            </w:r>
            <w:r>
              <w:rPr>
                <w:rFonts w:hint="eastAsia"/>
                <w:color w:val="auto"/>
                <w:highlight w:val="none"/>
                <w:lang w:val="zh-CN"/>
              </w:rPr>
              <w:t>或不符合标准与要求的不得分</w:t>
            </w:r>
            <w:r>
              <w:rPr>
                <w:color w:val="auto"/>
                <w:highlight w:val="none"/>
              </w:rPr>
              <w:t>（0-3分），</w:t>
            </w:r>
            <w:r>
              <w:rPr>
                <w:rFonts w:hint="eastAsia"/>
                <w:color w:val="auto"/>
                <w:highlight w:val="none"/>
              </w:rPr>
              <w:t>一档</w:t>
            </w:r>
            <w:r>
              <w:rPr>
                <w:color w:val="auto"/>
                <w:highlight w:val="none"/>
              </w:rPr>
              <w:t>3</w:t>
            </w:r>
            <w:r>
              <w:rPr>
                <w:rFonts w:hint="eastAsia"/>
                <w:color w:val="auto"/>
                <w:highlight w:val="none"/>
              </w:rPr>
              <w:t>分，二档</w:t>
            </w:r>
            <w:r>
              <w:rPr>
                <w:color w:val="auto"/>
                <w:highlight w:val="none"/>
              </w:rPr>
              <w:t>2</w:t>
            </w:r>
            <w:r>
              <w:rPr>
                <w:rFonts w:hint="eastAsia"/>
                <w:color w:val="auto"/>
                <w:highlight w:val="none"/>
              </w:rPr>
              <w:t>分，三档</w:t>
            </w:r>
            <w:r>
              <w:rPr>
                <w:color w:val="auto"/>
                <w:highlight w:val="none"/>
              </w:rPr>
              <w:t>1</w:t>
            </w:r>
            <w:r>
              <w:rPr>
                <w:rFonts w:hint="eastAsia"/>
                <w:color w:val="auto"/>
                <w:highlight w:val="none"/>
              </w:rPr>
              <w:t>分。</w:t>
            </w:r>
          </w:p>
        </w:tc>
        <w:tc>
          <w:tcPr>
            <w:tcW w:w="737" w:type="dxa"/>
            <w:vAlign w:val="center"/>
          </w:tcPr>
          <w:p>
            <w:pPr>
              <w:jc w:val="center"/>
              <w:rPr>
                <w:rFonts w:asciiTheme="minorEastAsia" w:hAnsiTheme="minorEastAsia" w:eastAsiaTheme="minorEastAsia"/>
                <w:snapToGrid w:val="0"/>
                <w:color w:val="auto"/>
                <w:szCs w:val="21"/>
                <w:highlight w:val="none"/>
              </w:rPr>
            </w:pPr>
            <w:r>
              <w:rPr>
                <w:rFonts w:asciiTheme="minorEastAsia" w:hAnsiTheme="minorEastAsia" w:eastAsiaTheme="minorEastAsia"/>
                <w:snapToGrid w:val="0"/>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10" w:type="dxa"/>
            <w:vMerge w:val="continue"/>
            <w:vAlign w:val="center"/>
          </w:tcPr>
          <w:p>
            <w:pPr>
              <w:jc w:val="center"/>
              <w:rPr>
                <w:rFonts w:asciiTheme="minorEastAsia" w:hAnsiTheme="minorEastAsia" w:eastAsiaTheme="minorEastAsia"/>
                <w:color w:val="auto"/>
                <w:szCs w:val="21"/>
                <w:highlight w:val="none"/>
              </w:rPr>
            </w:pPr>
          </w:p>
        </w:tc>
        <w:tc>
          <w:tcPr>
            <w:tcW w:w="609" w:type="dxa"/>
            <w:vMerge w:val="continue"/>
            <w:vAlign w:val="center"/>
          </w:tcPr>
          <w:p>
            <w:pPr>
              <w:jc w:val="center"/>
              <w:rPr>
                <w:rFonts w:asciiTheme="minorEastAsia" w:hAnsiTheme="minorEastAsia" w:eastAsiaTheme="minorEastAsia"/>
                <w:color w:val="auto"/>
                <w:szCs w:val="21"/>
                <w:highlight w:val="none"/>
              </w:rPr>
            </w:pPr>
          </w:p>
        </w:tc>
        <w:tc>
          <w:tcPr>
            <w:tcW w:w="851" w:type="dxa"/>
            <w:vAlign w:val="center"/>
          </w:tcPr>
          <w:p>
            <w:pPr>
              <w:jc w:val="center"/>
              <w:rPr>
                <w:rFonts w:cs="宋体" w:asciiTheme="minorEastAsia" w:hAnsiTheme="minorEastAsia" w:eastAsiaTheme="minorEastAsia"/>
                <w:bCs/>
                <w:color w:val="auto"/>
                <w:kern w:val="0"/>
                <w:highlight w:val="none"/>
              </w:rPr>
            </w:pPr>
            <w:r>
              <w:rPr>
                <w:rFonts w:hint="eastAsia" w:cs="宋体" w:asciiTheme="minorEastAsia" w:hAnsiTheme="minorEastAsia" w:eastAsiaTheme="minorEastAsia"/>
                <w:bCs/>
                <w:color w:val="auto"/>
                <w:kern w:val="0"/>
                <w:highlight w:val="none"/>
              </w:rPr>
              <w:t>设备偏离</w:t>
            </w:r>
          </w:p>
        </w:tc>
        <w:tc>
          <w:tcPr>
            <w:tcW w:w="5652" w:type="dxa"/>
            <w:vAlign w:val="center"/>
          </w:tcPr>
          <w:p>
            <w:pPr>
              <w:widowControl/>
              <w:jc w:val="left"/>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采购需求相应符合性</w:t>
            </w:r>
            <w:r>
              <w:rPr>
                <w:rFonts w:asciiTheme="minorEastAsia" w:hAnsiTheme="minorEastAsia" w:eastAsiaTheme="minorEastAsia"/>
                <w:color w:val="auto"/>
                <w:highlight w:val="none"/>
              </w:rPr>
              <w:t>。</w:t>
            </w:r>
          </w:p>
          <w:p>
            <w:pPr>
              <w:widowControl/>
              <w:jc w:val="left"/>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完全满足招标文件技术参数配置要求供应情况得基本分</w:t>
            </w:r>
            <w:r>
              <w:rPr>
                <w:rFonts w:asciiTheme="minorEastAsia" w:hAnsiTheme="minorEastAsia" w:eastAsiaTheme="minorEastAsia"/>
                <w:color w:val="auto"/>
                <w:highlight w:val="none"/>
              </w:rPr>
              <w:t>24</w:t>
            </w:r>
            <w:r>
              <w:rPr>
                <w:rFonts w:hint="eastAsia" w:asciiTheme="minorEastAsia" w:hAnsiTheme="minorEastAsia" w:eastAsiaTheme="minorEastAsia"/>
                <w:color w:val="auto"/>
                <w:highlight w:val="none"/>
                <w:lang w:val="zh-CN"/>
              </w:rPr>
              <w:t>分，含“★”为</w:t>
            </w:r>
            <w:r>
              <w:rPr>
                <w:rFonts w:asciiTheme="minorEastAsia" w:hAnsiTheme="minorEastAsia" w:eastAsiaTheme="minorEastAsia"/>
                <w:color w:val="auto"/>
                <w:highlight w:val="none"/>
              </w:rPr>
              <w:t>重要</w:t>
            </w:r>
            <w:r>
              <w:rPr>
                <w:rFonts w:hint="eastAsia" w:asciiTheme="minorEastAsia" w:hAnsiTheme="minorEastAsia" w:eastAsiaTheme="minorEastAsia"/>
                <w:color w:val="auto"/>
                <w:highlight w:val="none"/>
                <w:lang w:val="zh-CN"/>
              </w:rPr>
              <w:t>技术指标出现负偏离每一项技术分扣3分,其他项每项扣1分,扣完为止。若发现有虚假应答的技术偏离表，则作为无效投标处理，并追究相应责任</w:t>
            </w:r>
            <w:r>
              <w:rPr>
                <w:rFonts w:asciiTheme="minorEastAsia" w:hAnsiTheme="minorEastAsia" w:eastAsiaTheme="minorEastAsia"/>
                <w:color w:val="auto"/>
                <w:highlight w:val="none"/>
              </w:rPr>
              <w:t>（0-24分）</w:t>
            </w:r>
            <w:r>
              <w:rPr>
                <w:rFonts w:hint="eastAsia" w:asciiTheme="minorEastAsia" w:hAnsiTheme="minorEastAsia" w:eastAsiaTheme="minorEastAsia"/>
                <w:color w:val="auto"/>
                <w:highlight w:val="none"/>
                <w:lang w:val="zh-CN"/>
              </w:rPr>
              <w:t>。</w:t>
            </w:r>
          </w:p>
        </w:tc>
        <w:tc>
          <w:tcPr>
            <w:tcW w:w="737" w:type="dxa"/>
            <w:vAlign w:val="center"/>
          </w:tcPr>
          <w:p>
            <w:pPr>
              <w:widowControl/>
              <w:jc w:val="center"/>
              <w:rPr>
                <w:rFonts w:cs="宋体" w:asciiTheme="minorEastAsia" w:hAnsiTheme="minorEastAsia" w:eastAsiaTheme="minorEastAsia"/>
                <w:bCs/>
                <w:color w:val="auto"/>
                <w:kern w:val="0"/>
                <w:highlight w:val="none"/>
              </w:rPr>
            </w:pPr>
            <w:r>
              <w:rPr>
                <w:rFonts w:cs="宋体" w:asciiTheme="minorEastAsia" w:hAnsiTheme="minorEastAsia" w:eastAsiaTheme="minorEastAsia"/>
                <w:bCs/>
                <w:color w:val="auto"/>
                <w:kern w:val="0"/>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10" w:type="dxa"/>
            <w:vMerge w:val="continue"/>
            <w:vAlign w:val="center"/>
          </w:tcPr>
          <w:p>
            <w:pPr>
              <w:jc w:val="center"/>
              <w:rPr>
                <w:rFonts w:asciiTheme="minorEastAsia" w:hAnsiTheme="minorEastAsia" w:eastAsiaTheme="minorEastAsia"/>
                <w:color w:val="auto"/>
                <w:szCs w:val="21"/>
                <w:highlight w:val="none"/>
              </w:rPr>
            </w:pPr>
          </w:p>
        </w:tc>
        <w:tc>
          <w:tcPr>
            <w:tcW w:w="609" w:type="dxa"/>
            <w:vMerge w:val="continue"/>
            <w:vAlign w:val="center"/>
          </w:tcPr>
          <w:p>
            <w:pPr>
              <w:jc w:val="center"/>
              <w:rPr>
                <w:rFonts w:asciiTheme="minorEastAsia" w:hAnsiTheme="minorEastAsia" w:eastAsiaTheme="minorEastAsia"/>
                <w:color w:val="auto"/>
                <w:szCs w:val="21"/>
                <w:highlight w:val="none"/>
              </w:rPr>
            </w:pPr>
          </w:p>
        </w:tc>
        <w:tc>
          <w:tcPr>
            <w:tcW w:w="851" w:type="dxa"/>
            <w:vMerge w:val="restart"/>
            <w:vAlign w:val="center"/>
          </w:tcPr>
          <w:p>
            <w:pPr>
              <w:widowControl/>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项目实施方案</w:t>
            </w:r>
          </w:p>
        </w:tc>
        <w:tc>
          <w:tcPr>
            <w:tcW w:w="5652" w:type="dxa"/>
            <w:vAlign w:val="center"/>
          </w:tcPr>
          <w:p>
            <w:pPr>
              <w:widowControl/>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由评标委员会根据以下几点综合比较后酌情打分。</w:t>
            </w:r>
          </w:p>
          <w:p>
            <w:pPr>
              <w:widowControl/>
              <w:rPr>
                <w:rFonts w:cs="宋体" w:asciiTheme="minorEastAsia" w:hAnsiTheme="minorEastAsia" w:eastAsiaTheme="minorEastAsia"/>
                <w:color w:val="auto"/>
                <w:kern w:val="0"/>
                <w:highlight w:val="none"/>
              </w:rPr>
            </w:pPr>
            <w:r>
              <w:rPr>
                <w:rFonts w:cs="宋体" w:asciiTheme="minorEastAsia" w:hAnsiTheme="minorEastAsia" w:eastAsiaTheme="minorEastAsia"/>
                <w:color w:val="auto"/>
                <w:kern w:val="0"/>
                <w:highlight w:val="none"/>
              </w:rPr>
              <w:t>1</w:t>
            </w:r>
            <w:r>
              <w:rPr>
                <w:rFonts w:hint="eastAsia" w:cs="宋体" w:asciiTheme="minorEastAsia" w:hAnsiTheme="minorEastAsia" w:eastAsiaTheme="minorEastAsia"/>
                <w:color w:val="auto"/>
                <w:kern w:val="0"/>
                <w:highlight w:val="none"/>
              </w:rPr>
              <w:t>、项目组人员组成，项目负责人具有高级工程师职称、一级建造师每具有一项得1分，最多得2分。投标文件中提供相关证书证明材料及社保证明</w:t>
            </w:r>
            <w:r>
              <w:rPr>
                <w:rFonts w:cs="宋体" w:asciiTheme="minorEastAsia" w:hAnsiTheme="minorEastAsia" w:eastAsiaTheme="minorEastAsia"/>
                <w:color w:val="auto"/>
                <w:kern w:val="0"/>
                <w:highlight w:val="none"/>
              </w:rPr>
              <w:t>，未提供的不得分。</w:t>
            </w:r>
            <w:r>
              <w:rPr>
                <w:rFonts w:hint="eastAsia" w:cs="宋体" w:asciiTheme="minorEastAsia" w:hAnsiTheme="minorEastAsia" w:eastAsiaTheme="minorEastAsia"/>
                <w:color w:val="auto"/>
                <w:kern w:val="0"/>
                <w:highlight w:val="none"/>
              </w:rPr>
              <w:t>（0-2分)</w:t>
            </w:r>
          </w:p>
          <w:p>
            <w:pPr>
              <w:widowControl/>
              <w:rPr>
                <w:rFonts w:cs="宋体" w:asciiTheme="minorEastAsia" w:hAnsiTheme="minorEastAsia" w:eastAsiaTheme="minorEastAsia"/>
                <w:color w:val="auto"/>
                <w:kern w:val="0"/>
                <w:highlight w:val="none"/>
              </w:rPr>
            </w:pPr>
            <w:r>
              <w:rPr>
                <w:rFonts w:cs="宋体" w:asciiTheme="minorEastAsia" w:hAnsiTheme="minorEastAsia" w:eastAsiaTheme="minorEastAsia"/>
                <w:color w:val="auto"/>
                <w:kern w:val="0"/>
                <w:highlight w:val="none"/>
              </w:rPr>
              <w:t>2</w:t>
            </w:r>
            <w:r>
              <w:rPr>
                <w:rFonts w:hint="eastAsia" w:cs="宋体" w:asciiTheme="minorEastAsia" w:hAnsiTheme="minorEastAsia" w:eastAsiaTheme="minorEastAsia"/>
                <w:color w:val="auto"/>
                <w:kern w:val="0"/>
                <w:highlight w:val="none"/>
              </w:rPr>
              <w:t>、项目实施方案的时效性、科学性、合理性，(0-</w:t>
            </w:r>
            <w:r>
              <w:rPr>
                <w:rFonts w:cs="宋体" w:asciiTheme="minorEastAsia" w:hAnsiTheme="minorEastAsia" w:eastAsiaTheme="minorEastAsia"/>
                <w:color w:val="auto"/>
                <w:kern w:val="0"/>
                <w:highlight w:val="none"/>
              </w:rPr>
              <w:t>2</w:t>
            </w:r>
            <w:r>
              <w:rPr>
                <w:rFonts w:hint="eastAsia" w:cs="宋体" w:asciiTheme="minorEastAsia" w:hAnsiTheme="minorEastAsia" w:eastAsiaTheme="minorEastAsia"/>
                <w:color w:val="auto"/>
                <w:kern w:val="0"/>
                <w:highlight w:val="none"/>
              </w:rPr>
              <w:t>分)</w:t>
            </w:r>
          </w:p>
        </w:tc>
        <w:tc>
          <w:tcPr>
            <w:tcW w:w="737" w:type="dxa"/>
            <w:vAlign w:val="center"/>
          </w:tcPr>
          <w:p>
            <w:pPr>
              <w:widowControl/>
              <w:jc w:val="center"/>
              <w:rPr>
                <w:rFonts w:cs="宋体" w:asciiTheme="minorEastAsia" w:hAnsiTheme="minorEastAsia" w:eastAsiaTheme="minorEastAsia"/>
                <w:bCs/>
                <w:color w:val="auto"/>
                <w:kern w:val="0"/>
                <w:highlight w:val="none"/>
              </w:rPr>
            </w:pPr>
            <w:r>
              <w:rPr>
                <w:rFonts w:cs="宋体" w:asciiTheme="minorEastAsia" w:hAnsiTheme="minorEastAsia" w:eastAsiaTheme="minorEastAsia"/>
                <w:bCs/>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610" w:type="dxa"/>
            <w:vMerge w:val="continue"/>
            <w:vAlign w:val="center"/>
          </w:tcPr>
          <w:p>
            <w:pPr>
              <w:jc w:val="center"/>
              <w:rPr>
                <w:rFonts w:asciiTheme="minorEastAsia" w:hAnsiTheme="minorEastAsia" w:eastAsiaTheme="minorEastAsia"/>
                <w:color w:val="auto"/>
                <w:szCs w:val="21"/>
                <w:highlight w:val="none"/>
              </w:rPr>
            </w:pPr>
          </w:p>
        </w:tc>
        <w:tc>
          <w:tcPr>
            <w:tcW w:w="609" w:type="dxa"/>
            <w:vMerge w:val="continue"/>
            <w:vAlign w:val="center"/>
          </w:tcPr>
          <w:p>
            <w:pPr>
              <w:jc w:val="center"/>
              <w:rPr>
                <w:rFonts w:asciiTheme="minorEastAsia" w:hAnsiTheme="minorEastAsia" w:eastAsiaTheme="minorEastAsia"/>
                <w:color w:val="auto"/>
                <w:szCs w:val="21"/>
                <w:highlight w:val="none"/>
              </w:rPr>
            </w:pPr>
          </w:p>
        </w:tc>
        <w:tc>
          <w:tcPr>
            <w:tcW w:w="851" w:type="dxa"/>
            <w:vMerge w:val="continue"/>
            <w:vAlign w:val="center"/>
          </w:tcPr>
          <w:p>
            <w:pPr>
              <w:widowControl/>
              <w:jc w:val="center"/>
              <w:rPr>
                <w:rFonts w:cs="宋体" w:asciiTheme="minorEastAsia" w:hAnsiTheme="minorEastAsia" w:eastAsiaTheme="minorEastAsia"/>
                <w:color w:val="auto"/>
                <w:kern w:val="0"/>
                <w:highlight w:val="none"/>
              </w:rPr>
            </w:pPr>
          </w:p>
        </w:tc>
        <w:tc>
          <w:tcPr>
            <w:tcW w:w="5652" w:type="dxa"/>
            <w:vAlign w:val="center"/>
          </w:tcPr>
          <w:p>
            <w:pPr>
              <w:widowControl/>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由评标委员会根据以下几点综合比较后酌情打分。</w:t>
            </w:r>
          </w:p>
          <w:p>
            <w:pPr>
              <w:widowControl/>
              <w:rPr>
                <w:rFonts w:cs="宋体" w:asciiTheme="minorEastAsia" w:hAnsiTheme="minorEastAsia" w:eastAsiaTheme="minorEastAsia"/>
                <w:color w:val="auto"/>
                <w:kern w:val="0"/>
                <w:highlight w:val="none"/>
              </w:rPr>
            </w:pPr>
            <w:r>
              <w:rPr>
                <w:rFonts w:ascii="Arial" w:hAnsi="Arial" w:cs="Arial"/>
                <w:color w:val="auto"/>
                <w:szCs w:val="21"/>
                <w:highlight w:val="none"/>
              </w:rPr>
              <w:t>因项目现场情况复杂，投标人应至项目现场踏勘并了解安装条件，在投标文件中提供现场情况资料。</w:t>
            </w:r>
            <w:r>
              <w:rPr>
                <w:rFonts w:hint="eastAsia" w:ascii="Arial" w:hAnsi="Arial" w:cs="Arial"/>
                <w:color w:val="auto"/>
                <w:szCs w:val="21"/>
                <w:highlight w:val="none"/>
              </w:rPr>
              <w:t>提供</w:t>
            </w:r>
            <w:r>
              <w:rPr>
                <w:rFonts w:ascii="Arial" w:hAnsi="Arial" w:cs="Arial"/>
                <w:color w:val="auto"/>
                <w:szCs w:val="21"/>
                <w:highlight w:val="none"/>
              </w:rPr>
              <w:t>针对</w:t>
            </w:r>
            <w:r>
              <w:rPr>
                <w:rFonts w:hint="eastAsia" w:ascii="Arial" w:hAnsi="Arial" w:cs="Arial"/>
                <w:color w:val="auto"/>
                <w:szCs w:val="21"/>
                <w:highlight w:val="none"/>
              </w:rPr>
              <w:t>本次项目渔港近岸渔船监视点位勘查报告</w:t>
            </w:r>
            <w:r>
              <w:rPr>
                <w:rFonts w:ascii="Arial" w:hAnsi="Arial" w:cs="Arial"/>
                <w:color w:val="auto"/>
                <w:szCs w:val="21"/>
                <w:highlight w:val="none"/>
              </w:rPr>
              <w:t>和</w:t>
            </w:r>
            <w:r>
              <w:rPr>
                <w:rFonts w:hint="eastAsia"/>
                <w:color w:val="auto"/>
                <w:szCs w:val="18"/>
                <w:highlight w:val="none"/>
              </w:rPr>
              <w:t>现场CAD图纸</w:t>
            </w:r>
            <w:r>
              <w:rPr>
                <w:color w:val="auto"/>
                <w:szCs w:val="18"/>
                <w:highlight w:val="none"/>
              </w:rPr>
              <w:t>（0-9分）</w:t>
            </w:r>
            <w:r>
              <w:rPr>
                <w:rFonts w:ascii="Arial" w:hAnsi="Arial" w:cs="Arial"/>
                <w:color w:val="auto"/>
                <w:szCs w:val="21"/>
                <w:highlight w:val="none"/>
              </w:rPr>
              <w:t>，</w:t>
            </w:r>
            <w:r>
              <w:rPr>
                <w:rFonts w:hint="eastAsia" w:cs="宋体" w:asciiTheme="minorEastAsia" w:hAnsiTheme="minorEastAsia" w:eastAsiaTheme="minorEastAsia"/>
                <w:bCs/>
                <w:color w:val="auto"/>
                <w:kern w:val="0"/>
                <w:highlight w:val="none"/>
              </w:rPr>
              <w:t>一档</w:t>
            </w:r>
            <w:r>
              <w:rPr>
                <w:rFonts w:cs="宋体" w:asciiTheme="minorEastAsia" w:hAnsiTheme="minorEastAsia" w:eastAsiaTheme="minorEastAsia"/>
                <w:bCs/>
                <w:color w:val="auto"/>
                <w:kern w:val="0"/>
                <w:highlight w:val="none"/>
              </w:rPr>
              <w:t>7</w:t>
            </w:r>
            <w:r>
              <w:rPr>
                <w:rFonts w:hint="eastAsia" w:cs="宋体" w:asciiTheme="minorEastAsia" w:hAnsiTheme="minorEastAsia" w:eastAsiaTheme="minorEastAsia"/>
                <w:bCs/>
                <w:color w:val="auto"/>
                <w:kern w:val="0"/>
                <w:highlight w:val="none"/>
              </w:rPr>
              <w:t>-</w:t>
            </w:r>
            <w:r>
              <w:rPr>
                <w:rFonts w:cs="宋体" w:asciiTheme="minorEastAsia" w:hAnsiTheme="minorEastAsia" w:eastAsiaTheme="minorEastAsia"/>
                <w:bCs/>
                <w:color w:val="auto"/>
                <w:kern w:val="0"/>
                <w:highlight w:val="none"/>
              </w:rPr>
              <w:t>9</w:t>
            </w:r>
            <w:r>
              <w:rPr>
                <w:rFonts w:hint="eastAsia" w:cs="宋体" w:asciiTheme="minorEastAsia" w:hAnsiTheme="minorEastAsia" w:eastAsiaTheme="minorEastAsia"/>
                <w:bCs/>
                <w:color w:val="auto"/>
                <w:kern w:val="0"/>
                <w:highlight w:val="none"/>
              </w:rPr>
              <w:t>分，二档</w:t>
            </w:r>
            <w:r>
              <w:rPr>
                <w:rFonts w:cs="宋体" w:asciiTheme="minorEastAsia" w:hAnsiTheme="minorEastAsia" w:eastAsiaTheme="minorEastAsia"/>
                <w:bCs/>
                <w:color w:val="auto"/>
                <w:kern w:val="0"/>
                <w:highlight w:val="none"/>
              </w:rPr>
              <w:t>3</w:t>
            </w:r>
            <w:r>
              <w:rPr>
                <w:rFonts w:hint="eastAsia" w:cs="宋体" w:asciiTheme="minorEastAsia" w:hAnsiTheme="minorEastAsia" w:eastAsiaTheme="minorEastAsia"/>
                <w:bCs/>
                <w:color w:val="auto"/>
                <w:kern w:val="0"/>
                <w:highlight w:val="none"/>
              </w:rPr>
              <w:t>-</w:t>
            </w:r>
            <w:r>
              <w:rPr>
                <w:rFonts w:cs="宋体" w:asciiTheme="minorEastAsia" w:hAnsiTheme="minorEastAsia" w:eastAsiaTheme="minorEastAsia"/>
                <w:bCs/>
                <w:color w:val="auto"/>
                <w:kern w:val="0"/>
                <w:highlight w:val="none"/>
              </w:rPr>
              <w:t>6</w:t>
            </w:r>
            <w:r>
              <w:rPr>
                <w:rFonts w:hint="eastAsia" w:cs="宋体" w:asciiTheme="minorEastAsia" w:hAnsiTheme="minorEastAsia" w:eastAsiaTheme="minorEastAsia"/>
                <w:bCs/>
                <w:color w:val="auto"/>
                <w:kern w:val="0"/>
                <w:highlight w:val="none"/>
              </w:rPr>
              <w:t>分，三档0-</w:t>
            </w:r>
            <w:r>
              <w:rPr>
                <w:rFonts w:cs="宋体" w:asciiTheme="minorEastAsia" w:hAnsiTheme="minorEastAsia" w:eastAsiaTheme="minorEastAsia"/>
                <w:bCs/>
                <w:color w:val="auto"/>
                <w:kern w:val="0"/>
                <w:highlight w:val="none"/>
              </w:rPr>
              <w:t>2</w:t>
            </w:r>
            <w:r>
              <w:rPr>
                <w:rFonts w:hint="eastAsia" w:cs="宋体" w:asciiTheme="minorEastAsia" w:hAnsiTheme="minorEastAsia" w:eastAsiaTheme="minorEastAsia"/>
                <w:bCs/>
                <w:color w:val="auto"/>
                <w:kern w:val="0"/>
                <w:highlight w:val="none"/>
              </w:rPr>
              <w:t>分。</w:t>
            </w:r>
            <w:r>
              <w:rPr>
                <w:rFonts w:ascii="Arial" w:hAnsi="Arial" w:cs="Arial"/>
                <w:color w:val="auto"/>
                <w:szCs w:val="21"/>
                <w:highlight w:val="none"/>
              </w:rPr>
              <w:t>未提供相关现场资料的不得分。</w:t>
            </w:r>
          </w:p>
          <w:p>
            <w:pPr>
              <w:widowControl/>
              <w:rPr>
                <w:rFonts w:ascii="Arial" w:hAnsi="Arial" w:cs="Arial"/>
                <w:color w:val="auto"/>
                <w:szCs w:val="21"/>
                <w:highlight w:val="none"/>
              </w:rPr>
            </w:pPr>
            <w:r>
              <w:rPr>
                <w:rFonts w:hint="eastAsia" w:ascii="Arial" w:hAnsi="Arial" w:cs="Arial"/>
                <w:color w:val="auto"/>
                <w:szCs w:val="21"/>
                <w:highlight w:val="none"/>
              </w:rPr>
              <w:t>踏勘现场投标人自行组织</w:t>
            </w:r>
            <w:r>
              <w:rPr>
                <w:rFonts w:ascii="Arial" w:hAnsi="Arial" w:cs="Arial"/>
                <w:color w:val="auto"/>
                <w:szCs w:val="21"/>
                <w:highlight w:val="none"/>
              </w:rPr>
              <w:t>，</w:t>
            </w:r>
            <w:r>
              <w:rPr>
                <w:rFonts w:hint="eastAsia" w:ascii="Arial" w:hAnsi="Arial" w:cs="Arial"/>
                <w:color w:val="auto"/>
                <w:szCs w:val="21"/>
                <w:highlight w:val="none"/>
              </w:rPr>
              <w:t>费用自理 。</w:t>
            </w:r>
          </w:p>
        </w:tc>
        <w:tc>
          <w:tcPr>
            <w:tcW w:w="737" w:type="dxa"/>
            <w:vAlign w:val="center"/>
          </w:tcPr>
          <w:p>
            <w:pPr>
              <w:widowControl/>
              <w:jc w:val="center"/>
              <w:rPr>
                <w:rFonts w:cs="宋体" w:asciiTheme="minorEastAsia" w:hAnsiTheme="minorEastAsia" w:eastAsiaTheme="minorEastAsia"/>
                <w:bCs/>
                <w:color w:val="auto"/>
                <w:kern w:val="0"/>
                <w:highlight w:val="none"/>
              </w:rPr>
            </w:pPr>
            <w:r>
              <w:rPr>
                <w:rFonts w:cs="宋体" w:asciiTheme="minorEastAsia" w:hAnsiTheme="minorEastAsia" w:eastAsiaTheme="minorEastAsia"/>
                <w:bCs/>
                <w:color w:val="auto"/>
                <w:kern w:val="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10" w:type="dxa"/>
            <w:vMerge w:val="continue"/>
            <w:vAlign w:val="center"/>
          </w:tcPr>
          <w:p>
            <w:pPr>
              <w:jc w:val="center"/>
              <w:rPr>
                <w:rFonts w:asciiTheme="minorEastAsia" w:hAnsiTheme="minorEastAsia" w:eastAsiaTheme="minorEastAsia"/>
                <w:color w:val="auto"/>
                <w:szCs w:val="21"/>
                <w:highlight w:val="none"/>
              </w:rPr>
            </w:pPr>
          </w:p>
        </w:tc>
        <w:tc>
          <w:tcPr>
            <w:tcW w:w="609" w:type="dxa"/>
            <w:vMerge w:val="continue"/>
            <w:vAlign w:val="center"/>
          </w:tcPr>
          <w:p>
            <w:pPr>
              <w:jc w:val="center"/>
              <w:rPr>
                <w:rFonts w:asciiTheme="minorEastAsia" w:hAnsiTheme="minorEastAsia" w:eastAsiaTheme="minorEastAsia"/>
                <w:color w:val="auto"/>
                <w:szCs w:val="21"/>
                <w:highlight w:val="none"/>
              </w:rPr>
            </w:pPr>
          </w:p>
        </w:tc>
        <w:tc>
          <w:tcPr>
            <w:tcW w:w="851" w:type="dxa"/>
            <w:vAlign w:val="center"/>
          </w:tcPr>
          <w:p>
            <w:pPr>
              <w:widowControl/>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售后服务</w:t>
            </w:r>
          </w:p>
        </w:tc>
        <w:tc>
          <w:tcPr>
            <w:tcW w:w="5652" w:type="dxa"/>
            <w:vAlign w:val="center"/>
          </w:tcPr>
          <w:p>
            <w:pPr>
              <w:widowControl/>
              <w:rPr>
                <w:color w:val="auto"/>
                <w:highlight w:val="none"/>
              </w:rPr>
            </w:pPr>
            <w:r>
              <w:rPr>
                <w:rFonts w:hint="eastAsia"/>
                <w:color w:val="auto"/>
                <w:highlight w:val="none"/>
              </w:rPr>
              <w:t>由评标委员会根据以下几点综合比较后酌情打分。</w:t>
            </w:r>
          </w:p>
          <w:p>
            <w:pPr>
              <w:widowControl/>
              <w:rPr>
                <w:color w:val="auto"/>
                <w:highlight w:val="none"/>
              </w:rPr>
            </w:pPr>
            <w:r>
              <w:rPr>
                <w:rFonts w:hint="eastAsia"/>
                <w:color w:val="auto"/>
                <w:highlight w:val="none"/>
              </w:rPr>
              <w:t>1、技术服务内容明确、详实，培训方案完整、可行、有效</w:t>
            </w:r>
            <w:r>
              <w:rPr>
                <w:color w:val="auto"/>
                <w:highlight w:val="none"/>
              </w:rPr>
              <w:t>。</w:t>
            </w:r>
            <w:r>
              <w:rPr>
                <w:rFonts w:hint="eastAsia"/>
                <w:color w:val="auto"/>
                <w:highlight w:val="none"/>
              </w:rPr>
              <w:t>(0-1分)</w:t>
            </w:r>
          </w:p>
          <w:p>
            <w:pPr>
              <w:widowControl/>
              <w:rPr>
                <w:color w:val="auto"/>
                <w:highlight w:val="none"/>
              </w:rPr>
            </w:pPr>
            <w:r>
              <w:rPr>
                <w:rFonts w:hint="eastAsia"/>
                <w:color w:val="auto"/>
                <w:highlight w:val="none"/>
                <w:lang w:val="en-US" w:eastAsia="zh-CN"/>
              </w:rPr>
              <w:t>2</w:t>
            </w:r>
            <w:r>
              <w:rPr>
                <w:rFonts w:hint="eastAsia"/>
                <w:color w:val="auto"/>
                <w:highlight w:val="none"/>
              </w:rPr>
              <w:t>、本地化服务网点。投标人注册地在台州市内得5分；外地公司在台州市内有分公司得3分；外地公司在台州市内设置办公地的得1分；（根据提交的营业执照、租赁合同等材料评分）</w:t>
            </w:r>
          </w:p>
        </w:tc>
        <w:tc>
          <w:tcPr>
            <w:tcW w:w="737" w:type="dxa"/>
            <w:vAlign w:val="center"/>
          </w:tcPr>
          <w:p>
            <w:pPr>
              <w:widowControl/>
              <w:jc w:val="center"/>
              <w:rPr>
                <w:rFonts w:cs="宋体" w:asciiTheme="minorEastAsia" w:hAnsiTheme="minorEastAsia" w:eastAsiaTheme="minorEastAsia"/>
                <w:bCs/>
                <w:color w:val="auto"/>
                <w:kern w:val="0"/>
                <w:highlight w:val="none"/>
              </w:rPr>
            </w:pPr>
            <w:r>
              <w:rPr>
                <w:rFonts w:hint="eastAsia" w:cs="宋体" w:asciiTheme="minorEastAsia" w:hAnsiTheme="minorEastAsia" w:eastAsiaTheme="minorEastAsia"/>
                <w:bCs/>
                <w:color w:val="auto"/>
                <w:kern w:val="0"/>
                <w:highlight w:val="none"/>
              </w:rPr>
              <w:t>6</w:t>
            </w:r>
          </w:p>
        </w:tc>
      </w:tr>
    </w:tbl>
    <w:p>
      <w:pPr>
        <w:numPr>
          <w:ilvl w:val="0"/>
          <w:numId w:val="4"/>
        </w:numPr>
        <w:spacing w:line="360" w:lineRule="auto"/>
        <w:jc w:val="center"/>
        <w:rPr>
          <w:rFonts w:asciiTheme="minorEastAsia" w:hAnsiTheme="minorEastAsia" w:eastAsiaTheme="minorEastAsia"/>
          <w:b/>
          <w:color w:val="auto"/>
          <w:sz w:val="36"/>
          <w:szCs w:val="36"/>
          <w:highlight w:val="none"/>
        </w:rPr>
      </w:pPr>
      <w:r>
        <w:rPr>
          <w:rFonts w:asciiTheme="minorEastAsia" w:hAnsiTheme="minorEastAsia" w:eastAsiaTheme="minorEastAsia"/>
          <w:color w:val="auto"/>
          <w:kern w:val="0"/>
          <w:sz w:val="24"/>
          <w:highlight w:val="none"/>
        </w:rPr>
        <w:br w:type="page"/>
      </w: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具体内容如下表：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03"/>
        <w:gridCol w:w="2409"/>
        <w:gridCol w:w="426"/>
        <w:gridCol w:w="619"/>
        <w:gridCol w:w="798"/>
        <w:gridCol w:w="851"/>
        <w:gridCol w:w="1073"/>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465"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203"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2409" w:type="dxa"/>
            <w:vAlign w:val="center"/>
          </w:tcPr>
          <w:p>
            <w:pPr>
              <w:tabs>
                <w:tab w:val="left" w:pos="8280"/>
              </w:tabs>
              <w:autoSpaceDE w:val="0"/>
              <w:autoSpaceDN w:val="0"/>
              <w:adjustRightInd w:val="0"/>
              <w:spacing w:line="360" w:lineRule="auto"/>
              <w:rPr>
                <w:rFonts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426"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619"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798"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51"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最高限价（万元）</w:t>
            </w:r>
          </w:p>
        </w:tc>
        <w:tc>
          <w:tcPr>
            <w:tcW w:w="1073"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tc>
        <w:tc>
          <w:tcPr>
            <w:tcW w:w="678" w:type="dxa"/>
            <w:vAlign w:val="center"/>
          </w:tcPr>
          <w:p>
            <w:pPr>
              <w:tabs>
                <w:tab w:val="left" w:pos="8280"/>
              </w:tabs>
              <w:autoSpaceDE w:val="0"/>
              <w:autoSpaceDN w:val="0"/>
              <w:adjustRightIn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465"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203" w:type="dxa"/>
            <w:vAlign w:val="center"/>
          </w:tcPr>
          <w:p>
            <w:pPr>
              <w:widowControl/>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玉环市渔业应急指挥平台渔船近岸动态监管视频系统</w:t>
            </w:r>
          </w:p>
          <w:p>
            <w:pPr>
              <w:tabs>
                <w:tab w:val="left" w:pos="8280"/>
              </w:tabs>
              <w:autoSpaceDE w:val="0"/>
              <w:autoSpaceDN w:val="0"/>
              <w:adjustRightInd w:val="0"/>
              <w:ind w:right="25"/>
              <w:rPr>
                <w:rFonts w:asciiTheme="minorEastAsia" w:hAnsiTheme="minorEastAsia" w:eastAsiaTheme="minorEastAsia"/>
                <w:color w:val="auto"/>
                <w:sz w:val="24"/>
                <w:highlight w:val="none"/>
              </w:rPr>
            </w:pPr>
          </w:p>
        </w:tc>
        <w:tc>
          <w:tcPr>
            <w:tcW w:w="2409" w:type="dxa"/>
            <w:vAlign w:val="center"/>
          </w:tcPr>
          <w:p>
            <w:pPr>
              <w:widowControl/>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玉环市渔业应急指挥平台渔船近岸动态监管视频系统项目包括大麦屿、坎门、栈台、灵门、乌岩、黄门、灯塔、鸡山8个渔港、船舶集中停靠点、航道、港池、锚地、停泊区、防波堤、出入口等重点区域监控站点建设。并利用无人机和现场调查相结合，采集加工渔港空中全景信息，以提升我市渔港现代化、信息化管理水平，强化我市应对突发渔业生产安全事件风险分析与精细化管理能力。</w:t>
            </w:r>
          </w:p>
        </w:tc>
        <w:tc>
          <w:tcPr>
            <w:tcW w:w="426" w:type="dxa"/>
            <w:vAlign w:val="center"/>
          </w:tcPr>
          <w:p>
            <w:pPr>
              <w:tabs>
                <w:tab w:val="left" w:pos="8280"/>
              </w:tabs>
              <w:autoSpaceDE w:val="0"/>
              <w:autoSpaceDN w:val="0"/>
              <w:adjustRightInd w:val="0"/>
              <w:ind w:right="25"/>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19" w:type="dxa"/>
            <w:vAlign w:val="center"/>
          </w:tcPr>
          <w:p>
            <w:pPr>
              <w:tabs>
                <w:tab w:val="left" w:pos="8280"/>
              </w:tabs>
              <w:autoSpaceDE w:val="0"/>
              <w:autoSpaceDN w:val="0"/>
              <w:adjustRightInd w:val="0"/>
              <w:ind w:right="25"/>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798" w:type="dxa"/>
            <w:vAlign w:val="center"/>
          </w:tcPr>
          <w:p>
            <w:pPr>
              <w:tabs>
                <w:tab w:val="left" w:pos="8280"/>
              </w:tabs>
              <w:autoSpaceDE w:val="0"/>
              <w:autoSpaceDN w:val="0"/>
              <w:adjustRightInd w:val="0"/>
              <w:ind w:right="25"/>
              <w:jc w:val="righ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320</w:t>
            </w:r>
          </w:p>
        </w:tc>
        <w:tc>
          <w:tcPr>
            <w:tcW w:w="851" w:type="dxa"/>
            <w:vAlign w:val="center"/>
          </w:tcPr>
          <w:p>
            <w:pPr>
              <w:tabs>
                <w:tab w:val="left" w:pos="8280"/>
              </w:tabs>
              <w:autoSpaceDE w:val="0"/>
              <w:autoSpaceDN w:val="0"/>
              <w:adjustRightInd w:val="0"/>
              <w:ind w:right="25"/>
              <w:jc w:val="righ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320</w:t>
            </w:r>
          </w:p>
        </w:tc>
        <w:tc>
          <w:tcPr>
            <w:tcW w:w="1073" w:type="dxa"/>
            <w:vAlign w:val="center"/>
          </w:tcPr>
          <w:p>
            <w:pPr>
              <w:tabs>
                <w:tab w:val="left" w:pos="8280"/>
              </w:tabs>
              <w:autoSpaceDE w:val="0"/>
              <w:autoSpaceDN w:val="0"/>
              <w:adjustRightInd w:val="0"/>
              <w:ind w:right="14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合同签订后</w:t>
            </w:r>
            <w:r>
              <w:rPr>
                <w:rFonts w:asciiTheme="minorEastAsia" w:hAnsiTheme="minorEastAsia" w:eastAsiaTheme="minorEastAsia"/>
                <w:color w:val="auto"/>
                <w:sz w:val="24"/>
                <w:highlight w:val="none"/>
              </w:rPr>
              <w:t>120</w:t>
            </w:r>
            <w:r>
              <w:rPr>
                <w:rFonts w:hint="eastAsia" w:asciiTheme="minorEastAsia" w:hAnsiTheme="minorEastAsia" w:eastAsiaTheme="minorEastAsia"/>
                <w:color w:val="auto"/>
                <w:sz w:val="24"/>
                <w:highlight w:val="none"/>
              </w:rPr>
              <w:t>天内</w:t>
            </w:r>
          </w:p>
        </w:tc>
        <w:tc>
          <w:tcPr>
            <w:tcW w:w="678" w:type="dxa"/>
            <w:vAlign w:val="center"/>
          </w:tcPr>
          <w:p>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用户指定</w:t>
            </w:r>
          </w:p>
        </w:tc>
      </w:tr>
    </w:tbl>
    <w:p>
      <w:pP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二、技术需求</w:t>
      </w:r>
    </w:p>
    <w:p>
      <w:pPr>
        <w:numPr>
          <w:ilvl w:val="0"/>
          <w:numId w:val="9"/>
        </w:numPr>
        <w:tabs>
          <w:tab w:val="left" w:pos="8280"/>
        </w:tabs>
        <w:autoSpaceDE w:val="0"/>
        <w:autoSpaceDN w:val="0"/>
        <w:adjustRightInd w:val="0"/>
        <w:spacing w:line="360" w:lineRule="auto"/>
        <w:ind w:right="25" w:firstLine="0"/>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项目概况及总体要求</w:t>
      </w:r>
    </w:p>
    <w:p>
      <w:pPr>
        <w:tabs>
          <w:tab w:val="left" w:pos="8280"/>
        </w:tabs>
        <w:autoSpaceDE w:val="0"/>
        <w:autoSpaceDN w:val="0"/>
        <w:adjustRightInd w:val="0"/>
        <w:spacing w:line="360" w:lineRule="auto"/>
        <w:ind w:right="25" w:firstLine="480" w:firstLineChars="200"/>
        <w:rPr>
          <w:rFonts w:ascii="宋体"/>
          <w:color w:val="auto"/>
          <w:sz w:val="24"/>
          <w:highlight w:val="none"/>
        </w:rPr>
      </w:pPr>
      <w:r>
        <w:rPr>
          <w:rFonts w:ascii="宋体"/>
          <w:color w:val="auto"/>
          <w:sz w:val="24"/>
          <w:highlight w:val="none"/>
        </w:rPr>
        <w:t>玉环玉环渔港岙口众多，分布散，一直存在巡查效率低，监管部门的工作难度大的情况。为满足“一打三整治”“伏休季保卫战”监管要求，为</w:t>
      </w:r>
      <w:r>
        <w:rPr>
          <w:rFonts w:asciiTheme="minorEastAsia" w:hAnsiTheme="minorEastAsia" w:eastAsiaTheme="minorEastAsia"/>
          <w:color w:val="auto"/>
          <w:sz w:val="24"/>
          <w:highlight w:val="none"/>
        </w:rPr>
        <w:t>提升台风极端天气下的渔港应急管理水平，保障渔民生命财产安全。</w:t>
      </w:r>
      <w:r>
        <w:rPr>
          <w:rFonts w:ascii="宋体"/>
          <w:color w:val="auto"/>
          <w:sz w:val="24"/>
          <w:highlight w:val="none"/>
          <w:lang w:val="zh-CN"/>
        </w:rPr>
        <w:t>根据</w:t>
      </w:r>
      <w:r>
        <w:rPr>
          <w:rFonts w:hint="eastAsia" w:ascii="宋体"/>
          <w:color w:val="auto"/>
          <w:sz w:val="24"/>
          <w:highlight w:val="none"/>
        </w:rPr>
        <w:t>《台州市渔业船舶领域安全生产综合整治治理三年行动计划》文件精神，推进渔船动态管理信息化建设,以实施“数字渔业”工程为契机，全面推进渔船执法检查、安全监管信息化建设，完成北斗船位监控系统功能升级改造，完善渔港监控设施设备，提升渔船执法监管时空覆盖率，实现渔船实时动态监管。</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建设坎门、</w:t>
      </w:r>
      <w:r>
        <w:rPr>
          <w:rFonts w:hint="eastAsia" w:asciiTheme="minorEastAsia" w:hAnsiTheme="minorEastAsia" w:eastAsiaTheme="minorEastAsia"/>
          <w:color w:val="auto"/>
          <w:sz w:val="24"/>
          <w:highlight w:val="none"/>
        </w:rPr>
        <w:t>大麦屿、栈台、灵门、乌岩、黄门、灯塔、鸡山8个渔港、船舶集中停靠点、航道、港池、锚地、停泊区、防波堤、出入口等重点区域15个监控站点建设</w:t>
      </w:r>
      <w:r>
        <w:rPr>
          <w:rFonts w:asciiTheme="minorEastAsia" w:hAnsiTheme="minorEastAsia" w:eastAsiaTheme="minorEastAsia"/>
          <w:color w:val="auto"/>
          <w:sz w:val="24"/>
          <w:highlight w:val="none"/>
        </w:rPr>
        <w:t>高精度球型转台。</w:t>
      </w:r>
      <w:r>
        <w:rPr>
          <w:rFonts w:hint="eastAsia" w:asciiTheme="minorEastAsia" w:hAnsiTheme="minorEastAsia" w:eastAsiaTheme="minorEastAsia"/>
          <w:color w:val="auto"/>
          <w:sz w:val="24"/>
          <w:highlight w:val="none"/>
        </w:rPr>
        <w:t>通过市、镇、村三级监控联网，实现信息共享、管理互动，达到对重点渔港、渔船重点停泊点的渔船24小时、360度全方位监管，规范了渔船进出港管理和伏季休渔秩序，同时防范渔船在休渔期擅自出海作业。</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对局原有视频监控平台进行升级改造</w:t>
      </w:r>
      <w:r>
        <w:rPr>
          <w:rFonts w:asciiTheme="minorEastAsia" w:hAnsiTheme="minorEastAsia" w:eastAsiaTheme="minorEastAsia"/>
          <w:color w:val="auto"/>
          <w:sz w:val="24"/>
          <w:highlight w:val="none"/>
        </w:rPr>
        <w:t>，开发</w:t>
      </w:r>
      <w:r>
        <w:rPr>
          <w:rFonts w:hint="eastAsia" w:asciiTheme="minorEastAsia" w:hAnsiTheme="minorEastAsia" w:eastAsiaTheme="minorEastAsia"/>
          <w:color w:val="auto"/>
          <w:sz w:val="24"/>
          <w:highlight w:val="none"/>
        </w:rPr>
        <w:t>渔船近岸动态监管</w:t>
      </w:r>
      <w:r>
        <w:rPr>
          <w:rFonts w:asciiTheme="minorEastAsia" w:hAnsiTheme="minorEastAsia" w:eastAsiaTheme="minorEastAsia"/>
          <w:color w:val="auto"/>
          <w:sz w:val="24"/>
          <w:highlight w:val="none"/>
        </w:rPr>
        <w:t>移动</w:t>
      </w:r>
      <w:r>
        <w:rPr>
          <w:rFonts w:hint="eastAsia" w:asciiTheme="minorEastAsia" w:hAnsiTheme="minorEastAsia" w:eastAsiaTheme="minorEastAsia"/>
          <w:color w:val="auto"/>
          <w:sz w:val="24"/>
          <w:highlight w:val="none"/>
        </w:rPr>
        <w:t>视频</w:t>
      </w:r>
      <w:r>
        <w:rPr>
          <w:rFonts w:asciiTheme="minorEastAsia" w:hAnsiTheme="minorEastAsia" w:eastAsiaTheme="minorEastAsia"/>
          <w:color w:val="auto"/>
          <w:sz w:val="24"/>
          <w:highlight w:val="none"/>
        </w:rPr>
        <w:t>调度</w:t>
      </w:r>
      <w:r>
        <w:rPr>
          <w:rFonts w:hint="eastAsia" w:asciiTheme="minorEastAsia" w:hAnsiTheme="minorEastAsia" w:eastAsiaTheme="minorEastAsia"/>
          <w:color w:val="auto"/>
          <w:sz w:val="24"/>
          <w:highlight w:val="none"/>
        </w:rPr>
        <w:t>系统。利用无人机和现场调查相结合，采集加工渔港空中全景信息，以提升我市渔港现代化、信息化管理水平，强化我市应对突发</w:t>
      </w:r>
      <w:r>
        <w:rPr>
          <w:rFonts w:asciiTheme="minorEastAsia" w:hAnsiTheme="minorEastAsia" w:eastAsiaTheme="minorEastAsia"/>
          <w:color w:val="auto"/>
          <w:sz w:val="24"/>
          <w:highlight w:val="none"/>
        </w:rPr>
        <w:t>渔业生产安全</w:t>
      </w:r>
      <w:r>
        <w:rPr>
          <w:rFonts w:hint="eastAsia" w:asciiTheme="minorEastAsia" w:hAnsiTheme="minorEastAsia" w:eastAsiaTheme="minorEastAsia"/>
          <w:color w:val="auto"/>
          <w:sz w:val="24"/>
          <w:highlight w:val="none"/>
        </w:rPr>
        <w:t>事件风险分析与精细化管理能力。</w:t>
      </w:r>
    </w:p>
    <w:p>
      <w:pPr>
        <w:numPr>
          <w:ilvl w:val="0"/>
          <w:numId w:val="9"/>
        </w:numPr>
        <w:tabs>
          <w:tab w:val="left" w:pos="8280"/>
        </w:tabs>
        <w:autoSpaceDE w:val="0"/>
        <w:autoSpaceDN w:val="0"/>
        <w:adjustRightInd w:val="0"/>
        <w:spacing w:line="360" w:lineRule="auto"/>
        <w:ind w:right="25" w:firstLine="0"/>
        <w:rPr>
          <w:rFonts w:cs="微软雅黑" w:asciiTheme="minorEastAsia" w:hAnsiTheme="minorEastAsia" w:eastAsiaTheme="minorEastAsia"/>
          <w:b/>
          <w:color w:val="auto"/>
          <w:sz w:val="24"/>
          <w:highlight w:val="none"/>
        </w:rPr>
      </w:pPr>
      <w:r>
        <w:rPr>
          <w:rFonts w:cs="微软雅黑" w:asciiTheme="minorEastAsia" w:hAnsiTheme="minorEastAsia" w:eastAsiaTheme="minorEastAsia"/>
          <w:b/>
          <w:color w:val="auto"/>
          <w:sz w:val="24"/>
          <w:highlight w:val="none"/>
        </w:rPr>
        <w:t>前端监控站点</w:t>
      </w:r>
      <w:r>
        <w:rPr>
          <w:rFonts w:hint="eastAsia" w:cs="微软雅黑" w:asciiTheme="minorEastAsia" w:hAnsiTheme="minorEastAsia" w:eastAsiaTheme="minorEastAsia"/>
          <w:b/>
          <w:color w:val="auto"/>
          <w:sz w:val="24"/>
          <w:highlight w:val="none"/>
        </w:rPr>
        <w:t>点位表要求</w:t>
      </w:r>
    </w:p>
    <w:p>
      <w:pPr>
        <w:spacing w:line="440" w:lineRule="exact"/>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根据前期调研本次项目前端摄像机安装共计</w:t>
      </w:r>
      <w:r>
        <w:rPr>
          <w:rFonts w:ascii="宋体" w:hAnsi="宋体" w:cs="宋体"/>
          <w:color w:val="auto"/>
          <w:sz w:val="24"/>
          <w:highlight w:val="none"/>
        </w:rPr>
        <w:t>15</w:t>
      </w:r>
      <w:r>
        <w:rPr>
          <w:rFonts w:hint="eastAsia" w:ascii="宋体" w:hAnsi="宋体" w:cs="宋体"/>
          <w:color w:val="auto"/>
          <w:sz w:val="24"/>
          <w:highlight w:val="none"/>
        </w:rPr>
        <w:t>个，投标人负责所有设备的设计、安装、调试等，含政府部门的相关审批手续、基础开挖、立杆、破路、取电、防雷接地、各点之间的网络连接以及到监控中心机房的光纤链路等。具体需求表如下：</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351"/>
        <w:gridCol w:w="392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1351" w:type="dxa"/>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点位</w:t>
            </w:r>
          </w:p>
        </w:tc>
        <w:tc>
          <w:tcPr>
            <w:tcW w:w="3929" w:type="dxa"/>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安装位置</w:t>
            </w:r>
          </w:p>
        </w:tc>
        <w:tc>
          <w:tcPr>
            <w:tcW w:w="2239" w:type="dxa"/>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restart"/>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灵门</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灵门村堤坝东海阁海鲜码头大排档旁边</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激光超星光球机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灵门村海鲜排挡大坝东</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灵门村大坝西</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激光超星光球机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restart"/>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乌岩</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乌岩村防洪坝边上拐角</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宋体" w:hAnsi="宋体" w:cs="宋体"/>
                <w:bCs/>
                <w:color w:val="auto"/>
                <w:kern w:val="0"/>
                <w:szCs w:val="21"/>
                <w:highlight w:val="none"/>
              </w:rPr>
              <w:t>乌岩村防洪坝边上拐角</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激光超星光球机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restart"/>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鸡山</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鸡山消防体验馆顶楼</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激光超星光球机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鸡山北山村部顶楼</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大麦屿</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大麦屿寺庙后教堂顶楼</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超高精度球形转台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栈台</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栈台飞环阀门顶楼</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黄门</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中元铁路配件有限公司</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restart"/>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灯塔</w:t>
            </w: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灯塔社区顶楼</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kern w:val="0"/>
                <w:szCs w:val="21"/>
                <w:highlight w:val="none"/>
              </w:rPr>
              <w:t>对面油库</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激光超星光球机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restart"/>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坎门</w:t>
            </w:r>
          </w:p>
        </w:tc>
        <w:tc>
          <w:tcPr>
            <w:tcW w:w="3929" w:type="dxa"/>
            <w:vAlign w:val="center"/>
          </w:tcPr>
          <w:p>
            <w:pPr>
              <w:rPr>
                <w:rFonts w:asciiTheme="majorEastAsia" w:hAnsiTheme="majorEastAsia" w:eastAsiaTheme="majorEastAsia" w:cstheme="majorEastAsia"/>
                <w:bCs/>
                <w:color w:val="auto"/>
                <w:kern w:val="0"/>
                <w:szCs w:val="21"/>
                <w:highlight w:val="none"/>
              </w:rPr>
            </w:pPr>
            <w:r>
              <w:rPr>
                <w:rFonts w:hint="eastAsia" w:asciiTheme="majorEastAsia" w:hAnsiTheme="majorEastAsia" w:eastAsiaTheme="majorEastAsia" w:cstheme="majorEastAsia"/>
                <w:bCs/>
                <w:color w:val="auto"/>
                <w:kern w:val="0"/>
                <w:szCs w:val="21"/>
                <w:highlight w:val="none"/>
              </w:rPr>
              <w:t>民兵营哨所房顶</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bCs/>
                <w:color w:val="auto"/>
                <w:kern w:val="0"/>
                <w:szCs w:val="21"/>
                <w:highlight w:val="none"/>
              </w:rPr>
            </w:pPr>
            <w:r>
              <w:rPr>
                <w:rFonts w:hint="eastAsia" w:asciiTheme="majorEastAsia" w:hAnsiTheme="majorEastAsia" w:eastAsiaTheme="majorEastAsia" w:cstheme="majorEastAsia"/>
                <w:bCs/>
                <w:color w:val="auto"/>
                <w:kern w:val="0"/>
                <w:szCs w:val="21"/>
                <w:highlight w:val="none"/>
              </w:rPr>
              <w:t>黄门西堤灯塔</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超高精度球形转台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3" w:type="dxa"/>
            <w:vAlign w:val="center"/>
          </w:tcPr>
          <w:p>
            <w:pPr>
              <w:numPr>
                <w:ilvl w:val="0"/>
                <w:numId w:val="10"/>
              </w:numPr>
              <w:ind w:firstLine="0"/>
              <w:jc w:val="center"/>
              <w:rPr>
                <w:rFonts w:asciiTheme="majorEastAsia" w:hAnsiTheme="majorEastAsia" w:eastAsiaTheme="majorEastAsia" w:cstheme="majorEastAsia"/>
                <w:color w:val="auto"/>
                <w:szCs w:val="21"/>
                <w:highlight w:val="none"/>
              </w:rPr>
            </w:pPr>
          </w:p>
        </w:tc>
        <w:tc>
          <w:tcPr>
            <w:tcW w:w="1351" w:type="dxa"/>
            <w:vMerge w:val="continue"/>
            <w:vAlign w:val="center"/>
          </w:tcPr>
          <w:p>
            <w:pPr>
              <w:rPr>
                <w:rFonts w:asciiTheme="majorEastAsia" w:hAnsiTheme="majorEastAsia" w:eastAsiaTheme="majorEastAsia" w:cstheme="majorEastAsia"/>
                <w:color w:val="auto"/>
                <w:szCs w:val="21"/>
                <w:highlight w:val="none"/>
              </w:rPr>
            </w:pPr>
          </w:p>
        </w:tc>
        <w:tc>
          <w:tcPr>
            <w:tcW w:w="3929" w:type="dxa"/>
            <w:vAlign w:val="center"/>
          </w:tcPr>
          <w:p>
            <w:pPr>
              <w:rPr>
                <w:rFonts w:asciiTheme="majorEastAsia" w:hAnsiTheme="majorEastAsia" w:eastAsiaTheme="majorEastAsia" w:cstheme="majorEastAsia"/>
                <w:bCs/>
                <w:color w:val="auto"/>
                <w:kern w:val="0"/>
                <w:szCs w:val="21"/>
                <w:highlight w:val="none"/>
              </w:rPr>
            </w:pPr>
            <w:r>
              <w:rPr>
                <w:rFonts w:hint="eastAsia" w:asciiTheme="majorEastAsia" w:hAnsiTheme="majorEastAsia" w:eastAsiaTheme="majorEastAsia" w:cstheme="majorEastAsia"/>
                <w:bCs/>
                <w:color w:val="auto"/>
                <w:kern w:val="0"/>
                <w:szCs w:val="21"/>
                <w:highlight w:val="none"/>
              </w:rPr>
              <w:t>黄门西堤灯塔</w:t>
            </w:r>
          </w:p>
        </w:tc>
        <w:tc>
          <w:tcPr>
            <w:tcW w:w="2239" w:type="dxa"/>
            <w:vAlign w:val="center"/>
          </w:tcPr>
          <w:p>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激光超星光球机</w:t>
            </w:r>
          </w:p>
        </w:tc>
      </w:tr>
    </w:tbl>
    <w:p>
      <w:pPr>
        <w:rPr>
          <w:color w:val="auto"/>
          <w:highlight w:val="none"/>
        </w:rPr>
      </w:pPr>
    </w:p>
    <w:p>
      <w:pPr>
        <w:numPr>
          <w:ilvl w:val="0"/>
          <w:numId w:val="9"/>
        </w:numPr>
        <w:tabs>
          <w:tab w:val="left" w:pos="8280"/>
        </w:tabs>
        <w:autoSpaceDE w:val="0"/>
        <w:autoSpaceDN w:val="0"/>
        <w:adjustRightInd w:val="0"/>
        <w:spacing w:line="360" w:lineRule="auto"/>
        <w:ind w:right="25" w:firstLine="0"/>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采购清单及技术性能指标招标要求</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所供产品是符合国家技术规范和质量标准，要求全新未曾开箱使用，与投标产品规定的型号与配置相一致，能够与业主单位现有设备正常连接。</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供货除包括上述设备外，还应包括随机的辅助设备、专用电线电缆、随机软件、技术资料（包括操作手册、使用指南、维修指南和含维修网点在内的服务手册等）、设备运行所必需的随机消耗材料，相应的技术服务与质量保证。投标报价包含设备运输、售后服务、培训等相关费用。</w:t>
      </w:r>
    </w:p>
    <w:tbl>
      <w:tblPr>
        <w:tblStyle w:val="18"/>
        <w:tblW w:w="8979" w:type="dxa"/>
        <w:tblInd w:w="0" w:type="dxa"/>
        <w:tblLayout w:type="fixed"/>
        <w:tblCellMar>
          <w:top w:w="15" w:type="dxa"/>
          <w:left w:w="15" w:type="dxa"/>
          <w:bottom w:w="15" w:type="dxa"/>
          <w:right w:w="15" w:type="dxa"/>
        </w:tblCellMar>
      </w:tblPr>
      <w:tblGrid>
        <w:gridCol w:w="629"/>
        <w:gridCol w:w="1387"/>
        <w:gridCol w:w="1113"/>
        <w:gridCol w:w="4175"/>
        <w:gridCol w:w="775"/>
        <w:gridCol w:w="900"/>
      </w:tblGrid>
      <w:tr>
        <w:tblPrEx>
          <w:tblLayout w:type="fixed"/>
          <w:tblCellMar>
            <w:top w:w="15" w:type="dxa"/>
            <w:left w:w="15" w:type="dxa"/>
            <w:bottom w:w="15" w:type="dxa"/>
            <w:right w:w="15" w:type="dxa"/>
          </w:tblCellMar>
        </w:tblPrEx>
        <w:trPr>
          <w:trHeight w:val="2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项目</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推荐品牌</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技术性能指标招标要求</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数量</w:t>
            </w:r>
          </w:p>
        </w:tc>
      </w:tr>
      <w:tr>
        <w:tblPrEx>
          <w:tblLayout w:type="fixed"/>
          <w:tblCellMar>
            <w:top w:w="15" w:type="dxa"/>
            <w:left w:w="15" w:type="dxa"/>
            <w:bottom w:w="15" w:type="dxa"/>
            <w:right w:w="15" w:type="dxa"/>
          </w:tblCellMar>
        </w:tblPrEx>
        <w:trPr>
          <w:trHeight w:val="270" w:hRule="atLeast"/>
        </w:trPr>
        <w:tc>
          <w:tcPr>
            <w:tcW w:w="8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color w:val="auto"/>
                <w:sz w:val="24"/>
                <w:highlight w:val="none"/>
              </w:rPr>
            </w:pPr>
            <w:r>
              <w:rPr>
                <w:rFonts w:hint="eastAsia" w:ascii="宋体" w:hAnsi="宋体" w:cs="宋体"/>
                <w:b/>
                <w:color w:val="auto"/>
                <w:kern w:val="0"/>
                <w:sz w:val="24"/>
                <w:highlight w:val="none"/>
                <w:lang w:bidi="ar"/>
              </w:rPr>
              <w:t>一、渔港监控站点建设</w:t>
            </w:r>
          </w:p>
        </w:tc>
      </w:tr>
      <w:tr>
        <w:tblPrEx>
          <w:tblLayout w:type="fixed"/>
          <w:tblCellMar>
            <w:top w:w="15" w:type="dxa"/>
            <w:left w:w="15" w:type="dxa"/>
            <w:bottom w:w="15" w:type="dxa"/>
            <w:right w:w="15" w:type="dxa"/>
          </w:tblCellMar>
        </w:tblPrEx>
        <w:trPr>
          <w:trHeight w:val="1123"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超高精度球形转台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宇视、华为、英飞拓等同档次品牌产品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ascii="宋体" w:hAnsi="宋体" w:cs="宋体"/>
                <w:color w:val="auto"/>
                <w:kern w:val="0"/>
                <w:sz w:val="24"/>
                <w:highlight w:val="none"/>
                <w:lang w:bidi="ar"/>
              </w:rPr>
              <w:t>重要</w:t>
            </w:r>
            <w:r>
              <w:rPr>
                <w:rFonts w:hint="eastAsia" w:ascii="宋体" w:hAnsi="宋体" w:cs="宋体"/>
                <w:color w:val="auto"/>
                <w:kern w:val="0"/>
                <w:sz w:val="24"/>
                <w:highlight w:val="none"/>
                <w:lang w:bidi="ar"/>
              </w:rPr>
              <w:t>技术指标：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★采用球形设计，金属材质，风阻系数最小，提供公安部检测报告。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★双目（双视窗设计）或多目设计</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★采用12.5-775mm电动变焦镜头，支持自动聚焦</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★采用军品级光纤耦合充氮激光器，激光波长 808nm，提供公安部检测报告。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★输出光功率不小于20W，夜间补光距离不小于3000米，提供公安部检测报告。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★激光转台的激光光斑照射角度最小角度不大于0.25°，最大角度不小于35°，提供公安部检测报告。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★可承受不低于52m/s的风速(16级台风)。（提供国家土木工程领域国家重点实验室出具的专业风洞试验报告）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基本技术指标：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1/1.8英寸CMOS，200万像素。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旋转角度：水平：0°～360°，垂直不小于＋60°～-60°。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水平精度≤0.03°。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镜头的变焦、聚焦、激光照明光斑角度及球台预置位可联动。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旋转速度：水平：0.01°～80°/S ，垂直：0.01°～60°/S。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电源：24VDC±10%。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工作温度：-40℃～+70℃。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防护等级：IP66。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★原厂商对于本项目的授权书和三年免费保修售后服务承诺函。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★投标时提供产品样机供现场查验。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r>
      <w:tr>
        <w:tblPrEx>
          <w:tblLayout w:type="fixed"/>
          <w:tblCellMar>
            <w:top w:w="15" w:type="dxa"/>
            <w:left w:w="15" w:type="dxa"/>
            <w:bottom w:w="15" w:type="dxa"/>
            <w:right w:w="15" w:type="dxa"/>
          </w:tblCellMar>
        </w:tblPrEx>
        <w:trPr>
          <w:trHeight w:val="16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高精度球形转台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宇视、华为、英飞拓等同档次品牌产品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重要技术指标：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★采用球形设计，金属材质，风阻系数最小，提供公安部检测报告。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★双目（双视窗设计）或多目设计</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★采用7-300mm电动变焦镜头，支持自动聚焦</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★采用军品级光纤耦合充氮激光器，激光波长 808nm，提供公安部检测报告。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★激光输出光功率不小于15W，夜间补光距离不小于1000米，提供公安部检测报告。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★激光转台的激光光斑照射角度最小角度不大于0.25°，最大角度不小于35°，提供公安部检测报告。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★可承受不低于52m/s的风速（16级台风）。（提供国家土木工程领域国家重点实验室出具的专业风洞试验报告）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基本技术指标：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1/1.8英寸CMOS，200万像素。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旋转角度：水平：0°～360°，垂直不小于＋60°～-60°，提供公安部检测报告。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水平精度≤0.03°，提供公安部检测报告。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镜头的变焦、聚焦、激光照明光斑角度及球台预置位可联动。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旋转速度：水平：0.01°～100°/S ，垂直：0.01°～50°/S。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电源：24VDC±10%。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工作温度：-40℃～+70℃。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防护等级：IP66。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★原厂商对于本项目的授权书和三年免费保修售后服务承诺函。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★投标时提供产品样机供现场查验。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r>
      <w:tr>
        <w:tblPrEx>
          <w:tblLayout w:type="fixed"/>
          <w:tblCellMar>
            <w:top w:w="15" w:type="dxa"/>
            <w:left w:w="15" w:type="dxa"/>
            <w:bottom w:w="15" w:type="dxa"/>
            <w:right w:w="15" w:type="dxa"/>
          </w:tblCellMar>
        </w:tblPrEx>
        <w:trPr>
          <w:trHeight w:val="55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激光超星光球机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宇视、华为、英飞拓等同档次品牌产品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1/2.8inch逐行扫描200像素CMOS图像传感器。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焦距范围：5~220mm，44光学变倍。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激光补光，补光距离超过600米。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最低照度,彩色：0.0002lx，黑白：0.0001lx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在IE浏览器下，具有H.265/H.264/MJPEG设置选项，可将H.264设置为Baseline/Main/High Profile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可将视频图像存储至TF卡或客户端，支持TF卡热插拔，最大支持256GTF卡。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支持3码流，主码流1920×1080@25fps，码率4MBPS;子码流1920×1080@25fps，码率2Mbps;第三码流720×576@25fps，码率1Mbps。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光学透雾，具有自动、关闭，开启光学透雾设置选项，透雾等级1-9级可调。当检测到雾的浓度达到设定阈值时，可自动在数字透雾和光学透雾之间进行切换。（以公安部检测报告为准）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宽动态范围122db，帧率60fps。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具有宽动态自动切换功能，当环境亮度变化时，可自动开启/关闭宽动态。（以公安部检测报告为准）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友好密码功能-启用策略时，与样机处于同一网段的地址可以使用样机出厂密码登录和访问样机，跨网段的地址只能使用复杂度为高的密码。（至少8位，由大小写字母、数字和特殊符号组成）登录和访问样机。关闭友好密码功能策略时，与样机处于同一网段的地址和跨网段的地址都只能使用复杂为高的密码（至少8位，由大小写字母、数字和特殊符号组成）登录和访问样机。（以公安部检测报告为准）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在丢包率设置为25%，网络延时50ms环境下，可正常显示监控画面，支持以ISCSI直存方式进行双路数据传输</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 xml:space="preserve">（以公安部检测报告为准）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网关ARP绑定功能，有效防范ARP攻击，提升安全性</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（以公安部检测报告为准）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录像文件被篡改后，可通过专用播放器软件给出提示信息</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（以公安部检测报告为准）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当网络断开后，样机可将录像文件存储至内置SD卡中，当网络恢复后，再将录像文件上传至指定的存储设备中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光电串接，IPC支持光口、电口同时使用，电口可以串接供给另外的1台IPC正常使用。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支持电子罗盘，可在监视画面上叠加样机镜头当前指向的方向和角度，支持北斗和GPS定位功能，并能够在监控画面叠加设备所在的经纬度信息。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可视域信息上传功能-可响应平台下发的获取可视域信息指令，上报市场角、可视距离、安装位置、镜头方向指向。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摄像机支持通过L2TP协议穿越网闸，防火墙和NAT。（以公安部检测报告为准）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摄像机具有FTP/Email自测功能检测，可自测试IPC配置合FTP和Email参数下发是否正确，通过提示语了解配置参数情况。（以公安部检测报告为准）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内置GPU芯片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外观防护能力IP68。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★原厂商对于本项目的授权书和三年免费保修售后服务承诺函。</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r>
      <w:tr>
        <w:tblPrEx>
          <w:tblLayout w:type="fixed"/>
          <w:tblCellMar>
            <w:top w:w="15" w:type="dxa"/>
            <w:left w:w="15" w:type="dxa"/>
            <w:bottom w:w="15" w:type="dxa"/>
            <w:right w:w="15" w:type="dxa"/>
          </w:tblCellMar>
        </w:tblPrEx>
        <w:trPr>
          <w:trHeight w:val="285" w:hRule="atLeast"/>
        </w:trPr>
        <w:tc>
          <w:tcPr>
            <w:tcW w:w="8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hint="eastAsia" w:ascii="宋体" w:hAnsi="宋体" w:cs="宋体"/>
                <w:b/>
                <w:color w:val="auto"/>
                <w:kern w:val="0"/>
                <w:sz w:val="24"/>
                <w:highlight w:val="none"/>
                <w:lang w:bidi="ar"/>
              </w:rPr>
              <w:t>二、监控中心软硬件升级改造</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综合管理应用平台 </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宇视、英飞拓、天地伟业等同档次品牌产品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支持提供平台功能统一门户，用户可定制客户端功能选项。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支持视频巡逻路线功能，支持视频巡逻，选择地图上的摄像机添加到收藏夹，可以执行视频巡逻，巡逻过程中地图会自动聚焦到当前摄像机。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支持可视域管理及动态可视域，地图上标定摄像机后，摄像机的监控范围可在地图上展示，云台摄像机的摄像场景可随云台转动与地图上可视域的方向同步。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可视域反向控制：可以通过地图上可视域方位反向控制云台摄像机转动并定位到目标监控区域。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系统支持20000个前端设备接入，每个设备保活时间间隔30s，支持管理10000个在线监视器，支持3000个在线用户同时上线，最大用户数10000个，支持在线外域数2048个, 每个外域按照30s间隔保活。</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系统可管理1000000个推送的摄像机。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支持对摄像机进行快捷回放；支持录像分段回放，把某监控点视频录像自动平均分成若干段，同时播放；支持录像分段下载，可实时显示下载进度，可暂停或取消下载；支持录像下载权限控制管理。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支持按防区实现的视频实时预览，录像回放及下载，视频巡逻等业务。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支持wifi卡口接入显示，可以查询视频和WiFi记录。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基于区域的警情案件信息，显示案件密度趋势热力图。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支持警情管理、支持警情接收；支持警力资源派遣与调度，实现客户端与移动APP之间的警情信息派发、处理。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支持移动资源的管理，包括警员和警车 。地图上实时定位显示警员、警车，并支持过滤显示，历史轨迹显示。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支持防区的警情统计和四色预警显示。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选择热点点位进行视频播放，可自动开启该热点周边的摄像机进行同步视频播放，切换热点可重新计算周边点位并进行视频播放；支持实时视频及录像回放的网格追踪。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支持客户端视频关联到案件/线索、视频抓拍图片关联到案件/线索。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计划预案定制：可定制计划工作流预案、手动工作流预案、报警联动工作流预案，预案定制可通过图形化界面拖动各预案步骤图标及将预案步骤连线完成。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手动预案定制：可定制手动工作流预案动作，需要实现该动作时，在工作流预案列表中点击该预案的执行按钮，即可实现。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工作流预案定制：可定制报警工作流，报警联动动作可由视频系统、报警系统、门禁系统、对讲系统及车辆管理系统等多种子系统上报的报警信号触发，也可根据用户确定结果触发（已核实、误报、超时未核实），报警联动动作可设置为立即执行、延时执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可设置向指定用户发送文字、图片、摄像机实况链接的预案动作，该动作可设置为按计划时间定时执行，也可设置为手动点击执行按钮来执行或报警联动执行。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可将预录制的声音文件导入系统，通过计划工作流、手动工作流或报警联动工作流触发播放，声音文件支持WAV格式。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支持用户间文字、图片、报警信息、实况场景及录像链接的传输，支持本域及跨域用户间群聊，支持群聊用户主动退出群组。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实况上墙功能：支持1080P/720P/D1/4CIF/2CIF/CIF等解码上墙，支持TCP/UDP解码上墙，支持onvif/GB28181解码上墙，支持H.265/H.264格式解码。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回放上墙功能：支持回放上墙，可以快进、快退、暂停、拖动、播放进度条跳转、快放慢放等操作。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支持PC客户端之间、手机APP之间、PC客户端与手机APP之间文字、本地文件、图片、地图、实况场景及录像链接的传输。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在发生报警时，配合前端设备，能够联动实时视频、上墙、抓拍、存储、报警预录、语音对讲、回放、云台预置位、短信、邮件等。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为了实现快速定位录像关键节点，可以将录像文件进行切分成多片，通过切片点的图像差异，迅速启动回放关键录像时段。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手机MAC/RFID/车辆/用户自定义轨迹等目标轨迹在一段时间范围内与其他数据类型的轨迹进行轨迹碰撞拟合的功能，设置的轨迹碰撞规则包括与目标轨迹经过的前后时间差范围/距离范围/待碰撞的数据类型(手机MAC/RFID/车辆。碰撞任务下发后在5分钟内返回结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★原厂商对于本项目的授权书和三年免费保修售后服务承诺函</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转码服务器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宇视、英飞拓、天地伟业等同档次品牌产品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支持非标准码流到国标码流的转换，高码率码流到低码率码流的转换。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支持丰富的解码功能，能实现对H.264、MPEG2、MPEG4、MJPEG等格式的转换。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支持移动终端的接入网关功能，可实现基于移动终端的视频浏览、录像查看、报警接收与处理功能。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手机接入能力：单机支持最大192个移动终端并发接入，并发支持视频浏览、实况上传、位置上报、用户间通信等移动业务。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转码服务器能力：单转码服务器支持24路D1的TS流转成D1的PS流转码能力;单转码服务器支持12路720P的TS流转成720P的PS流转码能力;单转码服务器支持6路1080P的TS流转成1080P的PS流转码能力；支持的输入分辨率为包括：1080P、720P、D1、CIF；支持的输出分辨率为包括：1080P、720P、D1、CIF、QCIF。</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移动资源管理功能：支持移动资源的管理，包括警员，警车和列管车辆。地图上实时定位显示警员、警车、列管车辆，支持过滤显示，历史轨迹显示。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★原厂商对于本项目的授权书和三年免费保修售后服务承诺函。</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24盘位网络存储设备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宇视、华为、天地伟业等同档次品牌产品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4U高度，24盘位。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支持双电源、双风扇、双BIOS模块冗余，支持热插拔及在线更换。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性能国标接入，录像+回放(2Mbps) 175路。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支持JBOD、RAID 0、1、5、6，支持自动空白盘全局热备、专有热备等多种热备方式。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支持指示灯告警、邮件告警、蜂鸣告警、短信告警、数码管告警、SNMP告警等。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前端业务接口不少于3个千兆以太网接口，同时支持选配4端口千兆以太网接口或者4端口万兆以太网接口。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整机功耗，硬盘满配情况下&lt;280W。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支持块直存技术，解决文件存储固有的碎片问题。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支持磁盘热插拔以及磁盘漫游技术。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★原厂商对于本项目的授权书和三年免费保修售后服务承诺函。</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存储4T硬盘  </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西数、希捷、日立等同档次品牌产品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3.5"英寸，4TB容量，SATA 6Gb/S, 缓存64M，5900转，平均5.6W，带RV Sensor。</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r>
      <w:tr>
        <w:tblPrEx>
          <w:tblLayout w:type="fixed"/>
          <w:tblCellMar>
            <w:top w:w="15" w:type="dxa"/>
            <w:left w:w="15" w:type="dxa"/>
            <w:bottom w:w="15" w:type="dxa"/>
            <w:right w:w="15" w:type="dxa"/>
          </w:tblCellMar>
        </w:tblPrEx>
        <w:trPr>
          <w:trHeight w:val="497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云终端</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宇视、华为、深信服等同档次品牌产品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1个千兆以太网口。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2个USB2.0，2个USB3.0，1个Type C接口，1个TF 卡槽。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1路HDMI口，1路VGA口。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音频口1入1出。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★可输出2路图像分辨率为3840*2160、帧率为25fps、码率为14Mbps的视频图像</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提供公安部检测报告。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可输出12路图像分辨率为1920*1080、帧率为30fps、码率为6Mbps的视频图像。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可输出16路图像分辨率为1280*720、帧率为25fps、码率为2Mbps的视频图像。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可输出24路图像分辨率为720*576、帧率为25fps、码率为1Mbps的视频图像。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千兆以太网交换机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宇视、华为、深信服等同档次品牌产品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业务接口16千兆电（RJ45）+8千兆Combo。</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交换容量598Gbps/5.98Tbps。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包转发率156Mpps/222Mpps。</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 SFP千兆单模光模块  </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华三、华为、深信服等同档次品牌产品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支持10KM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网络防火墙</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华三、华为、深信服等同档次品牌产品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防火墙主机,16个10/100/1000BASE-T端口,8个100/1000 BASE-X SFP端口,1个Slot。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服务器机柜</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图腾、奥科 、蓝创等同档次品牌产品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42U机柜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285" w:hRule="atLeast"/>
        </w:trPr>
        <w:tc>
          <w:tcPr>
            <w:tcW w:w="8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ascii="宋体" w:hAnsi="宋体" w:cs="宋体"/>
                <w:b/>
                <w:color w:val="auto"/>
                <w:kern w:val="0"/>
                <w:sz w:val="24"/>
                <w:highlight w:val="none"/>
                <w:lang w:bidi="ar"/>
              </w:rPr>
              <w:t>三</w:t>
            </w:r>
            <w:r>
              <w:rPr>
                <w:rFonts w:hint="eastAsia" w:ascii="宋体" w:hAnsi="宋体" w:cs="宋体"/>
                <w:b/>
                <w:color w:val="auto"/>
                <w:kern w:val="0"/>
                <w:sz w:val="24"/>
                <w:highlight w:val="none"/>
                <w:lang w:bidi="ar"/>
              </w:rPr>
              <w:t>、监控站点施工及材料</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南洋.厚德揽胜.金龙羽等同档次品牌产品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3*2.5电源线</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910</w:t>
            </w:r>
          </w:p>
        </w:tc>
      </w:tr>
      <w:tr>
        <w:tblPrEx>
          <w:tblLayout w:type="fixed"/>
          <w:tblCellMar>
            <w:top w:w="15" w:type="dxa"/>
            <w:left w:w="15" w:type="dxa"/>
            <w:bottom w:w="15" w:type="dxa"/>
            <w:right w:w="15"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南洋.厚德揽胜.金龙羽等同档次品牌产品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2*10电源线</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855</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南洋.厚德揽胜.金龙羽等同档次品牌产品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3*1.0电源线</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105</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室外网线</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兆龙.厚德揽胜.海康等同档次品牌产品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超五类</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PVC管</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中财.日丰.远通等同档次品牌产品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20PVC管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接地扁铁</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接地扁铁</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560</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PE管</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中财.日丰.远通等同档次品牌产品</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32PE管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1600</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水泥包封</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电源线布放岩石上水泥包封</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屋顶防水</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防水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路面开挖回填</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电源线布放开挖回填</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720</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借杆支架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2米</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摄像机及云台安装</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auto"/>
                <w:sz w:val="24"/>
                <w:highlight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摄像机安装</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auto"/>
                <w:sz w:val="24"/>
                <w:highlight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基础浇筑</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1.6米*1.6米*1.5米含植筋基础</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28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角铁支架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1.2米*1.2米*2米角铁支架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角铁支架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1.6米*1.6米*2米角铁支架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基础护栏</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2米*2米*1.5米防护栅栏</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副</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不锈钢网络箱安装</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0.5米*0.6米*0.15米</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r>
      <w:tr>
        <w:tblPrEx>
          <w:tblLayout w:type="fixed"/>
          <w:tblCellMar>
            <w:top w:w="15" w:type="dxa"/>
            <w:left w:w="15" w:type="dxa"/>
            <w:bottom w:w="15" w:type="dxa"/>
            <w:right w:w="15" w:type="dxa"/>
          </w:tblCellMar>
        </w:tblPrEx>
        <w:trPr>
          <w:trHeight w:val="9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角铁支架及基础浇筑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含2米*2米*2米基础和1.6米*1.6米*3米角铁支架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0号手井</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0.4米*0.4米*0.4米</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地面切割</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水泥路地面切割及恢复</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32镀锌钢管</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auto"/>
                <w:sz w:val="24"/>
                <w:highlight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93</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材料水路运输</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auto"/>
                <w:sz w:val="24"/>
                <w:highlight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r>
      <w:tr>
        <w:tblPrEx>
          <w:tblLayout w:type="fixed"/>
          <w:tblCellMar>
            <w:top w:w="15" w:type="dxa"/>
            <w:left w:w="15" w:type="dxa"/>
            <w:bottom w:w="15" w:type="dxa"/>
            <w:right w:w="15" w:type="dxa"/>
          </w:tblCellMar>
        </w:tblPrEx>
        <w:trPr>
          <w:trHeight w:val="4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角铁支架及基础浇筑</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含1米*1米*0.2米基础抹平防水和0.8米*0.8米*1.5米角铁支架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r>
      <w:tr>
        <w:tblPrEx>
          <w:tblLayout w:type="fixed"/>
          <w:tblCellMar>
            <w:top w:w="15" w:type="dxa"/>
            <w:left w:w="15" w:type="dxa"/>
            <w:bottom w:w="15" w:type="dxa"/>
            <w:right w:w="15" w:type="dxa"/>
          </w:tblCellMar>
        </w:tblPrEx>
        <w:trPr>
          <w:trHeight w:val="270" w:hRule="atLeast"/>
        </w:trPr>
        <w:tc>
          <w:tcPr>
            <w:tcW w:w="62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38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接地</w:t>
            </w:r>
          </w:p>
        </w:tc>
        <w:tc>
          <w:tcPr>
            <w:tcW w:w="111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w:t>
            </w:r>
          </w:p>
        </w:tc>
        <w:tc>
          <w:tcPr>
            <w:tcW w:w="417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ascii="宋体" w:hAnsi="宋体" w:cs="宋体"/>
                <w:color w:val="auto"/>
                <w:sz w:val="24"/>
                <w:highlight w:val="none"/>
              </w:rPr>
            </w:pPr>
          </w:p>
        </w:tc>
        <w:tc>
          <w:tcPr>
            <w:tcW w:w="77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90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r>
      <w:tr>
        <w:tblPrEx>
          <w:tblLayout w:type="fixed"/>
          <w:tblCellMar>
            <w:top w:w="15" w:type="dxa"/>
            <w:left w:w="15" w:type="dxa"/>
            <w:bottom w:w="15" w:type="dxa"/>
            <w:right w:w="15" w:type="dxa"/>
          </w:tblCellMar>
        </w:tblPrEx>
        <w:trPr>
          <w:trHeight w:val="380" w:hRule="atLeast"/>
        </w:trPr>
        <w:tc>
          <w:tcPr>
            <w:tcW w:w="89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sz w:val="24"/>
                <w:highlight w:val="none"/>
              </w:rPr>
            </w:pPr>
            <w:r>
              <w:rPr>
                <w:rFonts w:ascii="宋体" w:hAnsi="宋体" w:cs="宋体"/>
                <w:b/>
                <w:color w:val="auto"/>
                <w:kern w:val="0"/>
                <w:sz w:val="24"/>
                <w:highlight w:val="none"/>
                <w:lang w:bidi="ar"/>
              </w:rPr>
              <w:t>四</w:t>
            </w:r>
            <w:r>
              <w:rPr>
                <w:rFonts w:hint="eastAsia" w:ascii="宋体" w:hAnsi="宋体" w:cs="宋体"/>
                <w:b/>
                <w:color w:val="auto"/>
                <w:kern w:val="0"/>
                <w:sz w:val="24"/>
                <w:highlight w:val="none"/>
                <w:lang w:bidi="ar"/>
              </w:rPr>
              <w:t>、渔港空中全景信息采集与控制系统开发</w:t>
            </w:r>
          </w:p>
        </w:tc>
      </w:tr>
      <w:tr>
        <w:tblPrEx>
          <w:tblLayout w:type="fixed"/>
          <w:tblCellMar>
            <w:top w:w="15" w:type="dxa"/>
            <w:left w:w="15" w:type="dxa"/>
            <w:bottom w:w="15" w:type="dxa"/>
            <w:right w:w="15" w:type="dxa"/>
          </w:tblCellMar>
        </w:tblPrEx>
        <w:trPr>
          <w:trHeight w:val="2340" w:hRule="atLeast"/>
        </w:trPr>
        <w:tc>
          <w:tcPr>
            <w:tcW w:w="6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w:t>
            </w:r>
          </w:p>
        </w:tc>
        <w:tc>
          <w:tcPr>
            <w:tcW w:w="13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渔港空中全景系统开发</w:t>
            </w:r>
          </w:p>
        </w:tc>
        <w:tc>
          <w:tcPr>
            <w:tcW w:w="11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定制开发</w:t>
            </w:r>
          </w:p>
        </w:tc>
        <w:tc>
          <w:tcPr>
            <w:tcW w:w="41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系统开发：单位logo添加，VR模式和自动旋转，顶部指南针校准可以分清全景方向位置，不同风格浏览界面制作，提供全景音乐播放、全景间热点链接等功能；并展示初始等待图，使浏览者无需下载任何插件，就能有良好的视觉体验，全景右侧小地图支持缩放，可以帮助浏览者快速找到全景点位，全景系统中还可以显示渔港范围和基础信息。</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4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渔港空中全景影像外业业处理</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定制服务</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渔港空中全景影像外业业处理：通过无人机对渔港进行外业全景影像采集</w:t>
            </w:r>
            <w:r>
              <w:rPr>
                <w:rFonts w:ascii="宋体" w:hAnsi="宋体" w:cs="宋体"/>
                <w:color w:val="auto"/>
                <w:kern w:val="0"/>
                <w:sz w:val="24"/>
                <w:highlight w:val="none"/>
                <w:lang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11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渔港空中全景影像内业采集</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定制服务</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渔港空中全景影像内业采集：对渔港控制全景进行内业处理主要包括全景数据检查与分析、全景影像拼接、全景影像后期处理、全景影像皮肤制作。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480" w:hRule="atLeast"/>
        </w:trPr>
        <w:tc>
          <w:tcPr>
            <w:tcW w:w="62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w:t>
            </w:r>
          </w:p>
        </w:tc>
        <w:tc>
          <w:tcPr>
            <w:tcW w:w="13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渔港空中全景移动端移植</w:t>
            </w:r>
          </w:p>
        </w:tc>
        <w:tc>
          <w:tcPr>
            <w:tcW w:w="11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定制开发</w:t>
            </w:r>
          </w:p>
        </w:tc>
        <w:tc>
          <w:tcPr>
            <w:tcW w:w="41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渔港空中全景移动端移植：将pc端全景数据通过开发app移植到移动端</w:t>
            </w:r>
            <w:r>
              <w:rPr>
                <w:rFonts w:ascii="宋体" w:hAnsi="宋体" w:cs="宋体"/>
                <w:color w:val="auto"/>
                <w:kern w:val="0"/>
                <w:sz w:val="24"/>
                <w:highlight w:val="none"/>
                <w:lang w:bidi="ar"/>
              </w:rPr>
              <w:t>。</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r>
        <w:tblPrEx>
          <w:tblLayout w:type="fixed"/>
          <w:tblCellMar>
            <w:top w:w="15" w:type="dxa"/>
            <w:left w:w="15" w:type="dxa"/>
            <w:bottom w:w="15" w:type="dxa"/>
            <w:right w:w="15" w:type="dxa"/>
          </w:tblCellMar>
        </w:tblPrEx>
        <w:trPr>
          <w:trHeight w:val="380" w:hRule="atLeast"/>
        </w:trPr>
        <w:tc>
          <w:tcPr>
            <w:tcW w:w="89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sz w:val="24"/>
                <w:highlight w:val="none"/>
              </w:rPr>
            </w:pPr>
            <w:r>
              <w:rPr>
                <w:rFonts w:ascii="宋体" w:hAnsi="宋体" w:cs="宋体"/>
                <w:b/>
                <w:color w:val="auto"/>
                <w:kern w:val="0"/>
                <w:sz w:val="24"/>
                <w:highlight w:val="none"/>
                <w:lang w:bidi="ar"/>
              </w:rPr>
              <w:t>五</w:t>
            </w:r>
            <w:r>
              <w:rPr>
                <w:rFonts w:hint="eastAsia" w:ascii="宋体" w:hAnsi="宋体" w:cs="宋体"/>
                <w:b/>
                <w:color w:val="auto"/>
                <w:kern w:val="0"/>
                <w:sz w:val="24"/>
                <w:highlight w:val="none"/>
                <w:lang w:bidi="ar"/>
              </w:rPr>
              <w:t>、运营商通信链路</w:t>
            </w:r>
          </w:p>
        </w:tc>
      </w:tr>
      <w:tr>
        <w:tblPrEx>
          <w:tblLayout w:type="fixed"/>
          <w:tblCellMar>
            <w:top w:w="15" w:type="dxa"/>
            <w:left w:w="15" w:type="dxa"/>
            <w:bottom w:w="15" w:type="dxa"/>
            <w:right w:w="15" w:type="dxa"/>
          </w:tblCellMar>
        </w:tblPrEx>
        <w:trPr>
          <w:trHeight w:val="795" w:hRule="atLeast"/>
        </w:trPr>
        <w:tc>
          <w:tcPr>
            <w:tcW w:w="6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w:t>
            </w:r>
          </w:p>
        </w:tc>
        <w:tc>
          <w:tcPr>
            <w:tcW w:w="13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VPN专线</w:t>
            </w:r>
          </w:p>
        </w:tc>
        <w:tc>
          <w:tcPr>
            <w:tcW w:w="11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通信运营商</w:t>
            </w:r>
          </w:p>
        </w:tc>
        <w:tc>
          <w:tcPr>
            <w:tcW w:w="41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监控运营商</w:t>
            </w:r>
            <w:r>
              <w:rPr>
                <w:rFonts w:ascii="宋体" w:hAnsi="宋体" w:cs="宋体"/>
                <w:color w:val="auto"/>
                <w:kern w:val="0"/>
                <w:sz w:val="24"/>
                <w:highlight w:val="none"/>
                <w:lang w:bidi="ar"/>
              </w:rPr>
              <w:t>VPN</w:t>
            </w:r>
            <w:r>
              <w:rPr>
                <w:rFonts w:hint="eastAsia" w:ascii="宋体" w:hAnsi="宋体" w:cs="宋体"/>
                <w:color w:val="auto"/>
                <w:kern w:val="0"/>
                <w:sz w:val="24"/>
                <w:highlight w:val="none"/>
                <w:lang w:bidi="ar"/>
              </w:rPr>
              <w:t>专线链路不低于20M，局端运营商</w:t>
            </w:r>
            <w:r>
              <w:rPr>
                <w:rFonts w:ascii="宋体" w:hAnsi="宋体" w:cs="宋体"/>
                <w:color w:val="auto"/>
                <w:kern w:val="0"/>
                <w:sz w:val="24"/>
                <w:highlight w:val="none"/>
                <w:lang w:bidi="ar"/>
              </w:rPr>
              <w:t>VPN</w:t>
            </w:r>
            <w:r>
              <w:rPr>
                <w:rFonts w:hint="eastAsia" w:ascii="宋体" w:hAnsi="宋体" w:cs="宋体"/>
                <w:color w:val="auto"/>
                <w:kern w:val="0"/>
                <w:sz w:val="24"/>
                <w:highlight w:val="none"/>
                <w:lang w:bidi="ar"/>
              </w:rPr>
              <w:t>专线链路不低于</w:t>
            </w:r>
            <w:r>
              <w:rPr>
                <w:rFonts w:ascii="宋体" w:hAnsi="宋体" w:cs="宋体"/>
                <w:color w:val="auto"/>
                <w:kern w:val="0"/>
                <w:sz w:val="24"/>
                <w:highlight w:val="none"/>
                <w:lang w:bidi="ar"/>
              </w:rPr>
              <w:t>100</w:t>
            </w:r>
            <w:r>
              <w:rPr>
                <w:rFonts w:hint="eastAsia" w:ascii="宋体" w:hAnsi="宋体" w:cs="宋体"/>
                <w:color w:val="auto"/>
                <w:kern w:val="0"/>
                <w:sz w:val="24"/>
                <w:highlight w:val="none"/>
                <w:lang w:bidi="ar"/>
              </w:rPr>
              <w:t>M，租赁服务时间三年。</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条</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r>
      <w:tr>
        <w:tblPrEx>
          <w:tblLayout w:type="fixed"/>
          <w:tblCellMar>
            <w:top w:w="15" w:type="dxa"/>
            <w:left w:w="15" w:type="dxa"/>
            <w:bottom w:w="15" w:type="dxa"/>
            <w:right w:w="15" w:type="dxa"/>
          </w:tblCellMar>
        </w:tblPrEx>
        <w:trPr>
          <w:trHeight w:val="285" w:hRule="atLeast"/>
        </w:trPr>
        <w:tc>
          <w:tcPr>
            <w:tcW w:w="89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ascii="宋体" w:hAnsi="宋体" w:cs="宋体"/>
                <w:b/>
                <w:color w:val="auto"/>
                <w:kern w:val="0"/>
                <w:sz w:val="24"/>
                <w:highlight w:val="none"/>
                <w:lang w:bidi="ar"/>
              </w:rPr>
              <w:t>六</w:t>
            </w:r>
            <w:r>
              <w:rPr>
                <w:rFonts w:hint="eastAsia" w:ascii="宋体" w:hAnsi="宋体" w:cs="宋体"/>
                <w:b/>
                <w:color w:val="auto"/>
                <w:kern w:val="0"/>
                <w:sz w:val="24"/>
                <w:highlight w:val="none"/>
                <w:lang w:bidi="ar"/>
              </w:rPr>
              <w:t>、前端站点调试维护</w:t>
            </w:r>
          </w:p>
        </w:tc>
      </w:tr>
      <w:tr>
        <w:tblPrEx>
          <w:tblLayout w:type="fixed"/>
          <w:tblCellMar>
            <w:top w:w="15" w:type="dxa"/>
            <w:left w:w="15" w:type="dxa"/>
            <w:bottom w:w="15" w:type="dxa"/>
            <w:right w:w="15" w:type="dxa"/>
          </w:tblCellMar>
        </w:tblPrEx>
        <w:trPr>
          <w:trHeight w:val="4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站点维护费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定制服务</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摄像头日常运营维护，服务时间三年。</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r>
      <w:tr>
        <w:tblPrEx>
          <w:tblLayout w:type="fixed"/>
          <w:tblCellMar>
            <w:top w:w="15" w:type="dxa"/>
            <w:left w:w="15" w:type="dxa"/>
            <w:bottom w:w="15" w:type="dxa"/>
            <w:right w:w="15"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调试服务费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定制服务</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r>
    </w:tbl>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1、除招标文件明确的推荐品牌外，欢迎其他符合或优于招标文件技术要求的品牌参与投标。</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2、平台互联与共享技术要求</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视频共享与接入遵循GB28181《安全防范视频监控联网系统信息传输、交换、控制技术要求》。</w:t>
      </w:r>
    </w:p>
    <w:p>
      <w:pPr>
        <w:spacing w:line="440" w:lineRule="exact"/>
        <w:ind w:firstLine="480" w:firstLineChars="200"/>
        <w:rPr>
          <w:rFonts w:ascii="宋体" w:hAnsi="宋体" w:cs="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投标供应商负责本项目所有硬件、软件的采购、安装、调试、集成、总协调等工作</w:t>
      </w:r>
      <w:r>
        <w:rPr>
          <w:rFonts w:hint="eastAsia" w:ascii="宋体" w:hAnsi="宋体" w:cs="宋体"/>
          <w:color w:val="auto"/>
          <w:sz w:val="24"/>
          <w:highlight w:val="none"/>
        </w:rPr>
        <w:t>，中标方须按招标方的要求按图施工并于竣工后提供竣工图。中标方将所提供的设备产品按招标方的要求安装，调试完毕，保证招标方能够正常使用。中标方须对系统集成的完整性负责，如相关配件在招标清单中未列出但安装所采购设备时必须用到，中标人必须提供，产生的一切费用，均由中标方负责。</w:t>
      </w:r>
    </w:p>
    <w:p>
      <w:pPr>
        <w:numPr>
          <w:ilvl w:val="0"/>
          <w:numId w:val="9"/>
        </w:numPr>
        <w:tabs>
          <w:tab w:val="left" w:pos="8280"/>
        </w:tabs>
        <w:autoSpaceDE w:val="0"/>
        <w:autoSpaceDN w:val="0"/>
        <w:adjustRightInd w:val="0"/>
        <w:spacing w:line="360" w:lineRule="auto"/>
        <w:ind w:right="25" w:firstLine="0"/>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工期安排及验收标准（工期、检验考核要求）</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工期：合同签订后120天（日历天）内完成供货及安装调试并验收合格,专线租赁为三年（自通过项目初验后第二个工作日开始计算</w:t>
      </w:r>
      <w:r>
        <w:rPr>
          <w:rFonts w:asciiTheme="minorEastAsia" w:hAnsiTheme="minorEastAsia" w:eastAsiaTheme="minorEastAsia"/>
          <w:color w:val="auto"/>
          <w:sz w:val="24"/>
          <w:highlight w:val="none"/>
        </w:rPr>
        <w:t>）。</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验收标准：根据中华人民共和国现行技术标准，按招标文件以及合同规定的验收评定标准等规范，由用户进行组织验收，满足用户所有要求后作为验收合格。</w:t>
      </w:r>
    </w:p>
    <w:p>
      <w:pPr>
        <w:numPr>
          <w:ilvl w:val="0"/>
          <w:numId w:val="9"/>
        </w:numPr>
        <w:tabs>
          <w:tab w:val="left" w:pos="8280"/>
        </w:tabs>
        <w:autoSpaceDE w:val="0"/>
        <w:autoSpaceDN w:val="0"/>
        <w:adjustRightInd w:val="0"/>
        <w:spacing w:line="360" w:lineRule="auto"/>
        <w:ind w:right="25" w:firstLine="0"/>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相关服务要求(技术服务、质保期服务、售后服务、培训服务等)</w:t>
      </w:r>
    </w:p>
    <w:p>
      <w:pPr>
        <w:numPr>
          <w:ilvl w:val="0"/>
          <w:numId w:val="11"/>
        </w:numPr>
        <w:spacing w:line="440" w:lineRule="exact"/>
        <w:ind w:left="0" w:firstLine="482" w:firstLineChars="200"/>
        <w:rPr>
          <w:rFonts w:ascii="宋体" w:hAnsi="宋体" w:cs="宋体"/>
          <w:b/>
          <w:color w:val="auto"/>
          <w:sz w:val="24"/>
          <w:highlight w:val="none"/>
        </w:rPr>
      </w:pPr>
      <w:bookmarkStart w:id="1" w:name="_Toc437609615"/>
      <w:r>
        <w:rPr>
          <w:rFonts w:hint="eastAsia" w:ascii="宋体" w:hAnsi="宋体" w:cs="宋体"/>
          <w:b/>
          <w:color w:val="auto"/>
          <w:sz w:val="24"/>
          <w:highlight w:val="none"/>
        </w:rPr>
        <w:t>专线租赁服务要求</w:t>
      </w:r>
      <w:bookmarkEnd w:id="1"/>
      <w:bookmarkStart w:id="2" w:name="_Toc437609616"/>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本次采购的前端点位到玉环市港航口岸和渔业管理局监控中心机房的光纤链路由中标方向玉环本地运营商租用。</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巡检服务</w:t>
      </w:r>
      <w:bookmarkEnd w:id="2"/>
      <w:r>
        <w:rPr>
          <w:rFonts w:hint="eastAsia" w:ascii="宋体" w:hAnsi="宋体" w:cs="宋体"/>
          <w:color w:val="auto"/>
          <w:sz w:val="24"/>
          <w:highlight w:val="none"/>
        </w:rPr>
        <w:t>:定期对项目内固定视频前端点位及后端设备进行巡检以消除故障隐患，巡检内容包括图片、视频质量、系统功能情况、视频网络情况、设备运行状态等，保证设备（系统）正常运行，技术人员对巡查内容做好记录。巡检记录须及时报送业主方审核。</w:t>
      </w:r>
    </w:p>
    <w:p>
      <w:pPr>
        <w:spacing w:line="440" w:lineRule="exact"/>
        <w:ind w:firstLine="480" w:firstLineChars="200"/>
        <w:rPr>
          <w:rFonts w:ascii="宋体" w:hAnsi="宋体" w:cs="宋体"/>
          <w:color w:val="auto"/>
          <w:sz w:val="24"/>
          <w:highlight w:val="none"/>
        </w:rPr>
      </w:pPr>
      <w:bookmarkStart w:id="3" w:name="_Toc437609617"/>
      <w:r>
        <w:rPr>
          <w:rFonts w:hint="eastAsia" w:ascii="宋体" w:hAnsi="宋体" w:cs="宋体"/>
          <w:color w:val="auto"/>
          <w:sz w:val="24"/>
          <w:highlight w:val="none"/>
        </w:rPr>
        <w:t>租赁期内故障维护服务</w:t>
      </w:r>
      <w:bookmarkEnd w:id="3"/>
      <w:r>
        <w:rPr>
          <w:rFonts w:hint="eastAsia" w:ascii="宋体" w:hAnsi="宋体" w:cs="宋体"/>
          <w:color w:val="auto"/>
          <w:sz w:val="24"/>
          <w:highlight w:val="none"/>
        </w:rPr>
        <w:t>:租赁期内，所有故障维护服务均为免费服务，且须提供无偿7*24小时技术支持，包括各种系统故障及对各种突发事件采取应急措施等，服务响应时间为2小时。在此期间，须通过电话提供解决方案，或者利用远程维护方式解决问题。若不能在2小时内解决故障问题，须在6小时赶到现场解决。网络故障6小时内解决。须库存本项目有关的各类备品备件，在故障时维修采用总成维修的方法，不能出现因缺少备品导致监控功能故障。</w:t>
      </w:r>
    </w:p>
    <w:p>
      <w:pPr>
        <w:numPr>
          <w:ilvl w:val="0"/>
          <w:numId w:val="11"/>
        </w:numPr>
        <w:spacing w:line="440" w:lineRule="exact"/>
        <w:ind w:left="0" w:firstLine="482" w:firstLineChars="200"/>
        <w:rPr>
          <w:rFonts w:ascii="宋体" w:hAnsi="宋体" w:cs="宋体"/>
          <w:b/>
          <w:color w:val="auto"/>
          <w:sz w:val="24"/>
          <w:highlight w:val="none"/>
        </w:rPr>
      </w:pPr>
      <w:r>
        <w:rPr>
          <w:rFonts w:hint="eastAsia" w:ascii="宋体" w:hAnsi="宋体" w:cs="宋体"/>
          <w:b/>
          <w:color w:val="auto"/>
          <w:sz w:val="24"/>
          <w:highlight w:val="none"/>
        </w:rPr>
        <w:t>质保期服务</w:t>
      </w:r>
      <w:r>
        <w:rPr>
          <w:rFonts w:ascii="宋体" w:hAnsi="宋体" w:cs="宋体"/>
          <w:b/>
          <w:color w:val="auto"/>
          <w:sz w:val="24"/>
          <w:highlight w:val="none"/>
        </w:rPr>
        <w:t>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整个系统均不少于三年。（供应商可提供更优惠的保修期）。质保期从安装调试完毕</w:t>
      </w:r>
      <w:r>
        <w:rPr>
          <w:rFonts w:ascii="宋体" w:hAnsi="宋体" w:cs="宋体"/>
          <w:color w:val="auto"/>
          <w:sz w:val="24"/>
          <w:highlight w:val="none"/>
        </w:rPr>
        <w:t>，初验</w:t>
      </w:r>
      <w:r>
        <w:rPr>
          <w:rFonts w:hint="eastAsia" w:ascii="宋体" w:hAnsi="宋体" w:cs="宋体"/>
          <w:color w:val="auto"/>
          <w:sz w:val="24"/>
          <w:highlight w:val="none"/>
        </w:rPr>
        <w:t>合格之日开始计算。除非采购人另有要求，保修期内的服务均为免费上门服务。</w:t>
      </w:r>
    </w:p>
    <w:p>
      <w:pPr>
        <w:numPr>
          <w:ilvl w:val="0"/>
          <w:numId w:val="11"/>
        </w:numPr>
        <w:spacing w:line="440" w:lineRule="exact"/>
        <w:ind w:left="0" w:firstLine="482" w:firstLineChars="200"/>
        <w:rPr>
          <w:rFonts w:ascii="宋体" w:hAnsi="宋体" w:cs="宋体"/>
          <w:b/>
          <w:color w:val="auto"/>
          <w:sz w:val="24"/>
          <w:highlight w:val="none"/>
        </w:rPr>
      </w:pPr>
      <w:r>
        <w:rPr>
          <w:rFonts w:hint="eastAsia" w:ascii="宋体" w:hAnsi="宋体" w:cs="宋体"/>
          <w:b/>
          <w:color w:val="auto"/>
          <w:sz w:val="24"/>
          <w:highlight w:val="none"/>
        </w:rPr>
        <w:t>售后服务</w:t>
      </w:r>
      <w:r>
        <w:rPr>
          <w:rFonts w:ascii="宋体" w:hAnsi="宋体" w:cs="宋体"/>
          <w:b/>
          <w:color w:val="auto"/>
          <w:sz w:val="24"/>
          <w:highlight w:val="none"/>
        </w:rPr>
        <w:t>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中标人必须有可靠的售后服务保障，包括但不限于在玉环附近有固定的维修服务点，能提供正常的技术、备品备件服务。当发生故障时，中标人在接到采购单位通知后，</w:t>
      </w:r>
      <w:r>
        <w:rPr>
          <w:rFonts w:ascii="宋体" w:hAnsi="宋体" w:cs="宋体"/>
          <w:color w:val="auto"/>
          <w:sz w:val="24"/>
          <w:highlight w:val="none"/>
        </w:rPr>
        <w:t>玉环</w:t>
      </w:r>
      <w:r>
        <w:rPr>
          <w:rFonts w:hint="eastAsia" w:ascii="宋体" w:hAnsi="宋体" w:cs="宋体"/>
          <w:color w:val="auto"/>
          <w:sz w:val="24"/>
          <w:highlight w:val="none"/>
        </w:rPr>
        <w:t>及附近地区4小时内，外地8小时内派人赴现场处理设备质量问题。24小时内不能修复的，则无偿提供备机或备用零件供采购单位使用。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中标人服务维修人员均经过良好的系统技术培训，并有丰富的现场维修经验。</w:t>
      </w:r>
    </w:p>
    <w:p>
      <w:pPr>
        <w:spacing w:line="440" w:lineRule="exact"/>
        <w:ind w:firstLine="480" w:firstLineChars="200"/>
        <w:rPr>
          <w:color w:val="auto"/>
          <w:highlight w:val="none"/>
        </w:rPr>
      </w:pPr>
      <w:r>
        <w:rPr>
          <w:rFonts w:hint="eastAsia" w:ascii="宋体" w:hAnsi="宋体" w:cs="宋体"/>
          <w:color w:val="auto"/>
          <w:sz w:val="24"/>
          <w:highlight w:val="none"/>
        </w:rPr>
        <w:t>若中标人未能满足上述售后服务要求中的任何一条，采购</w:t>
      </w:r>
      <w:r>
        <w:rPr>
          <w:rFonts w:ascii="宋体" w:hAnsi="宋体" w:cs="宋体"/>
          <w:color w:val="auto"/>
          <w:sz w:val="24"/>
          <w:highlight w:val="none"/>
        </w:rPr>
        <w:t>人</w:t>
      </w:r>
      <w:r>
        <w:rPr>
          <w:rFonts w:hint="eastAsia" w:ascii="宋体" w:hAnsi="宋体" w:cs="宋体"/>
          <w:color w:val="auto"/>
          <w:sz w:val="24"/>
          <w:highlight w:val="none"/>
        </w:rPr>
        <w:t>有权委托第三方单位提供售后服务，由此产生的一切费用由中标人承担。</w:t>
      </w:r>
    </w:p>
    <w:p>
      <w:pPr>
        <w:numPr>
          <w:ilvl w:val="0"/>
          <w:numId w:val="11"/>
        </w:numPr>
        <w:spacing w:line="440" w:lineRule="exact"/>
        <w:ind w:left="0" w:firstLine="482" w:firstLineChars="200"/>
        <w:rPr>
          <w:rFonts w:ascii="宋体" w:hAnsi="宋体" w:cs="宋体"/>
          <w:b/>
          <w:color w:val="auto"/>
          <w:sz w:val="24"/>
          <w:highlight w:val="none"/>
        </w:rPr>
      </w:pPr>
      <w:r>
        <w:rPr>
          <w:rFonts w:hint="eastAsia" w:ascii="宋体" w:hAnsi="宋体" w:cs="宋体"/>
          <w:b/>
          <w:color w:val="auto"/>
          <w:sz w:val="24"/>
          <w:highlight w:val="none"/>
        </w:rPr>
        <w:t>培训服务</w:t>
      </w:r>
      <w:r>
        <w:rPr>
          <w:rFonts w:ascii="宋体" w:hAnsi="宋体" w:cs="宋体"/>
          <w:b/>
          <w:color w:val="auto"/>
          <w:sz w:val="24"/>
          <w:highlight w:val="none"/>
        </w:rPr>
        <w:t>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中标人必须向采购人提供培训，并应在进行培训之前向采购人提交一份培训计划。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中标人必须为所有培训人员提供培训用文字资料和讲义等相关用品。</w:t>
      </w:r>
    </w:p>
    <w:p>
      <w:pPr>
        <w:spacing w:line="440" w:lineRule="exact"/>
        <w:ind w:firstLine="480" w:firstLineChars="200"/>
        <w:rPr>
          <w:color w:val="auto"/>
          <w:highlight w:val="none"/>
        </w:rPr>
      </w:pPr>
      <w:r>
        <w:rPr>
          <w:rFonts w:hint="eastAsia" w:ascii="宋体" w:hAnsi="宋体" w:cs="宋体"/>
          <w:color w:val="auto"/>
          <w:sz w:val="24"/>
          <w:highlight w:val="none"/>
        </w:rPr>
        <w:t>中标人应按合同规定安排培训时间，培训名额由采购人提供。</w:t>
      </w:r>
    </w:p>
    <w:p>
      <w:pPr>
        <w:spacing w:line="360" w:lineRule="auto"/>
        <w:rPr>
          <w:rFonts w:asciiTheme="minorEastAsia" w:hAnsiTheme="minorEastAsia" w:eastAsiaTheme="minorEastAsia"/>
          <w:b/>
          <w:color w:val="auto"/>
          <w:sz w:val="24"/>
          <w:highlight w:val="none"/>
        </w:rPr>
      </w:pP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p>
      <w:pPr>
        <w:pStyle w:val="11"/>
        <w:snapToGrid w:val="0"/>
        <w:spacing w:line="360" w:lineRule="auto"/>
        <w:ind w:firstLine="482" w:firstLineChars="200"/>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1、质保期：</w:t>
      </w:r>
      <w:r>
        <w:rPr>
          <w:rFonts w:hint="eastAsia" w:hAnsi="宋体" w:cs="宋体"/>
          <w:color w:val="auto"/>
          <w:sz w:val="24"/>
          <w:highlight w:val="none"/>
        </w:rPr>
        <w:t>整个系统均不少于三年。（供应商可提供更优惠的保修期）。质保期从安装调试完毕</w:t>
      </w:r>
      <w:r>
        <w:rPr>
          <w:rFonts w:hAnsi="宋体" w:cs="宋体"/>
          <w:color w:val="auto"/>
          <w:sz w:val="24"/>
          <w:highlight w:val="none"/>
        </w:rPr>
        <w:t>，初验</w:t>
      </w:r>
      <w:r>
        <w:rPr>
          <w:rFonts w:hint="eastAsia" w:hAnsi="宋体" w:cs="宋体"/>
          <w:color w:val="auto"/>
          <w:sz w:val="24"/>
          <w:highlight w:val="none"/>
        </w:rPr>
        <w:t>合格之日开始计算。</w:t>
      </w:r>
    </w:p>
    <w:p>
      <w:pPr>
        <w:pStyle w:val="11"/>
        <w:snapToGrid w:val="0"/>
        <w:spacing w:line="360" w:lineRule="auto"/>
        <w:ind w:firstLine="482" w:firstLineChars="200"/>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2、交货时间及地点：</w:t>
      </w:r>
      <w:r>
        <w:rPr>
          <w:rFonts w:hint="eastAsia" w:asciiTheme="minorEastAsia" w:hAnsiTheme="minorEastAsia" w:eastAsiaTheme="minorEastAsia"/>
          <w:color w:val="auto"/>
          <w:kern w:val="0"/>
          <w:sz w:val="24"/>
          <w:highlight w:val="none"/>
        </w:rPr>
        <w:t>同前面“招标项目一览表”内所填的相关内容。</w:t>
      </w:r>
    </w:p>
    <w:p>
      <w:pPr>
        <w:pStyle w:val="11"/>
        <w:snapToGrid w:val="0"/>
        <w:spacing w:line="360" w:lineRule="auto"/>
        <w:ind w:firstLine="482" w:firstLineChars="200"/>
        <w:outlineLvl w:val="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3、付款条件：</w:t>
      </w:r>
    </w:p>
    <w:p>
      <w:pPr>
        <w:pStyle w:val="11"/>
        <w:snapToGrid w:val="0"/>
        <w:spacing w:line="360" w:lineRule="auto"/>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第一期：</w:t>
      </w:r>
      <w:r>
        <w:rPr>
          <w:rFonts w:hint="eastAsia" w:hAnsi="宋体" w:cs="宋体"/>
          <w:color w:val="auto"/>
          <w:sz w:val="24"/>
          <w:highlight w:val="none"/>
        </w:rPr>
        <w:t>合同签订前，中标供应商需向采购人递交中标金额5%的履约保证金。</w:t>
      </w:r>
      <w:r>
        <w:rPr>
          <w:rFonts w:hint="eastAsia" w:asciiTheme="minorEastAsia" w:hAnsiTheme="minorEastAsia" w:eastAsiaTheme="minorEastAsia"/>
          <w:color w:val="auto"/>
          <w:kern w:val="0"/>
          <w:sz w:val="24"/>
          <w:highlight w:val="none"/>
        </w:rPr>
        <w:t>签订合同后7个工作日内，支付合同总金额的30%；</w:t>
      </w:r>
    </w:p>
    <w:p>
      <w:pPr>
        <w:pStyle w:val="11"/>
        <w:snapToGrid w:val="0"/>
        <w:spacing w:line="360" w:lineRule="auto"/>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第二期：硬件设备到货后7个工作日内，支付合同总金额的30%；</w:t>
      </w:r>
    </w:p>
    <w:p>
      <w:pPr>
        <w:pStyle w:val="11"/>
        <w:snapToGrid w:val="0"/>
        <w:spacing w:line="360" w:lineRule="auto"/>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第三期：项目初验后7个工作日内，支付合同总金额的20%；并退还5%的履约保证金。</w:t>
      </w:r>
    </w:p>
    <w:p>
      <w:pPr>
        <w:pStyle w:val="11"/>
        <w:snapToGrid w:val="0"/>
        <w:spacing w:line="360" w:lineRule="auto"/>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第四期：通过项目竣工验收后7个工作日内，支付合同总金额的15%；</w:t>
      </w:r>
    </w:p>
    <w:p>
      <w:pPr>
        <w:pStyle w:val="11"/>
        <w:snapToGrid w:val="0"/>
        <w:spacing w:line="360" w:lineRule="auto"/>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第五期：三年质保期满，支付合同总金额的5%。</w:t>
      </w:r>
    </w:p>
    <w:p>
      <w:pPr>
        <w:autoSpaceDE w:val="0"/>
        <w:autoSpaceDN w:val="0"/>
        <w:adjustRightIn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四、相关说明</w:t>
      </w:r>
    </w:p>
    <w:p>
      <w:pPr>
        <w:autoSpaceDE w:val="0"/>
        <w:autoSpaceDN w:val="0"/>
        <w:adjustRightInd w:val="0"/>
        <w:snapToGrid w:val="0"/>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color w:val="auto"/>
          <w:sz w:val="24"/>
          <w:highlight w:val="none"/>
        </w:rPr>
        <w:t>电子文件与纸质文件有出入的，以纸质为准。</w:t>
      </w:r>
    </w:p>
    <w:p>
      <w:pPr>
        <w:autoSpaceDE w:val="0"/>
        <w:autoSpaceDN w:val="0"/>
        <w:adjustRightInd w:val="0"/>
        <w:snapToGrid w:val="0"/>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color w:val="auto"/>
          <w:sz w:val="24"/>
          <w:highlight w:val="none"/>
        </w:rPr>
        <w:t>、现场勘察：投标人自行勘点，费用自理。</w:t>
      </w:r>
    </w:p>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snapToGrid w:val="0"/>
        <w:spacing w:before="156" w:beforeLines="50" w:after="156" w:afterLines="50"/>
        <w:jc w:val="center"/>
        <w:rPr>
          <w:rFonts w:ascii="宋体" w:hAnsi="宋体"/>
          <w:b/>
          <w:color w:val="auto"/>
          <w:sz w:val="36"/>
          <w:szCs w:val="36"/>
          <w:highlight w:val="none"/>
        </w:rPr>
      </w:pPr>
      <w:r>
        <w:rPr>
          <w:rFonts w:hint="eastAsia" w:ascii="宋体" w:hAnsi="宋体"/>
          <w:b/>
          <w:color w:val="auto"/>
          <w:sz w:val="36"/>
          <w:szCs w:val="36"/>
          <w:highlight w:val="none"/>
        </w:rPr>
        <w:t>货物类</w:t>
      </w:r>
    </w:p>
    <w:p>
      <w:pPr>
        <w:widowControl/>
        <w:shd w:val="clear" w:color="auto" w:fill="FFFFFF"/>
        <w:spacing w:after="150" w:line="360" w:lineRule="auto"/>
        <w:ind w:firstLine="48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pPr>
        <w:pStyle w:val="11"/>
        <w:snapToGrid w:val="0"/>
        <w:spacing w:before="120" w:after="120"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1"/>
        <w:snapToGrid w:val="0"/>
        <w:spacing w:before="120" w:after="120"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Theme="minorEastAsia" w:hAnsiTheme="minorEastAsia" w:eastAsiaTheme="minorEastAsia"/>
          <w:color w:val="auto"/>
          <w:sz w:val="24"/>
          <w:highlight w:val="none"/>
        </w:rPr>
        <w:t>关于</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单位</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项目公开招标的结果，签署本合同。</w:t>
      </w:r>
    </w:p>
    <w:p>
      <w:pPr>
        <w:spacing w:line="360" w:lineRule="auto"/>
        <w:rPr>
          <w:rFonts w:ascii="宋体"/>
          <w:color w:val="auto"/>
          <w:sz w:val="24"/>
          <w:highlight w:val="none"/>
          <w:lang w:val="zh-CN"/>
        </w:rPr>
      </w:pPr>
      <w:r>
        <w:rPr>
          <w:rFonts w:hint="eastAsia" w:ascii="宋体"/>
          <w:color w:val="auto"/>
          <w:sz w:val="24"/>
          <w:highlight w:val="none"/>
          <w:lang w:val="zh-CN"/>
        </w:rPr>
        <w:t xml:space="preserve">一、合同文件： </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2.中标通知书。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4.招标文件。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5.中标供应商投标文件。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6.其他。</w:t>
      </w:r>
    </w:p>
    <w:p>
      <w:pPr>
        <w:pStyle w:val="11"/>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 货物名称：</w:t>
      </w:r>
    </w:p>
    <w:p>
      <w:pPr>
        <w:pStyle w:val="11"/>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型号规格：</w:t>
      </w:r>
    </w:p>
    <w:p>
      <w:pPr>
        <w:pStyle w:val="11"/>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 技术参数：</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数量（单位）：</w:t>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本合同金额为（大写）：____________________________________元（￥_______________元）人民币。</w:t>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乙方应按招标文件规定的时间向甲方提供使用货物的有关技术资料。</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412" w:hanging="412" w:hangingChars="17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pPr>
        <w:pStyle w:val="11"/>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乙方应保证所提供的货物或其任何一部分均不会侵犯任何第三方的知识产权。</w:t>
      </w:r>
    </w:p>
    <w:p>
      <w:pPr>
        <w:pStyle w:val="11"/>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2.若侵犯,由乙方赔偿甲方因此遭受的损失（包括但不限于应对及追偿过程中所支付的律师费、差旅费、诉讼费、保全费、鉴定费、评估费等）。</w:t>
      </w:r>
    </w:p>
    <w:p>
      <w:pPr>
        <w:pStyle w:val="11"/>
        <w:snapToGrid w:val="0"/>
        <w:spacing w:before="120" w:after="120"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pPr>
        <w:pStyle w:val="11"/>
        <w:snapToGrid w:val="0"/>
        <w:spacing w:before="120" w:after="120" w:line="360" w:lineRule="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pPr>
        <w:pStyle w:val="11"/>
        <w:snapToGrid w:val="0"/>
        <w:spacing w:before="120" w:after="120" w:line="360" w:lineRule="auto"/>
        <w:ind w:left="410" w:hanging="410" w:hangingChars="17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本项目履约保证金为合同金额的</w:t>
      </w:r>
      <w:r>
        <w:rPr>
          <w:rFonts w:asciiTheme="minorEastAsia" w:hAnsiTheme="minorEastAsia" w:eastAsiaTheme="minorEastAsia" w:cstheme="minorBidi"/>
          <w:color w:val="auto"/>
          <w:sz w:val="24"/>
          <w:highlight w:val="none"/>
        </w:rPr>
        <w:t>____</w:t>
      </w:r>
      <w:r>
        <w:rPr>
          <w:rFonts w:hint="eastAsia" w:asciiTheme="minorEastAsia" w:hAnsiTheme="minorEastAsia" w:eastAsiaTheme="minorEastAsia" w:cstheme="minorBidi"/>
          <w:color w:val="auto"/>
          <w:sz w:val="24"/>
          <w:highlight w:val="none"/>
        </w:rPr>
        <w:t>%。</w:t>
      </w:r>
      <w:r>
        <w:rPr>
          <w:rFonts w:hint="eastAsia" w:asciiTheme="minorEastAsia" w:hAnsiTheme="minorEastAsia" w:eastAsiaTheme="minorEastAsia" w:cstheme="minorBidi"/>
          <w:color w:val="auto"/>
          <w:sz w:val="24"/>
          <w:highlight w:val="none"/>
          <w:lang w:val="zh-CN"/>
        </w:rPr>
        <w:t>[履约保证金交至采购人处，在合同约定交货验收合格满（</w:t>
      </w:r>
      <w:r>
        <w:rPr>
          <w:rFonts w:hint="eastAsia" w:asciiTheme="minorEastAsia" w:hAnsiTheme="minorEastAsia" w:eastAsiaTheme="minorEastAsia" w:cstheme="minorBidi"/>
          <w:color w:val="auto"/>
          <w:sz w:val="24"/>
          <w:highlight w:val="none"/>
        </w:rPr>
        <w:t xml:space="preserve"> </w:t>
      </w:r>
      <w:r>
        <w:rPr>
          <w:rFonts w:hint="eastAsia" w:asciiTheme="minorEastAsia" w:hAnsiTheme="minorEastAsia" w:eastAsiaTheme="minorEastAsia" w:cstheme="minorBidi"/>
          <w:color w:val="auto"/>
          <w:sz w:val="24"/>
          <w:highlight w:val="none"/>
          <w:lang w:val="zh-CN"/>
        </w:rPr>
        <w:t>）个月之日起5个工作日内无息退还]</w:t>
      </w:r>
    </w:p>
    <w:p>
      <w:pPr>
        <w:pStyle w:val="11"/>
        <w:snapToGrid w:val="0"/>
        <w:spacing w:before="120" w:after="120" w:line="360" w:lineRule="auto"/>
        <w:ind w:left="410" w:hanging="410" w:hangingChars="17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pPr>
        <w:snapToGrid w:val="0"/>
        <w:spacing w:before="156" w:beforeLines="50" w:after="156" w:afterLines="5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pPr>
        <w:snapToGrid w:val="0"/>
        <w:spacing w:before="156" w:beforeLines="50" w:after="156" w:afterLines="5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pPr>
        <w:pStyle w:val="11"/>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、质保期</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质保期</w:t>
      </w:r>
      <w:r>
        <w:rPr>
          <w:rFonts w:hAnsi="宋体" w:cs="Times New Roman"/>
          <w:color w:val="auto"/>
          <w:sz w:val="24"/>
          <w:highlight w:val="none"/>
        </w:rPr>
        <w:t>___</w:t>
      </w:r>
      <w:r>
        <w:rPr>
          <w:rFonts w:asciiTheme="minorEastAsia" w:hAnsiTheme="minorEastAsia" w:eastAsiaTheme="minorEastAsia"/>
          <w:color w:val="auto"/>
          <w:sz w:val="24"/>
          <w:highlight w:val="none"/>
        </w:rPr>
        <w:t>年。（自交货验收合格之日起计）</w:t>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、交货期、交货方式及交货地点</w:t>
      </w:r>
    </w:p>
    <w:p>
      <w:pPr>
        <w:pStyle w:val="11"/>
        <w:snapToGrid w:val="0"/>
        <w:spacing w:before="120" w:after="120" w:line="360" w:lineRule="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 xml:space="preserve"> 交货期：</w:t>
      </w:r>
    </w:p>
    <w:p>
      <w:pPr>
        <w:pStyle w:val="11"/>
        <w:snapToGrid w:val="0"/>
        <w:spacing w:before="120" w:after="120" w:line="360" w:lineRule="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 xml:space="preserve"> 交货方式：</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Cs/>
          <w:color w:val="auto"/>
          <w:sz w:val="24"/>
          <w:highlight w:val="none"/>
        </w:rPr>
        <w:t>3</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 xml:space="preserve"> 交货地点：</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、货款支付</w:t>
      </w:r>
    </w:p>
    <w:p>
      <w:pPr>
        <w:pStyle w:val="11"/>
        <w:snapToGrid w:val="0"/>
        <w:spacing w:before="120" w:after="120" w:line="360" w:lineRule="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付款方式：</w:t>
      </w:r>
    </w:p>
    <w:p>
      <w:pPr>
        <w:pStyle w:val="11"/>
        <w:snapToGrid w:val="0"/>
        <w:spacing w:line="360" w:lineRule="auto"/>
        <w:rPr>
          <w:rFonts w:asciiTheme="minorEastAsia" w:hAnsiTheme="minorEastAsia" w:eastAsiaTheme="minorEastAsia"/>
          <w:bCs/>
          <w:color w:val="auto"/>
          <w:sz w:val="24"/>
          <w:highlight w:val="none"/>
        </w:rPr>
      </w:pPr>
      <w:r>
        <w:rPr>
          <w:rFonts w:hint="eastAsia" w:hAnsi="Times New Roman"/>
          <w:color w:val="auto"/>
          <w:sz w:val="24"/>
          <w:highlight w:val="none"/>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十二、税费</w:t>
      </w:r>
    </w:p>
    <w:p>
      <w:pPr>
        <w:snapToGrid w:val="0"/>
        <w:spacing w:before="156" w:beforeLines="50" w:after="156" w:afterLines="5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w:t>
      </w:r>
    </w:p>
    <w:p>
      <w:pPr>
        <w:pStyle w:val="11"/>
        <w:snapToGrid w:val="0"/>
        <w:spacing w:before="120" w:after="120" w:line="360" w:lineRule="auto"/>
        <w:ind w:left="412" w:hanging="412" w:hangingChars="171"/>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、质量保证及售后服务</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乙方应按招标文件规定的货物性能、技术要求、质量标准向甲方提供未经使用的全新产品。</w:t>
      </w:r>
    </w:p>
    <w:p>
      <w:pPr>
        <w:pStyle w:val="11"/>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期内因货物本身的质量问题发生故障，乙方应负责免费更换。对达不到技术要求者，根据实际情况，经双方协商，可按以下办法处理：</w:t>
      </w:r>
    </w:p>
    <w:p>
      <w:pPr>
        <w:pStyle w:val="11"/>
        <w:snapToGrid w:val="0"/>
        <w:spacing w:before="120" w:after="120" w:line="360" w:lineRule="auto"/>
        <w:ind w:firstLine="42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⑴更换：由乙方承担所发生的全部费用。</w:t>
      </w:r>
    </w:p>
    <w:p>
      <w:pPr>
        <w:pStyle w:val="11"/>
        <w:snapToGrid w:val="0"/>
        <w:spacing w:before="120" w:after="120" w:line="360" w:lineRule="auto"/>
        <w:ind w:firstLine="42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⑵贬值处理：由甲乙双方合议定价。</w:t>
      </w:r>
    </w:p>
    <w:p>
      <w:pPr>
        <w:pStyle w:val="11"/>
        <w:snapToGrid w:val="0"/>
        <w:spacing w:before="120" w:after="120" w:line="360" w:lineRule="auto"/>
        <w:ind w:left="420" w:left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⑶退货处理：乙方应退还甲方支付的合同款，同时应承担该货物的直接费用（运输、保险、检验、货款利息及银行手续费等）。</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如在使用过程中发生质量问题，乙方在接到甲方通知后在</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小时内到达甲方</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现场。</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在质保期内，乙方应对货物出现的质量及安全问题负责处理解决并承担一切</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费用。</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上述的货物免费保修期为年，因人为因素出现的故障不在免费保修范围</w:t>
      </w:r>
    </w:p>
    <w:p>
      <w:pPr>
        <w:pStyle w:val="11"/>
        <w:snapToGrid w:val="0"/>
        <w:spacing w:before="120" w:after="120" w:line="360" w:lineRule="auto"/>
        <w:ind w:firstLine="240" w:firstLineChars="1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内。超过保修期的机器设备，终生维修，维修时只收部件成本费。</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、调试和验收</w:t>
      </w:r>
    </w:p>
    <w:p>
      <w:pPr>
        <w:pStyle w:val="11"/>
        <w:snapToGrid w:val="0"/>
        <w:spacing w:before="120" w:after="120"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甲方对乙方提交的货物依据招标文件上的技术规格要求和国家有关质量标准</w:t>
      </w:r>
    </w:p>
    <w:p>
      <w:pPr>
        <w:pStyle w:val="11"/>
        <w:snapToGrid w:val="0"/>
        <w:spacing w:before="120" w:after="120" w:line="360" w:lineRule="auto"/>
        <w:ind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进行现场初步验收，外观、说明书符合招标文件技术要求的，给予签收，初</w:t>
      </w:r>
    </w:p>
    <w:p>
      <w:pPr>
        <w:pStyle w:val="11"/>
        <w:snapToGrid w:val="0"/>
        <w:spacing w:before="120" w:after="120" w:line="360" w:lineRule="auto"/>
        <w:ind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步验收不合格的不予签收。货到后，甲方需在</w:t>
      </w:r>
      <w:r>
        <w:rPr>
          <w:rFonts w:hint="eastAsia" w:asciiTheme="minorEastAsia" w:hAnsiTheme="minorEastAsia" w:eastAsiaTheme="minorEastAsia"/>
          <w:color w:val="auto"/>
          <w:sz w:val="24"/>
          <w:highlight w:val="none"/>
          <w:u w:val="single"/>
        </w:rPr>
        <w:t>五</w:t>
      </w:r>
      <w:r>
        <w:rPr>
          <w:rFonts w:hint="eastAsia" w:asciiTheme="minorEastAsia" w:hAnsiTheme="minorEastAsia" w:eastAsiaTheme="minorEastAsia"/>
          <w:color w:val="auto"/>
          <w:sz w:val="24"/>
          <w:highlight w:val="none"/>
        </w:rPr>
        <w:t>个</w:t>
      </w:r>
      <w:r>
        <w:rPr>
          <w:rFonts w:asciiTheme="minorEastAsia" w:hAnsiTheme="minorEastAsia" w:eastAsiaTheme="minorEastAsia"/>
          <w:color w:val="auto"/>
          <w:sz w:val="24"/>
          <w:highlight w:val="none"/>
        </w:rPr>
        <w:t>工作日内验收。</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乙方交货前应对产品作出全面检查和对验收文件进行整理，并列出清单，作</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为甲方收货验收和使用的技术条件依据，检验的结果应随货物交甲方。</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甲方对乙方提供的货物在使用前进行调试时，乙方需负责安装并培训甲方的</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使用操作人员，并协助甲方一起调试，直到符合技术要求，甲方才做最终验</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收。</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对技术复杂的货物，甲方应请国家认可的专业检测机构参与初步验收及最终</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验收，并由其出具质量检测报告。</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验收时乙方必须在现场，验收完毕后作出验收结果报告；验收费用由</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方负</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责。</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、货物包装、发运及运输</w:t>
      </w:r>
    </w:p>
    <w:p>
      <w:pPr>
        <w:pStyle w:val="11"/>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乙方应在货物发运前对其进行满足运输距离、防潮、防震、防锈和防破损装卸等要求包装，以保证货物安全运达甲方指定地点。</w:t>
      </w:r>
    </w:p>
    <w:p>
      <w:pPr>
        <w:pStyle w:val="11"/>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使用说明书、质量检验证明书、随配附件和工具以及清单一并附于货物内。</w:t>
      </w:r>
    </w:p>
    <w:p>
      <w:pPr>
        <w:pStyle w:val="11"/>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乙方在货物发运手续办理完毕后24小时内或货到甲方48小时前通知甲方，以准备接货。</w:t>
      </w:r>
    </w:p>
    <w:p>
      <w:pPr>
        <w:pStyle w:val="11"/>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货物在交付甲方前发生的风险均由乙方负责。</w:t>
      </w:r>
    </w:p>
    <w:p>
      <w:pPr>
        <w:pStyle w:val="11"/>
        <w:snapToGrid w:val="0"/>
        <w:spacing w:line="360" w:lineRule="auto"/>
        <w:ind w:left="480" w:right="26"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货物在规定的交付期限内由乙方送达甲方指定的地点视为交付，乙方同时需</w:t>
      </w:r>
    </w:p>
    <w:p>
      <w:pPr>
        <w:pStyle w:val="11"/>
        <w:snapToGrid w:val="0"/>
        <w:spacing w:line="360" w:lineRule="auto"/>
        <w:ind w:left="479" w:leftChars="171" w:right="26" w:hanging="120" w:hangingChars="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通知甲方货物已送达。</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、违约责任</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甲方无正当理由拒收货物的，甲方向乙方偿付拒收货款总值的</w:t>
      </w:r>
      <w:r>
        <w:rPr>
          <w:rFonts w:asciiTheme="minorEastAsia" w:hAnsiTheme="minorEastAsia" w:eastAsiaTheme="minorEastAsia"/>
          <w:color w:val="auto"/>
          <w:sz w:val="24"/>
          <w:highlight w:val="none"/>
          <w:u w:val="single"/>
        </w:rPr>
        <w:t>百分之五</w:t>
      </w:r>
      <w:r>
        <w:rPr>
          <w:rFonts w:asciiTheme="minorEastAsia" w:hAnsiTheme="minorEastAsia" w:eastAsiaTheme="minorEastAsia"/>
          <w:color w:val="auto"/>
          <w:sz w:val="24"/>
          <w:highlight w:val="none"/>
        </w:rPr>
        <w:t>违约金。</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甲方无故逾期验收和办理货款支付手续的,甲方应按逾期付款总额每日</w:t>
      </w:r>
      <w:r>
        <w:rPr>
          <w:rFonts w:asciiTheme="minorEastAsia" w:hAnsiTheme="minorEastAsia" w:eastAsiaTheme="minorEastAsia"/>
          <w:color w:val="auto"/>
          <w:sz w:val="24"/>
          <w:highlight w:val="none"/>
          <w:u w:val="single"/>
        </w:rPr>
        <w:t>万分之五</w:t>
      </w:r>
      <w:r>
        <w:rPr>
          <w:rFonts w:asciiTheme="minorEastAsia" w:hAnsiTheme="minorEastAsia" w:eastAsiaTheme="minorEastAsia"/>
          <w:color w:val="auto"/>
          <w:sz w:val="24"/>
          <w:highlight w:val="none"/>
        </w:rPr>
        <w:t>向乙方支付违约金。</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乙方逾期交付货物的，乙方应按逾期交货总额每日</w:t>
      </w:r>
      <w:r>
        <w:rPr>
          <w:rFonts w:asciiTheme="minorEastAsia" w:hAnsiTheme="minorEastAsia" w:eastAsiaTheme="minorEastAsia"/>
          <w:color w:val="auto"/>
          <w:sz w:val="24"/>
          <w:highlight w:val="none"/>
          <w:u w:val="single"/>
        </w:rPr>
        <w:t>千分之六</w:t>
      </w:r>
      <w:r>
        <w:rPr>
          <w:rFonts w:asciiTheme="minorEastAsia" w:hAnsiTheme="minorEastAsia" w:eastAsiaTheme="minorEastAsia"/>
          <w:color w:val="auto"/>
          <w:sz w:val="24"/>
          <w:highlight w:val="none"/>
        </w:rPr>
        <w:t>向甲方支付违约金，由甲方从待付货款中扣除。逾期超过约定日期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5.若发生纠纷，由违约方赔偿守约方因纠纷所支付的费用（包括但不限于律师费、差旅费、诉讼费、保全费、鉴定费、评估费等）</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、不可抗力事件处理</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在合同有效期内，任何一方因不可抗力事件导致不能履行合同，则合同履行</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期可延长，其延长期与不可抗力影响期相同。</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不可抗力事件发生后，应立即通知对方，并寄送有关权威机构出具的证明。</w:t>
      </w:r>
    </w:p>
    <w:p>
      <w:pPr>
        <w:pStyle w:val="11"/>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不可抗力事件延续120天以上，双方应通过友好协商，确定是否继续履行合</w:t>
      </w:r>
    </w:p>
    <w:p>
      <w:pPr>
        <w:pStyle w:val="11"/>
        <w:snapToGrid w:val="0"/>
        <w:spacing w:before="120" w:after="120" w:line="360" w:lineRule="auto"/>
        <w:ind w:firstLine="360" w:firstLineChars="1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同。</w:t>
      </w:r>
    </w:p>
    <w:p>
      <w:pPr>
        <w:pStyle w:val="11"/>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pPr>
        <w:widowControl/>
        <w:spacing w:line="360" w:lineRule="auto"/>
        <w:jc w:val="left"/>
        <w:rPr>
          <w:color w:val="auto"/>
          <w:sz w:val="24"/>
          <w:highlight w:val="none"/>
        </w:rPr>
      </w:pPr>
      <w:r>
        <w:rPr>
          <w:rFonts w:hint="eastAsia" w:ascii="宋体" w:hAnsi="宋体" w:cs="宋体"/>
          <w:color w:val="auto"/>
          <w:kern w:val="0"/>
          <w:sz w:val="24"/>
          <w:highlight w:val="none"/>
        </w:rPr>
        <w:t xml:space="preserve">1. </w:t>
      </w:r>
      <w:r>
        <w:rPr>
          <w:rFonts w:ascii="宋体" w:hAnsi="宋体" w:cs="宋体"/>
          <w:color w:val="auto"/>
          <w:kern w:val="0"/>
          <w:sz w:val="24"/>
          <w:highlight w:val="none"/>
        </w:rPr>
        <w:t>如双方在履行合同时发生纠纷，应协商解决；协商不成时，可提请政府采购管理部门调解；调解不成的通过以下方式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解决：</w:t>
      </w:r>
      <w:r>
        <w:rPr>
          <w:rFonts w:ascii="宋体" w:hAnsi="宋体" w:cs="宋体"/>
          <w:color w:val="auto"/>
          <w:kern w:val="0"/>
          <w:sz w:val="24"/>
          <w:highlight w:val="none"/>
        </w:rPr>
        <w:br w:type="textWrapping"/>
      </w:r>
      <w:r>
        <w:rPr>
          <w:rFonts w:ascii="宋体" w:hAnsi="宋体" w:cs="宋体"/>
          <w:color w:val="auto"/>
          <w:kern w:val="0"/>
          <w:sz w:val="24"/>
          <w:highlight w:val="none"/>
        </w:rPr>
        <w:t>（1） 提交</w:t>
      </w:r>
      <w:r>
        <w:rPr>
          <w:rFonts w:hAnsi="宋体"/>
          <w:color w:val="auto"/>
          <w:sz w:val="24"/>
          <w:highlight w:val="none"/>
          <w:u w:val="single"/>
        </w:rPr>
        <w:t>台州</w:t>
      </w:r>
      <w:r>
        <w:rPr>
          <w:rFonts w:ascii="宋体" w:hAnsi="宋体" w:cs="宋体"/>
          <w:color w:val="auto"/>
          <w:kern w:val="0"/>
          <w:sz w:val="24"/>
          <w:highlight w:val="none"/>
        </w:rPr>
        <w:t>仲裁委员会仲裁。</w:t>
      </w:r>
      <w:r>
        <w:rPr>
          <w:rFonts w:ascii="宋体" w:hAnsi="宋体" w:cs="宋体"/>
          <w:color w:val="auto"/>
          <w:kern w:val="0"/>
          <w:sz w:val="24"/>
          <w:highlight w:val="none"/>
        </w:rPr>
        <w:br w:type="textWrapping"/>
      </w:r>
      <w:r>
        <w:rPr>
          <w:rFonts w:ascii="宋体" w:hAnsi="宋体" w:cs="宋体"/>
          <w:color w:val="auto"/>
          <w:kern w:val="0"/>
          <w:sz w:val="24"/>
          <w:highlight w:val="none"/>
        </w:rPr>
        <w:t xml:space="preserve">（2） 依法向人民法院提起诉讼。 </w:t>
      </w:r>
    </w:p>
    <w:p>
      <w:pPr>
        <w:pStyle w:val="11"/>
        <w:tabs>
          <w:tab w:val="left" w:pos="5790"/>
        </w:tabs>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pPr>
        <w:pStyle w:val="8"/>
        <w:widowControl/>
        <w:spacing w:line="360" w:lineRule="auto"/>
        <w:ind w:right="-88"/>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 合同经双方法定代表人或授权代表</w:t>
      </w:r>
      <w:r>
        <w:rPr>
          <w:rFonts w:hint="eastAsia" w:asciiTheme="minorEastAsia" w:hAnsiTheme="minorEastAsia" w:eastAsiaTheme="minorEastAsia"/>
          <w:color w:val="auto"/>
          <w:highlight w:val="none"/>
        </w:rPr>
        <w:t>签字</w:t>
      </w:r>
      <w:r>
        <w:rPr>
          <w:rFonts w:asciiTheme="minorEastAsia" w:hAnsiTheme="minorEastAsia" w:eastAsiaTheme="minorEastAsia"/>
          <w:color w:val="auto"/>
          <w:highlight w:val="none"/>
        </w:rPr>
        <w:t>并加盖单位公章后生效。</w:t>
      </w:r>
    </w:p>
    <w:p>
      <w:pPr>
        <w:pStyle w:val="8"/>
        <w:widowControl/>
        <w:spacing w:line="360" w:lineRule="auto"/>
        <w:ind w:right="-8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 </w:t>
      </w:r>
      <w:r>
        <w:rPr>
          <w:rFonts w:asciiTheme="minorEastAsia" w:hAnsiTheme="minorEastAsia" w:eastAsiaTheme="minorEastAsia"/>
          <w:color w:val="auto"/>
          <w:highlight w:val="none"/>
        </w:rPr>
        <w:t>本合同未尽事宜，遵照《合同法》有关条文执行。</w:t>
      </w:r>
    </w:p>
    <w:p>
      <w:pPr>
        <w:pStyle w:val="8"/>
        <w:widowControl/>
        <w:spacing w:line="360" w:lineRule="auto"/>
        <w:ind w:right="-8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 本合同一式四份。甲、乙双方各执一份，</w:t>
      </w:r>
      <w:r>
        <w:rPr>
          <w:rFonts w:hint="eastAsia" w:ascii="宋体" w:hAnsi="宋体"/>
          <w:color w:val="auto"/>
          <w:highlight w:val="none"/>
        </w:rPr>
        <w:t>采购组织机构及同级人民政府财政部门各执一份</w:t>
      </w:r>
      <w:r>
        <w:rPr>
          <w:rFonts w:hint="eastAsia" w:asciiTheme="minorEastAsia" w:hAnsiTheme="minorEastAsia" w:eastAsiaTheme="minorEastAsia"/>
          <w:color w:val="auto"/>
          <w:highlight w:val="none"/>
        </w:rPr>
        <w:t>。本项目未尽事宜以招标文件、投标文件及澄清文件等为准。</w:t>
      </w:r>
    </w:p>
    <w:p>
      <w:pPr>
        <w:widowControl/>
        <w:spacing w:line="360" w:lineRule="auto"/>
        <w:rPr>
          <w:rFonts w:asciiTheme="minorEastAsia" w:hAnsiTheme="minorEastAsia" w:eastAsiaTheme="minorEastAsia"/>
          <w:b/>
          <w:color w:val="auto"/>
          <w:sz w:val="24"/>
          <w:highlight w:val="none"/>
        </w:rPr>
      </w:pPr>
    </w:p>
    <w:p>
      <w:pPr>
        <w:widowControl/>
        <w:spacing w:line="360" w:lineRule="auto"/>
        <w:rPr>
          <w:rFonts w:asciiTheme="minorEastAsia" w:hAnsiTheme="minorEastAsia" w:eastAsiaTheme="minorEastAsia"/>
          <w:b/>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帐号：                                           帐号：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pPr>
        <w:spacing w:line="360" w:lineRule="auto"/>
        <w:rPr>
          <w:rFonts w:asciiTheme="minorEastAsia" w:hAnsiTheme="minorEastAsia" w:eastAsiaTheme="minorEastAsia"/>
          <w:color w:val="auto"/>
          <w:sz w:val="24"/>
          <w:highlight w:val="none"/>
        </w:rPr>
      </w:pPr>
    </w:p>
    <w:p>
      <w:pPr>
        <w:spacing w:line="360" w:lineRule="auto"/>
        <w:ind w:firstLine="4920" w:firstLineChars="20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    年   月    日</w:t>
      </w:r>
    </w:p>
    <w:p>
      <w:pPr>
        <w:spacing w:line="360" w:lineRule="auto"/>
        <w:rPr>
          <w:rFonts w:asciiTheme="minorEastAsia" w:hAnsiTheme="minorEastAsia" w:eastAsiaTheme="minorEastAsia"/>
          <w:color w:val="auto"/>
          <w:sz w:val="24"/>
          <w:highlight w:val="none"/>
        </w:rPr>
      </w:pPr>
    </w:p>
    <w:p>
      <w:pPr>
        <w:rPr>
          <w:color w:val="auto"/>
          <w:highlight w:val="none"/>
        </w:rPr>
      </w:pPr>
    </w:p>
    <w:p>
      <w:pPr>
        <w:pStyle w:val="2"/>
        <w:rPr>
          <w:color w:val="auto"/>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2"/>
        <w:rPr>
          <w:rFonts w:hint="eastAsia" w:eastAsia="仿宋_GB2312"/>
          <w:color w:val="auto"/>
          <w:highlight w:val="none"/>
          <w:lang w:eastAsia="zh-CN"/>
        </w:rPr>
      </w:pPr>
      <w:r>
        <w:rPr>
          <w:rFonts w:hint="eastAsia" w:ascii="宋体" w:hAnsi="宋体"/>
          <w:b/>
          <w:bCs/>
          <w:color w:val="auto"/>
          <w:sz w:val="36"/>
          <w:szCs w:val="36"/>
          <w:highlight w:val="none"/>
          <w:lang w:eastAsia="zh-CN"/>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12"/>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12"/>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12"/>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hint="eastAsia" w:ascii="宋体" w:hAnsi="宋体" w:eastAsia="宋体"/>
          <w:color w:val="auto"/>
          <w:kern w:val="0"/>
          <w:sz w:val="28"/>
          <w:szCs w:val="28"/>
          <w:highlight w:val="none"/>
          <w:lang w:eastAsia="zh-CN"/>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2"/>
        <w:rPr>
          <w:color w:val="auto"/>
          <w:highlight w:val="none"/>
        </w:rPr>
      </w:pPr>
      <w:r>
        <w:rPr>
          <w:rFonts w:hint="eastAsia" w:ascii="宋体" w:hAnsi="宋体"/>
          <w:b/>
          <w:bCs/>
          <w:color w:val="auto"/>
          <w:sz w:val="36"/>
          <w:szCs w:val="36"/>
          <w:highlight w:val="none"/>
          <w:lang w:eastAsia="zh-CN"/>
        </w:rPr>
        <w:t>（仅供参考）</w:t>
      </w:r>
    </w:p>
    <w:p>
      <w:pPr>
        <w:snapToGrid w:val="0"/>
        <w:spacing w:line="360" w:lineRule="auto"/>
        <w:rPr>
          <w:rFonts w:ascii="宋体" w:hAnsi="宋体"/>
          <w:color w:val="auto"/>
          <w:sz w:val="24"/>
          <w:highlight w:val="none"/>
        </w:rPr>
      </w:pP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总体设计方案描述部分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2、总体设计方案描述；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可视情选用附件6、附件7</w:t>
      </w:r>
      <w:r>
        <w:rPr>
          <w:rFonts w:hint="eastAsia" w:ascii="宋体" w:hAnsi="宋体" w:cs="宋体"/>
          <w:color w:val="auto"/>
          <w:sz w:val="28"/>
          <w:szCs w:val="28"/>
          <w:highlight w:val="none"/>
          <w:lang w:eastAsia="zh-CN"/>
        </w:rPr>
        <w:t>）</w:t>
      </w:r>
      <w:r>
        <w:rPr>
          <w:rFonts w:ascii="宋体" w:hAnsi="宋体"/>
          <w:color w:val="auto"/>
          <w:sz w:val="28"/>
          <w:szCs w:val="28"/>
          <w:highlight w:val="none"/>
        </w:rPr>
        <w:t xml:space="preserve">； </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Theme="minorEastAsia" w:hAnsiTheme="minorEastAsia" w:eastAsiaTheme="minorEastAsia"/>
          <w:color w:val="auto"/>
          <w:kern w:val="0"/>
          <w:sz w:val="28"/>
          <w:szCs w:val="28"/>
          <w:highlight w:val="none"/>
        </w:rPr>
        <w:t>安装、调试及验收方案</w:t>
      </w:r>
      <w:r>
        <w:rPr>
          <w:rFonts w:hint="eastAsia" w:ascii="宋体" w:hAnsi="宋体"/>
          <w:color w:val="auto"/>
          <w:sz w:val="28"/>
          <w:szCs w:val="28"/>
          <w:highlight w:val="none"/>
        </w:rPr>
        <w:t>；</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rPr>
        <w:t>可视情选用附件8、附件9</w:t>
      </w:r>
      <w:r>
        <w:rPr>
          <w:rFonts w:hint="eastAsia" w:ascii="宋体" w:hAnsi="宋体"/>
          <w:color w:val="auto"/>
          <w:kern w:val="0"/>
          <w:sz w:val="28"/>
          <w:szCs w:val="28"/>
          <w:highlight w:val="none"/>
        </w:rPr>
        <w:t>）；</w:t>
      </w:r>
    </w:p>
    <w:p>
      <w:pPr>
        <w:snapToGrid w:val="0"/>
        <w:spacing w:line="360" w:lineRule="auto"/>
        <w:ind w:firstLine="548" w:firstLineChars="196"/>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2、投标现场产品展示；</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3</w:t>
      </w:r>
      <w:r>
        <w:rPr>
          <w:rFonts w:hint="eastAsia" w:ascii="宋体" w:hAnsi="宋体"/>
          <w:color w:val="auto"/>
          <w:kern w:val="0"/>
          <w:sz w:val="28"/>
          <w:szCs w:val="28"/>
          <w:highlight w:val="none"/>
        </w:rPr>
        <w:t>、</w:t>
      </w:r>
      <w:r>
        <w:rPr>
          <w:rFonts w:hint="eastAsia" w:ascii="宋体" w:hAnsi="宋体"/>
          <w:color w:val="auto"/>
          <w:sz w:val="28"/>
          <w:szCs w:val="28"/>
          <w:highlight w:val="none"/>
        </w:rPr>
        <w:t>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w:t>
      </w:r>
      <w:r>
        <w:rPr>
          <w:rFonts w:hint="eastAsia" w:ascii="宋体" w:hAnsi="宋体"/>
          <w:color w:val="auto"/>
          <w:kern w:val="0"/>
          <w:sz w:val="28"/>
          <w:szCs w:val="28"/>
          <w:highlight w:val="none"/>
          <w:lang w:eastAsia="zh-CN"/>
        </w:rPr>
        <w:t>类似项目的成功案例</w:t>
      </w:r>
      <w:r>
        <w:rPr>
          <w:rFonts w:hint="eastAsia" w:ascii="宋体" w:hAnsi="宋体"/>
          <w:color w:val="auto"/>
          <w:kern w:val="0"/>
          <w:sz w:val="28"/>
          <w:szCs w:val="28"/>
          <w:highlight w:val="none"/>
        </w:rPr>
        <w:t>（附件11）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3、售后服务描述及承诺（可视情选用附件12，附件13）；</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第四部分  其他参考表格（此部分视情况选用）</w:t>
      </w:r>
    </w:p>
    <w:p>
      <w:pPr>
        <w:snapToGrid w:val="0"/>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1、主要货物用材响应表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附件14</w:t>
      </w:r>
      <w:r>
        <w:rPr>
          <w:rFonts w:hint="eastAsia" w:ascii="宋体" w:hAnsi="宋体" w:cs="宋体"/>
          <w:color w:val="auto"/>
          <w:sz w:val="28"/>
          <w:szCs w:val="28"/>
          <w:highlight w:val="none"/>
          <w:lang w:eastAsia="zh-CN"/>
        </w:rPr>
        <w:t>）。</w:t>
      </w:r>
    </w:p>
    <w:p>
      <w:pPr>
        <w:snapToGrid w:val="0"/>
        <w:spacing w:line="360" w:lineRule="auto"/>
        <w:ind w:left="837" w:leftChars="260" w:hanging="291" w:hangingChars="104"/>
        <w:rPr>
          <w:rFonts w:ascii="宋体" w:hAnsi="宋体"/>
          <w:color w:val="auto"/>
          <w:kern w:val="0"/>
          <w:sz w:val="28"/>
          <w:szCs w:val="28"/>
          <w:highlight w:val="none"/>
        </w:rPr>
      </w:pPr>
    </w:p>
    <w:p>
      <w:pPr>
        <w:pStyle w:val="36"/>
        <w:shd w:val="clear" w:color="auto" w:fill="FFFFFF"/>
        <w:spacing w:before="0" w:beforeAutospacing="0" w:after="0" w:afterAutospacing="0" w:line="360" w:lineRule="auto"/>
        <w:rPr>
          <w:b/>
          <w:color w:val="auto"/>
          <w:sz w:val="28"/>
          <w:highlight w:val="none"/>
        </w:rPr>
      </w:pPr>
    </w:p>
    <w:p>
      <w:pPr>
        <w:rPr>
          <w:rFonts w:hint="eastAsia"/>
          <w:b/>
          <w:color w:val="auto"/>
          <w:sz w:val="28"/>
          <w:highlight w:val="none"/>
        </w:rPr>
      </w:pPr>
      <w:r>
        <w:rPr>
          <w:rFonts w:hint="eastAsia"/>
          <w:b/>
          <w:color w:val="auto"/>
          <w:sz w:val="28"/>
          <w:highlight w:val="none"/>
        </w:rPr>
        <w:br w:type="page"/>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b/>
          <w:color w:val="auto"/>
          <w:sz w:val="28"/>
          <w:highlight w:val="none"/>
        </w:rPr>
      </w:pPr>
      <w:r>
        <w:rPr>
          <w:rFonts w:hint="eastAsia"/>
          <w:b/>
          <w:color w:val="auto"/>
          <w:sz w:val="28"/>
          <w:highlight w:val="none"/>
        </w:rPr>
        <w:t>附件5</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1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682" w:type="dxa"/>
          </w:tcPr>
          <w:p>
            <w:pPr>
              <w:pStyle w:val="36"/>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6"/>
              <w:shd w:val="clear" w:color="auto" w:fill="FFFFFF"/>
              <w:spacing w:line="360" w:lineRule="auto"/>
              <w:rPr>
                <w:bCs/>
                <w:color w:val="auto"/>
                <w:highlight w:val="none"/>
              </w:rPr>
            </w:pPr>
          </w:p>
        </w:tc>
        <w:tc>
          <w:tcPr>
            <w:tcW w:w="2001" w:type="dxa"/>
            <w:gridSpan w:val="3"/>
          </w:tcPr>
          <w:p>
            <w:pPr>
              <w:pStyle w:val="36"/>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6"/>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2" w:type="dxa"/>
          </w:tcPr>
          <w:p>
            <w:pPr>
              <w:pStyle w:val="36"/>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6"/>
              <w:shd w:val="clear" w:color="auto" w:fill="FFFFFF"/>
              <w:spacing w:line="360" w:lineRule="auto"/>
              <w:rPr>
                <w:bCs/>
                <w:color w:val="auto"/>
                <w:spacing w:val="16"/>
                <w:highlight w:val="none"/>
              </w:rPr>
            </w:pPr>
          </w:p>
        </w:tc>
        <w:tc>
          <w:tcPr>
            <w:tcW w:w="2001" w:type="dxa"/>
            <w:gridSpan w:val="3"/>
          </w:tcPr>
          <w:p>
            <w:pPr>
              <w:pStyle w:val="36"/>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6"/>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6"/>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6"/>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6"/>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6"/>
              <w:shd w:val="clear" w:color="auto" w:fill="FFFFFF"/>
              <w:spacing w:line="360" w:lineRule="auto"/>
              <w:rPr>
                <w:bCs/>
                <w:color w:val="auto"/>
                <w:spacing w:val="16"/>
                <w:highlight w:val="none"/>
              </w:rPr>
            </w:pPr>
          </w:p>
        </w:tc>
        <w:tc>
          <w:tcPr>
            <w:tcW w:w="2001" w:type="dxa"/>
            <w:gridSpan w:val="3"/>
          </w:tcPr>
          <w:p>
            <w:pPr>
              <w:pStyle w:val="36"/>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6"/>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6"/>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6"/>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6"/>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6"/>
              <w:shd w:val="clear" w:color="auto" w:fill="FFFFFF"/>
              <w:spacing w:line="360" w:lineRule="auto"/>
              <w:rPr>
                <w:bCs/>
                <w:color w:val="auto"/>
                <w:spacing w:val="16"/>
                <w:highlight w:val="none"/>
              </w:rPr>
            </w:pPr>
          </w:p>
        </w:tc>
        <w:tc>
          <w:tcPr>
            <w:tcW w:w="2001" w:type="dxa"/>
            <w:gridSpan w:val="3"/>
            <w:vMerge w:val="restart"/>
          </w:tcPr>
          <w:p>
            <w:pPr>
              <w:pStyle w:val="36"/>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6"/>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6"/>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6"/>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6"/>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6"/>
              <w:shd w:val="clear" w:color="auto" w:fill="FFFFFF"/>
              <w:spacing w:line="360" w:lineRule="auto"/>
              <w:rPr>
                <w:bCs/>
                <w:color w:val="auto"/>
                <w:spacing w:val="16"/>
                <w:highlight w:val="none"/>
              </w:rPr>
            </w:pPr>
          </w:p>
        </w:tc>
        <w:tc>
          <w:tcPr>
            <w:tcW w:w="2001" w:type="dxa"/>
            <w:gridSpan w:val="3"/>
            <w:vMerge w:val="continue"/>
          </w:tcPr>
          <w:p>
            <w:pPr>
              <w:pStyle w:val="36"/>
              <w:shd w:val="clear" w:color="auto" w:fill="FFFFFF"/>
              <w:spacing w:line="360" w:lineRule="auto"/>
              <w:rPr>
                <w:bCs/>
                <w:color w:val="auto"/>
                <w:spacing w:val="16"/>
                <w:highlight w:val="none"/>
              </w:rPr>
            </w:pPr>
          </w:p>
        </w:tc>
        <w:tc>
          <w:tcPr>
            <w:tcW w:w="2151" w:type="dxa"/>
            <w:gridSpan w:val="2"/>
            <w:vMerge w:val="continue"/>
          </w:tcPr>
          <w:p>
            <w:pPr>
              <w:pStyle w:val="36"/>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6"/>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6"/>
              <w:shd w:val="clear" w:color="auto" w:fill="FFFFFF"/>
              <w:spacing w:line="360" w:lineRule="auto"/>
              <w:ind w:left="107"/>
              <w:rPr>
                <w:bCs/>
                <w:color w:val="auto"/>
                <w:highlight w:val="none"/>
              </w:rPr>
            </w:pPr>
            <w:r>
              <w:rPr>
                <w:rFonts w:hint="eastAsia"/>
                <w:bCs/>
                <w:color w:val="auto"/>
                <w:highlight w:val="none"/>
              </w:rPr>
              <w:t>企</w:t>
            </w:r>
          </w:p>
          <w:p>
            <w:pPr>
              <w:pStyle w:val="36"/>
              <w:shd w:val="clear" w:color="auto" w:fill="FFFFFF"/>
              <w:spacing w:line="360" w:lineRule="auto"/>
              <w:ind w:left="107"/>
              <w:rPr>
                <w:bCs/>
                <w:color w:val="auto"/>
                <w:highlight w:val="none"/>
              </w:rPr>
            </w:pPr>
            <w:r>
              <w:rPr>
                <w:rFonts w:hint="eastAsia"/>
                <w:bCs/>
                <w:color w:val="auto"/>
                <w:highlight w:val="none"/>
              </w:rPr>
              <w:t>业</w:t>
            </w:r>
          </w:p>
          <w:p>
            <w:pPr>
              <w:pStyle w:val="36"/>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6"/>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6"/>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6"/>
              <w:shd w:val="clear" w:color="auto" w:fill="FFFFFF"/>
              <w:spacing w:line="360" w:lineRule="auto"/>
              <w:rPr>
                <w:bCs/>
                <w:color w:val="auto"/>
                <w:spacing w:val="16"/>
                <w:highlight w:val="none"/>
              </w:rPr>
            </w:pPr>
          </w:p>
        </w:tc>
        <w:tc>
          <w:tcPr>
            <w:tcW w:w="1163" w:type="dxa"/>
            <w:tcBorders>
              <w:top w:val="nil"/>
            </w:tcBorders>
          </w:tcPr>
          <w:p>
            <w:pPr>
              <w:pStyle w:val="36"/>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6"/>
              <w:shd w:val="clear" w:color="auto" w:fill="FFFFFF"/>
              <w:spacing w:line="360" w:lineRule="auto"/>
              <w:rPr>
                <w:bCs/>
                <w:color w:val="auto"/>
                <w:spacing w:val="16"/>
                <w:highlight w:val="none"/>
              </w:rPr>
            </w:pPr>
          </w:p>
        </w:tc>
        <w:tc>
          <w:tcPr>
            <w:tcW w:w="2001" w:type="dxa"/>
            <w:gridSpan w:val="3"/>
          </w:tcPr>
          <w:p>
            <w:pPr>
              <w:pStyle w:val="36"/>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6"/>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682" w:type="dxa"/>
            <w:vMerge w:val="continue"/>
          </w:tcPr>
          <w:p>
            <w:pPr>
              <w:pStyle w:val="36"/>
              <w:shd w:val="clear" w:color="auto" w:fill="FFFFFF"/>
              <w:spacing w:line="360" w:lineRule="auto"/>
              <w:ind w:left="107"/>
              <w:rPr>
                <w:bCs/>
                <w:color w:val="auto"/>
                <w:highlight w:val="none"/>
              </w:rPr>
            </w:pPr>
          </w:p>
        </w:tc>
        <w:tc>
          <w:tcPr>
            <w:tcW w:w="701" w:type="dxa"/>
          </w:tcPr>
          <w:p>
            <w:pPr>
              <w:pStyle w:val="36"/>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6"/>
              <w:shd w:val="clear" w:color="auto" w:fill="FFFFFF"/>
              <w:spacing w:line="360" w:lineRule="auto"/>
              <w:rPr>
                <w:bCs/>
                <w:color w:val="auto"/>
                <w:highlight w:val="none"/>
              </w:rPr>
            </w:pPr>
          </w:p>
        </w:tc>
        <w:tc>
          <w:tcPr>
            <w:tcW w:w="1163" w:type="dxa"/>
          </w:tcPr>
          <w:p>
            <w:pPr>
              <w:pStyle w:val="36"/>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6"/>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6"/>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6"/>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6"/>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6"/>
              <w:shd w:val="clear" w:color="auto" w:fill="FFFFFF"/>
              <w:spacing w:line="360" w:lineRule="auto"/>
              <w:ind w:left="107"/>
              <w:rPr>
                <w:bCs/>
                <w:color w:val="auto"/>
                <w:highlight w:val="none"/>
              </w:rPr>
            </w:pPr>
          </w:p>
        </w:tc>
        <w:tc>
          <w:tcPr>
            <w:tcW w:w="701" w:type="dxa"/>
          </w:tcPr>
          <w:p>
            <w:pPr>
              <w:pStyle w:val="36"/>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6"/>
              <w:shd w:val="clear" w:color="auto" w:fill="FFFFFF"/>
              <w:spacing w:line="360" w:lineRule="auto"/>
              <w:ind w:left="2"/>
              <w:rPr>
                <w:bCs/>
                <w:color w:val="auto"/>
                <w:highlight w:val="none"/>
              </w:rPr>
            </w:pPr>
          </w:p>
        </w:tc>
        <w:tc>
          <w:tcPr>
            <w:tcW w:w="1163" w:type="dxa"/>
          </w:tcPr>
          <w:p>
            <w:pPr>
              <w:pStyle w:val="36"/>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6"/>
              <w:shd w:val="clear" w:color="auto" w:fill="FFFFFF"/>
              <w:spacing w:line="360" w:lineRule="auto"/>
              <w:ind w:left="107"/>
              <w:rPr>
                <w:bCs/>
                <w:color w:val="auto"/>
                <w:highlight w:val="none"/>
              </w:rPr>
            </w:pPr>
          </w:p>
        </w:tc>
        <w:tc>
          <w:tcPr>
            <w:tcW w:w="1218" w:type="dxa"/>
          </w:tcPr>
          <w:p>
            <w:pPr>
              <w:pStyle w:val="36"/>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6"/>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6"/>
              <w:shd w:val="clear" w:color="auto" w:fill="FFFFFF"/>
              <w:spacing w:line="360" w:lineRule="auto"/>
              <w:ind w:left="107"/>
              <w:rPr>
                <w:bCs/>
                <w:color w:val="auto"/>
                <w:highlight w:val="none"/>
              </w:rPr>
            </w:pPr>
          </w:p>
        </w:tc>
        <w:tc>
          <w:tcPr>
            <w:tcW w:w="701" w:type="dxa"/>
          </w:tcPr>
          <w:p>
            <w:pPr>
              <w:pStyle w:val="36"/>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6"/>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6"/>
              <w:shd w:val="clear" w:color="auto" w:fill="FFFFFF"/>
              <w:spacing w:line="360" w:lineRule="auto"/>
              <w:ind w:left="107"/>
              <w:rPr>
                <w:bCs/>
                <w:color w:val="auto"/>
                <w:highlight w:val="none"/>
              </w:rPr>
            </w:pPr>
          </w:p>
        </w:tc>
        <w:tc>
          <w:tcPr>
            <w:tcW w:w="8131" w:type="dxa"/>
            <w:gridSpan w:val="11"/>
          </w:tcPr>
          <w:p>
            <w:pPr>
              <w:pStyle w:val="36"/>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6"/>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6"/>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6"/>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6"/>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6"/>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6"/>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6"/>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6"/>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6"/>
              <w:shd w:val="clear" w:color="auto" w:fill="FFFFFF"/>
              <w:spacing w:line="360" w:lineRule="auto"/>
              <w:ind w:left="107"/>
              <w:rPr>
                <w:bCs/>
                <w:color w:val="auto"/>
                <w:highlight w:val="none"/>
              </w:rPr>
            </w:pPr>
          </w:p>
        </w:tc>
        <w:tc>
          <w:tcPr>
            <w:tcW w:w="1553" w:type="dxa"/>
            <w:gridSpan w:val="2"/>
            <w:vMerge w:val="continue"/>
          </w:tcPr>
          <w:p>
            <w:pPr>
              <w:pStyle w:val="36"/>
              <w:shd w:val="clear" w:color="auto" w:fill="FFFFFF"/>
              <w:spacing w:line="360" w:lineRule="auto"/>
              <w:rPr>
                <w:bCs/>
                <w:color w:val="auto"/>
                <w:highlight w:val="none"/>
              </w:rPr>
            </w:pPr>
          </w:p>
        </w:tc>
        <w:tc>
          <w:tcPr>
            <w:tcW w:w="1333" w:type="dxa"/>
            <w:gridSpan w:val="3"/>
          </w:tcPr>
          <w:p>
            <w:pPr>
              <w:pStyle w:val="36"/>
              <w:shd w:val="clear" w:color="auto" w:fill="FFFFFF"/>
              <w:spacing w:line="360" w:lineRule="auto"/>
              <w:rPr>
                <w:bCs/>
                <w:color w:val="auto"/>
                <w:highlight w:val="none"/>
              </w:rPr>
            </w:pPr>
          </w:p>
        </w:tc>
        <w:tc>
          <w:tcPr>
            <w:tcW w:w="1418" w:type="dxa"/>
            <w:gridSpan w:val="2"/>
          </w:tcPr>
          <w:p>
            <w:pPr>
              <w:pStyle w:val="36"/>
              <w:shd w:val="clear" w:color="auto" w:fill="FFFFFF"/>
              <w:spacing w:line="360" w:lineRule="auto"/>
              <w:rPr>
                <w:bCs/>
                <w:color w:val="auto"/>
                <w:highlight w:val="none"/>
              </w:rPr>
            </w:pPr>
          </w:p>
        </w:tc>
        <w:tc>
          <w:tcPr>
            <w:tcW w:w="1276" w:type="dxa"/>
          </w:tcPr>
          <w:p>
            <w:pPr>
              <w:pStyle w:val="36"/>
              <w:shd w:val="clear" w:color="auto" w:fill="FFFFFF"/>
              <w:spacing w:line="360" w:lineRule="auto"/>
              <w:rPr>
                <w:bCs/>
                <w:color w:val="auto"/>
                <w:highlight w:val="none"/>
              </w:rPr>
            </w:pPr>
          </w:p>
        </w:tc>
        <w:tc>
          <w:tcPr>
            <w:tcW w:w="2551" w:type="dxa"/>
            <w:gridSpan w:val="3"/>
          </w:tcPr>
          <w:p>
            <w:pPr>
              <w:pStyle w:val="36"/>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6"/>
              <w:shd w:val="clear" w:color="auto" w:fill="FFFFFF"/>
              <w:spacing w:line="360" w:lineRule="auto"/>
              <w:ind w:left="107"/>
              <w:rPr>
                <w:bCs/>
                <w:color w:val="auto"/>
                <w:spacing w:val="16"/>
                <w:highlight w:val="none"/>
              </w:rPr>
            </w:pPr>
          </w:p>
        </w:tc>
        <w:tc>
          <w:tcPr>
            <w:tcW w:w="1553" w:type="dxa"/>
            <w:gridSpan w:val="2"/>
          </w:tcPr>
          <w:p>
            <w:pPr>
              <w:pStyle w:val="36"/>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6"/>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6"/>
              <w:shd w:val="clear" w:color="auto" w:fill="FFFFFF"/>
              <w:spacing w:line="360" w:lineRule="auto"/>
              <w:ind w:left="107"/>
              <w:rPr>
                <w:bCs/>
                <w:color w:val="auto"/>
                <w:spacing w:val="27"/>
                <w:highlight w:val="none"/>
              </w:rPr>
            </w:pPr>
          </w:p>
        </w:tc>
        <w:tc>
          <w:tcPr>
            <w:tcW w:w="1553" w:type="dxa"/>
            <w:gridSpan w:val="2"/>
          </w:tcPr>
          <w:p>
            <w:pPr>
              <w:pStyle w:val="36"/>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6"/>
              <w:shd w:val="clear" w:color="auto" w:fill="FFFFFF"/>
              <w:spacing w:line="360" w:lineRule="auto"/>
              <w:rPr>
                <w:bCs/>
                <w:color w:val="auto"/>
                <w:spacing w:val="16"/>
                <w:highlight w:val="none"/>
              </w:rPr>
            </w:pPr>
          </w:p>
        </w:tc>
      </w:tr>
    </w:tbl>
    <w:p>
      <w:pPr>
        <w:pStyle w:val="36"/>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6"/>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6"/>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1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7"/>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37"/>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投标截止日之前六个月以内的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hint="eastAsia"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1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18"/>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规格型号</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产地</w:t>
            </w:r>
          </w:p>
        </w:tc>
        <w:tc>
          <w:tcPr>
            <w:tcW w:w="1559"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hAns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bl>
    <w:p>
      <w:pPr>
        <w:pStyle w:val="38"/>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38"/>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38"/>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38"/>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39"/>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0"/>
        <w:spacing w:line="360" w:lineRule="auto"/>
        <w:jc w:val="center"/>
        <w:rPr>
          <w:rFonts w:ascii="宋体" w:hAnsi="宋体" w:cs="Arial"/>
          <w:color w:val="auto"/>
          <w:sz w:val="28"/>
          <w:szCs w:val="28"/>
          <w:highlight w:val="none"/>
        </w:rPr>
      </w:pPr>
    </w:p>
    <w:tbl>
      <w:tblPr>
        <w:tblStyle w:val="1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0"/>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0"/>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0"/>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ascii="宋体" w:hAnsi="宋体" w:cs="Arial"/>
                <w:color w:val="auto"/>
                <w:szCs w:val="21"/>
                <w:highlight w:val="none"/>
              </w:rPr>
            </w:pPr>
          </w:p>
        </w:tc>
        <w:tc>
          <w:tcPr>
            <w:tcW w:w="2258" w:type="dxa"/>
          </w:tcPr>
          <w:p>
            <w:pPr>
              <w:pStyle w:val="40"/>
              <w:spacing w:line="360" w:lineRule="auto"/>
              <w:jc w:val="center"/>
              <w:rPr>
                <w:rFonts w:ascii="宋体" w:hAnsi="宋体" w:cs="Arial"/>
                <w:color w:val="auto"/>
                <w:szCs w:val="21"/>
                <w:highlight w:val="none"/>
              </w:rPr>
            </w:pPr>
          </w:p>
        </w:tc>
        <w:tc>
          <w:tcPr>
            <w:tcW w:w="2260" w:type="dxa"/>
          </w:tcPr>
          <w:p>
            <w:pPr>
              <w:pStyle w:val="4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ascii="宋体" w:hAnsi="宋体" w:cs="Arial"/>
                <w:color w:val="auto"/>
                <w:szCs w:val="21"/>
                <w:highlight w:val="none"/>
              </w:rPr>
            </w:pPr>
          </w:p>
        </w:tc>
        <w:tc>
          <w:tcPr>
            <w:tcW w:w="2258" w:type="dxa"/>
          </w:tcPr>
          <w:p>
            <w:pPr>
              <w:pStyle w:val="40"/>
              <w:spacing w:line="360" w:lineRule="auto"/>
              <w:jc w:val="center"/>
              <w:rPr>
                <w:rFonts w:ascii="宋体" w:hAnsi="宋体" w:cs="Arial"/>
                <w:color w:val="auto"/>
                <w:szCs w:val="21"/>
                <w:highlight w:val="none"/>
              </w:rPr>
            </w:pPr>
          </w:p>
        </w:tc>
        <w:tc>
          <w:tcPr>
            <w:tcW w:w="2260" w:type="dxa"/>
          </w:tcPr>
          <w:p>
            <w:pPr>
              <w:pStyle w:val="4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ascii="宋体" w:hAnsi="宋体" w:cs="Arial"/>
                <w:color w:val="auto"/>
                <w:szCs w:val="21"/>
                <w:highlight w:val="none"/>
              </w:rPr>
            </w:pPr>
          </w:p>
        </w:tc>
        <w:tc>
          <w:tcPr>
            <w:tcW w:w="2258" w:type="dxa"/>
          </w:tcPr>
          <w:p>
            <w:pPr>
              <w:pStyle w:val="40"/>
              <w:spacing w:line="360" w:lineRule="auto"/>
              <w:jc w:val="center"/>
              <w:rPr>
                <w:rFonts w:ascii="宋体" w:hAnsi="宋体" w:cs="Arial"/>
                <w:color w:val="auto"/>
                <w:szCs w:val="21"/>
                <w:highlight w:val="none"/>
              </w:rPr>
            </w:pPr>
          </w:p>
        </w:tc>
        <w:tc>
          <w:tcPr>
            <w:tcW w:w="2260" w:type="dxa"/>
          </w:tcPr>
          <w:p>
            <w:pPr>
              <w:pStyle w:val="4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ascii="宋体" w:hAnsi="宋体" w:cs="Arial"/>
                <w:color w:val="auto"/>
                <w:szCs w:val="21"/>
                <w:highlight w:val="none"/>
              </w:rPr>
            </w:pPr>
          </w:p>
        </w:tc>
        <w:tc>
          <w:tcPr>
            <w:tcW w:w="2258" w:type="dxa"/>
          </w:tcPr>
          <w:p>
            <w:pPr>
              <w:pStyle w:val="40"/>
              <w:spacing w:line="360" w:lineRule="auto"/>
              <w:jc w:val="center"/>
              <w:rPr>
                <w:rFonts w:ascii="宋体" w:hAnsi="宋体" w:cs="Arial"/>
                <w:color w:val="auto"/>
                <w:szCs w:val="21"/>
                <w:highlight w:val="none"/>
              </w:rPr>
            </w:pPr>
          </w:p>
        </w:tc>
        <w:tc>
          <w:tcPr>
            <w:tcW w:w="2260" w:type="dxa"/>
          </w:tcPr>
          <w:p>
            <w:pPr>
              <w:pStyle w:val="4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ascii="宋体" w:hAnsi="宋体" w:cs="Arial"/>
                <w:color w:val="auto"/>
                <w:szCs w:val="21"/>
                <w:highlight w:val="none"/>
              </w:rPr>
            </w:pPr>
          </w:p>
        </w:tc>
        <w:tc>
          <w:tcPr>
            <w:tcW w:w="2258" w:type="dxa"/>
          </w:tcPr>
          <w:p>
            <w:pPr>
              <w:pStyle w:val="40"/>
              <w:spacing w:line="360" w:lineRule="auto"/>
              <w:jc w:val="center"/>
              <w:rPr>
                <w:rFonts w:ascii="宋体" w:hAnsi="宋体" w:cs="Arial"/>
                <w:color w:val="auto"/>
                <w:szCs w:val="21"/>
                <w:highlight w:val="none"/>
              </w:rPr>
            </w:pPr>
          </w:p>
        </w:tc>
        <w:tc>
          <w:tcPr>
            <w:tcW w:w="2260" w:type="dxa"/>
          </w:tcPr>
          <w:p>
            <w:pPr>
              <w:pStyle w:val="4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0"/>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0"/>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0"/>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0"/>
              <w:spacing w:line="360" w:lineRule="auto"/>
              <w:jc w:val="center"/>
              <w:rPr>
                <w:rFonts w:ascii="宋体" w:hAnsi="宋体" w:cs="Arial"/>
                <w:color w:val="auto"/>
                <w:szCs w:val="21"/>
                <w:highlight w:val="none"/>
              </w:rPr>
            </w:pPr>
          </w:p>
        </w:tc>
      </w:tr>
    </w:tbl>
    <w:p>
      <w:pPr>
        <w:pStyle w:val="40"/>
        <w:tabs>
          <w:tab w:val="left" w:pos="1050"/>
        </w:tabs>
        <w:spacing w:line="360" w:lineRule="auto"/>
        <w:rPr>
          <w:rFonts w:ascii="仿宋_GB2312" w:hAnsi="宋体" w:eastAsia="仿宋_GB2312"/>
          <w:color w:val="auto"/>
          <w:sz w:val="24"/>
          <w:highlight w:val="none"/>
        </w:rPr>
      </w:pPr>
    </w:p>
    <w:p>
      <w:pPr>
        <w:pStyle w:val="40"/>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0"/>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0"/>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0"/>
        <w:tabs>
          <w:tab w:val="left" w:pos="1050"/>
        </w:tabs>
        <w:spacing w:line="360" w:lineRule="auto"/>
        <w:ind w:firstLine="720" w:firstLineChars="300"/>
        <w:rPr>
          <w:rFonts w:ascii="仿宋_GB2312" w:hAnsi="宋体" w:eastAsia="仿宋_GB2312"/>
          <w:color w:val="auto"/>
          <w:sz w:val="24"/>
          <w:highlight w:val="none"/>
        </w:rPr>
      </w:pPr>
    </w:p>
    <w:p>
      <w:pPr>
        <w:pStyle w:val="40"/>
        <w:tabs>
          <w:tab w:val="left" w:pos="1050"/>
        </w:tabs>
        <w:spacing w:line="360" w:lineRule="auto"/>
        <w:ind w:firstLine="720" w:firstLineChars="300"/>
        <w:rPr>
          <w:rFonts w:ascii="仿宋_GB2312" w:hAnsi="宋体" w:eastAsia="仿宋_GB2312"/>
          <w:color w:val="auto"/>
          <w:sz w:val="24"/>
          <w:highlight w:val="none"/>
        </w:rPr>
      </w:pPr>
    </w:p>
    <w:p>
      <w:pPr>
        <w:pStyle w:val="40"/>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6"/>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39"/>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39"/>
        <w:spacing w:line="360" w:lineRule="auto"/>
        <w:jc w:val="center"/>
        <w:rPr>
          <w:rFonts w:ascii="仿宋_GB2312" w:eastAsia="仿宋_GB2312"/>
          <w:b/>
          <w:color w:val="auto"/>
          <w:sz w:val="28"/>
          <w:szCs w:val="28"/>
          <w:highlight w:val="none"/>
        </w:rPr>
      </w:pPr>
    </w:p>
    <w:tbl>
      <w:tblPr>
        <w:tblStyle w:val="18"/>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复印件可只提供首页、含金额页、盖章页并加盖投标人公章</w:t>
      </w:r>
      <w:r>
        <w:rPr>
          <w:rFonts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0"/>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交货和服务</w:t>
            </w:r>
          </w:p>
          <w:p>
            <w:pPr>
              <w:snapToGrid w:val="0"/>
              <w:rPr>
                <w:rFonts w:ascii="宋体" w:hAns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41"/>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1"/>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1"/>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1"/>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1"/>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1"/>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1"/>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1"/>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1"/>
              <w:widowControl/>
              <w:spacing w:line="360" w:lineRule="auto"/>
              <w:jc w:val="left"/>
              <w:rPr>
                <w:rFonts w:ascii="宋体" w:hAnsi="宋体" w:cs="Arial"/>
                <w:bCs/>
                <w:color w:val="auto"/>
                <w:sz w:val="24"/>
                <w:highlight w:val="none"/>
              </w:rPr>
            </w:pPr>
          </w:p>
        </w:tc>
        <w:tc>
          <w:tcPr>
            <w:tcW w:w="2355" w:type="dxa"/>
            <w:vMerge w:val="continue"/>
            <w:vAlign w:val="center"/>
          </w:tcPr>
          <w:p>
            <w:pPr>
              <w:pStyle w:val="41"/>
              <w:widowControl/>
              <w:spacing w:line="360" w:lineRule="auto"/>
              <w:jc w:val="left"/>
              <w:rPr>
                <w:rFonts w:ascii="宋体" w:hAnsi="宋体" w:cs="Arial"/>
                <w:bCs/>
                <w:color w:val="auto"/>
                <w:sz w:val="24"/>
                <w:highlight w:val="none"/>
              </w:rPr>
            </w:pPr>
          </w:p>
        </w:tc>
        <w:tc>
          <w:tcPr>
            <w:tcW w:w="4061" w:type="dxa"/>
          </w:tcPr>
          <w:p>
            <w:pPr>
              <w:pStyle w:val="41"/>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1"/>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41"/>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1"/>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1"/>
              <w:widowControl/>
              <w:spacing w:line="360" w:lineRule="auto"/>
              <w:jc w:val="left"/>
              <w:rPr>
                <w:rFonts w:ascii="宋体" w:hAnsi="宋体" w:cs="Arial"/>
                <w:bCs/>
                <w:color w:val="auto"/>
                <w:sz w:val="24"/>
                <w:highlight w:val="none"/>
              </w:rPr>
            </w:pPr>
          </w:p>
          <w:p>
            <w:pPr>
              <w:pStyle w:val="41"/>
              <w:widowControl/>
              <w:spacing w:line="360" w:lineRule="auto"/>
              <w:jc w:val="left"/>
              <w:rPr>
                <w:rFonts w:ascii="宋体" w:hAnsi="宋体" w:cs="Arial"/>
                <w:bCs/>
                <w:color w:val="auto"/>
                <w:sz w:val="24"/>
                <w:highlight w:val="none"/>
              </w:rPr>
            </w:pPr>
          </w:p>
          <w:p>
            <w:pPr>
              <w:pStyle w:val="41"/>
              <w:spacing w:line="360" w:lineRule="auto"/>
              <w:rPr>
                <w:rFonts w:ascii="宋体" w:hAnsi="宋体" w:cs="Arial"/>
                <w:bCs/>
                <w:color w:val="auto"/>
                <w:sz w:val="24"/>
                <w:highlight w:val="none"/>
              </w:rPr>
            </w:pPr>
          </w:p>
        </w:tc>
        <w:tc>
          <w:tcPr>
            <w:tcW w:w="1373" w:type="dxa"/>
          </w:tcPr>
          <w:p>
            <w:pPr>
              <w:pStyle w:val="41"/>
              <w:widowControl/>
              <w:spacing w:line="360" w:lineRule="auto"/>
              <w:jc w:val="left"/>
              <w:rPr>
                <w:rFonts w:ascii="宋体" w:hAnsi="宋体" w:cs="Arial"/>
                <w:bCs/>
                <w:color w:val="auto"/>
                <w:sz w:val="24"/>
                <w:highlight w:val="none"/>
              </w:rPr>
            </w:pPr>
          </w:p>
          <w:p>
            <w:pPr>
              <w:pStyle w:val="41"/>
              <w:widowControl/>
              <w:spacing w:line="360" w:lineRule="auto"/>
              <w:jc w:val="left"/>
              <w:rPr>
                <w:rFonts w:ascii="宋体" w:hAnsi="宋体" w:cs="Arial"/>
                <w:bCs/>
                <w:color w:val="auto"/>
                <w:sz w:val="24"/>
                <w:highlight w:val="none"/>
              </w:rPr>
            </w:pPr>
          </w:p>
          <w:p>
            <w:pPr>
              <w:pStyle w:val="41"/>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41"/>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1"/>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1"/>
              <w:widowControl/>
              <w:spacing w:line="360" w:lineRule="auto"/>
              <w:jc w:val="left"/>
              <w:rPr>
                <w:rFonts w:ascii="宋体" w:hAnsi="宋体" w:cs="Arial"/>
                <w:bCs/>
                <w:i/>
                <w:color w:val="auto"/>
                <w:sz w:val="24"/>
                <w:highlight w:val="none"/>
              </w:rPr>
            </w:pPr>
          </w:p>
          <w:p>
            <w:pPr>
              <w:pStyle w:val="41"/>
              <w:widowControl/>
              <w:spacing w:line="360" w:lineRule="auto"/>
              <w:jc w:val="left"/>
              <w:rPr>
                <w:rFonts w:ascii="宋体" w:hAnsi="宋体" w:cs="Arial"/>
                <w:bCs/>
                <w:i/>
                <w:color w:val="auto"/>
                <w:sz w:val="24"/>
                <w:highlight w:val="none"/>
              </w:rPr>
            </w:pPr>
          </w:p>
        </w:tc>
        <w:tc>
          <w:tcPr>
            <w:tcW w:w="1373" w:type="dxa"/>
          </w:tcPr>
          <w:p>
            <w:pPr>
              <w:pStyle w:val="41"/>
              <w:widowControl/>
              <w:spacing w:line="360" w:lineRule="auto"/>
              <w:jc w:val="left"/>
              <w:rPr>
                <w:rFonts w:ascii="宋体" w:hAnsi="宋体" w:cs="Arial"/>
                <w:bCs/>
                <w:i/>
                <w:color w:val="auto"/>
                <w:sz w:val="24"/>
                <w:highlight w:val="none"/>
              </w:rPr>
            </w:pPr>
          </w:p>
          <w:p>
            <w:pPr>
              <w:pStyle w:val="41"/>
              <w:widowControl/>
              <w:spacing w:line="360" w:lineRule="auto"/>
              <w:jc w:val="left"/>
              <w:rPr>
                <w:rFonts w:ascii="宋体" w:hAnsi="宋体" w:cs="Arial"/>
                <w:bCs/>
                <w:i/>
                <w:color w:val="auto"/>
                <w:sz w:val="24"/>
                <w:highlight w:val="none"/>
              </w:rPr>
            </w:pPr>
          </w:p>
          <w:p>
            <w:pPr>
              <w:pStyle w:val="41"/>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41"/>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1"/>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1"/>
              <w:widowControl/>
              <w:spacing w:line="360" w:lineRule="auto"/>
              <w:jc w:val="left"/>
              <w:rPr>
                <w:rFonts w:ascii="宋体" w:hAnsi="宋体" w:cs="Arial"/>
                <w:bCs/>
                <w:color w:val="auto"/>
                <w:sz w:val="24"/>
                <w:highlight w:val="none"/>
              </w:rPr>
            </w:pPr>
          </w:p>
        </w:tc>
        <w:tc>
          <w:tcPr>
            <w:tcW w:w="1373" w:type="dxa"/>
          </w:tcPr>
          <w:p>
            <w:pPr>
              <w:pStyle w:val="41"/>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pStyle w:val="42"/>
        <w:spacing w:line="360" w:lineRule="auto"/>
        <w:rPr>
          <w:rFonts w:hAnsi="宋体"/>
          <w:b/>
          <w:color w:val="auto"/>
          <w:sz w:val="28"/>
          <w:szCs w:val="28"/>
          <w:highlight w:val="none"/>
        </w:rPr>
      </w:pPr>
      <w:r>
        <w:rPr>
          <w:rFonts w:hint="eastAsia" w:hAnsi="宋体"/>
          <w:b/>
          <w:color w:val="auto"/>
          <w:sz w:val="28"/>
          <w:szCs w:val="28"/>
          <w:highlight w:val="none"/>
        </w:rPr>
        <w:t>附件14</w:t>
      </w:r>
    </w:p>
    <w:p>
      <w:pPr>
        <w:pStyle w:val="42"/>
        <w:spacing w:line="360" w:lineRule="auto"/>
        <w:jc w:val="center"/>
        <w:rPr>
          <w:rFonts w:hAnsi="宋体"/>
          <w:b/>
          <w:color w:val="auto"/>
          <w:sz w:val="32"/>
          <w:szCs w:val="32"/>
          <w:highlight w:val="none"/>
          <w:lang w:val="en-GB"/>
        </w:rPr>
      </w:pPr>
      <w:r>
        <w:rPr>
          <w:rFonts w:hint="eastAsia" w:hAnsi="宋体"/>
          <w:b/>
          <w:color w:val="auto"/>
          <w:sz w:val="32"/>
          <w:szCs w:val="32"/>
          <w:highlight w:val="none"/>
        </w:rPr>
        <w:t>主要货物用材响应表(类似家具类货物采用)</w:t>
      </w:r>
    </w:p>
    <w:tbl>
      <w:tblPr>
        <w:tblStyle w:val="18"/>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s="宋体"/>
                <w:bCs/>
                <w:color w:val="auto"/>
                <w:sz w:val="24"/>
                <w:highlight w:val="none"/>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品牌</w:t>
            </w:r>
          </w:p>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商标</w:t>
            </w: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生产厂家</w:t>
            </w: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符合标准</w:t>
            </w: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性能说明</w:t>
            </w: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spacing w:line="360" w:lineRule="auto"/>
              <w:jc w:val="center"/>
              <w:rPr>
                <w:rFonts w:ascii="仿宋_GB2312" w:hAnsi="宋体" w:eastAsia="仿宋_GB2312" w:cs="宋体"/>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1"/>
              <w:spacing w:line="360" w:lineRule="auto"/>
              <w:ind w:right="84" w:rightChars="40"/>
              <w:jc w:val="center"/>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1"/>
              <w:spacing w:line="360" w:lineRule="auto"/>
              <w:ind w:right="84" w:rightChars="40"/>
              <w:jc w:val="center"/>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1"/>
              <w:spacing w:line="360" w:lineRule="auto"/>
              <w:ind w:right="84" w:rightChars="40"/>
              <w:jc w:val="center"/>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1"/>
              <w:spacing w:line="360" w:lineRule="auto"/>
              <w:ind w:right="84" w:rightChars="40"/>
              <w:jc w:val="center"/>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仿宋_GB2312" w:hAnsi="宋体" w:eastAsia="仿宋_GB2312"/>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41"/>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4"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tcPr>
          <w:p>
            <w:pPr>
              <w:pStyle w:val="41"/>
              <w:autoSpaceDE w:val="0"/>
              <w:autoSpaceDN w:val="0"/>
              <w:adjustRightInd w:val="0"/>
              <w:spacing w:line="360" w:lineRule="auto"/>
              <w:ind w:right="84" w:rightChars="40"/>
              <w:jc w:val="center"/>
              <w:rPr>
                <w:rFonts w:ascii="仿宋_GB2312" w:hAnsi="宋体" w:eastAsia="仿宋_GB2312"/>
                <w:color w:val="auto"/>
                <w:sz w:val="24"/>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pStyle w:val="41"/>
        <w:spacing w:line="360" w:lineRule="auto"/>
        <w:ind w:left="719" w:leftChars="228" w:hanging="240" w:hangingChars="100"/>
        <w:rPr>
          <w:rFonts w:ascii="仿宋_GB2312" w:hAnsi="宋体" w:eastAsia="仿宋_GB2312"/>
          <w:color w:val="auto"/>
          <w:sz w:val="24"/>
          <w:highlight w:val="none"/>
        </w:rPr>
      </w:pPr>
      <w:r>
        <w:rPr>
          <w:rFonts w:hint="eastAsia" w:ascii="仿宋_GB2312" w:eastAsia="仿宋_GB2312"/>
          <w:color w:val="auto"/>
          <w:sz w:val="24"/>
          <w:highlight w:val="none"/>
        </w:rPr>
        <w:t>1.请列出以上</w:t>
      </w:r>
      <w:r>
        <w:rPr>
          <w:rFonts w:hint="eastAsia" w:ascii="仿宋_GB2312" w:hAnsi="宋体" w:eastAsia="仿宋_GB2312"/>
          <w:color w:val="auto"/>
          <w:sz w:val="24"/>
          <w:highlight w:val="none"/>
        </w:rPr>
        <w:t>产品的各项主要用材、辅料、油漆、五金件等。</w:t>
      </w:r>
    </w:p>
    <w:p>
      <w:pPr>
        <w:pStyle w:val="41"/>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2.本表所列产品主要用材均为采购人抽样送检的范围。</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rPr>
      </w:pPr>
    </w:p>
    <w:p>
      <w:pPr>
        <w:spacing w:line="360" w:lineRule="auto"/>
        <w:ind w:right="-110"/>
        <w:jc w:val="left"/>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ascii="宋体" w:hAnsi="宋体"/>
          <w:color w:val="auto"/>
          <w:spacing w:val="40"/>
          <w:sz w:val="52"/>
          <w:szCs w:val="52"/>
          <w:highlight w:val="none"/>
        </w:rPr>
      </w:pPr>
      <w:r>
        <w:rPr>
          <w:rFonts w:hint="eastAsia" w:ascii="宋体" w:hAnsi="宋体"/>
          <w:b/>
          <w:color w:val="auto"/>
          <w:sz w:val="28"/>
          <w:highlight w:val="none"/>
        </w:rPr>
        <w:t>附件15</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1、开标一览表（附件16）；</w:t>
      </w:r>
    </w:p>
    <w:p>
      <w:pPr>
        <w:pStyle w:val="12"/>
        <w:snapToGrid w:val="0"/>
        <w:spacing w:line="360" w:lineRule="auto"/>
        <w:ind w:left="0" w:leftChars="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r>
        <w:rPr>
          <w:rFonts w:hint="eastAsia" w:ascii="宋体" w:hAnsi="宋体"/>
          <w:color w:val="auto"/>
          <w:sz w:val="24"/>
          <w:highlight w:val="none"/>
        </w:rPr>
        <w:t>（附件17）</w:t>
      </w:r>
      <w:r>
        <w:rPr>
          <w:rFonts w:hint="eastAsia" w:ascii="宋体" w:hAnsi="宋体" w:eastAsia="宋体"/>
          <w:color w:val="auto"/>
          <w:sz w:val="24"/>
          <w:szCs w:val="24"/>
          <w:highlight w:val="none"/>
        </w:rPr>
        <w:t>；</w:t>
      </w:r>
    </w:p>
    <w:p>
      <w:pPr>
        <w:snapToGrid w:val="0"/>
        <w:spacing w:line="360" w:lineRule="auto"/>
        <w:rPr>
          <w:rFonts w:ascii="宋体" w:hAnsi="宋体"/>
          <w:color w:val="auto"/>
          <w:sz w:val="24"/>
          <w:highlight w:val="none"/>
        </w:rPr>
      </w:pPr>
      <w:r>
        <w:rPr>
          <w:rFonts w:hint="eastAsia" w:hAnsi="宋体"/>
          <w:color w:val="auto"/>
          <w:sz w:val="24"/>
          <w:highlight w:val="none"/>
        </w:rPr>
        <w:t>3、</w:t>
      </w:r>
      <w:r>
        <w:rPr>
          <w:rFonts w:hint="eastAsia" w:ascii="宋体" w:hAnsi="宋体"/>
          <w:color w:val="auto"/>
          <w:sz w:val="24"/>
          <w:highlight w:val="none"/>
        </w:rPr>
        <w:t>针对报价投标人认为其他需要说明的；</w:t>
      </w:r>
    </w:p>
    <w:p>
      <w:pPr>
        <w:pStyle w:val="43"/>
        <w:spacing w:line="360" w:lineRule="auto"/>
        <w:rPr>
          <w:rFonts w:hAnsi="宋体"/>
          <w:color w:val="auto"/>
          <w:sz w:val="24"/>
          <w:highlight w:val="none"/>
        </w:rPr>
      </w:pPr>
      <w:r>
        <w:rPr>
          <w:rFonts w:hint="eastAsia" w:hAnsi="宋体"/>
          <w:color w:val="auto"/>
          <w:sz w:val="24"/>
          <w:highlight w:val="none"/>
        </w:rPr>
        <w:t>4、</w:t>
      </w:r>
      <w:r>
        <w:rPr>
          <w:rFonts w:hAnsi="宋体"/>
          <w:color w:val="auto"/>
          <w:sz w:val="24"/>
          <w:highlight w:val="none"/>
        </w:rPr>
        <w:t>小微企业</w:t>
      </w:r>
      <w:r>
        <w:rPr>
          <w:rFonts w:hint="eastAsia" w:hAnsi="宋体"/>
          <w:color w:val="auto"/>
          <w:sz w:val="24"/>
          <w:highlight w:val="none"/>
        </w:rPr>
        <w:t>等</w:t>
      </w:r>
      <w:r>
        <w:rPr>
          <w:rFonts w:hAnsi="宋体"/>
          <w:color w:val="auto"/>
          <w:sz w:val="24"/>
          <w:highlight w:val="none"/>
        </w:rPr>
        <w:t>声明函</w:t>
      </w:r>
      <w:r>
        <w:rPr>
          <w:rFonts w:hint="eastAsia" w:hAnsi="宋体"/>
          <w:color w:val="auto"/>
          <w:sz w:val="24"/>
          <w:highlight w:val="none"/>
        </w:rPr>
        <w:t>（附件18）；</w:t>
      </w:r>
    </w:p>
    <w:p>
      <w:pPr>
        <w:pStyle w:val="44"/>
        <w:spacing w:line="360" w:lineRule="auto"/>
        <w:rPr>
          <w:rFonts w:ascii="宋体" w:hAnsi="宋体"/>
          <w:color w:val="auto"/>
          <w:kern w:val="0"/>
          <w:sz w:val="24"/>
          <w:highlight w:val="none"/>
        </w:rPr>
      </w:pPr>
      <w:r>
        <w:rPr>
          <w:rFonts w:hint="eastAsia" w:ascii="宋体" w:hAnsi="宋体"/>
          <w:color w:val="auto"/>
          <w:kern w:val="0"/>
          <w:sz w:val="24"/>
          <w:highlight w:val="none"/>
        </w:rPr>
        <w:t>5、产品适用政府采购政策情况表</w:t>
      </w:r>
      <w:r>
        <w:rPr>
          <w:rFonts w:hint="eastAsia" w:ascii="宋体" w:hAnsi="宋体"/>
          <w:color w:val="auto"/>
          <w:sz w:val="24"/>
          <w:highlight w:val="none"/>
        </w:rPr>
        <w:t>（附件19）</w:t>
      </w:r>
      <w:r>
        <w:rPr>
          <w:rFonts w:hint="eastAsia" w:ascii="宋体" w:hAnsi="宋体"/>
          <w:color w:val="auto"/>
          <w:kern w:val="0"/>
          <w:sz w:val="24"/>
          <w:highlight w:val="none"/>
        </w:rPr>
        <w:t>。</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附件16</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5"/>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18"/>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6"/>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r>
        <w:rPr>
          <w:rFonts w:hint="eastAsia" w:ascii="宋体" w:hAnsi="宋体"/>
          <w:b/>
          <w:color w:val="auto"/>
          <w:sz w:val="28"/>
          <w:highlight w:val="none"/>
        </w:rPr>
        <w:t>附件17</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559"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auto"/>
                <w:sz w:val="24"/>
                <w:highlight w:val="none"/>
              </w:rPr>
            </w:pPr>
          </w:p>
        </w:tc>
        <w:tc>
          <w:tcPr>
            <w:tcW w:w="1460"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auto"/>
                <w:sz w:val="24"/>
                <w:highlight w:val="none"/>
              </w:rPr>
            </w:pPr>
          </w:p>
        </w:tc>
        <w:tc>
          <w:tcPr>
            <w:tcW w:w="1460"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highlight w:val="none"/>
              </w:rPr>
            </w:pPr>
          </w:p>
        </w:tc>
        <w:tc>
          <w:tcPr>
            <w:tcW w:w="1460"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highlight w:val="none"/>
              </w:rPr>
            </w:pPr>
          </w:p>
        </w:tc>
        <w:tc>
          <w:tcPr>
            <w:tcW w:w="1460"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auto"/>
                <w:sz w:val="24"/>
                <w:highlight w:val="none"/>
              </w:rPr>
            </w:pPr>
          </w:p>
        </w:tc>
        <w:tc>
          <w:tcPr>
            <w:tcW w:w="1460"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left="435"/>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auto"/>
          <w:szCs w:val="21"/>
          <w:highlight w:val="none"/>
          <w:lang w:val="zh-CN"/>
        </w:rPr>
      </w:pPr>
      <w:r>
        <w:rPr>
          <w:rFonts w:hint="eastAsia" w:ascii="宋体"/>
          <w:color w:val="auto"/>
          <w:szCs w:val="21"/>
          <w:highlight w:val="none"/>
          <w:lang w:val="zh-CN"/>
        </w:rPr>
        <w:t>▲4. 本表中的型号规格必须明确，招标文件中明确要求定制的除外。</w:t>
      </w:r>
    </w:p>
    <w:p>
      <w:pPr>
        <w:spacing w:line="360" w:lineRule="auto"/>
        <w:rPr>
          <w:rFonts w:ascii="宋体" w:hAnsi="宋体"/>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供应商在投标时需提供本表的电子文档（单独封装，建议使用光盘），以便网上公示使用，电子文档将不予退还。</w:t>
      </w: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156" w:beforeLines="50" w:after="50" w:line="360" w:lineRule="auto"/>
        <w:rPr>
          <w:rFonts w:ascii="仿宋_GB2312" w:hAnsi="宋体" w:eastAsia="仿宋_GB2312"/>
          <w:bCs/>
          <w:color w:val="auto"/>
          <w:sz w:val="30"/>
          <w:szCs w:val="30"/>
          <w:highlight w:val="none"/>
        </w:rPr>
      </w:pPr>
      <w:r>
        <w:rPr>
          <w:rFonts w:hint="eastAsia" w:ascii="宋体" w:hAnsi="宋体"/>
          <w:b/>
          <w:color w:val="auto"/>
          <w:sz w:val="28"/>
          <w:highlight w:val="none"/>
        </w:rPr>
        <w:t>附件18</w:t>
      </w: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小</w:t>
      </w:r>
      <w:r>
        <w:rPr>
          <w:rFonts w:hint="eastAsia" w:ascii="宋体" w:hAnsi="宋体"/>
          <w:b/>
          <w:color w:val="auto"/>
          <w:sz w:val="32"/>
          <w:szCs w:val="32"/>
          <w:highlight w:val="none"/>
          <w:lang w:val="en-GB"/>
        </w:rPr>
        <w:t>微</w:t>
      </w:r>
      <w:r>
        <w:rPr>
          <w:rFonts w:hint="eastAsia" w:ascii="宋体" w:hAnsi="宋体"/>
          <w:b/>
          <w:color w:val="auto"/>
          <w:sz w:val="32"/>
          <w:szCs w:val="32"/>
          <w:highlight w:val="none"/>
        </w:rPr>
        <w:t>企业声明函</w:t>
      </w:r>
    </w:p>
    <w:p>
      <w:pPr>
        <w:pStyle w:val="4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本公司郑重声明，根据《政府采购促进中小企业发展暂行办法》（财库[2011]181号）的规定，本公司为______（请填写：小型、微型）企业。即，本公司同时满足以下条件：</w:t>
      </w:r>
    </w:p>
    <w:p>
      <w:pPr>
        <w:pStyle w:val="4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rPr>
        <w:t>（此处填写从业人员和营业收入的具体数据）</w:t>
      </w:r>
      <w:r>
        <w:rPr>
          <w:rFonts w:hint="eastAsia" w:ascii="宋体" w:hAnsi="宋体"/>
          <w:color w:val="auto"/>
          <w:spacing w:val="6"/>
          <w:sz w:val="24"/>
          <w:highlight w:val="none"/>
        </w:rPr>
        <w:t>，为______（请填写：小型、微型）企业。</w:t>
      </w:r>
    </w:p>
    <w:p>
      <w:pPr>
        <w:pStyle w:val="4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组织</w:t>
      </w:r>
      <w:r>
        <w:rPr>
          <w:rFonts w:hint="eastAsia" w:ascii="宋体" w:hAnsi="宋体"/>
          <w:color w:val="auto"/>
          <w:spacing w:val="6"/>
          <w:sz w:val="24"/>
          <w:highlight w:val="none"/>
        </w:rPr>
        <w:t>的采购项目（项目编号：</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）采购活动提供本企业制造的货物，由本企业承担工程、提供服务，或者提供其他______（请填写：小型、微型）企业制造的货物。本条所称货物不包括使用大型企业注册商标的货物。</w:t>
      </w:r>
    </w:p>
    <w:p>
      <w:pPr>
        <w:pStyle w:val="4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46"/>
        <w:spacing w:line="360" w:lineRule="auto"/>
        <w:ind w:firstLine="504" w:firstLineChars="200"/>
        <w:rPr>
          <w:rFonts w:ascii="宋体" w:hAnsi="宋体"/>
          <w:color w:val="auto"/>
          <w:spacing w:val="6"/>
          <w:sz w:val="24"/>
          <w:highlight w:val="none"/>
        </w:rPr>
      </w:pPr>
    </w:p>
    <w:p>
      <w:pPr>
        <w:pStyle w:val="46"/>
        <w:spacing w:line="360" w:lineRule="auto"/>
        <w:ind w:left="4253" w:leftChars="2025"/>
        <w:rPr>
          <w:rFonts w:ascii="宋体" w:hAnsi="宋体"/>
          <w:color w:val="auto"/>
          <w:sz w:val="24"/>
          <w:highlight w:val="none"/>
        </w:rPr>
      </w:pPr>
      <w:r>
        <w:rPr>
          <w:rFonts w:hint="eastAsia" w:ascii="宋体" w:hAnsi="宋体"/>
          <w:color w:val="auto"/>
          <w:sz w:val="24"/>
          <w:highlight w:val="none"/>
        </w:rPr>
        <w:t>投 标 人（单位公章）：</w:t>
      </w:r>
    </w:p>
    <w:p>
      <w:pPr>
        <w:pStyle w:val="46"/>
        <w:spacing w:line="360" w:lineRule="auto"/>
        <w:ind w:left="4253" w:leftChars="2025" w:right="360"/>
        <w:jc w:val="right"/>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theme="minorBidi"/>
          <w:color w:val="auto"/>
          <w:sz w:val="24"/>
          <w:highlight w:val="none"/>
          <w:lang w:val="en-US" w:eastAsia="zh-CN"/>
        </w:rPr>
        <w:t xml:space="preserve">  </w:t>
      </w:r>
      <w:r>
        <w:rPr>
          <w:rFonts w:hint="eastAsia" w:ascii="宋体" w:hAnsi="宋体" w:cs="Arial"/>
          <w:color w:val="auto"/>
          <w:sz w:val="24"/>
          <w:highlight w:val="none"/>
        </w:rPr>
        <w:t>年</w:t>
      </w:r>
      <w:r>
        <w:rPr>
          <w:rFonts w:hint="eastAsia" w:ascii="宋体" w:hAnsi="宋体" w:cstheme="minorBidi"/>
          <w:color w:val="auto"/>
          <w:sz w:val="24"/>
          <w:highlight w:val="none"/>
          <w:lang w:val="en-US" w:eastAsia="zh-CN"/>
        </w:rPr>
        <w:t xml:space="preserve">  </w:t>
      </w:r>
      <w:r>
        <w:rPr>
          <w:rFonts w:hint="eastAsia" w:ascii="宋体" w:hAnsi="宋体" w:cs="Arial"/>
          <w:color w:val="auto"/>
          <w:sz w:val="24"/>
          <w:highlight w:val="none"/>
        </w:rPr>
        <w:t>月</w:t>
      </w:r>
      <w:r>
        <w:rPr>
          <w:rFonts w:hint="eastAsia" w:ascii="宋体" w:hAnsi="宋体" w:cstheme="minorBidi"/>
          <w:color w:val="auto"/>
          <w:sz w:val="24"/>
          <w:highlight w:val="none"/>
          <w:lang w:val="en-US" w:eastAsia="zh-CN"/>
        </w:rPr>
        <w:t xml:space="preserve">  </w:t>
      </w:r>
      <w:r>
        <w:rPr>
          <w:rFonts w:hint="eastAsia" w:ascii="宋体" w:hAnsi="宋体" w:cs="Arial"/>
          <w:color w:val="auto"/>
          <w:sz w:val="24"/>
          <w:highlight w:val="none"/>
        </w:rPr>
        <w:t>日</w:t>
      </w:r>
    </w:p>
    <w:p>
      <w:pPr>
        <w:pStyle w:val="46"/>
        <w:spacing w:line="360" w:lineRule="auto"/>
        <w:rPr>
          <w:rFonts w:ascii="宋体" w:hAnsi="宋体"/>
          <w:color w:val="auto"/>
          <w:sz w:val="24"/>
          <w:highlight w:val="none"/>
        </w:rPr>
      </w:pPr>
    </w:p>
    <w:p>
      <w:pPr>
        <w:pStyle w:val="46"/>
        <w:spacing w:line="360" w:lineRule="auto"/>
        <w:jc w:val="center"/>
        <w:rPr>
          <w:rFonts w:ascii="宋体" w:hAnsi="宋体"/>
          <w:b/>
          <w:color w:val="auto"/>
          <w:spacing w:val="6"/>
          <w:sz w:val="32"/>
          <w:szCs w:val="32"/>
          <w:highlight w:val="none"/>
        </w:rPr>
      </w:pPr>
      <w:r>
        <w:rPr>
          <w:rFonts w:hint="eastAsia" w:ascii="宋体" w:hAnsi="宋体"/>
          <w:b/>
          <w:color w:val="auto"/>
          <w:sz w:val="32"/>
          <w:szCs w:val="32"/>
          <w:highlight w:val="none"/>
          <w:lang w:val="en-GB"/>
        </w:rPr>
        <w:t>小微企业声明函（制造商）</w:t>
      </w:r>
    </w:p>
    <w:p>
      <w:pPr>
        <w:pStyle w:val="4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46"/>
        <w:spacing w:line="360" w:lineRule="auto"/>
        <w:ind w:firstLine="504" w:firstLineChars="200"/>
        <w:rPr>
          <w:rFonts w:ascii="宋体" w:hAnsi="宋体"/>
          <w:color w:val="auto"/>
          <w:spacing w:val="6"/>
          <w:sz w:val="24"/>
          <w:highlight w:val="none"/>
        </w:rPr>
      </w:pPr>
    </w:p>
    <w:p>
      <w:pPr>
        <w:pStyle w:val="46"/>
        <w:spacing w:line="360" w:lineRule="auto"/>
        <w:ind w:firstLine="504" w:firstLineChars="200"/>
        <w:jc w:val="center"/>
        <w:rPr>
          <w:rFonts w:ascii="宋体" w:hAnsi="宋体"/>
          <w:color w:val="auto"/>
          <w:spacing w:val="6"/>
          <w:sz w:val="24"/>
          <w:highlight w:val="none"/>
        </w:rPr>
      </w:pPr>
      <w:r>
        <w:rPr>
          <w:rFonts w:hint="eastAsia" w:ascii="宋体" w:hAnsi="宋体"/>
          <w:color w:val="auto"/>
          <w:spacing w:val="6"/>
          <w:sz w:val="24"/>
          <w:highlight w:val="none"/>
          <w:lang w:val="en-US" w:eastAsia="zh-CN"/>
        </w:rPr>
        <w:t xml:space="preserve">                      </w:t>
      </w:r>
      <w:r>
        <w:rPr>
          <w:rFonts w:hint="eastAsia" w:ascii="宋体" w:hAnsi="宋体"/>
          <w:color w:val="auto"/>
          <w:spacing w:val="6"/>
          <w:sz w:val="24"/>
          <w:highlight w:val="none"/>
        </w:rPr>
        <w:t>企业名称（单位公章）：</w:t>
      </w:r>
    </w:p>
    <w:p>
      <w:pPr>
        <w:pStyle w:val="46"/>
        <w:spacing w:line="360" w:lineRule="auto"/>
        <w:ind w:left="4253" w:leftChars="2025" w:right="360"/>
        <w:jc w:val="center"/>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theme="minorBidi"/>
          <w:color w:val="auto"/>
          <w:sz w:val="24"/>
          <w:highlight w:val="none"/>
          <w:lang w:val="en-US" w:eastAsia="zh-CN"/>
        </w:rPr>
        <w:t xml:space="preserve">  </w:t>
      </w:r>
      <w:r>
        <w:rPr>
          <w:rFonts w:hint="eastAsia" w:ascii="宋体" w:hAnsi="宋体" w:cs="Arial"/>
          <w:color w:val="auto"/>
          <w:sz w:val="24"/>
          <w:highlight w:val="none"/>
        </w:rPr>
        <w:t>年</w:t>
      </w:r>
      <w:r>
        <w:rPr>
          <w:rFonts w:hint="eastAsia" w:ascii="宋体" w:hAnsi="宋体" w:cstheme="minorBidi"/>
          <w:color w:val="auto"/>
          <w:sz w:val="24"/>
          <w:highlight w:val="none"/>
          <w:lang w:val="en-US" w:eastAsia="zh-CN"/>
        </w:rPr>
        <w:t xml:space="preserve">  </w:t>
      </w:r>
      <w:r>
        <w:rPr>
          <w:rFonts w:hint="eastAsia" w:ascii="宋体" w:hAnsi="宋体" w:cs="Arial"/>
          <w:color w:val="auto"/>
          <w:sz w:val="24"/>
          <w:highlight w:val="none"/>
        </w:rPr>
        <w:t>月</w:t>
      </w:r>
      <w:r>
        <w:rPr>
          <w:rFonts w:hint="eastAsia" w:ascii="宋体" w:hAnsi="宋体" w:cstheme="minorBidi"/>
          <w:color w:val="auto"/>
          <w:sz w:val="24"/>
          <w:highlight w:val="none"/>
          <w:lang w:val="en-US" w:eastAsia="zh-CN"/>
        </w:rPr>
        <w:t xml:space="preserve">  </w:t>
      </w:r>
      <w:r>
        <w:rPr>
          <w:rFonts w:hint="eastAsia" w:ascii="宋体" w:hAnsi="宋体" w:cs="Arial"/>
          <w:color w:val="auto"/>
          <w:sz w:val="24"/>
          <w:highlight w:val="none"/>
        </w:rPr>
        <w:t>日</w:t>
      </w:r>
    </w:p>
    <w:p>
      <w:pPr>
        <w:rPr>
          <w:rFonts w:hint="eastAsia" w:ascii="宋体" w:hAnsi="宋体"/>
          <w:b/>
          <w:color w:val="auto"/>
          <w:sz w:val="32"/>
          <w:szCs w:val="32"/>
          <w:highlight w:val="none"/>
          <w:lang w:val="en-GB"/>
        </w:rPr>
      </w:pPr>
      <w:r>
        <w:rPr>
          <w:rFonts w:hint="eastAsia" w:ascii="宋体" w:hAnsi="宋体"/>
          <w:b/>
          <w:color w:val="auto"/>
          <w:sz w:val="32"/>
          <w:szCs w:val="32"/>
          <w:highlight w:val="none"/>
          <w:lang w:val="en-GB"/>
        </w:rPr>
        <w:br w:type="page"/>
      </w:r>
    </w:p>
    <w:p>
      <w:pPr>
        <w:adjustRightInd w:val="0"/>
        <w:snapToGrid w:val="0"/>
        <w:spacing w:line="48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中小企业资格确认意见书</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                        省（市、县、区）中小企业局（盖章）</w:t>
      </w:r>
    </w:p>
    <w:p>
      <w:pPr>
        <w:spacing w:line="588" w:lineRule="exact"/>
        <w:ind w:firstLine="4284" w:firstLineChars="1700"/>
        <w:rPr>
          <w:rFonts w:ascii="宋体" w:hAnsi="宋体"/>
          <w:color w:val="auto"/>
          <w:spacing w:val="6"/>
          <w:sz w:val="24"/>
          <w:highlight w:val="none"/>
        </w:rPr>
      </w:pPr>
      <w:r>
        <w:rPr>
          <w:rFonts w:hint="eastAsia" w:ascii="宋体" w:hAnsi="宋体"/>
          <w:color w:val="auto"/>
          <w:spacing w:val="6"/>
          <w:sz w:val="24"/>
          <w:highlight w:val="none"/>
        </w:rPr>
        <w:t>日期：</w:t>
      </w:r>
      <w:r>
        <w:rPr>
          <w:rFonts w:hint="eastAsia" w:ascii="宋体" w:hAnsi="宋体" w:cstheme="minorBidi"/>
          <w:color w:val="auto"/>
          <w:sz w:val="24"/>
          <w:highlight w:val="none"/>
          <w:lang w:val="en-US" w:eastAsia="zh-CN"/>
        </w:rPr>
        <w:t xml:space="preserve">  </w:t>
      </w:r>
      <w:r>
        <w:rPr>
          <w:rFonts w:hint="eastAsia" w:ascii="宋体" w:hAnsi="宋体"/>
          <w:color w:val="auto"/>
          <w:spacing w:val="6"/>
          <w:sz w:val="24"/>
          <w:highlight w:val="none"/>
        </w:rPr>
        <w:t>年</w:t>
      </w:r>
      <w:r>
        <w:rPr>
          <w:rFonts w:hint="eastAsia" w:ascii="宋体" w:hAnsi="宋体" w:cstheme="minorBidi"/>
          <w:color w:val="auto"/>
          <w:sz w:val="24"/>
          <w:highlight w:val="none"/>
          <w:lang w:val="en-US" w:eastAsia="zh-CN"/>
        </w:rPr>
        <w:t xml:space="preserve">   </w:t>
      </w:r>
      <w:r>
        <w:rPr>
          <w:rFonts w:hint="eastAsia" w:ascii="宋体" w:hAnsi="宋体"/>
          <w:color w:val="auto"/>
          <w:spacing w:val="6"/>
          <w:sz w:val="24"/>
          <w:highlight w:val="none"/>
        </w:rPr>
        <w:t>月</w:t>
      </w:r>
      <w:r>
        <w:rPr>
          <w:rFonts w:hint="eastAsia" w:ascii="宋体" w:hAnsi="宋体" w:cstheme="minorBidi"/>
          <w:color w:val="auto"/>
          <w:sz w:val="24"/>
          <w:highlight w:val="none"/>
          <w:lang w:val="en-US" w:eastAsia="zh-CN"/>
        </w:rPr>
        <w:t xml:space="preserve">   </w:t>
      </w:r>
      <w:r>
        <w:rPr>
          <w:rFonts w:hint="eastAsia" w:ascii="宋体" w:hAnsi="宋体"/>
          <w:color w:val="auto"/>
          <w:spacing w:val="6"/>
          <w:sz w:val="24"/>
          <w:highlight w:val="none"/>
        </w:rPr>
        <w:t>日</w:t>
      </w:r>
    </w:p>
    <w:p>
      <w:pPr>
        <w:pStyle w:val="11"/>
        <w:spacing w:line="360" w:lineRule="auto"/>
        <w:jc w:val="center"/>
        <w:outlineLvl w:val="1"/>
        <w:rPr>
          <w:rFonts w:hAnsi="宋体"/>
          <w:b/>
          <w:color w:val="auto"/>
          <w:sz w:val="32"/>
          <w:szCs w:val="32"/>
          <w:highlight w:val="none"/>
          <w:lang w:val="en-GB"/>
        </w:rPr>
      </w:pPr>
    </w:p>
    <w:p>
      <w:pPr>
        <w:pStyle w:val="11"/>
        <w:spacing w:line="360" w:lineRule="auto"/>
        <w:jc w:val="center"/>
        <w:outlineLvl w:val="1"/>
        <w:rPr>
          <w:rFonts w:hAnsi="宋体"/>
          <w:b/>
          <w:color w:val="auto"/>
          <w:sz w:val="32"/>
          <w:szCs w:val="32"/>
          <w:highlight w:val="none"/>
          <w:lang w:val="en-GB"/>
        </w:rPr>
      </w:pPr>
    </w:p>
    <w:p>
      <w:pPr>
        <w:pStyle w:val="11"/>
        <w:spacing w:line="360" w:lineRule="auto"/>
        <w:jc w:val="center"/>
        <w:outlineLvl w:val="1"/>
        <w:rPr>
          <w:rFonts w:hAnsi="宋体"/>
          <w:b/>
          <w:color w:val="auto"/>
          <w:sz w:val="32"/>
          <w:szCs w:val="32"/>
          <w:highlight w:val="none"/>
          <w:lang w:val="en-GB"/>
        </w:rPr>
      </w:pPr>
    </w:p>
    <w:p>
      <w:pPr>
        <w:pStyle w:val="11"/>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p>
    <w:p>
      <w:pPr>
        <w:pStyle w:val="46"/>
        <w:spacing w:line="360" w:lineRule="auto"/>
        <w:rPr>
          <w:rFonts w:ascii="宋体" w:hAnsi="宋体"/>
          <w:b/>
          <w:color w:val="auto"/>
          <w:sz w:val="28"/>
          <w:szCs w:val="28"/>
          <w:highlight w:val="none"/>
        </w:rPr>
      </w:pPr>
    </w:p>
    <w:p>
      <w:pPr>
        <w:pStyle w:val="46"/>
        <w:spacing w:line="360" w:lineRule="auto"/>
        <w:rPr>
          <w:rFonts w:ascii="宋体" w:hAnsi="宋体"/>
          <w:b/>
          <w:color w:val="auto"/>
          <w:sz w:val="28"/>
          <w:szCs w:val="28"/>
          <w:highlight w:val="none"/>
        </w:rPr>
      </w:pPr>
    </w:p>
    <w:p>
      <w:pPr>
        <w:pStyle w:val="46"/>
        <w:spacing w:line="360" w:lineRule="auto"/>
        <w:rPr>
          <w:rFonts w:ascii="宋体" w:hAnsi="宋体"/>
          <w:b/>
          <w:color w:val="auto"/>
          <w:sz w:val="28"/>
          <w:szCs w:val="28"/>
          <w:highlight w:val="none"/>
        </w:rPr>
      </w:pPr>
    </w:p>
    <w:p>
      <w:pPr>
        <w:pStyle w:val="46"/>
        <w:spacing w:line="360" w:lineRule="auto"/>
        <w:rPr>
          <w:rFonts w:ascii="宋体" w:hAnsi="宋体"/>
          <w:b/>
          <w:color w:val="auto"/>
          <w:sz w:val="28"/>
          <w:szCs w:val="28"/>
          <w:highlight w:val="none"/>
        </w:rPr>
      </w:pPr>
      <w:r>
        <w:rPr>
          <w:rFonts w:hint="eastAsia" w:ascii="宋体" w:hAnsi="宋体"/>
          <w:b/>
          <w:color w:val="auto"/>
          <w:sz w:val="28"/>
          <w:szCs w:val="28"/>
          <w:highlight w:val="none"/>
        </w:rPr>
        <w:t>附件19</w:t>
      </w:r>
    </w:p>
    <w:p>
      <w:pPr>
        <w:pStyle w:val="47"/>
        <w:spacing w:line="360" w:lineRule="auto"/>
        <w:rPr>
          <w:color w:val="auto"/>
          <w:highlight w:val="none"/>
        </w:rPr>
      </w:pPr>
    </w:p>
    <w:p>
      <w:pPr>
        <w:pStyle w:val="44"/>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产品适用政府采购政策情况表</w:t>
      </w:r>
    </w:p>
    <w:p>
      <w:pPr>
        <w:pStyle w:val="44"/>
        <w:spacing w:line="360" w:lineRule="auto"/>
        <w:jc w:val="center"/>
        <w:rPr>
          <w:rFonts w:ascii="宋体" w:hAnsi="宋体"/>
          <w:b/>
          <w:color w:val="auto"/>
          <w:sz w:val="32"/>
          <w:szCs w:val="32"/>
          <w:highlight w:val="none"/>
          <w:lang w:val="en-GB"/>
        </w:rPr>
      </w:pPr>
    </w:p>
    <w:tbl>
      <w:tblPr>
        <w:tblStyle w:val="1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4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小微企业扶持政策</w:t>
            </w:r>
          </w:p>
        </w:tc>
        <w:tc>
          <w:tcPr>
            <w:tcW w:w="8111" w:type="dxa"/>
            <w:gridSpan w:val="3"/>
            <w:vAlign w:val="center"/>
          </w:tcPr>
          <w:tbl>
            <w:tblPr>
              <w:tblStyle w:val="18"/>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44"/>
                    <w:tabs>
                      <w:tab w:val="left" w:pos="1260"/>
                    </w:tabs>
                    <w:spacing w:line="360" w:lineRule="auto"/>
                    <w:rPr>
                      <w:rFonts w:ascii="宋体" w:hAnsi="宋体"/>
                      <w:color w:val="auto"/>
                      <w:sz w:val="24"/>
                      <w:highlight w:val="none"/>
                    </w:rPr>
                  </w:pPr>
                  <w:r>
                    <w:rPr>
                      <w:rFonts w:hint="eastAsia" w:ascii="宋体" w:hAnsi="宋体"/>
                      <w:b/>
                      <w:bCs/>
                      <w:color w:val="auto"/>
                      <w:sz w:val="24"/>
                      <w:highlight w:val="none"/>
                    </w:rPr>
                    <w:t>小型、微型企业投标且所投产品（指货物、工程、服务）由本企业制造，或者所投产品（仅指货物）含有其他小型、微型企业制造的，应</w:t>
                  </w:r>
                  <w:r>
                    <w:rPr>
                      <w:rFonts w:hint="eastAsia" w:ascii="宋体" w:hAnsi="宋体"/>
                      <w:b/>
                      <w:bCs/>
                      <w:color w:val="auto"/>
                      <w:sz w:val="24"/>
                      <w:highlight w:val="none"/>
                      <w:lang w:val="en-GB"/>
                    </w:rPr>
                    <w:t>按要求列出具体产品与金额。</w:t>
                  </w:r>
                </w:p>
              </w:tc>
            </w:tr>
          </w:tbl>
          <w:p>
            <w:pPr>
              <w:pStyle w:val="44"/>
              <w:tabs>
                <w:tab w:val="left" w:pos="1260"/>
              </w:tabs>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ascii="宋体" w:hAnsi="宋体"/>
                <w:color w:val="auto"/>
                <w:sz w:val="24"/>
                <w:highlight w:val="none"/>
                <w:lang w:val="en-GB"/>
              </w:rPr>
            </w:pPr>
          </w:p>
        </w:tc>
        <w:tc>
          <w:tcPr>
            <w:tcW w:w="2679" w:type="dxa"/>
            <w:vAlign w:val="center"/>
          </w:tcPr>
          <w:p>
            <w:pPr>
              <w:pStyle w:val="4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产品名称（品牌、型号）</w:t>
            </w:r>
          </w:p>
        </w:tc>
        <w:tc>
          <w:tcPr>
            <w:tcW w:w="3811" w:type="dxa"/>
            <w:vAlign w:val="center"/>
          </w:tcPr>
          <w:p>
            <w:pPr>
              <w:pStyle w:val="4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制造企业名称</w:t>
            </w:r>
          </w:p>
        </w:tc>
        <w:tc>
          <w:tcPr>
            <w:tcW w:w="1621" w:type="dxa"/>
            <w:vAlign w:val="center"/>
          </w:tcPr>
          <w:p>
            <w:pPr>
              <w:pStyle w:val="4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ascii="宋体" w:hAnsi="宋体"/>
                <w:color w:val="auto"/>
                <w:sz w:val="24"/>
                <w:highlight w:val="none"/>
                <w:lang w:val="en-GB"/>
              </w:rPr>
            </w:pPr>
          </w:p>
        </w:tc>
        <w:tc>
          <w:tcPr>
            <w:tcW w:w="2679" w:type="dxa"/>
            <w:vAlign w:val="center"/>
          </w:tcPr>
          <w:p>
            <w:pPr>
              <w:pStyle w:val="44"/>
              <w:tabs>
                <w:tab w:val="left" w:pos="1260"/>
              </w:tabs>
              <w:jc w:val="center"/>
              <w:rPr>
                <w:rFonts w:ascii="宋体" w:hAnsi="宋体"/>
                <w:color w:val="auto"/>
                <w:sz w:val="24"/>
                <w:highlight w:val="none"/>
                <w:lang w:val="en-GB"/>
              </w:rPr>
            </w:pPr>
          </w:p>
        </w:tc>
        <w:tc>
          <w:tcPr>
            <w:tcW w:w="3811" w:type="dxa"/>
            <w:vAlign w:val="center"/>
          </w:tcPr>
          <w:p>
            <w:pPr>
              <w:pStyle w:val="44"/>
              <w:tabs>
                <w:tab w:val="left" w:pos="1260"/>
              </w:tabs>
              <w:jc w:val="center"/>
              <w:rPr>
                <w:rFonts w:ascii="宋体" w:hAnsi="宋体"/>
                <w:color w:val="auto"/>
                <w:sz w:val="24"/>
                <w:highlight w:val="none"/>
                <w:lang w:val="en-GB"/>
              </w:rPr>
            </w:pPr>
          </w:p>
        </w:tc>
        <w:tc>
          <w:tcPr>
            <w:tcW w:w="1621" w:type="dxa"/>
            <w:vAlign w:val="center"/>
          </w:tcPr>
          <w:p>
            <w:pPr>
              <w:pStyle w:val="44"/>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ascii="宋体" w:hAnsi="宋体"/>
                <w:color w:val="auto"/>
                <w:sz w:val="24"/>
                <w:highlight w:val="none"/>
                <w:lang w:val="en-GB"/>
              </w:rPr>
            </w:pPr>
          </w:p>
        </w:tc>
        <w:tc>
          <w:tcPr>
            <w:tcW w:w="2679" w:type="dxa"/>
            <w:vAlign w:val="center"/>
          </w:tcPr>
          <w:p>
            <w:pPr>
              <w:pStyle w:val="44"/>
              <w:tabs>
                <w:tab w:val="left" w:pos="1260"/>
              </w:tabs>
              <w:jc w:val="center"/>
              <w:rPr>
                <w:rFonts w:ascii="宋体" w:hAnsi="宋体"/>
                <w:color w:val="auto"/>
                <w:sz w:val="24"/>
                <w:highlight w:val="none"/>
                <w:lang w:val="en-GB"/>
              </w:rPr>
            </w:pPr>
          </w:p>
        </w:tc>
        <w:tc>
          <w:tcPr>
            <w:tcW w:w="3811" w:type="dxa"/>
            <w:vAlign w:val="center"/>
          </w:tcPr>
          <w:p>
            <w:pPr>
              <w:pStyle w:val="44"/>
              <w:tabs>
                <w:tab w:val="left" w:pos="1260"/>
              </w:tabs>
              <w:jc w:val="center"/>
              <w:rPr>
                <w:rFonts w:ascii="宋体" w:hAnsi="宋体"/>
                <w:color w:val="auto"/>
                <w:sz w:val="24"/>
                <w:highlight w:val="none"/>
                <w:lang w:val="en-GB"/>
              </w:rPr>
            </w:pPr>
          </w:p>
        </w:tc>
        <w:tc>
          <w:tcPr>
            <w:tcW w:w="1621" w:type="dxa"/>
            <w:vAlign w:val="center"/>
          </w:tcPr>
          <w:p>
            <w:pPr>
              <w:pStyle w:val="44"/>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ascii="宋体" w:hAnsi="宋体"/>
                <w:color w:val="auto"/>
                <w:sz w:val="24"/>
                <w:highlight w:val="none"/>
                <w:lang w:val="en-GB"/>
              </w:rPr>
            </w:pPr>
          </w:p>
        </w:tc>
        <w:tc>
          <w:tcPr>
            <w:tcW w:w="2679" w:type="dxa"/>
            <w:vAlign w:val="center"/>
          </w:tcPr>
          <w:p>
            <w:pPr>
              <w:pStyle w:val="44"/>
              <w:tabs>
                <w:tab w:val="left" w:pos="1260"/>
              </w:tabs>
              <w:jc w:val="center"/>
              <w:rPr>
                <w:rFonts w:ascii="宋体" w:hAnsi="宋体"/>
                <w:color w:val="auto"/>
                <w:sz w:val="24"/>
                <w:highlight w:val="none"/>
                <w:lang w:val="en-GB"/>
              </w:rPr>
            </w:pPr>
          </w:p>
        </w:tc>
        <w:tc>
          <w:tcPr>
            <w:tcW w:w="3811" w:type="dxa"/>
            <w:vAlign w:val="center"/>
          </w:tcPr>
          <w:p>
            <w:pPr>
              <w:pStyle w:val="44"/>
              <w:tabs>
                <w:tab w:val="left" w:pos="1260"/>
              </w:tabs>
              <w:jc w:val="center"/>
              <w:rPr>
                <w:rFonts w:ascii="宋体" w:hAnsi="宋体"/>
                <w:color w:val="auto"/>
                <w:sz w:val="24"/>
                <w:highlight w:val="none"/>
                <w:lang w:val="en-GB"/>
              </w:rPr>
            </w:pPr>
          </w:p>
        </w:tc>
        <w:tc>
          <w:tcPr>
            <w:tcW w:w="1621" w:type="dxa"/>
            <w:vAlign w:val="center"/>
          </w:tcPr>
          <w:p>
            <w:pPr>
              <w:pStyle w:val="44"/>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ascii="宋体" w:hAnsi="宋体"/>
                <w:color w:val="auto"/>
                <w:sz w:val="24"/>
                <w:highlight w:val="none"/>
                <w:lang w:val="en-GB"/>
              </w:rPr>
            </w:pPr>
          </w:p>
        </w:tc>
        <w:tc>
          <w:tcPr>
            <w:tcW w:w="6490" w:type="dxa"/>
            <w:gridSpan w:val="2"/>
            <w:vAlign w:val="center"/>
          </w:tcPr>
          <w:p>
            <w:pPr>
              <w:pStyle w:val="44"/>
              <w:tabs>
                <w:tab w:val="left" w:pos="1260"/>
              </w:tabs>
              <w:jc w:val="center"/>
              <w:rPr>
                <w:rFonts w:ascii="宋体" w:hAnsi="宋体"/>
                <w:color w:val="auto"/>
                <w:sz w:val="24"/>
                <w:highlight w:val="none"/>
                <w:lang w:val="en-GB"/>
              </w:rPr>
            </w:pPr>
            <w:r>
              <w:rPr>
                <w:rFonts w:hint="eastAsia" w:ascii="宋体" w:hAnsi="宋体"/>
                <w:color w:val="auto"/>
                <w:sz w:val="24"/>
                <w:highlight w:val="none"/>
              </w:rPr>
              <w:t>小型、微型企业产品</w:t>
            </w:r>
            <w:r>
              <w:rPr>
                <w:rFonts w:hint="eastAsia" w:ascii="宋体" w:hAnsi="宋体"/>
                <w:color w:val="auto"/>
                <w:sz w:val="24"/>
                <w:highlight w:val="none"/>
                <w:lang w:val="en-GB"/>
              </w:rPr>
              <w:t>金额合计（元）</w:t>
            </w:r>
          </w:p>
          <w:p>
            <w:pPr>
              <w:rPr>
                <w:color w:val="auto"/>
                <w:highlight w:val="none"/>
              </w:rPr>
            </w:pPr>
          </w:p>
        </w:tc>
        <w:tc>
          <w:tcPr>
            <w:tcW w:w="1621" w:type="dxa"/>
            <w:vAlign w:val="center"/>
          </w:tcPr>
          <w:p>
            <w:pPr>
              <w:pStyle w:val="44"/>
              <w:tabs>
                <w:tab w:val="left" w:pos="1260"/>
              </w:tabs>
              <w:jc w:val="center"/>
              <w:rPr>
                <w:rFonts w:ascii="宋体" w:hAnsi="宋体"/>
                <w:color w:val="auto"/>
                <w:sz w:val="24"/>
                <w:highlight w:val="none"/>
                <w:lang w:val="en-GB"/>
              </w:rPr>
            </w:pPr>
          </w:p>
        </w:tc>
      </w:tr>
    </w:tbl>
    <w:p>
      <w:pPr>
        <w:pStyle w:val="44"/>
        <w:spacing w:line="360" w:lineRule="auto"/>
        <w:rPr>
          <w:rFonts w:ascii="宋体" w:hAnsi="宋体"/>
          <w:color w:val="auto"/>
          <w:szCs w:val="21"/>
          <w:highlight w:val="none"/>
          <w:lang w:val="en-GB"/>
        </w:rPr>
      </w:pPr>
    </w:p>
    <w:p>
      <w:pPr>
        <w:pStyle w:val="44"/>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44"/>
        <w:widowControl/>
        <w:numPr>
          <w:ilvl w:val="0"/>
          <w:numId w:val="13"/>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本表的产品名称、规格型号和注册商标、金额要与《报价明细表》一致。</w:t>
      </w:r>
    </w:p>
    <w:p>
      <w:pPr>
        <w:pStyle w:val="44"/>
        <w:widowControl/>
        <w:numPr>
          <w:ilvl w:val="0"/>
          <w:numId w:val="13"/>
        </w:numPr>
        <w:tabs>
          <w:tab w:val="left" w:pos="360"/>
        </w:tabs>
        <w:spacing w:line="360" w:lineRule="auto"/>
        <w:ind w:left="360" w:right="84" w:rightChars="40" w:hanging="36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44"/>
        <w:widowControl/>
        <w:numPr>
          <w:ilvl w:val="0"/>
          <w:numId w:val="13"/>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auto"/>
          <w:kern w:val="0"/>
          <w:sz w:val="24"/>
          <w:highlight w:val="none"/>
          <w:lang w:val="en-GB"/>
        </w:rPr>
      </w:pPr>
    </w:p>
    <w:p>
      <w:pPr>
        <w:rPr>
          <w:color w:val="auto"/>
          <w:highlight w:val="none"/>
        </w:rPr>
      </w:pPr>
    </w:p>
    <w:p>
      <w:pPr>
        <w:snapToGrid w:val="0"/>
        <w:spacing w:line="360" w:lineRule="auto"/>
        <w:ind w:firstLine="480" w:firstLineChars="200"/>
        <w:jc w:val="left"/>
        <w:rPr>
          <w:rFonts w:asciiTheme="minorEastAsia" w:hAnsiTheme="minorEastAsia" w:eastAsiaTheme="minorEastAsia"/>
          <w:color w:val="auto"/>
          <w:sz w:val="24"/>
          <w:highlight w:val="none"/>
        </w:rPr>
      </w:pPr>
    </w:p>
    <w:p>
      <w:pPr>
        <w:rPr>
          <w:color w:val="auto"/>
          <w:highlight w:val="none"/>
        </w:rPr>
      </w:pPr>
    </w:p>
    <w:p>
      <w:pPr>
        <w:rPr>
          <w:color w:val="auto"/>
          <w:highlight w:val="none"/>
        </w:rPr>
      </w:pPr>
    </w:p>
    <w:sectPr>
      <w:head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方正书宋简体">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5"/>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EA1E0DFD"/>
    <w:multiLevelType w:val="singleLevel"/>
    <w:tmpl w:val="EA1E0DFD"/>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CF61420"/>
    <w:multiLevelType w:val="singleLevel"/>
    <w:tmpl w:val="5CF61420"/>
    <w:lvl w:ilvl="0" w:tentative="0">
      <w:start w:val="1"/>
      <w:numFmt w:val="decimal"/>
      <w:suff w:val="nothing"/>
      <w:lvlText w:val="%1．"/>
      <w:lvlJc w:val="left"/>
      <w:pPr>
        <w:ind w:left="0" w:firstLine="400"/>
      </w:pPr>
      <w:rPr>
        <w:rFonts w:hint="default"/>
      </w:rPr>
    </w:lvl>
  </w:abstractNum>
  <w:abstractNum w:abstractNumId="8">
    <w:nsid w:val="5CF615F4"/>
    <w:multiLevelType w:val="singleLevel"/>
    <w:tmpl w:val="5CF615F4"/>
    <w:lvl w:ilvl="0" w:tentative="0">
      <w:start w:val="1"/>
      <w:numFmt w:val="chineseCounting"/>
      <w:suff w:val="nothing"/>
      <w:lvlText w:val="（%1）"/>
      <w:lvlJc w:val="left"/>
      <w:pPr>
        <w:ind w:left="0" w:firstLine="420"/>
      </w:pPr>
      <w:rPr>
        <w:rFonts w:hint="eastAsia"/>
      </w:rPr>
    </w:lvl>
  </w:abstractNum>
  <w:abstractNum w:abstractNumId="9">
    <w:nsid w:val="5CF61CDF"/>
    <w:multiLevelType w:val="singleLevel"/>
    <w:tmpl w:val="5CF61CDF"/>
    <w:lvl w:ilvl="0" w:tentative="0">
      <w:start w:val="1"/>
      <w:numFmt w:val="decimal"/>
      <w:lvlText w:val="%1、"/>
      <w:lvlJc w:val="left"/>
      <w:pPr>
        <w:tabs>
          <w:tab w:val="left" w:pos="420"/>
        </w:tabs>
        <w:ind w:left="425" w:hanging="425"/>
      </w:pPr>
      <w:rPr>
        <w:rFonts w:hint="default"/>
      </w:rPr>
    </w:lvl>
  </w:abstractNum>
  <w:abstractNum w:abstractNumId="10">
    <w:nsid w:val="5D2EB856"/>
    <w:multiLevelType w:val="singleLevel"/>
    <w:tmpl w:val="5D2EB856"/>
    <w:lvl w:ilvl="0" w:tentative="0">
      <w:start w:val="1"/>
      <w:numFmt w:val="decimal"/>
      <w:suff w:val="nothing"/>
      <w:lvlText w:val="%1．"/>
      <w:lvlJc w:val="left"/>
      <w:pPr>
        <w:ind w:left="0" w:firstLine="400"/>
      </w:pPr>
      <w:rPr>
        <w:rFonts w:hint="default"/>
      </w:rPr>
    </w:lvl>
  </w:abstractNum>
  <w:abstractNum w:abstractNumId="11">
    <w:nsid w:val="5D317AFA"/>
    <w:multiLevelType w:val="singleLevel"/>
    <w:tmpl w:val="5D317AFA"/>
    <w:lvl w:ilvl="0" w:tentative="0">
      <w:start w:val="1"/>
      <w:numFmt w:val="decimal"/>
      <w:suff w:val="nothing"/>
      <w:lvlText w:val="%1、"/>
      <w:lvlJc w:val="left"/>
    </w:lvl>
  </w:abstractNum>
  <w:abstractNum w:abstractNumId="12">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10"/>
  </w:num>
  <w:num w:numId="8">
    <w:abstractNumId w:val="11"/>
  </w:num>
  <w:num w:numId="9">
    <w:abstractNumId w:val="8"/>
  </w:num>
  <w:num w:numId="10">
    <w:abstractNumId w:val="7"/>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formatting="1" w:enforcement="1" w:cryptProviderType="rsaFull" w:cryptAlgorithmClass="hash" w:cryptAlgorithmType="typeAny" w:cryptAlgorithmSid="4" w:cryptSpinCount="0" w:hash="yXSEMm8j0H/vCHGuHUgWGU0Jl30=" w:salt="JuwUbUZoQFzI4uznlNth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6BD"/>
    <w:rsid w:val="0006294D"/>
    <w:rsid w:val="00062AB3"/>
    <w:rsid w:val="00073AAD"/>
    <w:rsid w:val="00095A8F"/>
    <w:rsid w:val="00107BF6"/>
    <w:rsid w:val="00165F2A"/>
    <w:rsid w:val="00174CCD"/>
    <w:rsid w:val="00201D62"/>
    <w:rsid w:val="0021318F"/>
    <w:rsid w:val="00216850"/>
    <w:rsid w:val="002A1620"/>
    <w:rsid w:val="003102FB"/>
    <w:rsid w:val="00332E30"/>
    <w:rsid w:val="003C04D2"/>
    <w:rsid w:val="003C5E00"/>
    <w:rsid w:val="003F595C"/>
    <w:rsid w:val="003F78E0"/>
    <w:rsid w:val="00441FAE"/>
    <w:rsid w:val="00446CEF"/>
    <w:rsid w:val="0046392C"/>
    <w:rsid w:val="00491BDF"/>
    <w:rsid w:val="004B4165"/>
    <w:rsid w:val="005144EF"/>
    <w:rsid w:val="00573613"/>
    <w:rsid w:val="00616E31"/>
    <w:rsid w:val="00655E3C"/>
    <w:rsid w:val="00674C42"/>
    <w:rsid w:val="006C78FA"/>
    <w:rsid w:val="006F4DFE"/>
    <w:rsid w:val="006F6B57"/>
    <w:rsid w:val="007A2629"/>
    <w:rsid w:val="007B4D13"/>
    <w:rsid w:val="007C1005"/>
    <w:rsid w:val="007D4118"/>
    <w:rsid w:val="007D73C7"/>
    <w:rsid w:val="007F303F"/>
    <w:rsid w:val="00802325"/>
    <w:rsid w:val="0082291E"/>
    <w:rsid w:val="00847BE5"/>
    <w:rsid w:val="0088066B"/>
    <w:rsid w:val="00886E4A"/>
    <w:rsid w:val="008D0714"/>
    <w:rsid w:val="00902653"/>
    <w:rsid w:val="00912983"/>
    <w:rsid w:val="00921F0A"/>
    <w:rsid w:val="00953816"/>
    <w:rsid w:val="00985E3B"/>
    <w:rsid w:val="009B3E22"/>
    <w:rsid w:val="009F3459"/>
    <w:rsid w:val="00A128BC"/>
    <w:rsid w:val="00A30B75"/>
    <w:rsid w:val="00A67321"/>
    <w:rsid w:val="00A730CA"/>
    <w:rsid w:val="00AD086F"/>
    <w:rsid w:val="00AF082F"/>
    <w:rsid w:val="00C141DE"/>
    <w:rsid w:val="00C52E14"/>
    <w:rsid w:val="00C54F22"/>
    <w:rsid w:val="00C767D4"/>
    <w:rsid w:val="00CC232E"/>
    <w:rsid w:val="00CC29B4"/>
    <w:rsid w:val="00CD1804"/>
    <w:rsid w:val="00CD3D80"/>
    <w:rsid w:val="00CF2B51"/>
    <w:rsid w:val="00E25A81"/>
    <w:rsid w:val="00E319E7"/>
    <w:rsid w:val="00E41A5E"/>
    <w:rsid w:val="00E94954"/>
    <w:rsid w:val="00EA1958"/>
    <w:rsid w:val="00EF2797"/>
    <w:rsid w:val="00F127FF"/>
    <w:rsid w:val="00F25E81"/>
    <w:rsid w:val="01935887"/>
    <w:rsid w:val="04CC341D"/>
    <w:rsid w:val="05137CD7"/>
    <w:rsid w:val="060B26E0"/>
    <w:rsid w:val="073C2287"/>
    <w:rsid w:val="07424EE0"/>
    <w:rsid w:val="088B0BF4"/>
    <w:rsid w:val="095204DA"/>
    <w:rsid w:val="0BC1228B"/>
    <w:rsid w:val="0C1E2BA0"/>
    <w:rsid w:val="0C2415D3"/>
    <w:rsid w:val="0C765CB2"/>
    <w:rsid w:val="0DC4358A"/>
    <w:rsid w:val="0E970358"/>
    <w:rsid w:val="0F530A77"/>
    <w:rsid w:val="10392EAE"/>
    <w:rsid w:val="10706EC2"/>
    <w:rsid w:val="12807280"/>
    <w:rsid w:val="148463E6"/>
    <w:rsid w:val="14D20D9B"/>
    <w:rsid w:val="15287094"/>
    <w:rsid w:val="15A72BED"/>
    <w:rsid w:val="1621170E"/>
    <w:rsid w:val="18B91D2B"/>
    <w:rsid w:val="18C40414"/>
    <w:rsid w:val="1A6A6D44"/>
    <w:rsid w:val="1A817123"/>
    <w:rsid w:val="1BDEBEAC"/>
    <w:rsid w:val="1C093ECB"/>
    <w:rsid w:val="1CE4433A"/>
    <w:rsid w:val="1EE84AA8"/>
    <w:rsid w:val="1EFFF4B3"/>
    <w:rsid w:val="1F77199B"/>
    <w:rsid w:val="228447E5"/>
    <w:rsid w:val="23424F53"/>
    <w:rsid w:val="236E14E2"/>
    <w:rsid w:val="27F76B28"/>
    <w:rsid w:val="29D148D0"/>
    <w:rsid w:val="2AC803DC"/>
    <w:rsid w:val="2EAB0B7A"/>
    <w:rsid w:val="2FAB2A22"/>
    <w:rsid w:val="30143D85"/>
    <w:rsid w:val="31752B09"/>
    <w:rsid w:val="341548E3"/>
    <w:rsid w:val="37712A39"/>
    <w:rsid w:val="380672F9"/>
    <w:rsid w:val="3AE50133"/>
    <w:rsid w:val="3B345EA5"/>
    <w:rsid w:val="3B7D477A"/>
    <w:rsid w:val="3C535292"/>
    <w:rsid w:val="3DB531EC"/>
    <w:rsid w:val="3DE86C6B"/>
    <w:rsid w:val="3FF39BA0"/>
    <w:rsid w:val="3FFD8D37"/>
    <w:rsid w:val="420A29EE"/>
    <w:rsid w:val="43036342"/>
    <w:rsid w:val="446E79B8"/>
    <w:rsid w:val="4563730C"/>
    <w:rsid w:val="46FAF615"/>
    <w:rsid w:val="48694FA0"/>
    <w:rsid w:val="488E768B"/>
    <w:rsid w:val="4991008C"/>
    <w:rsid w:val="49F41D5E"/>
    <w:rsid w:val="4B1E31F7"/>
    <w:rsid w:val="4BCB3573"/>
    <w:rsid w:val="4CE75373"/>
    <w:rsid w:val="52E6D006"/>
    <w:rsid w:val="566D4B95"/>
    <w:rsid w:val="572656D4"/>
    <w:rsid w:val="596D0701"/>
    <w:rsid w:val="59AD06A4"/>
    <w:rsid w:val="5A4D586D"/>
    <w:rsid w:val="5A6249B0"/>
    <w:rsid w:val="5B3F3E55"/>
    <w:rsid w:val="5CF650A8"/>
    <w:rsid w:val="5E7C626E"/>
    <w:rsid w:val="5EE84C68"/>
    <w:rsid w:val="5EEBC73C"/>
    <w:rsid w:val="5EF764CF"/>
    <w:rsid w:val="5F66E909"/>
    <w:rsid w:val="5FE42EC2"/>
    <w:rsid w:val="621D5BA4"/>
    <w:rsid w:val="635B6748"/>
    <w:rsid w:val="63947A95"/>
    <w:rsid w:val="67B167D1"/>
    <w:rsid w:val="685F1C50"/>
    <w:rsid w:val="699022E9"/>
    <w:rsid w:val="69E15C1B"/>
    <w:rsid w:val="6A714498"/>
    <w:rsid w:val="6DDD645C"/>
    <w:rsid w:val="6F7FEEA3"/>
    <w:rsid w:val="6FDE4F78"/>
    <w:rsid w:val="6FEFC4EC"/>
    <w:rsid w:val="745919C6"/>
    <w:rsid w:val="74702A9A"/>
    <w:rsid w:val="74ED10B4"/>
    <w:rsid w:val="74FFE614"/>
    <w:rsid w:val="761C2BBB"/>
    <w:rsid w:val="765F4246"/>
    <w:rsid w:val="76F72695"/>
    <w:rsid w:val="76FA25F3"/>
    <w:rsid w:val="776A1DE8"/>
    <w:rsid w:val="77B6F360"/>
    <w:rsid w:val="77D7EC4F"/>
    <w:rsid w:val="785D00CA"/>
    <w:rsid w:val="7B5F9255"/>
    <w:rsid w:val="7C89B142"/>
    <w:rsid w:val="7D095886"/>
    <w:rsid w:val="7DB506D7"/>
    <w:rsid w:val="7DDD6CEA"/>
    <w:rsid w:val="7DFF81C2"/>
    <w:rsid w:val="7E0D7EF2"/>
    <w:rsid w:val="7E2F7CAD"/>
    <w:rsid w:val="7E4E9CF6"/>
    <w:rsid w:val="7E636E1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8"/>
    <w:qFormat/>
    <w:uiPriority w:val="0"/>
    <w:pPr>
      <w:jc w:val="left"/>
    </w:pPr>
  </w:style>
  <w:style w:type="paragraph" w:styleId="8">
    <w:name w:val="Body Text"/>
    <w:basedOn w:val="1"/>
    <w:next w:val="9"/>
    <w:qFormat/>
    <w:uiPriority w:val="0"/>
    <w:pPr>
      <w:spacing w:line="360" w:lineRule="exact"/>
    </w:pPr>
    <w:rPr>
      <w:sz w:val="24"/>
    </w:rPr>
  </w:style>
  <w:style w:type="paragraph" w:styleId="9">
    <w:name w:val="toc 4"/>
    <w:next w:val="1"/>
    <w:qFormat/>
    <w:uiPriority w:val="0"/>
    <w:pPr>
      <w:wordWrap w:val="0"/>
      <w:ind w:left="850"/>
      <w:jc w:val="both"/>
    </w:pPr>
    <w:rPr>
      <w:rFonts w:ascii="Calibri" w:hAnsi="Calibri" w:eastAsia="宋体" w:cs="Times New Roman"/>
      <w:sz w:val="21"/>
      <w:lang w:val="en-US" w:eastAsia="zh-CN" w:bidi="ar-SA"/>
    </w:rPr>
  </w:style>
  <w:style w:type="paragraph" w:styleId="10">
    <w:name w:val="Body Text Indent"/>
    <w:basedOn w:val="1"/>
    <w:link w:val="51"/>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49"/>
    <w:qFormat/>
    <w:uiPriority w:val="0"/>
    <w:rPr>
      <w:b/>
      <w:bCs/>
    </w:rPr>
  </w:style>
  <w:style w:type="character" w:styleId="20">
    <w:name w:val="Strong"/>
    <w:basedOn w:val="19"/>
    <w:qFormat/>
    <w:uiPriority w:val="0"/>
    <w:rPr>
      <w:b/>
    </w:rPr>
  </w:style>
  <w:style w:type="character" w:styleId="21">
    <w:name w:val="FollowedHyperlink"/>
    <w:basedOn w:val="19"/>
    <w:qFormat/>
    <w:uiPriority w:val="0"/>
    <w:rPr>
      <w:color w:val="00000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Acronym"/>
    <w:basedOn w:val="19"/>
    <w:qFormat/>
    <w:uiPriority w:val="0"/>
  </w:style>
  <w:style w:type="character" w:styleId="25">
    <w:name w:val="HTML Variable"/>
    <w:basedOn w:val="19"/>
    <w:qFormat/>
    <w:uiPriority w:val="0"/>
  </w:style>
  <w:style w:type="character" w:styleId="26">
    <w:name w:val="Hyperlink"/>
    <w:basedOn w:val="19"/>
    <w:qFormat/>
    <w:uiPriority w:val="0"/>
    <w:rPr>
      <w:color w:val="000000"/>
      <w:u w:val="none"/>
    </w:rPr>
  </w:style>
  <w:style w:type="character" w:styleId="27">
    <w:name w:val="HTML Code"/>
    <w:basedOn w:val="19"/>
    <w:qFormat/>
    <w:uiPriority w:val="0"/>
    <w:rPr>
      <w:rFonts w:ascii="Courier New" w:hAnsi="Courier New"/>
      <w:sz w:val="20"/>
    </w:rPr>
  </w:style>
  <w:style w:type="character" w:styleId="28">
    <w:name w:val="annotation reference"/>
    <w:basedOn w:val="19"/>
    <w:qFormat/>
    <w:uiPriority w:val="0"/>
    <w:rPr>
      <w:sz w:val="21"/>
      <w:szCs w:val="21"/>
    </w:rPr>
  </w:style>
  <w:style w:type="character" w:styleId="29">
    <w:name w:val="HTML Cite"/>
    <w:basedOn w:val="19"/>
    <w:qFormat/>
    <w:uiPriority w:val="0"/>
  </w:style>
  <w:style w:type="paragraph" w:customStyle="1" w:styleId="30">
    <w:name w:val="表格文字"/>
    <w:basedOn w:val="1"/>
    <w:next w:val="8"/>
    <w:qFormat/>
    <w:uiPriority w:val="0"/>
    <w:pPr>
      <w:adjustRightInd w:val="0"/>
      <w:spacing w:line="420" w:lineRule="atLeast"/>
      <w:jc w:val="left"/>
      <w:textAlignment w:val="baseline"/>
    </w:pPr>
    <w:rPr>
      <w:kern w:val="0"/>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
    <w:name w:val="列表段落1"/>
    <w:basedOn w:val="1"/>
    <w:qFormat/>
    <w:uiPriority w:val="34"/>
    <w:pPr>
      <w:ind w:firstLine="420" w:firstLineChars="200"/>
    </w:pPr>
    <w:rPr>
      <w:rFonts w:ascii="Calibri" w:hAnsi="Calibri"/>
      <w:szCs w:val="22"/>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4">
    <w:name w:val="列出段落1"/>
    <w:basedOn w:val="1"/>
    <w:qFormat/>
    <w:uiPriority w:val="0"/>
    <w:pPr>
      <w:ind w:firstLine="420" w:firstLineChars="200"/>
    </w:pPr>
    <w:rPr>
      <w:rFonts w:ascii="Calibri" w:hAnsi="Calibri"/>
      <w:kern w:val="0"/>
      <w:szCs w:val="20"/>
    </w:rPr>
  </w:style>
  <w:style w:type="paragraph" w:customStyle="1" w:styleId="3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4"/>
    <w:qFormat/>
    <w:uiPriority w:val="0"/>
    <w:rPr>
      <w:rFonts w:ascii="Times New Roman" w:hAnsi="Times New Roman" w:eastAsia="宋体" w:cs="Times New Roman"/>
      <w:sz w:val="21"/>
      <w:szCs w:val="22"/>
      <w:lang w:val="en-US" w:eastAsia="zh-CN"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3"/>
    <w:basedOn w:val="41"/>
    <w:qFormat/>
    <w:uiPriority w:val="0"/>
    <w:pPr>
      <w:widowControl/>
      <w:jc w:val="left"/>
    </w:pPr>
    <w:rPr>
      <w:rFonts w:ascii="宋体" w:hAnsi="Courier New" w:eastAsiaTheme="minorEastAsia" w:cstheme="minorBidi"/>
      <w:szCs w:val="21"/>
    </w:rPr>
  </w:style>
  <w:style w:type="paragraph" w:customStyle="1" w:styleId="43">
    <w:name w:val="纯文本_0_1"/>
    <w:basedOn w:val="1"/>
    <w:qFormat/>
    <w:uiPriority w:val="0"/>
    <w:pPr>
      <w:widowControl/>
      <w:jc w:val="left"/>
    </w:pPr>
    <w:rPr>
      <w:rFonts w:ascii="宋体" w:hAnsi="Courier New" w:eastAsiaTheme="minorEastAsia" w:cstheme="minorBidi"/>
      <w:szCs w:val="21"/>
    </w:r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批注文字 Char"/>
    <w:basedOn w:val="19"/>
    <w:link w:val="7"/>
    <w:qFormat/>
    <w:uiPriority w:val="0"/>
    <w:rPr>
      <w:rFonts w:ascii="Times New Roman" w:hAnsi="Times New Roman" w:eastAsia="宋体" w:cs="Times New Roman"/>
      <w:kern w:val="2"/>
      <w:sz w:val="21"/>
      <w:szCs w:val="24"/>
    </w:rPr>
  </w:style>
  <w:style w:type="character" w:customStyle="1" w:styleId="49">
    <w:name w:val="批注主题 Char"/>
    <w:basedOn w:val="48"/>
    <w:link w:val="17"/>
    <w:qFormat/>
    <w:uiPriority w:val="0"/>
    <w:rPr>
      <w:rFonts w:ascii="Times New Roman" w:hAnsi="Times New Roman" w:eastAsia="宋体" w:cs="Times New Roman"/>
      <w:b/>
      <w:bCs/>
      <w:kern w:val="2"/>
      <w:sz w:val="21"/>
      <w:szCs w:val="24"/>
    </w:rPr>
  </w:style>
  <w:style w:type="character" w:customStyle="1" w:styleId="50">
    <w:name w:val="批注框文本 Char"/>
    <w:basedOn w:val="19"/>
    <w:link w:val="13"/>
    <w:qFormat/>
    <w:uiPriority w:val="0"/>
    <w:rPr>
      <w:rFonts w:ascii="Times New Roman" w:hAnsi="Times New Roman" w:eastAsia="宋体" w:cs="Times New Roman"/>
      <w:kern w:val="2"/>
      <w:sz w:val="18"/>
      <w:szCs w:val="18"/>
    </w:rPr>
  </w:style>
  <w:style w:type="character" w:customStyle="1" w:styleId="51">
    <w:name w:val="正文文本缩进 Char"/>
    <w:basedOn w:val="19"/>
    <w:link w:val="10"/>
    <w:qFormat/>
    <w:uiPriority w:val="0"/>
    <w:rPr>
      <w:kern w:val="2"/>
      <w:sz w:val="21"/>
      <w:szCs w:val="24"/>
    </w:rPr>
  </w:style>
  <w:style w:type="character" w:customStyle="1" w:styleId="52">
    <w:name w:val="s1"/>
    <w:basedOn w:val="19"/>
    <w:qFormat/>
    <w:uiPriority w:val="0"/>
    <w:rPr>
      <w:rFonts w:ascii="Helvetica" w:hAnsi="Helvetica" w:eastAsia="Helvetica" w:cs="Helvetica"/>
      <w:sz w:val="24"/>
      <w:szCs w:val="24"/>
    </w:rPr>
  </w:style>
  <w:style w:type="paragraph" w:customStyle="1" w:styleId="53">
    <w:name w:val="p2"/>
    <w:basedOn w:val="1"/>
    <w:qFormat/>
    <w:uiPriority w:val="0"/>
    <w:pPr>
      <w:jc w:val="left"/>
    </w:pPr>
    <w:rPr>
      <w:rFonts w:ascii="pingfang sc" w:hAnsi="pingfang sc" w:eastAsia="pingfang sc"/>
      <w:kern w:val="0"/>
      <w:sz w:val="24"/>
    </w:rPr>
  </w:style>
  <w:style w:type="paragraph" w:customStyle="1" w:styleId="54">
    <w:name w:val="p1"/>
    <w:basedOn w:val="1"/>
    <w:qFormat/>
    <w:uiPriority w:val="0"/>
    <w:pPr>
      <w:jc w:val="left"/>
    </w:pPr>
    <w:rPr>
      <w:rFonts w:ascii="pingfang sc" w:hAnsi="pingfang sc" w:eastAsia="pingfang sc"/>
      <w:kern w:val="0"/>
      <w:sz w:val="24"/>
    </w:rPr>
  </w:style>
  <w:style w:type="paragraph" w:customStyle="1" w:styleId="55">
    <w:name w:val="Char"/>
    <w:basedOn w:val="1"/>
    <w:qFormat/>
    <w:uiPriority w:val="0"/>
    <w:pPr>
      <w:spacing w:line="440" w:lineRule="exact"/>
      <w:ind w:left="510" w:firstLine="480" w:firstLineChars="200"/>
    </w:pPr>
    <w:rPr>
      <w:rFonts w:ascii="宋体" w:hAnsi="宋体"/>
      <w:sz w:val="24"/>
    </w:rPr>
  </w:style>
  <w:style w:type="character" w:customStyle="1" w:styleId="56">
    <w:name w:val="font01"/>
    <w:basedOn w:val="19"/>
    <w:qFormat/>
    <w:uiPriority w:val="0"/>
    <w:rPr>
      <w:rFonts w:hint="eastAsia" w:ascii="宋体" w:hAnsi="宋体" w:eastAsia="宋体" w:cs="宋体"/>
      <w:b/>
      <w:color w:val="000000"/>
      <w:sz w:val="24"/>
      <w:szCs w:val="24"/>
      <w:u w:val="none"/>
    </w:rPr>
  </w:style>
  <w:style w:type="character" w:customStyle="1" w:styleId="57">
    <w:name w:val="font21"/>
    <w:basedOn w:val="19"/>
    <w:qFormat/>
    <w:uiPriority w:val="0"/>
    <w:rPr>
      <w:rFonts w:hint="eastAsia" w:ascii="宋体" w:hAnsi="宋体" w:eastAsia="宋体" w:cs="宋体"/>
      <w:color w:val="000000"/>
      <w:sz w:val="24"/>
      <w:szCs w:val="24"/>
      <w:u w:val="none"/>
    </w:rPr>
  </w:style>
  <w:style w:type="character" w:customStyle="1" w:styleId="58">
    <w:name w:val="text-overflow"/>
    <w:basedOn w:val="19"/>
    <w:qFormat/>
    <w:uiPriority w:val="0"/>
  </w:style>
  <w:style w:type="character" w:customStyle="1" w:styleId="59">
    <w:name w:val="text-overflow1"/>
    <w:basedOn w:val="19"/>
    <w:qFormat/>
    <w:uiPriority w:val="0"/>
  </w:style>
  <w:style w:type="character" w:customStyle="1" w:styleId="60">
    <w:name w:val="publishtime"/>
    <w:basedOn w:val="19"/>
    <w:qFormat/>
    <w:uiPriority w:val="0"/>
    <w:rPr>
      <w:color w:val="999999"/>
    </w:rPr>
  </w:style>
  <w:style w:type="character" w:customStyle="1" w:styleId="61">
    <w:name w:val="publishtime1"/>
    <w:basedOn w:val="19"/>
    <w:qFormat/>
    <w:uiPriority w:val="0"/>
    <w:rPr>
      <w:color w:val="666666"/>
    </w:rPr>
  </w:style>
  <w:style w:type="character" w:customStyle="1" w:styleId="62">
    <w:name w:val="first-child"/>
    <w:basedOn w:val="19"/>
    <w:qFormat/>
    <w:uiPriority w:val="0"/>
  </w:style>
  <w:style w:type="character" w:customStyle="1" w:styleId="63">
    <w:name w:val="hover9"/>
    <w:basedOn w:val="19"/>
    <w:qFormat/>
    <w:uiPriority w:val="0"/>
    <w:rPr>
      <w:color w:val="23527C"/>
      <w:shd w:val="clear" w:fill="EEEEEE"/>
    </w:rPr>
  </w:style>
  <w:style w:type="character" w:customStyle="1" w:styleId="64">
    <w:name w:val="hover10"/>
    <w:basedOn w:val="19"/>
    <w:qFormat/>
    <w:uiPriority w:val="0"/>
    <w:rPr>
      <w:color w:val="777777"/>
      <w:shd w:val="clear" w:fill="FFFFFF"/>
    </w:rPr>
  </w:style>
  <w:style w:type="character" w:customStyle="1" w:styleId="65">
    <w:name w:val="second-line"/>
    <w:basedOn w:val="19"/>
    <w:qFormat/>
    <w:uiPriority w:val="0"/>
    <w:rPr>
      <w:color w:val="727272"/>
    </w:rPr>
  </w:style>
  <w:style w:type="character" w:customStyle="1" w:styleId="66">
    <w:name w:val="time"/>
    <w:basedOn w:val="19"/>
    <w:qFormat/>
    <w:uiPriority w:val="0"/>
    <w:rPr>
      <w:sz w:val="21"/>
      <w:szCs w:val="21"/>
    </w:rPr>
  </w:style>
  <w:style w:type="character" w:customStyle="1" w:styleId="67">
    <w:name w:val="focus2"/>
    <w:basedOn w:val="19"/>
    <w:qFormat/>
    <w:uiPriority w:val="0"/>
    <w:rPr>
      <w:color w:val="23527C"/>
      <w:shd w:val="clear" w:fill="EEEEEE"/>
    </w:rPr>
  </w:style>
  <w:style w:type="character" w:customStyle="1" w:styleId="68">
    <w:name w:val="focus3"/>
    <w:basedOn w:val="19"/>
    <w:qFormat/>
    <w:uiPriority w:val="0"/>
    <w:rPr>
      <w:color w:val="777777"/>
      <w:shd w:val="clear" w:fill="FFFFFF"/>
    </w:rPr>
  </w:style>
  <w:style w:type="character" w:customStyle="1" w:styleId="69">
    <w:name w:val="first-child1"/>
    <w:basedOn w:val="19"/>
    <w:qFormat/>
    <w:uiPriority w:val="0"/>
  </w:style>
  <w:style w:type="character" w:customStyle="1" w:styleId="70">
    <w:name w:val="focus"/>
    <w:basedOn w:val="19"/>
    <w:qFormat/>
    <w:uiPriority w:val="0"/>
    <w:rPr>
      <w:color w:val="23527C"/>
      <w:shd w:val="clear" w:fill="EEEEEE"/>
    </w:rPr>
  </w:style>
  <w:style w:type="character" w:customStyle="1" w:styleId="71">
    <w:name w:val="focus1"/>
    <w:basedOn w:val="19"/>
    <w:qFormat/>
    <w:uiPriority w:val="0"/>
    <w:rPr>
      <w:color w:val="777777"/>
      <w:shd w:val="clear" w:fill="FFFFFF"/>
    </w:rPr>
  </w:style>
  <w:style w:type="character" w:customStyle="1" w:styleId="72">
    <w:name w:val="hover35"/>
    <w:basedOn w:val="19"/>
    <w:qFormat/>
    <w:uiPriority w:val="0"/>
    <w:rPr>
      <w:color w:val="3EAF0E"/>
    </w:rPr>
  </w:style>
  <w:style w:type="character" w:customStyle="1" w:styleId="73">
    <w:name w:val="mr-prof"/>
    <w:basedOn w:val="19"/>
    <w:qFormat/>
    <w:uiPriority w:val="0"/>
  </w:style>
  <w:style w:type="character" w:customStyle="1" w:styleId="74">
    <w:name w:val="s16"/>
    <w:basedOn w:val="19"/>
    <w:qFormat/>
    <w:uiPriority w:val="0"/>
    <w:rPr>
      <w:color w:val="DDDDDD"/>
      <w:sz w:val="18"/>
      <w:szCs w:val="18"/>
    </w:rPr>
  </w:style>
  <w:style w:type="character" w:customStyle="1" w:styleId="75">
    <w:name w:val="hover33"/>
    <w:basedOn w:val="19"/>
    <w:qFormat/>
    <w:uiPriority w:val="0"/>
    <w:rPr>
      <w:color w:val="3EAF0E"/>
    </w:rPr>
  </w:style>
  <w:style w:type="character" w:customStyle="1" w:styleId="76">
    <w:name w:val="hover31"/>
    <w:basedOn w:val="19"/>
    <w:qFormat/>
    <w:uiPriority w:val="0"/>
    <w:rPr>
      <w:color w:val="3EAF0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5112</Words>
  <Characters>29144</Characters>
  <Lines>242</Lines>
  <Paragraphs>68</Paragraphs>
  <TotalTime>7</TotalTime>
  <ScaleCrop>false</ScaleCrop>
  <LinksUpToDate>false</LinksUpToDate>
  <CharactersWithSpaces>34188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2018-06-22T05:33:00Z</dcterms:created>
  <dc:creator>S-mile</dc:creator>
  <cp:lastModifiedBy>❤罒飃鎏づ</cp:lastModifiedBy>
  <dcterms:modified xsi:type="dcterms:W3CDTF">2019-07-24T09:11:07Z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