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highlight w:val="none"/>
          <w14:textFill>
            <w14:solidFill>
              <w14:schemeClr w14:val="tx1"/>
            </w14:solidFill>
          </w14:textFill>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highlight w:val="none"/>
          <w14:textFill>
            <w14:solidFill>
              <w14:schemeClr w14:val="tx1"/>
            </w14:solidFill>
          </w14:textFill>
        </w:rPr>
      </w:pPr>
      <w:r>
        <w:rPr>
          <w:rFonts w:hint="eastAsia" w:ascii="宋体"/>
          <w:b/>
          <w:color w:val="000000" w:themeColor="text1"/>
          <w:kern w:val="0"/>
          <w:sz w:val="52"/>
          <w:highlight w:val="none"/>
          <w14:textFill>
            <w14:solidFill>
              <w14:schemeClr w14:val="tx1"/>
            </w14:solidFill>
          </w14:textFill>
        </w:rPr>
        <w:t>玉环市政府采购</w:t>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highlight w:val="none"/>
          <w14:textFill>
            <w14:solidFill>
              <w14:schemeClr w14:val="tx1"/>
            </w14:solidFill>
          </w14:textFill>
        </w:rPr>
      </w:pPr>
      <w:r>
        <w:rPr>
          <w:rFonts w:hint="eastAsia" w:ascii="宋体"/>
          <w:b/>
          <w:color w:val="000000" w:themeColor="text1"/>
          <w:kern w:val="0"/>
          <w:sz w:val="52"/>
          <w:szCs w:val="52"/>
          <w:highlight w:val="none"/>
          <w14:textFill>
            <w14:solidFill>
              <w14:schemeClr w14:val="tx1"/>
            </w14:solidFill>
          </w14:textFill>
        </w:rPr>
        <w:t>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b/>
          <w:bCs/>
          <w:color w:val="000000" w:themeColor="text1"/>
          <w:kern w:val="0"/>
          <w:sz w:val="32"/>
          <w:szCs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hint="eastAsia" w:ascii="宋体" w:eastAsia="宋体"/>
          <w:b/>
          <w:color w:val="000000" w:themeColor="text1"/>
          <w:kern w:val="0"/>
          <w:sz w:val="32"/>
          <w:highlight w:val="none"/>
          <w:lang w:eastAsia="zh-CN"/>
          <w14:textFill>
            <w14:solidFill>
              <w14:schemeClr w14:val="tx1"/>
            </w14:solidFill>
          </w14:textFill>
        </w:rPr>
      </w:pPr>
      <w:r>
        <w:rPr>
          <w:rFonts w:hint="eastAsia" w:ascii="宋体" w:hAnsi="宋体" w:cs="宋体"/>
          <w:b/>
          <w:bCs/>
          <w:color w:val="000000" w:themeColor="text1"/>
          <w:kern w:val="0"/>
          <w:sz w:val="32"/>
          <w:szCs w:val="32"/>
          <w:highlight w:val="none"/>
          <w:lang w:eastAsia="zh-CN"/>
          <w14:textFill>
            <w14:solidFill>
              <w14:schemeClr w14:val="tx1"/>
            </w14:solidFill>
          </w14:textFill>
        </w:rPr>
        <w:t>HQ-YHZFCG-2019-57</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24"/>
          <w:highlight w:val="none"/>
          <w14:textFill>
            <w14:solidFill>
              <w14:schemeClr w14:val="tx1"/>
            </w14:solidFill>
          </w14:textFill>
        </w:rPr>
      </w:pPr>
    </w:p>
    <w:p>
      <w:pPr>
        <w:autoSpaceDE w:val="0"/>
        <w:autoSpaceDN w:val="0"/>
        <w:adjustRightInd w:val="0"/>
        <w:spacing w:line="360" w:lineRule="auto"/>
        <w:rPr>
          <w:rFonts w:ascii="宋体"/>
          <w:b/>
          <w:color w:val="000000" w:themeColor="text1"/>
          <w:kern w:val="0"/>
          <w:sz w:val="52"/>
          <w:szCs w:val="52"/>
          <w:highlight w:val="none"/>
          <w14:textFill>
            <w14:solidFill>
              <w14:schemeClr w14:val="tx1"/>
            </w14:solidFill>
          </w14:textFill>
        </w:rPr>
      </w:pPr>
    </w:p>
    <w:p>
      <w:pPr>
        <w:autoSpaceDE w:val="0"/>
        <w:autoSpaceDN w:val="0"/>
        <w:adjustRightInd w:val="0"/>
        <w:spacing w:line="360" w:lineRule="auto"/>
        <w:ind w:firstLine="1797" w:firstLineChars="642"/>
        <w:jc w:val="left"/>
        <w:rPr>
          <w:rFonts w:ascii="宋体"/>
          <w:color w:val="000000" w:themeColor="text1"/>
          <w:kern w:val="0"/>
          <w:sz w:val="28"/>
          <w:highlight w:val="none"/>
          <w14:textFill>
            <w14:solidFill>
              <w14:schemeClr w14:val="tx1"/>
            </w14:solidFill>
          </w14:textFill>
        </w:rPr>
      </w:pPr>
    </w:p>
    <w:p>
      <w:pPr>
        <w:autoSpaceDE w:val="0"/>
        <w:autoSpaceDN w:val="0"/>
        <w:adjustRightInd w:val="0"/>
        <w:spacing w:line="360" w:lineRule="auto"/>
        <w:ind w:firstLine="1797" w:firstLineChars="642"/>
        <w:jc w:val="left"/>
        <w:rPr>
          <w:rFonts w:hint="eastAsia" w:ascii="宋体" w:eastAsia="宋体"/>
          <w:color w:val="000000" w:themeColor="text1"/>
          <w:kern w:val="0"/>
          <w:sz w:val="28"/>
          <w:highlight w:val="none"/>
          <w:lang w:eastAsia="zh-CN"/>
          <w14:textFill>
            <w14:solidFill>
              <w14:schemeClr w14:val="tx1"/>
            </w14:solidFill>
          </w14:textFill>
        </w:rPr>
      </w:pPr>
      <w:r>
        <w:rPr>
          <w:rFonts w:hint="eastAsia" w:ascii="宋体"/>
          <w:color w:val="000000" w:themeColor="text1"/>
          <w:kern w:val="0"/>
          <w:sz w:val="28"/>
          <w:highlight w:val="none"/>
          <w14:textFill>
            <w14:solidFill>
              <w14:schemeClr w14:val="tx1"/>
            </w14:solidFill>
          </w14:textFill>
        </w:rPr>
        <w:t>采购项目：</w:t>
      </w:r>
      <w:r>
        <w:rPr>
          <w:rFonts w:hint="eastAsia" w:ascii="宋体" w:hAnsi="宋体" w:cs="宋体"/>
          <w:color w:val="000000" w:themeColor="text1"/>
          <w:kern w:val="0"/>
          <w:sz w:val="28"/>
          <w:szCs w:val="28"/>
          <w:highlight w:val="none"/>
          <w:lang w:eastAsia="zh-CN"/>
          <w14:textFill>
            <w14:solidFill>
              <w14:schemeClr w14:val="tx1"/>
            </w14:solidFill>
          </w14:textFill>
        </w:rPr>
        <w:t>学科实验室功能室建设</w:t>
      </w:r>
    </w:p>
    <w:p>
      <w:pPr>
        <w:autoSpaceDE w:val="0"/>
        <w:autoSpaceDN w:val="0"/>
        <w:adjustRightInd w:val="0"/>
        <w:spacing w:line="360" w:lineRule="auto"/>
        <w:ind w:left="1441" w:firstLine="280"/>
        <w:rPr>
          <w:rFonts w:hint="eastAsia" w:ascii="宋体" w:eastAsia="宋体"/>
          <w:color w:val="000000" w:themeColor="text1"/>
          <w:kern w:val="0"/>
          <w:sz w:val="28"/>
          <w:highlight w:val="none"/>
          <w:lang w:eastAsia="zh-CN"/>
          <w14:textFill>
            <w14:solidFill>
              <w14:schemeClr w14:val="tx1"/>
            </w14:solidFill>
          </w14:textFill>
        </w:rPr>
      </w:pPr>
      <w:r>
        <w:rPr>
          <w:rFonts w:hint="eastAsia" w:ascii="宋体"/>
          <w:color w:val="000000" w:themeColor="text1"/>
          <w:kern w:val="0"/>
          <w:sz w:val="28"/>
          <w:highlight w:val="none"/>
          <w14:textFill>
            <w14:solidFill>
              <w14:schemeClr w14:val="tx1"/>
            </w14:solidFill>
          </w14:textFill>
        </w:rPr>
        <w:t>采购人：</w:t>
      </w:r>
      <w:r>
        <w:rPr>
          <w:rFonts w:hint="eastAsia" w:ascii="宋体" w:hAnsi="宋体" w:cs="宋体"/>
          <w:color w:val="000000" w:themeColor="text1"/>
          <w:kern w:val="0"/>
          <w:sz w:val="28"/>
          <w:szCs w:val="28"/>
          <w:highlight w:val="none"/>
          <w:lang w:eastAsia="zh-CN"/>
          <w14:textFill>
            <w14:solidFill>
              <w14:schemeClr w14:val="tx1"/>
            </w14:solidFill>
          </w14:textFill>
        </w:rPr>
        <w:t>玉环市干江初级中学</w:t>
      </w:r>
    </w:p>
    <w:p>
      <w:pPr>
        <w:autoSpaceDE w:val="0"/>
        <w:autoSpaceDN w:val="0"/>
        <w:adjustRightInd w:val="0"/>
        <w:spacing w:line="360" w:lineRule="auto"/>
        <w:rPr>
          <w:rFonts w:ascii="宋体"/>
          <w:color w:val="000000" w:themeColor="text1"/>
          <w:kern w:val="0"/>
          <w:sz w:val="28"/>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000000" w:themeColor="text1"/>
          <w:kern w:val="0"/>
          <w:sz w:val="32"/>
          <w:highlight w:val="none"/>
          <w14:textFill>
            <w14:solidFill>
              <w14:schemeClr w14:val="tx1"/>
            </w14:solidFill>
          </w14:textFill>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30"/>
          <w:szCs w:val="30"/>
          <w:highlight w:val="none"/>
          <w14:textFill>
            <w14:solidFill>
              <w14:schemeClr w14:val="tx1"/>
            </w14:solidFill>
          </w14:textFill>
        </w:rPr>
        <w:t xml:space="preserve"> </w:t>
      </w:r>
      <w:r>
        <w:rPr>
          <w:rFonts w:hint="eastAsia" w:ascii="宋体" w:hAnsi="宋体" w:cs="宋体"/>
          <w:color w:val="000000" w:themeColor="text1"/>
          <w:kern w:val="0"/>
          <w:sz w:val="28"/>
          <w:szCs w:val="28"/>
          <w:highlight w:val="none"/>
          <w14:textFill>
            <w14:solidFill>
              <w14:schemeClr w14:val="tx1"/>
            </w14:solidFill>
          </w14:textFill>
        </w:rPr>
        <w:t>杭州华旗招标代理有限公司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1960" w:firstLineChars="700"/>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2019年</w:t>
      </w:r>
      <w:r>
        <w:rPr>
          <w:rFonts w:hint="eastAsia" w:ascii="宋体" w:hAnsi="宋体" w:cs="宋体"/>
          <w:color w:val="000000" w:themeColor="text1"/>
          <w:kern w:val="0"/>
          <w:sz w:val="28"/>
          <w:szCs w:val="28"/>
          <w:highlight w:val="none"/>
          <w:lang w:val="en-US" w:eastAsia="zh-CN"/>
          <w14:textFill>
            <w14:solidFill>
              <w14:schemeClr w14:val="tx1"/>
            </w14:solidFill>
          </w14:textFill>
        </w:rPr>
        <w:t>8</w:t>
      </w:r>
      <w:r>
        <w:rPr>
          <w:rFonts w:hint="eastAsia" w:ascii="宋体" w:hAnsi="宋体" w:cs="宋体"/>
          <w:color w:val="000000" w:themeColor="text1"/>
          <w:kern w:val="0"/>
          <w:sz w:val="28"/>
          <w:szCs w:val="28"/>
          <w:highlight w:val="none"/>
          <w14:textFill>
            <w14:solidFill>
              <w14:schemeClr w14:val="tx1"/>
            </w14:solidFill>
          </w14:textFill>
        </w:rPr>
        <w:t>月</w:t>
      </w:r>
      <w:r>
        <w:rPr>
          <w:rFonts w:hint="eastAsia" w:ascii="宋体" w:hAnsi="宋体" w:cs="宋体"/>
          <w:color w:val="000000" w:themeColor="text1"/>
          <w:kern w:val="0"/>
          <w:sz w:val="28"/>
          <w:szCs w:val="28"/>
          <w:highlight w:val="none"/>
          <w:lang w:val="en-US" w:eastAsia="zh-CN"/>
          <w14:textFill>
            <w14:solidFill>
              <w14:schemeClr w14:val="tx1"/>
            </w14:solidFill>
          </w14:textFill>
        </w:rPr>
        <w:t>28</w:t>
      </w:r>
      <w:r>
        <w:rPr>
          <w:rFonts w:hint="eastAsia" w:ascii="宋体" w:hAnsi="宋体" w:cs="宋体"/>
          <w:color w:val="000000" w:themeColor="text1"/>
          <w:kern w:val="0"/>
          <w:sz w:val="28"/>
          <w:szCs w:val="28"/>
          <w:highlight w:val="none"/>
          <w14:textFill>
            <w14:solidFill>
              <w14:schemeClr w14:val="tx1"/>
            </w14:solidFill>
          </w14:textFill>
        </w:rPr>
        <w:t>日</w:t>
      </w: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jc w:val="center"/>
        <w:rPr>
          <w:rFonts w:hint="eastAsia" w:ascii="宋体" w:hAnsi="宋体" w:cs="Arial"/>
          <w:b/>
          <w:bCs/>
          <w:color w:val="000000" w:themeColor="text1"/>
          <w:sz w:val="36"/>
          <w:szCs w:val="36"/>
          <w:highlight w:val="none"/>
          <w14:textFill>
            <w14:solidFill>
              <w14:schemeClr w14:val="tx1"/>
            </w14:solidFill>
          </w14:textFill>
        </w:rPr>
      </w:pPr>
    </w:p>
    <w:p>
      <w:pPr>
        <w:jc w:val="center"/>
        <w:rPr>
          <w:rFonts w:hint="eastAsia" w:ascii="宋体" w:hAnsi="宋体" w:cs="Arial"/>
          <w:b/>
          <w:bCs/>
          <w:color w:val="000000" w:themeColor="text1"/>
          <w:sz w:val="36"/>
          <w:szCs w:val="36"/>
          <w:highlight w:val="none"/>
          <w14:textFill>
            <w14:solidFill>
              <w14:schemeClr w14:val="tx1"/>
            </w14:solidFill>
          </w14:textFill>
        </w:rPr>
      </w:pPr>
    </w:p>
    <w:p>
      <w:pPr>
        <w:jc w:val="center"/>
        <w:rPr>
          <w:rFonts w:ascii="宋体" w:hAnsi="宋体" w:cs="Arial"/>
          <w:b/>
          <w:bCs/>
          <w:color w:val="000000" w:themeColor="text1"/>
          <w:sz w:val="36"/>
          <w:szCs w:val="36"/>
          <w:highlight w:val="none"/>
          <w14:textFill>
            <w14:solidFill>
              <w14:schemeClr w14:val="tx1"/>
            </w14:solidFill>
          </w14:textFill>
        </w:rPr>
      </w:pPr>
      <w:r>
        <w:rPr>
          <w:rFonts w:hint="eastAsia" w:ascii="宋体" w:hAnsi="宋体" w:cs="Arial"/>
          <w:b/>
          <w:bCs/>
          <w:color w:val="000000" w:themeColor="text1"/>
          <w:sz w:val="36"/>
          <w:szCs w:val="36"/>
          <w:highlight w:val="none"/>
          <w14:textFill>
            <w14:solidFill>
              <w14:schemeClr w14:val="tx1"/>
            </w14:solidFill>
          </w14:textFill>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color w:val="000000" w:themeColor="text1"/>
          <w:sz w:val="36"/>
          <w:highlight w:val="none"/>
          <w14:textFill>
            <w14:solidFill>
              <w14:schemeClr w14:val="tx1"/>
            </w14:solidFill>
          </w14:textFill>
        </w:rPr>
      </w:pPr>
    </w:p>
    <w:p>
      <w:pPr>
        <w:spacing w:line="360" w:lineRule="auto"/>
        <w:rPr>
          <w:rFonts w:ascii="新宋体" w:hAnsi="新宋体" w:eastAsia="新宋体"/>
          <w:color w:val="000000" w:themeColor="text1"/>
          <w:sz w:val="28"/>
          <w:szCs w:val="28"/>
          <w:highlight w:val="none"/>
          <w14:textFill>
            <w14:solidFill>
              <w14:schemeClr w14:val="tx1"/>
            </w14:solidFill>
          </w14:textFill>
        </w:rPr>
      </w:pP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公开招标采购公告</w:t>
      </w: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投标人须知</w:t>
      </w: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评标办法及评分标准</w:t>
      </w: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公开招标需求</w:t>
      </w: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政府采购合同主要条款指引</w:t>
      </w:r>
    </w:p>
    <w:p>
      <w:pPr>
        <w:numPr>
          <w:ilvl w:val="0"/>
          <w:numId w:val="2"/>
        </w:num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投标文件格式附件</w:t>
      </w: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p>
    <w:p>
      <w:p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color w:val="000000" w:themeColor="text1"/>
          <w:kern w:val="0"/>
          <w:sz w:val="36"/>
          <w:szCs w:val="36"/>
          <w:highlight w:val="none"/>
          <w14:textFill>
            <w14:solidFill>
              <w14:schemeClr w14:val="tx1"/>
            </w14:solidFill>
          </w14:textFill>
        </w:rPr>
      </w:pPr>
      <w:r>
        <w:rPr>
          <w:rFonts w:hint="eastAsia" w:asciiTheme="majorEastAsia" w:hAnsiTheme="majorEastAsia" w:eastAsiaTheme="majorEastAsia"/>
          <w:b/>
          <w:color w:val="000000" w:themeColor="text1"/>
          <w:kern w:val="0"/>
          <w:sz w:val="36"/>
          <w:szCs w:val="36"/>
          <w:highlight w:val="none"/>
          <w14:textFill>
            <w14:solidFill>
              <w14:schemeClr w14:val="tx1"/>
            </w14:solidFill>
          </w14:textFill>
        </w:rPr>
        <w:t>第一章  公开</w:t>
      </w:r>
      <w:r>
        <w:rPr>
          <w:rFonts w:hint="eastAsia" w:asciiTheme="majorEastAsia" w:hAnsiTheme="majorEastAsia" w:eastAsiaTheme="majorEastAsia"/>
          <w:b/>
          <w:color w:val="000000" w:themeColor="text1"/>
          <w:sz w:val="36"/>
          <w:szCs w:val="36"/>
          <w:highlight w:val="none"/>
          <w14:textFill>
            <w14:solidFill>
              <w14:schemeClr w14:val="tx1"/>
            </w14:solidFill>
          </w14:textFill>
        </w:rPr>
        <w:t>招标采购公告</w:t>
      </w:r>
    </w:p>
    <w:p>
      <w:pPr>
        <w:tabs>
          <w:tab w:val="left" w:pos="180"/>
          <w:tab w:val="left" w:pos="360"/>
          <w:tab w:val="left" w:pos="540"/>
          <w:tab w:val="left" w:pos="8280"/>
        </w:tabs>
        <w:autoSpaceDE w:val="0"/>
        <w:autoSpaceDN w:val="0"/>
        <w:adjustRightInd w:val="0"/>
        <w:spacing w:before="312" w:beforeLines="100" w:line="400" w:lineRule="exact"/>
        <w:ind w:right="23" w:firstLine="539"/>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根据《中华人民共和国政府采购法》、《中华人民共和国政府采购法实施条例》和财政部令第87号《政府采购货物和服务招标投标管理办法》等有关规定</w:t>
      </w:r>
      <w:r>
        <w:rPr>
          <w:rFonts w:asciiTheme="minorEastAsia" w:hAnsiTheme="minorEastAsia" w:eastAsiaTheme="minorEastAsia"/>
          <w:color w:val="000000" w:themeColor="text1"/>
          <w:kern w:val="0"/>
          <w:sz w:val="24"/>
          <w:highlight w:val="none"/>
          <w14:textFill>
            <w14:solidFill>
              <w14:schemeClr w14:val="tx1"/>
            </w14:solidFill>
          </w14:textFill>
        </w:rPr>
        <w:t xml:space="preserve">, </w:t>
      </w:r>
      <w:r>
        <w:rPr>
          <w:rFonts w:hint="eastAsia" w:asciiTheme="minorEastAsia" w:hAnsiTheme="minorEastAsia" w:eastAsiaTheme="minorEastAsia"/>
          <w:color w:val="000000" w:themeColor="text1"/>
          <w:kern w:val="0"/>
          <w:sz w:val="24"/>
          <w:highlight w:val="none"/>
          <w14:textFill>
            <w14:solidFill>
              <w14:schemeClr w14:val="tx1"/>
            </w14:solidFill>
          </w14:textFill>
        </w:rPr>
        <w:t>受采购人委托，现就</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玉环市干江初级中学</w:t>
      </w:r>
      <w:r>
        <w:rPr>
          <w:rFonts w:hint="eastAsia" w:asciiTheme="minorEastAsia" w:hAnsiTheme="minorEastAsia" w:eastAsiaTheme="minorEastAsia"/>
          <w:color w:val="000000" w:themeColor="text1"/>
          <w:kern w:val="0"/>
          <w:sz w:val="24"/>
          <w:highlight w:val="none"/>
          <w:lang w:eastAsia="zh-CN"/>
          <w14:textFill>
            <w14:solidFill>
              <w14:schemeClr w14:val="tx1"/>
            </w14:solidFill>
          </w14:textFill>
        </w:rPr>
        <w:t>学科实验室功能室建设</w:t>
      </w:r>
      <w:r>
        <w:rPr>
          <w:rFonts w:hint="eastAsia" w:asciiTheme="minorEastAsia" w:hAnsiTheme="minorEastAsia" w:eastAsiaTheme="minorEastAsia"/>
          <w:color w:val="000000" w:themeColor="text1"/>
          <w:kern w:val="0"/>
          <w:sz w:val="24"/>
          <w:highlight w:val="none"/>
          <w14:textFill>
            <w14:solidFill>
              <w14:schemeClr w14:val="tx1"/>
            </w14:solidFill>
          </w14:textFill>
        </w:rPr>
        <w:t>项目进行公开招标采购，欢迎合格供应商前来投标。</w:t>
      </w:r>
    </w:p>
    <w:p>
      <w:pPr>
        <w:tabs>
          <w:tab w:val="left" w:pos="180"/>
          <w:tab w:val="left" w:pos="360"/>
          <w:tab w:val="left" w:pos="540"/>
          <w:tab w:val="left" w:pos="8280"/>
        </w:tabs>
        <w:autoSpaceDE w:val="0"/>
        <w:autoSpaceDN w:val="0"/>
        <w:adjustRightInd w:val="0"/>
        <w:spacing w:before="100" w:line="400" w:lineRule="exact"/>
        <w:ind w:left="539" w:right="23"/>
        <w:jc w:val="left"/>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一、项目编号：</w:t>
      </w:r>
      <w:r>
        <w:rPr>
          <w:rFonts w:hint="eastAsia" w:asciiTheme="minorEastAsia" w:hAnsiTheme="minorEastAsia" w:eastAsiaTheme="minorEastAsia"/>
          <w:b/>
          <w:color w:val="000000" w:themeColor="text1"/>
          <w:kern w:val="0"/>
          <w:sz w:val="24"/>
          <w:highlight w:val="none"/>
          <w:lang w:eastAsia="zh-CN"/>
          <w14:textFill>
            <w14:solidFill>
              <w14:schemeClr w14:val="tx1"/>
            </w14:solidFill>
          </w14:textFill>
        </w:rPr>
        <w:t>HQ-YHZFCG-2019-57</w:t>
      </w:r>
    </w:p>
    <w:p>
      <w:pPr>
        <w:tabs>
          <w:tab w:val="left" w:pos="180"/>
          <w:tab w:val="left" w:pos="360"/>
          <w:tab w:val="left" w:pos="540"/>
          <w:tab w:val="left" w:pos="8280"/>
        </w:tabs>
        <w:autoSpaceDE w:val="0"/>
        <w:autoSpaceDN w:val="0"/>
        <w:adjustRightInd w:val="0"/>
        <w:spacing w:before="100" w:line="400" w:lineRule="exact"/>
        <w:ind w:left="539" w:right="23"/>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二、招标项目概况：</w:t>
      </w:r>
    </w:p>
    <w:tbl>
      <w:tblPr>
        <w:tblStyle w:val="16"/>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210"/>
        <w:gridCol w:w="2893"/>
        <w:gridCol w:w="992"/>
        <w:gridCol w:w="898"/>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988" w:type="dxa"/>
            <w:vAlign w:val="center"/>
          </w:tcPr>
          <w:p>
            <w:pPr>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bookmarkStart w:id="0" w:name="EBc3c9f0bc06b6413d849824fe98ba274c"/>
            <w:r>
              <w:rPr>
                <w:rFonts w:hint="eastAsia" w:ascii="宋体" w:hAnsi="宋体"/>
                <w:b/>
                <w:color w:val="000000" w:themeColor="text1"/>
                <w:sz w:val="24"/>
                <w:highlight w:val="none"/>
                <w14:textFill>
                  <w14:solidFill>
                    <w14:schemeClr w14:val="tx1"/>
                  </w14:solidFill>
                </w14:textFill>
              </w:rPr>
              <w:t>序号</w:t>
            </w:r>
          </w:p>
        </w:tc>
        <w:tc>
          <w:tcPr>
            <w:tcW w:w="2210" w:type="dxa"/>
            <w:vAlign w:val="center"/>
          </w:tcPr>
          <w:p>
            <w:pPr>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项目名称</w:t>
            </w:r>
          </w:p>
        </w:tc>
        <w:tc>
          <w:tcPr>
            <w:tcW w:w="2893" w:type="dxa"/>
            <w:vAlign w:val="center"/>
          </w:tcPr>
          <w:p>
            <w:pPr>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简要技术要求</w:t>
            </w:r>
          </w:p>
        </w:tc>
        <w:tc>
          <w:tcPr>
            <w:tcW w:w="992" w:type="dxa"/>
            <w:vAlign w:val="center"/>
          </w:tcPr>
          <w:p>
            <w:pPr>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c>
          <w:tcPr>
            <w:tcW w:w="898" w:type="dxa"/>
            <w:vAlign w:val="center"/>
          </w:tcPr>
          <w:p>
            <w:pPr>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单位</w:t>
            </w:r>
          </w:p>
        </w:tc>
        <w:tc>
          <w:tcPr>
            <w:tcW w:w="1347" w:type="dxa"/>
            <w:vAlign w:val="center"/>
          </w:tcPr>
          <w:p>
            <w:pPr>
              <w:tabs>
                <w:tab w:val="left" w:pos="8280"/>
              </w:tabs>
              <w:autoSpaceDE w:val="0"/>
              <w:autoSpaceDN w:val="0"/>
              <w:adjustRightInd w:val="0"/>
              <w:spacing w:line="400" w:lineRule="exact"/>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atLeast"/>
        </w:trPr>
        <w:tc>
          <w:tcPr>
            <w:tcW w:w="988" w:type="dxa"/>
            <w:vAlign w:val="center"/>
          </w:tcPr>
          <w:p>
            <w:pPr>
              <w:tabs>
                <w:tab w:val="left" w:pos="8280"/>
              </w:tabs>
              <w:autoSpaceDE w:val="0"/>
              <w:autoSpaceDN w:val="0"/>
              <w:adjustRightInd w:val="0"/>
              <w:spacing w:line="400" w:lineRule="exact"/>
              <w:ind w:right="2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2210" w:type="dxa"/>
            <w:vAlign w:val="center"/>
          </w:tcPr>
          <w:p>
            <w:pPr>
              <w:tabs>
                <w:tab w:val="left" w:pos="8280"/>
              </w:tabs>
              <w:autoSpaceDE w:val="0"/>
              <w:autoSpaceDN w:val="0"/>
              <w:adjustRightInd w:val="0"/>
              <w:spacing w:line="400" w:lineRule="exact"/>
              <w:ind w:right="25"/>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学科实验室功能室建设</w:t>
            </w:r>
          </w:p>
        </w:tc>
        <w:tc>
          <w:tcPr>
            <w:tcW w:w="2893" w:type="dxa"/>
            <w:vAlign w:val="center"/>
          </w:tcPr>
          <w:p>
            <w:pPr>
              <w:tabs>
                <w:tab w:val="left" w:pos="8280"/>
              </w:tabs>
              <w:autoSpaceDE w:val="0"/>
              <w:autoSpaceDN w:val="0"/>
              <w:adjustRightInd w:val="0"/>
              <w:spacing w:line="400" w:lineRule="exact"/>
              <w:ind w:right="2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具体要求见公开招标采购文件。</w:t>
            </w:r>
          </w:p>
        </w:tc>
        <w:tc>
          <w:tcPr>
            <w:tcW w:w="992" w:type="dxa"/>
            <w:vAlign w:val="center"/>
          </w:tcPr>
          <w:p>
            <w:pPr>
              <w:widowControl/>
              <w:spacing w:line="400" w:lineRule="exact"/>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p>
        </w:tc>
        <w:tc>
          <w:tcPr>
            <w:tcW w:w="898" w:type="dxa"/>
            <w:vAlign w:val="center"/>
          </w:tcPr>
          <w:p>
            <w:pPr>
              <w:tabs>
                <w:tab w:val="left" w:pos="8280"/>
              </w:tabs>
              <w:autoSpaceDE w:val="0"/>
              <w:autoSpaceDN w:val="0"/>
              <w:adjustRightInd w:val="0"/>
              <w:spacing w:line="400" w:lineRule="exact"/>
              <w:ind w:right="2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批</w:t>
            </w:r>
          </w:p>
        </w:tc>
        <w:tc>
          <w:tcPr>
            <w:tcW w:w="1347" w:type="dxa"/>
            <w:vAlign w:val="center"/>
          </w:tcPr>
          <w:p>
            <w:pPr>
              <w:tabs>
                <w:tab w:val="left" w:pos="8280"/>
              </w:tabs>
              <w:autoSpaceDE w:val="0"/>
              <w:autoSpaceDN w:val="0"/>
              <w:adjustRightInd w:val="0"/>
              <w:spacing w:line="400" w:lineRule="exact"/>
              <w:ind w:right="2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155</w:t>
            </w:r>
            <w:r>
              <w:rPr>
                <w:rFonts w:hint="eastAsia" w:ascii="宋体" w:hAnsi="宋体"/>
                <w:color w:val="000000" w:themeColor="text1"/>
                <w:sz w:val="24"/>
                <w:highlight w:val="none"/>
                <w14:textFill>
                  <w14:solidFill>
                    <w14:schemeClr w14:val="tx1"/>
                  </w14:solidFill>
                </w14:textFill>
              </w:rPr>
              <w:t>万元</w:t>
            </w:r>
          </w:p>
        </w:tc>
      </w:tr>
      <w:bookmarkEnd w:id="0"/>
    </w:tbl>
    <w:p>
      <w:pPr>
        <w:tabs>
          <w:tab w:val="left" w:pos="180"/>
          <w:tab w:val="left" w:pos="360"/>
          <w:tab w:val="left" w:pos="540"/>
          <w:tab w:val="left" w:pos="8280"/>
        </w:tabs>
        <w:autoSpaceDE w:val="0"/>
        <w:autoSpaceDN w:val="0"/>
        <w:adjustRightInd w:val="0"/>
        <w:spacing w:before="100" w:line="400" w:lineRule="exact"/>
        <w:ind w:left="539" w:right="23"/>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三、合格投标人的资格条件：</w:t>
      </w:r>
    </w:p>
    <w:p>
      <w:pPr>
        <w:pStyle w:val="22"/>
        <w:adjustRightInd w:val="0"/>
        <w:snapToGrid w:val="0"/>
        <w:spacing w:before="0" w:line="400" w:lineRule="exact"/>
        <w:ind w:right="102"/>
        <w:rPr>
          <w:rFonts w:hint="eastAsia"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olor w:val="000000" w:themeColor="text1"/>
          <w:sz w:val="24"/>
          <w:szCs w:val="24"/>
          <w:highlight w:val="none"/>
          <w14:textFill>
            <w14:solidFill>
              <w14:schemeClr w14:val="tx1"/>
            </w14:solidFill>
          </w14:textFill>
        </w:rPr>
        <w:t>符合《中华人民共和国政府采购法》第二十二条规定的投标人资格条件。</w:t>
      </w:r>
    </w:p>
    <w:p>
      <w:pPr>
        <w:pStyle w:val="22"/>
        <w:adjustRightInd w:val="0"/>
        <w:snapToGrid w:val="0"/>
        <w:spacing w:before="0" w:line="400" w:lineRule="exact"/>
        <w:ind w:right="102"/>
        <w:rPr>
          <w:rFonts w:hint="eastAsia" w:ascii="宋体" w:hAnsi="宋体" w:eastAsia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（二）本项目不接受联合体投标</w:t>
      </w:r>
      <w:r>
        <w:rPr>
          <w:rFonts w:hint="eastAsia" w:asciiTheme="minorEastAsia" w:hAnsiTheme="minorEastAsia" w:eastAsiaTheme="minorEastAsia"/>
          <w:color w:val="000000" w:themeColor="text1"/>
          <w:sz w:val="24"/>
          <w:highlight w:val="none"/>
          <w:lang w:eastAsia="zh-CN"/>
          <w14:textFill>
            <w14:solidFill>
              <w14:schemeClr w14:val="tx1"/>
            </w14:solidFill>
          </w14:textFill>
        </w:rPr>
        <w:t>。</w:t>
      </w:r>
    </w:p>
    <w:p>
      <w:pPr>
        <w:tabs>
          <w:tab w:val="left" w:pos="180"/>
          <w:tab w:val="left" w:pos="360"/>
          <w:tab w:val="left" w:pos="540"/>
          <w:tab w:val="left" w:pos="8280"/>
        </w:tabs>
        <w:autoSpaceDE w:val="0"/>
        <w:autoSpaceDN w:val="0"/>
        <w:adjustRightInd w:val="0"/>
        <w:spacing w:before="100" w:line="400" w:lineRule="exact"/>
        <w:ind w:right="23" w:firstLine="482" w:firstLineChars="200"/>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四、招标文件获取的方式、时间：</w:t>
      </w:r>
    </w:p>
    <w:p>
      <w:pPr>
        <w:snapToGrid w:val="0"/>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1．获取方式：网上免费下载（不接受网上报名），下载地址为</w:t>
      </w:r>
      <w:r>
        <w:rPr>
          <w:rFonts w:ascii="宋体" w:hAnsi="宋体" w:cs="Arial"/>
          <w:color w:val="000000" w:themeColor="text1"/>
          <w:sz w:val="24"/>
          <w:highlight w:val="none"/>
          <w14:textFill>
            <w14:solidFill>
              <w14:schemeClr w14:val="tx1"/>
            </w14:solidFill>
          </w14:textFill>
        </w:rPr>
        <w:t>http://www.zjzfcg.gov.cn</w:t>
      </w:r>
      <w:r>
        <w:rPr>
          <w:rFonts w:hint="eastAsia" w:ascii="宋体" w:hAnsi="宋体" w:cs="Arial"/>
          <w:color w:val="000000" w:themeColor="text1"/>
          <w:sz w:val="24"/>
          <w:highlight w:val="none"/>
          <w14:textFill>
            <w14:solidFill>
              <w14:schemeClr w14:val="tx1"/>
            </w14:solidFill>
          </w14:textFill>
        </w:rPr>
        <w:t xml:space="preserve">或https://www.yhjyzx.com/home/index </w:t>
      </w:r>
    </w:p>
    <w:p>
      <w:pPr>
        <w:snapToGrid w:val="0"/>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2．获取（公告）时间：2019年</w:t>
      </w:r>
      <w:r>
        <w:rPr>
          <w:rFonts w:hint="eastAsia" w:ascii="宋体" w:hAnsi="宋体" w:cs="Arial"/>
          <w:color w:val="000000" w:themeColor="text1"/>
          <w:sz w:val="24"/>
          <w:highlight w:val="none"/>
          <w:lang w:val="en-US" w:eastAsia="zh-CN"/>
          <w14:textFill>
            <w14:solidFill>
              <w14:schemeClr w14:val="tx1"/>
            </w14:solidFill>
          </w14:textFill>
        </w:rPr>
        <w:t>8</w:t>
      </w:r>
      <w:r>
        <w:rPr>
          <w:rFonts w:hint="eastAsia" w:ascii="宋体" w:hAnsi="宋体" w:cs="Arial"/>
          <w:color w:val="000000" w:themeColor="text1"/>
          <w:sz w:val="24"/>
          <w:highlight w:val="none"/>
          <w14:textFill>
            <w14:solidFill>
              <w14:schemeClr w14:val="tx1"/>
            </w14:solidFill>
          </w14:textFill>
        </w:rPr>
        <w:t>月</w:t>
      </w:r>
      <w:r>
        <w:rPr>
          <w:rFonts w:hint="eastAsia" w:ascii="宋体" w:hAnsi="宋体" w:cs="Arial"/>
          <w:color w:val="000000" w:themeColor="text1"/>
          <w:sz w:val="24"/>
          <w:highlight w:val="none"/>
          <w:lang w:val="en-US" w:eastAsia="zh-CN"/>
          <w14:textFill>
            <w14:solidFill>
              <w14:schemeClr w14:val="tx1"/>
            </w14:solidFill>
          </w14:textFill>
        </w:rPr>
        <w:t>28</w:t>
      </w:r>
      <w:r>
        <w:rPr>
          <w:rFonts w:hint="eastAsia" w:ascii="宋体" w:hAnsi="宋体" w:cs="Arial"/>
          <w:color w:val="000000" w:themeColor="text1"/>
          <w:sz w:val="24"/>
          <w:highlight w:val="none"/>
          <w14:textFill>
            <w14:solidFill>
              <w14:schemeClr w14:val="tx1"/>
            </w14:solidFill>
          </w14:textFill>
        </w:rPr>
        <w:t>日至2019年</w:t>
      </w:r>
      <w:r>
        <w:rPr>
          <w:rFonts w:hint="eastAsia" w:ascii="宋体" w:hAnsi="宋体" w:cs="Arial"/>
          <w:color w:val="000000" w:themeColor="text1"/>
          <w:sz w:val="24"/>
          <w:highlight w:val="none"/>
          <w:lang w:val="en-US" w:eastAsia="zh-CN"/>
          <w14:textFill>
            <w14:solidFill>
              <w14:schemeClr w14:val="tx1"/>
            </w14:solidFill>
          </w14:textFill>
        </w:rPr>
        <w:t>9</w:t>
      </w:r>
      <w:r>
        <w:rPr>
          <w:rFonts w:hint="eastAsia" w:ascii="宋体" w:hAnsi="宋体" w:cs="Arial"/>
          <w:color w:val="000000" w:themeColor="text1"/>
          <w:sz w:val="24"/>
          <w:highlight w:val="none"/>
          <w14:textFill>
            <w14:solidFill>
              <w14:schemeClr w14:val="tx1"/>
            </w14:solidFill>
          </w14:textFill>
        </w:rPr>
        <w:t>月</w:t>
      </w:r>
      <w:r>
        <w:rPr>
          <w:rFonts w:hint="eastAsia" w:ascii="宋体" w:hAnsi="宋体" w:cs="Arial"/>
          <w:color w:val="000000" w:themeColor="text1"/>
          <w:sz w:val="24"/>
          <w:highlight w:val="none"/>
          <w:lang w:val="en-US" w:eastAsia="zh-CN"/>
          <w14:textFill>
            <w14:solidFill>
              <w14:schemeClr w14:val="tx1"/>
            </w14:solidFill>
          </w14:textFill>
        </w:rPr>
        <w:t>4</w:t>
      </w:r>
      <w:r>
        <w:rPr>
          <w:rFonts w:hint="eastAsia" w:ascii="宋体" w:hAnsi="宋体" w:cs="Arial"/>
          <w:color w:val="000000" w:themeColor="text1"/>
          <w:sz w:val="24"/>
          <w:highlight w:val="none"/>
          <w14:textFill>
            <w14:solidFill>
              <w14:schemeClr w14:val="tx1"/>
            </w14:solidFill>
          </w14:textFill>
        </w:rPr>
        <w:t>日</w:t>
      </w:r>
    </w:p>
    <w:p>
      <w:pPr>
        <w:spacing w:line="400" w:lineRule="exact"/>
        <w:ind w:firstLine="1800" w:firstLineChars="7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上午：8:30-12:00      下午：13：30-16:30</w:t>
      </w:r>
    </w:p>
    <w:p>
      <w:pPr>
        <w:snapToGrid w:val="0"/>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4.报名地点：玉环市李家小区二期3号楼1502室；</w:t>
      </w:r>
    </w:p>
    <w:p>
      <w:pPr>
        <w:spacing w:line="400" w:lineRule="exact"/>
        <w:ind w:firstLine="960" w:firstLineChars="4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温州市鹿城区牛山北路13号牛山商务大厦9楼；</w:t>
      </w:r>
    </w:p>
    <w:p>
      <w:pPr>
        <w:spacing w:line="400" w:lineRule="exact"/>
        <w:ind w:firstLine="960" w:firstLineChars="4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杭州市江干区凤起东路189号滨江新城时代广场3幢2206室；</w:t>
      </w:r>
    </w:p>
    <w:p>
      <w:pPr>
        <w:spacing w:line="400" w:lineRule="exac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5、购买标书时应提交的资料：</w:t>
      </w:r>
    </w:p>
    <w:p>
      <w:pPr>
        <w:spacing w:line="400" w:lineRule="exact"/>
        <w:ind w:firstLine="720" w:firstLineChars="3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（1）、有效的工商营业执照营业执照（副本）复印件。</w:t>
      </w:r>
    </w:p>
    <w:p>
      <w:pPr>
        <w:spacing w:line="400" w:lineRule="exact"/>
        <w:ind w:firstLine="720" w:firstLineChars="30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（2）、</w:t>
      </w:r>
      <w:r>
        <w:rPr>
          <w:rFonts w:ascii="宋体" w:hAnsi="宋体" w:cs="Arial"/>
          <w:color w:val="000000" w:themeColor="text1"/>
          <w:sz w:val="24"/>
          <w:highlight w:val="none"/>
          <w14:textFill>
            <w14:solidFill>
              <w14:schemeClr w14:val="tx1"/>
            </w14:solidFill>
          </w14:textFill>
        </w:rPr>
        <w:t>政府采购报名申请表</w:t>
      </w:r>
      <w:r>
        <w:rPr>
          <w:rFonts w:hint="eastAsia" w:ascii="宋体" w:hAnsi="宋体" w:cs="Arial"/>
          <w:color w:val="000000" w:themeColor="text1"/>
          <w:sz w:val="24"/>
          <w:highlight w:val="none"/>
          <w14:textFill>
            <w14:solidFill>
              <w14:schemeClr w14:val="tx1"/>
            </w14:solidFill>
          </w14:textFill>
        </w:rPr>
        <w:t>（加盖公章）。</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400" w:lineRule="exact"/>
        <w:ind w:right="23" w:firstLine="539"/>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cs="Arial" w:asciiTheme="minorEastAsia" w:hAnsiTheme="minorEastAsia" w:eastAsiaTheme="minorEastAsia"/>
          <w:b/>
          <w:color w:val="000000" w:themeColor="text1"/>
          <w:sz w:val="24"/>
          <w:highlight w:val="none"/>
          <w14:textFill>
            <w14:solidFill>
              <w14:schemeClr w14:val="tx1"/>
            </w14:solidFill>
          </w14:textFill>
        </w:rPr>
        <w:t>五、</w:t>
      </w:r>
      <w:r>
        <w:rPr>
          <w:rFonts w:hint="eastAsia" w:asciiTheme="minorEastAsia" w:hAnsiTheme="minorEastAsia" w:eastAsiaTheme="minorEastAsia"/>
          <w:b/>
          <w:color w:val="000000" w:themeColor="text1"/>
          <w:kern w:val="0"/>
          <w:sz w:val="24"/>
          <w:highlight w:val="none"/>
          <w14:textFill>
            <w14:solidFill>
              <w14:schemeClr w14:val="tx1"/>
            </w14:solidFill>
          </w14:textFill>
        </w:rPr>
        <w:t>投标截止及开标时间、地点：</w:t>
      </w:r>
    </w:p>
    <w:p>
      <w:pPr>
        <w:snapToGrid w:val="0"/>
        <w:spacing w:line="400" w:lineRule="exact"/>
        <w:ind w:firstLine="480" w:firstLineChars="200"/>
        <w:rPr>
          <w:rFonts w:ascii="仿宋_GB2312" w:hAnsi="仿宋_GB2312" w:eastAsia="仿宋_GB2312" w:cs="仿宋_GB2312"/>
          <w:bCs/>
          <w:color w:val="000000" w:themeColor="text1"/>
          <w:kern w:val="0"/>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本次招标将于2019年</w:t>
      </w:r>
      <w:r>
        <w:rPr>
          <w:rFonts w:hint="eastAsia" w:cs="Arial" w:asciiTheme="minorEastAsia" w:hAnsiTheme="minorEastAsia" w:eastAsiaTheme="minorEastAsia"/>
          <w:color w:val="000000" w:themeColor="text1"/>
          <w:sz w:val="24"/>
          <w:highlight w:val="none"/>
          <w:lang w:eastAsia="zh-CN"/>
          <w14:textFill>
            <w14:solidFill>
              <w14:schemeClr w14:val="tx1"/>
            </w14:solidFill>
          </w14:textFill>
        </w:rPr>
        <w:t>9月17日</w:t>
      </w:r>
      <w:r>
        <w:rPr>
          <w:rFonts w:hint="eastAsia" w:cs="Arial" w:asciiTheme="minorEastAsia" w:hAnsiTheme="minorEastAsia" w:eastAsiaTheme="minorEastAsia"/>
          <w:color w:val="000000" w:themeColor="text1"/>
          <w:sz w:val="24"/>
          <w:highlight w:val="none"/>
          <w14:textFill>
            <w14:solidFill>
              <w14:schemeClr w14:val="tx1"/>
            </w14:solidFill>
          </w14:textFill>
        </w:rPr>
        <w:t>星期</w:t>
      </w:r>
      <w:r>
        <w:rPr>
          <w:rFonts w:hint="eastAsia" w:cs="Arial" w:asciiTheme="minorEastAsia" w:hAnsiTheme="minorEastAsia" w:eastAsiaTheme="minorEastAsia"/>
          <w:color w:val="000000" w:themeColor="text1"/>
          <w:sz w:val="24"/>
          <w:highlight w:val="none"/>
          <w:lang w:val="en-US" w:eastAsia="zh-CN"/>
          <w14:textFill>
            <w14:solidFill>
              <w14:schemeClr w14:val="tx1"/>
            </w14:solidFill>
          </w14:textFill>
        </w:rPr>
        <w:t>二</w:t>
      </w:r>
      <w:bookmarkStart w:id="1" w:name="_GoBack"/>
      <w:bookmarkEnd w:id="1"/>
      <w:r>
        <w:rPr>
          <w:rFonts w:hint="eastAsia" w:cs="Arial" w:asciiTheme="minorEastAsia" w:hAnsiTheme="minorEastAsia" w:eastAsiaTheme="minorEastAsia"/>
          <w:color w:val="000000" w:themeColor="text1"/>
          <w:sz w:val="24"/>
          <w:highlight w:val="none"/>
          <w14:textFill>
            <w14:solidFill>
              <w14:schemeClr w14:val="tx1"/>
            </w14:solidFill>
          </w14:textFill>
        </w:rPr>
        <w:t>上午09点30整在玉环市公共资源交易中心二楼开标室（二）（玉环市新城中路与长治路（南一路）交叉路口）</w:t>
      </w:r>
      <w:r>
        <w:rPr>
          <w:rFonts w:hint="eastAsia" w:asciiTheme="minorEastAsia" w:hAnsiTheme="minorEastAsia" w:eastAsiaTheme="minorEastAsia"/>
          <w:color w:val="000000" w:themeColor="text1"/>
          <w:sz w:val="24"/>
          <w:highlight w:val="none"/>
          <w14:textFill>
            <w14:solidFill>
              <w14:schemeClr w14:val="tx1"/>
            </w14:solidFill>
          </w14:textFill>
        </w:rPr>
        <w:t>开</w:t>
      </w:r>
      <w:r>
        <w:rPr>
          <w:rFonts w:hint="eastAsia" w:cs="Arial" w:asciiTheme="minorEastAsia" w:hAnsiTheme="minorEastAsia" w:eastAsiaTheme="minorEastAsia"/>
          <w:color w:val="000000" w:themeColor="text1"/>
          <w:sz w:val="24"/>
          <w:highlight w:val="none"/>
          <w14:textFill>
            <w14:solidFill>
              <w14:schemeClr w14:val="tx1"/>
            </w14:solidFill>
          </w14:textFill>
        </w:rPr>
        <w:t>标，</w:t>
      </w:r>
      <w:r>
        <w:rPr>
          <w:rFonts w:hint="eastAsia" w:asciiTheme="minorEastAsia" w:hAnsiTheme="minorEastAsia" w:eastAsiaTheme="minorEastAsia"/>
          <w:color w:val="000000" w:themeColor="text1"/>
          <w:kern w:val="0"/>
          <w:sz w:val="24"/>
          <w:highlight w:val="none"/>
          <w14:textFill>
            <w14:solidFill>
              <w14:schemeClr w14:val="tx1"/>
            </w14:solidFill>
          </w14:textFill>
        </w:rPr>
        <w:t>请在开标当日09</w:t>
      </w:r>
      <w:r>
        <w:rPr>
          <w:rFonts w:hint="eastAsia" w:cs="Arial" w:asciiTheme="minorEastAsia" w:hAnsiTheme="minorEastAsia" w:eastAsiaTheme="minorEastAsia"/>
          <w:color w:val="000000" w:themeColor="text1"/>
          <w:sz w:val="24"/>
          <w:highlight w:val="none"/>
          <w14:textFill>
            <w14:solidFill>
              <w14:schemeClr w14:val="tx1"/>
            </w14:solidFill>
          </w14:textFill>
        </w:rPr>
        <w:t>:00</w:t>
      </w:r>
      <w:r>
        <w:rPr>
          <w:rFonts w:hint="eastAsia" w:asciiTheme="minorEastAsia" w:hAnsiTheme="minorEastAsia" w:eastAsiaTheme="minorEastAsia"/>
          <w:color w:val="000000" w:themeColor="text1"/>
          <w:kern w:val="0"/>
          <w:sz w:val="24"/>
          <w:highlight w:val="none"/>
          <w14:textFill>
            <w14:solidFill>
              <w14:schemeClr w14:val="tx1"/>
            </w14:solidFill>
          </w14:textFill>
        </w:rPr>
        <w:t>至09</w:t>
      </w:r>
      <w:r>
        <w:rPr>
          <w:rFonts w:hint="eastAsia" w:cs="Arial" w:asciiTheme="minorEastAsia" w:hAnsiTheme="minorEastAsia" w:eastAsiaTheme="minorEastAsia"/>
          <w:color w:val="000000" w:themeColor="text1"/>
          <w:sz w:val="24"/>
          <w:highlight w:val="none"/>
          <w14:textFill>
            <w14:solidFill>
              <w14:schemeClr w14:val="tx1"/>
            </w14:solidFill>
          </w14:textFill>
        </w:rPr>
        <w:t>:30</w:t>
      </w:r>
      <w:r>
        <w:rPr>
          <w:rFonts w:hint="eastAsia" w:asciiTheme="minorEastAsia" w:hAnsiTheme="minorEastAsia" w:eastAsiaTheme="minorEastAsia"/>
          <w:color w:val="000000" w:themeColor="text1"/>
          <w:kern w:val="0"/>
          <w:sz w:val="24"/>
          <w:highlight w:val="none"/>
          <w14:textFill>
            <w14:solidFill>
              <w14:schemeClr w14:val="tx1"/>
            </w14:solidFill>
          </w14:textFill>
        </w:rPr>
        <w:t>将投标文件送达开标地点，逾期或不符合规定的投标文件恕不接受。</w:t>
      </w:r>
    </w:p>
    <w:p>
      <w:pPr>
        <w:snapToGrid w:val="0"/>
        <w:spacing w:line="400" w:lineRule="exact"/>
        <w:ind w:firstLine="482" w:firstLineChars="200"/>
        <w:rPr>
          <w:rFonts w:cs="Arial" w:asciiTheme="minorEastAsia" w:hAnsiTheme="minorEastAsia" w:eastAsiaTheme="minorEastAsia"/>
          <w:b/>
          <w:color w:val="000000" w:themeColor="text1"/>
          <w:sz w:val="24"/>
          <w:highlight w:val="none"/>
          <w14:textFill>
            <w14:solidFill>
              <w14:schemeClr w14:val="tx1"/>
            </w14:solidFill>
          </w14:textFill>
        </w:rPr>
      </w:pPr>
      <w:r>
        <w:rPr>
          <w:rFonts w:hint="eastAsia" w:cs="Arial" w:asciiTheme="minorEastAsia" w:hAnsiTheme="minorEastAsia" w:eastAsiaTheme="minorEastAsia"/>
          <w:b/>
          <w:color w:val="000000" w:themeColor="text1"/>
          <w:sz w:val="24"/>
          <w:highlight w:val="none"/>
          <w:lang w:val="en-US" w:eastAsia="zh-CN"/>
          <w14:textFill>
            <w14:solidFill>
              <w14:schemeClr w14:val="tx1"/>
            </w14:solidFill>
          </w14:textFill>
        </w:rPr>
        <w:t>六</w:t>
      </w:r>
      <w:r>
        <w:rPr>
          <w:rFonts w:cs="Arial" w:asciiTheme="minorEastAsia" w:hAnsiTheme="minorEastAsia" w:eastAsiaTheme="minorEastAsia"/>
          <w:b/>
          <w:color w:val="000000" w:themeColor="text1"/>
          <w:sz w:val="24"/>
          <w:highlight w:val="none"/>
          <w14:textFill>
            <w14:solidFill>
              <w14:schemeClr w14:val="tx1"/>
            </w14:solidFill>
          </w14:textFill>
        </w:rPr>
        <w:t>、投标人信用信息查询渠道及截止时点、信用信息查询记录和证据留存的具体方式、信用信息的使用规则</w:t>
      </w:r>
      <w:r>
        <w:rPr>
          <w:rFonts w:hint="eastAsia" w:cs="Arial" w:asciiTheme="minorEastAsia" w:hAnsiTheme="minorEastAsia" w:eastAsiaTheme="minorEastAsia"/>
          <w:b/>
          <w:color w:val="000000" w:themeColor="text1"/>
          <w:sz w:val="24"/>
          <w:highlight w:val="none"/>
          <w14:textFill>
            <w14:solidFill>
              <w14:schemeClr w14:val="tx1"/>
            </w14:solidFill>
          </w14:textFill>
        </w:rPr>
        <w:t>：</w:t>
      </w:r>
    </w:p>
    <w:p>
      <w:pPr>
        <w:spacing w:line="400" w:lineRule="exact"/>
        <w:ind w:firstLine="588" w:firstLineChars="245"/>
        <w:rPr>
          <w:rFonts w:ascii="宋体" w:hAnsi="宋体" w:cs="Arial"/>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1、查询渠道：</w:t>
      </w:r>
      <w:r>
        <w:rPr>
          <w:rFonts w:hint="eastAsia" w:ascii="宋体" w:hAnsi="宋体" w:cs="Arial"/>
          <w:color w:val="000000" w:themeColor="text1"/>
          <w:sz w:val="24"/>
          <w:highlight w:val="none"/>
          <w14:textFill>
            <w14:solidFill>
              <w14:schemeClr w14:val="tx1"/>
            </w14:solidFill>
          </w14:textFill>
        </w:rPr>
        <w:t>国家企业信用信息公示系统（http://www.gsxt.gov.cn/index.html）。</w:t>
      </w:r>
    </w:p>
    <w:p>
      <w:pPr>
        <w:snapToGrid w:val="0"/>
        <w:spacing w:line="400" w:lineRule="exact"/>
        <w:ind w:firstLine="480" w:firstLineChars="200"/>
        <w:rPr>
          <w:rFonts w:cs="Arial" w:asciiTheme="minorEastAsia" w:hAnsiTheme="minorEastAsia" w:eastAsiaTheme="minorEastAsia"/>
          <w:b/>
          <w:bCs/>
          <w:color w:val="000000" w:themeColor="text1"/>
          <w:sz w:val="24"/>
          <w:highlight w:val="none"/>
          <w:shd w:val="clear" w:color="FFFFFF" w:fill="D9D9D9"/>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2、截止时点：开标后评标前。</w:t>
      </w:r>
    </w:p>
    <w:p>
      <w:pPr>
        <w:snapToGrid w:val="0"/>
        <w:spacing w:line="400" w:lineRule="exact"/>
        <w:ind w:firstLine="480" w:firstLineChars="200"/>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3、</w:t>
      </w:r>
      <w:r>
        <w:rPr>
          <w:rFonts w:cs="Arial" w:asciiTheme="minorEastAsia" w:hAnsiTheme="minorEastAsia" w:eastAsiaTheme="minorEastAsia"/>
          <w:color w:val="000000" w:themeColor="text1"/>
          <w:sz w:val="24"/>
          <w:highlight w:val="none"/>
          <w14:textFill>
            <w14:solidFill>
              <w14:schemeClr w14:val="tx1"/>
            </w14:solidFill>
          </w14:textFill>
        </w:rPr>
        <w:t>信用信息查询记录和证据留存的具体方式</w:t>
      </w:r>
      <w:r>
        <w:rPr>
          <w:rFonts w:hint="eastAsia" w:cs="Arial" w:asciiTheme="minorEastAsia" w:hAnsiTheme="minorEastAsia" w:eastAsiaTheme="minorEastAsia"/>
          <w:color w:val="000000" w:themeColor="text1"/>
          <w:sz w:val="24"/>
          <w:highlight w:val="none"/>
          <w14:textFill>
            <w14:solidFill>
              <w14:schemeClr w14:val="tx1"/>
            </w14:solidFill>
          </w14:textFill>
        </w:rPr>
        <w:t>：由采购组织机构在规定查询时间内打印信用信息查询记录并归入项目档案。</w:t>
      </w:r>
    </w:p>
    <w:p>
      <w:pPr>
        <w:snapToGrid w:val="0"/>
        <w:spacing w:line="400" w:lineRule="exact"/>
        <w:ind w:firstLine="480" w:firstLineChars="200"/>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4、使用规则：对列入失信被执行人、重大税收违法案件当事人名单、政府采购严重违法失信行为记录名单及其他不符合《中华人民共和国政府采购法》第二十二条规定条件的供应商，</w:t>
      </w:r>
      <w:r>
        <w:rPr>
          <w:rFonts w:cs="Arial" w:asciiTheme="minorEastAsia" w:hAnsiTheme="minorEastAsia" w:eastAsiaTheme="minorEastAsia"/>
          <w:color w:val="000000" w:themeColor="text1"/>
          <w:sz w:val="24"/>
          <w:highlight w:val="none"/>
          <w14:textFill>
            <w14:solidFill>
              <w14:schemeClr w14:val="tx1"/>
            </w14:solidFill>
          </w14:textFill>
        </w:rPr>
        <w:t>将被</w:t>
      </w:r>
      <w:r>
        <w:rPr>
          <w:rFonts w:hint="eastAsia" w:cs="Arial" w:asciiTheme="minorEastAsia" w:hAnsiTheme="minorEastAsia" w:eastAsiaTheme="minorEastAsia"/>
          <w:color w:val="000000" w:themeColor="text1"/>
          <w:sz w:val="24"/>
          <w:highlight w:val="none"/>
          <w14:textFill>
            <w14:solidFill>
              <w14:schemeClr w14:val="tx1"/>
            </w14:solidFill>
          </w14:textFill>
        </w:rPr>
        <w:t>拒绝其参与政府采购活动。</w:t>
      </w:r>
    </w:p>
    <w:p>
      <w:pPr>
        <w:snapToGrid w:val="0"/>
        <w:spacing w:line="400" w:lineRule="exact"/>
        <w:ind w:firstLine="482" w:firstLineChars="200"/>
        <w:rPr>
          <w:rFonts w:ascii="宋体" w:hAnsi="宋体" w:cs="Arial"/>
          <w:color w:val="000000" w:themeColor="text1"/>
          <w:sz w:val="24"/>
          <w:highlight w:val="none"/>
          <w14:textFill>
            <w14:solidFill>
              <w14:schemeClr w14:val="tx1"/>
            </w14:solidFill>
          </w14:textFill>
        </w:rPr>
      </w:pPr>
      <w:r>
        <w:rPr>
          <w:rFonts w:hint="eastAsia" w:cs="Arial" w:asciiTheme="minorEastAsia" w:hAnsiTheme="minorEastAsia" w:eastAsiaTheme="minorEastAsia"/>
          <w:b/>
          <w:bCs/>
          <w:color w:val="000000" w:themeColor="text1"/>
          <w:sz w:val="24"/>
          <w:highlight w:val="none"/>
          <w:lang w:val="en-US" w:eastAsia="zh-CN"/>
          <w14:textFill>
            <w14:solidFill>
              <w14:schemeClr w14:val="tx1"/>
            </w14:solidFill>
          </w14:textFill>
        </w:rPr>
        <w:t>七</w:t>
      </w:r>
      <w:r>
        <w:rPr>
          <w:rFonts w:cs="Arial" w:asciiTheme="minorEastAsia" w:hAnsiTheme="minorEastAsia" w:eastAsiaTheme="minorEastAsia"/>
          <w:b/>
          <w:bCs/>
          <w:color w:val="000000" w:themeColor="text1"/>
          <w:sz w:val="24"/>
          <w:highlight w:val="none"/>
          <w14:textFill>
            <w14:solidFill>
              <w14:schemeClr w14:val="tx1"/>
            </w14:solidFill>
          </w14:textFill>
        </w:rPr>
        <w:t>、</w:t>
      </w:r>
      <w:r>
        <w:rPr>
          <w:rFonts w:hint="eastAsia" w:ascii="宋体" w:hAnsi="宋体" w:cs="Arial"/>
          <w:b/>
          <w:color w:val="000000" w:themeColor="text1"/>
          <w:sz w:val="24"/>
          <w:highlight w:val="none"/>
          <w14:textFill>
            <w14:solidFill>
              <w14:schemeClr w14:val="tx1"/>
            </w14:solidFill>
          </w14:textFill>
        </w:rPr>
        <w:t>相关注意事项</w:t>
      </w:r>
      <w:r>
        <w:rPr>
          <w:rFonts w:hint="eastAsia" w:ascii="宋体" w:hAnsi="宋体" w:cs="Arial"/>
          <w:color w:val="000000" w:themeColor="text1"/>
          <w:sz w:val="24"/>
          <w:highlight w:val="none"/>
          <w14:textFill>
            <w14:solidFill>
              <w14:schemeClr w14:val="tx1"/>
            </w14:solidFill>
          </w14:textFill>
        </w:rPr>
        <w:t>：</w:t>
      </w:r>
    </w:p>
    <w:p>
      <w:pPr>
        <w:snapToGrid w:val="0"/>
        <w:spacing w:line="400" w:lineRule="exact"/>
        <w:ind w:firstLine="480" w:firstLineChars="200"/>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1、供应商认为采购文件使自己的权益受到损害的，可以自收到采购文件之日（获取/发售截止日之后收到采购文件的，以获取/发售截止日为准）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w:t>
      </w:r>
    </w:p>
    <w:p>
      <w:pPr>
        <w:spacing w:line="400" w:lineRule="exact"/>
        <w:ind w:firstLine="588" w:firstLineChars="245"/>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2．根据《浙江省政府采购供应商注册及诚信管理暂行办法》浙财采监【2009】28号文件，请各投标响应供应商及时办理浙江政府采购网“政府采购供应商注册”手续。</w:t>
      </w:r>
    </w:p>
    <w:p>
      <w:pPr>
        <w:spacing w:line="400" w:lineRule="exact"/>
        <w:ind w:firstLine="588" w:firstLineChars="245"/>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3．参与政府采购活动的供应商，应当先在浙江省政府采购网上申请注册，公开招标采购文件可从网上直接下载。</w:t>
      </w:r>
    </w:p>
    <w:p>
      <w:pPr>
        <w:spacing w:line="400" w:lineRule="exact"/>
        <w:ind w:firstLine="588" w:firstLineChars="245"/>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4．本项目所有公告发布网站：“浙江省政府采购网”（http:// www.zjzfcg.gov.cn）和“玉环市公共资源交易中心”（ https://www.yhjyzx.com/News/zcfg/zfcg）。</w:t>
      </w:r>
    </w:p>
    <w:p>
      <w:pPr>
        <w:spacing w:line="400" w:lineRule="exact"/>
        <w:ind w:firstLine="590" w:firstLineChars="245"/>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lang w:val="en-US" w:eastAsia="zh-CN"/>
          <w14:textFill>
            <w14:solidFill>
              <w14:schemeClr w14:val="tx1"/>
            </w14:solidFill>
          </w14:textFill>
        </w:rPr>
        <w:t>八</w:t>
      </w:r>
      <w:r>
        <w:rPr>
          <w:rFonts w:hint="eastAsia" w:asciiTheme="minorEastAsia" w:hAnsiTheme="minorEastAsia" w:eastAsiaTheme="minorEastAsia"/>
          <w:b/>
          <w:color w:val="000000" w:themeColor="text1"/>
          <w:sz w:val="24"/>
          <w:highlight w:val="none"/>
          <w14:textFill>
            <w14:solidFill>
              <w14:schemeClr w14:val="tx1"/>
            </w14:solidFill>
          </w14:textFill>
        </w:rPr>
        <w:t>、联系方式：</w:t>
      </w:r>
    </w:p>
    <w:p>
      <w:pPr>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（一）采购代理机构</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联系人：胡先生</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 xml:space="preserve">联系电话：15967041020     </w:t>
      </w:r>
    </w:p>
    <w:p>
      <w:pPr>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地址：</w:t>
      </w:r>
      <w:r>
        <w:rPr>
          <w:rFonts w:hint="eastAsia" w:ascii="宋体" w:hAnsi="宋体"/>
          <w:color w:val="000000" w:themeColor="text1"/>
          <w:kern w:val="0"/>
          <w:sz w:val="24"/>
          <w:highlight w:val="none"/>
          <w14:textFill>
            <w14:solidFill>
              <w14:schemeClr w14:val="tx1"/>
            </w14:solidFill>
          </w14:textFill>
        </w:rPr>
        <w:t xml:space="preserve"> 玉环市李家小区二期3号楼1502室；</w:t>
      </w:r>
    </w:p>
    <w:p>
      <w:pPr>
        <w:snapToGrid w:val="0"/>
        <w:spacing w:line="400" w:lineRule="exact"/>
        <w:ind w:firstLine="602" w:firstLineChars="25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（二）采购人</w:t>
      </w:r>
      <w:r>
        <w:rPr>
          <w:rFonts w:hint="eastAsia" w:ascii="宋体" w:hAnsi="宋体" w:cs="Arial"/>
          <w:color w:val="000000" w:themeColor="text1"/>
          <w:sz w:val="24"/>
          <w:highlight w:val="none"/>
          <w14:textFill>
            <w14:solidFill>
              <w14:schemeClr w14:val="tx1"/>
            </w14:solidFill>
          </w14:textFill>
        </w:rPr>
        <w:t xml:space="preserve"> </w:t>
      </w:r>
    </w:p>
    <w:p>
      <w:pPr>
        <w:snapToGrid w:val="0"/>
        <w:spacing w:line="400" w:lineRule="exact"/>
        <w:ind w:firstLine="600" w:firstLineChars="250"/>
        <w:rPr>
          <w:rFonts w:hint="eastAsia" w:ascii="宋体" w:hAnsi="宋体" w:eastAsia="宋体" w:cs="Arial"/>
          <w:color w:val="000000" w:themeColor="text1"/>
          <w:sz w:val="24"/>
          <w:highlight w:val="none"/>
          <w:lang w:eastAsia="zh-CN"/>
          <w14:textFill>
            <w14:solidFill>
              <w14:schemeClr w14:val="tx1"/>
            </w14:solidFill>
          </w14:textFill>
        </w:rPr>
      </w:pPr>
      <w:r>
        <w:rPr>
          <w:rFonts w:ascii="宋体" w:hAnsi="宋体" w:cs="Arial"/>
          <w:color w:val="000000" w:themeColor="text1"/>
          <w:sz w:val="24"/>
          <w:highlight w:val="none"/>
          <w14:textFill>
            <w14:solidFill>
              <w14:schemeClr w14:val="tx1"/>
            </w14:solidFill>
          </w14:textFill>
        </w:rPr>
        <w:t>采购</w:t>
      </w:r>
      <w:r>
        <w:rPr>
          <w:rFonts w:hint="eastAsia" w:ascii="宋体" w:hAnsi="宋体" w:cs="Arial"/>
          <w:color w:val="000000" w:themeColor="text1"/>
          <w:sz w:val="24"/>
          <w:highlight w:val="none"/>
          <w14:textFill>
            <w14:solidFill>
              <w14:schemeClr w14:val="tx1"/>
            </w14:solidFill>
          </w14:textFill>
        </w:rPr>
        <w:t>人</w:t>
      </w:r>
      <w:r>
        <w:rPr>
          <w:rFonts w:ascii="宋体" w:hAnsi="宋体" w:cs="Arial"/>
          <w:color w:val="000000" w:themeColor="text1"/>
          <w:sz w:val="24"/>
          <w:highlight w:val="none"/>
          <w14:textFill>
            <w14:solidFill>
              <w14:schemeClr w14:val="tx1"/>
            </w14:solidFill>
          </w14:textFill>
        </w:rPr>
        <w:t>名称：</w:t>
      </w:r>
      <w:r>
        <w:rPr>
          <w:rFonts w:hint="eastAsia" w:ascii="宋体" w:hAnsi="宋体" w:cs="Arial"/>
          <w:color w:val="000000" w:themeColor="text1"/>
          <w:sz w:val="24"/>
          <w:highlight w:val="none"/>
          <w:lang w:eastAsia="zh-CN"/>
          <w14:textFill>
            <w14:solidFill>
              <w14:schemeClr w14:val="tx1"/>
            </w14:solidFill>
          </w14:textFill>
        </w:rPr>
        <w:t>玉环市干江初级中学</w:t>
      </w:r>
    </w:p>
    <w:p>
      <w:pPr>
        <w:snapToGrid w:val="0"/>
        <w:spacing w:line="400" w:lineRule="exact"/>
        <w:ind w:firstLine="600" w:firstLineChars="250"/>
        <w:rPr>
          <w:rFonts w:hint="eastAsia" w:ascii="宋体" w:hAnsi="宋体" w:eastAsia="宋体" w:cs="Arial"/>
          <w:color w:val="000000" w:themeColor="text1"/>
          <w:sz w:val="24"/>
          <w:highlight w:val="none"/>
          <w:lang w:eastAsia="zh-CN"/>
          <w14:textFill>
            <w14:solidFill>
              <w14:schemeClr w14:val="tx1"/>
            </w14:solidFill>
          </w14:textFill>
        </w:rPr>
      </w:pPr>
      <w:r>
        <w:rPr>
          <w:rFonts w:ascii="宋体" w:hAnsi="宋体" w:cs="Arial"/>
          <w:color w:val="000000" w:themeColor="text1"/>
          <w:sz w:val="24"/>
          <w:highlight w:val="none"/>
          <w14:textFill>
            <w14:solidFill>
              <w14:schemeClr w14:val="tx1"/>
            </w14:solidFill>
          </w14:textFill>
        </w:rPr>
        <w:t>联系人：</w:t>
      </w:r>
      <w:r>
        <w:rPr>
          <w:rFonts w:hint="eastAsia" w:ascii="宋体" w:hAnsi="宋体" w:cs="Arial"/>
          <w:color w:val="000000" w:themeColor="text1"/>
          <w:sz w:val="24"/>
          <w:highlight w:val="none"/>
          <w:lang w:eastAsia="zh-CN"/>
          <w14:textFill>
            <w14:solidFill>
              <w14:schemeClr w14:val="tx1"/>
            </w14:solidFill>
          </w14:textFill>
        </w:rPr>
        <w:t>王老师</w:t>
      </w:r>
      <w:r>
        <w:rPr>
          <w:rFonts w:hint="eastAsia" w:ascii="宋体" w:hAnsi="宋体" w:cs="Arial"/>
          <w:color w:val="000000" w:themeColor="text1"/>
          <w:sz w:val="24"/>
          <w:highlight w:val="none"/>
          <w14:textFill>
            <w14:solidFill>
              <w14:schemeClr w14:val="tx1"/>
            </w14:solidFill>
          </w14:textFill>
        </w:rPr>
        <w:t xml:space="preserve">       联系电话：</w:t>
      </w:r>
      <w:r>
        <w:rPr>
          <w:rFonts w:hint="eastAsia" w:ascii="宋体" w:hAnsi="宋体" w:cs="Arial"/>
          <w:color w:val="000000" w:themeColor="text1"/>
          <w:sz w:val="24"/>
          <w:highlight w:val="none"/>
          <w:lang w:eastAsia="zh-CN"/>
          <w14:textFill>
            <w14:solidFill>
              <w14:schemeClr w14:val="tx1"/>
            </w14:solidFill>
          </w14:textFill>
        </w:rPr>
        <w:t>0576-81717060</w:t>
      </w:r>
    </w:p>
    <w:p>
      <w:pPr>
        <w:spacing w:line="400" w:lineRule="exact"/>
        <w:ind w:firstLine="472" w:firstLineChars="196"/>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（三）同级政府采购监督管理部门</w:t>
      </w:r>
    </w:p>
    <w:p>
      <w:pPr>
        <w:snapToGrid w:val="0"/>
        <w:spacing w:line="400" w:lineRule="exact"/>
        <w:ind w:left="525" w:left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名称：玉环市财政局</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 xml:space="preserve">联系人：谢主任                   </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监督投诉电话：0576-87250185          传真：0576-87250185</w:t>
      </w:r>
    </w:p>
    <w:p>
      <w:pPr>
        <w:snapToGrid w:val="0"/>
        <w:spacing w:line="400" w:lineRule="exact"/>
        <w:ind w:firstLine="600" w:firstLineChars="250"/>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地址：玉环市广陵路130号；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400" w:lineRule="exact"/>
        <w:ind w:right="1800"/>
        <w:jc w:val="center"/>
        <w:rPr>
          <w:rFonts w:ascii="Arial" w:hAnsi="Arial" w:cs="Arial"/>
          <w:color w:val="000000" w:themeColor="text1"/>
          <w:sz w:val="24"/>
          <w:highlight w:val="none"/>
          <w14:textFill>
            <w14:solidFill>
              <w14:schemeClr w14:val="tx1"/>
            </w14:solidFill>
          </w14:textFill>
        </w:rPr>
      </w:pPr>
      <w:r>
        <w:rPr>
          <w:rFonts w:hint="eastAsia" w:ascii="Arial" w:hAnsi="Arial" w:cs="Arial"/>
          <w:color w:val="000000" w:themeColor="text1"/>
          <w:sz w:val="24"/>
          <w:highlight w:val="none"/>
          <w14:textFill>
            <w14:solidFill>
              <w14:schemeClr w14:val="tx1"/>
            </w14:solidFill>
          </w14:textFill>
        </w:rPr>
        <w:t xml:space="preserve">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400" w:lineRule="exact"/>
        <w:ind w:right="23" w:firstLine="539"/>
        <w:jc w:val="center"/>
        <w:rPr>
          <w:rFonts w:ascii="宋体"/>
          <w:color w:val="000000" w:themeColor="text1"/>
          <w:kern w:val="0"/>
          <w:sz w:val="24"/>
          <w:highlight w:val="none"/>
          <w14:textFill>
            <w14:solidFill>
              <w14:schemeClr w14:val="tx1"/>
            </w14:solidFill>
          </w14:textFill>
        </w:rPr>
      </w:pPr>
      <w:r>
        <w:rPr>
          <w:rFonts w:hint="eastAsia" w:ascii="Arial" w:hAnsi="Arial" w:cs="Arial"/>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w:t>
      </w:r>
      <w:r>
        <w:rPr>
          <w:rFonts w:hint="eastAsia" w:ascii="宋体" w:hAnsi="宋体" w:cs="Arial"/>
          <w:color w:val="000000" w:themeColor="text1"/>
          <w:sz w:val="24"/>
          <w:highlight w:val="none"/>
          <w14:textFill>
            <w14:solidFill>
              <w14:schemeClr w14:val="tx1"/>
            </w14:solidFill>
          </w14:textFill>
        </w:rPr>
        <w:t xml:space="preserve">    </w:t>
      </w:r>
    </w:p>
    <w:p>
      <w:pPr>
        <w:widowControl/>
        <w:jc w:val="center"/>
        <w:rPr>
          <w:rFonts w:hint="eastAsia" w:ascii="方正魏碑简体" w:hAnsi="方正魏碑简体"/>
          <w:b/>
          <w:bCs/>
          <w:color w:val="000000" w:themeColor="text1"/>
          <w:kern w:val="0"/>
          <w:sz w:val="44"/>
          <w:szCs w:val="44"/>
          <w:highlight w:val="none"/>
          <w14:textFill>
            <w14:solidFill>
              <w14:schemeClr w14:val="tx1"/>
            </w14:solidFill>
          </w14:textFill>
        </w:rPr>
      </w:pPr>
    </w:p>
    <w:p>
      <w:pPr>
        <w:widowControl/>
        <w:jc w:val="center"/>
        <w:rPr>
          <w:b/>
          <w:bCs/>
          <w:color w:val="000000" w:themeColor="text1"/>
          <w:kern w:val="0"/>
          <w:sz w:val="44"/>
          <w:szCs w:val="44"/>
          <w:highlight w:val="none"/>
          <w14:textFill>
            <w14:solidFill>
              <w14:schemeClr w14:val="tx1"/>
            </w14:solidFill>
          </w14:textFill>
        </w:rPr>
      </w:pPr>
      <w:r>
        <w:rPr>
          <w:rFonts w:hint="eastAsia" w:ascii="方正魏碑简体" w:hAnsi="方正魏碑简体"/>
          <w:b/>
          <w:bCs/>
          <w:color w:val="000000" w:themeColor="text1"/>
          <w:kern w:val="0"/>
          <w:sz w:val="44"/>
          <w:szCs w:val="44"/>
          <w:highlight w:val="none"/>
          <w14:textFill>
            <w14:solidFill>
              <w14:schemeClr w14:val="tx1"/>
            </w14:solidFill>
          </w14:textFill>
        </w:rPr>
        <w:t>玉环市</w:t>
      </w:r>
      <w:r>
        <w:rPr>
          <w:rFonts w:ascii="方正魏碑简体" w:hAnsi="方正魏碑简体"/>
          <w:b/>
          <w:bCs/>
          <w:color w:val="000000" w:themeColor="text1"/>
          <w:kern w:val="0"/>
          <w:sz w:val="44"/>
          <w:szCs w:val="44"/>
          <w:highlight w:val="none"/>
          <w14:textFill>
            <w14:solidFill>
              <w14:schemeClr w14:val="tx1"/>
            </w14:solidFill>
          </w14:textFill>
        </w:rPr>
        <w:t>政府采购报名申请表</w:t>
      </w:r>
    </w:p>
    <w:tbl>
      <w:tblPr>
        <w:tblStyle w:val="16"/>
        <w:tblW w:w="9205" w:type="dxa"/>
        <w:tblInd w:w="-89" w:type="dxa"/>
        <w:tblLayout w:type="fixed"/>
        <w:tblCellMar>
          <w:top w:w="0" w:type="dxa"/>
          <w:left w:w="108" w:type="dxa"/>
          <w:bottom w:w="0" w:type="dxa"/>
          <w:right w:w="108" w:type="dxa"/>
        </w:tblCellMar>
      </w:tblPr>
      <w:tblGrid>
        <w:gridCol w:w="745"/>
        <w:gridCol w:w="1736"/>
        <w:gridCol w:w="2904"/>
        <w:gridCol w:w="301"/>
        <w:gridCol w:w="911"/>
        <w:gridCol w:w="365"/>
        <w:gridCol w:w="2243"/>
      </w:tblGrid>
      <w:tr>
        <w:tblPrEx>
          <w:tblLayout w:type="fixed"/>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项目名称</w:t>
            </w:r>
          </w:p>
        </w:tc>
        <w:tc>
          <w:tcPr>
            <w:tcW w:w="6724" w:type="dxa"/>
            <w:gridSpan w:val="5"/>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招标编号</w:t>
            </w:r>
          </w:p>
        </w:tc>
        <w:tc>
          <w:tcPr>
            <w:tcW w:w="6724" w:type="dxa"/>
            <w:gridSpan w:val="5"/>
            <w:tcBorders>
              <w:top w:val="single" w:color="000000" w:sz="4" w:space="0"/>
              <w:left w:val="nil"/>
              <w:bottom w:val="single" w:color="000000" w:sz="4" w:space="0"/>
              <w:right w:val="single" w:color="000000" w:sz="4" w:space="0"/>
            </w:tcBorders>
            <w:vAlign w:val="center"/>
          </w:tcPr>
          <w:p>
            <w:pPr>
              <w:widowControl/>
              <w:jc w:val="center"/>
              <w:rPr>
                <w:rFonts w:ascii="宋体" w:hAnsi="宋体"/>
                <w:b/>
                <w:bCs/>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投标申请单位名称</w:t>
            </w:r>
          </w:p>
        </w:tc>
        <w:tc>
          <w:tcPr>
            <w:tcW w:w="6724" w:type="dxa"/>
            <w:gridSpan w:val="5"/>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 xml:space="preserve">                                     （盖章）</w:t>
            </w:r>
          </w:p>
        </w:tc>
      </w:tr>
      <w:tr>
        <w:tblPrEx>
          <w:tblLayout w:type="fixed"/>
          <w:tblCellMar>
            <w:top w:w="0" w:type="dxa"/>
            <w:left w:w="108" w:type="dxa"/>
            <w:bottom w:w="0" w:type="dxa"/>
            <w:right w:w="108" w:type="dxa"/>
          </w:tblCellMar>
        </w:tblPrEx>
        <w:trPr>
          <w:trHeight w:val="645"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报名时间</w:t>
            </w:r>
          </w:p>
        </w:tc>
        <w:tc>
          <w:tcPr>
            <w:tcW w:w="6724" w:type="dxa"/>
            <w:gridSpan w:val="5"/>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项目联系人</w:t>
            </w:r>
          </w:p>
        </w:tc>
        <w:tc>
          <w:tcPr>
            <w:tcW w:w="2904" w:type="dxa"/>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c>
          <w:tcPr>
            <w:tcW w:w="1212"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手    机</w:t>
            </w:r>
          </w:p>
        </w:tc>
        <w:tc>
          <w:tcPr>
            <w:tcW w:w="2608"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联系电话</w:t>
            </w:r>
          </w:p>
        </w:tc>
        <w:tc>
          <w:tcPr>
            <w:tcW w:w="2904" w:type="dxa"/>
            <w:tcBorders>
              <w:top w:val="single" w:color="000000" w:sz="4" w:space="0"/>
              <w:left w:val="nil"/>
              <w:bottom w:val="single" w:color="000000" w:sz="4" w:space="0"/>
              <w:right w:val="single" w:color="000000" w:sz="4" w:space="0"/>
            </w:tcBorders>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c>
          <w:tcPr>
            <w:tcW w:w="1212" w:type="dxa"/>
            <w:gridSpan w:val="2"/>
            <w:tcBorders>
              <w:top w:val="single" w:color="000000" w:sz="4" w:space="0"/>
              <w:left w:val="nil"/>
              <w:bottom w:val="single" w:color="000000" w:sz="4" w:space="0"/>
              <w:right w:val="single" w:color="000000" w:sz="4" w:space="0"/>
            </w:tcBorders>
          </w:tcPr>
          <w:p>
            <w:pPr>
              <w:widowControl/>
              <w:spacing w:line="360" w:lineRule="auto"/>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传    真</w:t>
            </w:r>
          </w:p>
        </w:tc>
        <w:tc>
          <w:tcPr>
            <w:tcW w:w="2608" w:type="dxa"/>
            <w:gridSpan w:val="2"/>
            <w:tcBorders>
              <w:top w:val="single" w:color="000000" w:sz="4" w:space="0"/>
              <w:left w:val="nil"/>
              <w:bottom w:val="single" w:color="000000" w:sz="4" w:space="0"/>
              <w:right w:val="single" w:color="000000" w:sz="4" w:space="0"/>
            </w:tcBorders>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E—mail</w:t>
            </w:r>
          </w:p>
        </w:tc>
        <w:tc>
          <w:tcPr>
            <w:tcW w:w="2904" w:type="dxa"/>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c>
          <w:tcPr>
            <w:tcW w:w="1212"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邮政编码</w:t>
            </w:r>
          </w:p>
        </w:tc>
        <w:tc>
          <w:tcPr>
            <w:tcW w:w="2608" w:type="dxa"/>
            <w:gridSpan w:val="2"/>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通信地址</w:t>
            </w:r>
          </w:p>
        </w:tc>
        <w:tc>
          <w:tcPr>
            <w:tcW w:w="6724" w:type="dxa"/>
            <w:gridSpan w:val="5"/>
            <w:tcBorders>
              <w:top w:val="single" w:color="000000" w:sz="4" w:space="0"/>
              <w:left w:val="nil"/>
              <w:bottom w:val="single" w:color="000000" w:sz="4" w:space="0"/>
              <w:right w:val="single" w:color="000000" w:sz="4" w:space="0"/>
            </w:tcBorders>
            <w:vAlign w:val="center"/>
          </w:tcPr>
          <w:p>
            <w:pPr>
              <w:widowControl/>
              <w:spacing w:line="360" w:lineRule="auto"/>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9205"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520" w:lineRule="exact"/>
              <w:jc w:val="center"/>
              <w:rPr>
                <w:rFonts w:ascii="宋体"/>
                <w:bCs/>
                <w:color w:val="000000" w:themeColor="text1"/>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以下内容增值税一般纳税人须填写齐全</w:t>
            </w: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税号（纳税识别号）</w:t>
            </w:r>
          </w:p>
        </w:tc>
        <w:tc>
          <w:tcPr>
            <w:tcW w:w="6724" w:type="dxa"/>
            <w:gridSpan w:val="5"/>
            <w:tcBorders>
              <w:top w:val="single" w:color="auto" w:sz="4" w:space="0"/>
              <w:left w:val="nil"/>
              <w:bottom w:val="single" w:color="auto"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开票地址、电话</w:t>
            </w:r>
          </w:p>
        </w:tc>
        <w:tc>
          <w:tcPr>
            <w:tcW w:w="6724" w:type="dxa"/>
            <w:gridSpan w:val="5"/>
            <w:tcBorders>
              <w:top w:val="single" w:color="auto" w:sz="4" w:space="0"/>
              <w:left w:val="nil"/>
              <w:bottom w:val="single" w:color="auto"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10" w:hRule="atLeast"/>
        </w:trPr>
        <w:tc>
          <w:tcPr>
            <w:tcW w:w="2481"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r>
              <w:rPr>
                <w:rFonts w:hint="eastAsia" w:ascii="宋体"/>
                <w:bCs/>
                <w:color w:val="000000" w:themeColor="text1"/>
                <w:sz w:val="22"/>
                <w:szCs w:val="22"/>
                <w:highlight w:val="none"/>
                <w14:textFill>
                  <w14:solidFill>
                    <w14:schemeClr w14:val="tx1"/>
                  </w14:solidFill>
                </w14:textFill>
              </w:rPr>
              <w:t>开户银行、银行账号</w:t>
            </w:r>
          </w:p>
        </w:tc>
        <w:tc>
          <w:tcPr>
            <w:tcW w:w="6724" w:type="dxa"/>
            <w:gridSpan w:val="5"/>
            <w:tcBorders>
              <w:top w:val="single" w:color="auto" w:sz="4" w:space="0"/>
              <w:left w:val="nil"/>
              <w:bottom w:val="single" w:color="000000" w:sz="4" w:space="0"/>
              <w:right w:val="single" w:color="000000" w:sz="4" w:space="0"/>
            </w:tcBorders>
            <w:vAlign w:val="center"/>
          </w:tcPr>
          <w:p>
            <w:pPr>
              <w:widowControl/>
              <w:spacing w:line="520" w:lineRule="exact"/>
              <w:jc w:val="left"/>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626" w:hRule="atLeast"/>
        </w:trPr>
        <w:tc>
          <w:tcPr>
            <w:tcW w:w="9205" w:type="dxa"/>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b/>
                <w:bCs/>
                <w:color w:val="000000" w:themeColor="text1"/>
                <w:kern w:val="0"/>
                <w:sz w:val="22"/>
                <w:szCs w:val="22"/>
                <w:highlight w:val="none"/>
                <w14:textFill>
                  <w14:solidFill>
                    <w14:schemeClr w14:val="tx1"/>
                  </w14:solidFill>
                </w14:textFill>
              </w:rPr>
            </w:pPr>
            <w:r>
              <w:rPr>
                <w:rFonts w:hint="eastAsia" w:ascii="宋体" w:hAnsi="宋体"/>
                <w:b/>
                <w:bCs/>
                <w:color w:val="000000" w:themeColor="text1"/>
                <w:kern w:val="0"/>
                <w:sz w:val="22"/>
                <w:szCs w:val="22"/>
                <w:highlight w:val="none"/>
                <w14:textFill>
                  <w14:solidFill>
                    <w14:schemeClr w14:val="tx1"/>
                  </w14:solidFill>
                </w14:textFill>
              </w:rPr>
              <w:t>提交的报名资料清单</w:t>
            </w:r>
          </w:p>
        </w:tc>
      </w:tr>
      <w:tr>
        <w:tblPrEx>
          <w:tblLayout w:type="fixed"/>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序号</w:t>
            </w:r>
          </w:p>
        </w:tc>
        <w:tc>
          <w:tcPr>
            <w:tcW w:w="4941" w:type="dxa"/>
            <w:gridSpan w:val="3"/>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提交资料名称</w:t>
            </w:r>
          </w:p>
        </w:tc>
        <w:tc>
          <w:tcPr>
            <w:tcW w:w="1276" w:type="dxa"/>
            <w:gridSpan w:val="2"/>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是否提交</w:t>
            </w:r>
          </w:p>
        </w:tc>
        <w:tc>
          <w:tcPr>
            <w:tcW w:w="2243"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备  注</w:t>
            </w:r>
          </w:p>
        </w:tc>
      </w:tr>
      <w:tr>
        <w:tblPrEx>
          <w:tblLayout w:type="fixed"/>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1</w:t>
            </w:r>
          </w:p>
        </w:tc>
        <w:tc>
          <w:tcPr>
            <w:tcW w:w="4941" w:type="dxa"/>
            <w:gridSpan w:val="3"/>
            <w:tcBorders>
              <w:top w:val="single" w:color="000000" w:sz="4" w:space="0"/>
              <w:left w:val="nil"/>
              <w:bottom w:val="single" w:color="000000" w:sz="4" w:space="0"/>
              <w:right w:val="single" w:color="000000" w:sz="4" w:space="0"/>
            </w:tcBorders>
            <w:vAlign w:val="center"/>
          </w:tcPr>
          <w:p>
            <w:pPr>
              <w:rPr>
                <w:rFonts w:ascii="宋体"/>
                <w:color w:val="000000" w:themeColor="text1"/>
                <w:sz w:val="22"/>
                <w:highlight w:val="none"/>
                <w14:textFill>
                  <w14:solidFill>
                    <w14:schemeClr w14:val="tx1"/>
                  </w14:solidFill>
                </w14:textFill>
              </w:rPr>
            </w:pPr>
            <w:r>
              <w:rPr>
                <w:rFonts w:hint="eastAsia" w:ascii="宋体" w:hAnsi="宋体"/>
                <w:color w:val="000000" w:themeColor="text1"/>
                <w:sz w:val="22"/>
                <w:highlight w:val="none"/>
                <w14:textFill>
                  <w14:solidFill>
                    <w14:schemeClr w14:val="tx1"/>
                  </w14:solidFill>
                </w14:textFill>
              </w:rPr>
              <w:t>供应商有效的营业执照、税务登记证（复印件加盖公章，如为多证合一仅需提供营业执照复印件加盖公章）；</w:t>
            </w:r>
          </w:p>
        </w:tc>
        <w:tc>
          <w:tcPr>
            <w:tcW w:w="1276" w:type="dxa"/>
            <w:gridSpan w:val="2"/>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c>
          <w:tcPr>
            <w:tcW w:w="2243"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2</w:t>
            </w:r>
          </w:p>
        </w:tc>
        <w:tc>
          <w:tcPr>
            <w:tcW w:w="4941" w:type="dxa"/>
            <w:gridSpan w:val="3"/>
            <w:tcBorders>
              <w:top w:val="single" w:color="000000" w:sz="4" w:space="0"/>
              <w:left w:val="nil"/>
              <w:bottom w:val="single" w:color="000000" w:sz="4" w:space="0"/>
              <w:right w:val="single" w:color="000000" w:sz="4" w:space="0"/>
            </w:tcBorders>
            <w:vAlign w:val="center"/>
          </w:tcPr>
          <w:p>
            <w:pPr>
              <w:rPr>
                <w:rFonts w:ascii="宋体"/>
                <w:color w:val="000000" w:themeColor="text1"/>
                <w:sz w:val="22"/>
                <w:highlight w:val="none"/>
                <w14:textFill>
                  <w14:solidFill>
                    <w14:schemeClr w14:val="tx1"/>
                  </w14:solidFill>
                </w14:textFill>
              </w:rPr>
            </w:pPr>
          </w:p>
        </w:tc>
        <w:tc>
          <w:tcPr>
            <w:tcW w:w="1276" w:type="dxa"/>
            <w:gridSpan w:val="2"/>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c>
          <w:tcPr>
            <w:tcW w:w="2243" w:type="dxa"/>
            <w:tcBorders>
              <w:top w:val="single" w:color="000000" w:sz="4" w:space="0"/>
              <w:left w:val="nil"/>
              <w:bottom w:val="single" w:color="000000" w:sz="4" w:space="0"/>
              <w:right w:val="single" w:color="000000" w:sz="4" w:space="0"/>
            </w:tcBorders>
            <w:vAlign w:val="center"/>
          </w:tcPr>
          <w:p>
            <w:pPr>
              <w:widowControl/>
              <w:spacing w:line="360" w:lineRule="auto"/>
              <w:ind w:firstLine="1430"/>
              <w:rPr>
                <w:rFonts w:ascii="宋体" w:hAnsi="宋体"/>
                <w:color w:val="000000" w:themeColor="text1"/>
                <w:kern w:val="0"/>
                <w:sz w:val="22"/>
                <w:szCs w:val="22"/>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8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3</w:t>
            </w:r>
          </w:p>
        </w:tc>
        <w:tc>
          <w:tcPr>
            <w:tcW w:w="4941" w:type="dxa"/>
            <w:gridSpan w:val="3"/>
            <w:tcBorders>
              <w:top w:val="single" w:color="000000" w:sz="4" w:space="0"/>
              <w:left w:val="nil"/>
              <w:bottom w:val="single" w:color="000000" w:sz="4" w:space="0"/>
              <w:right w:val="single" w:color="000000" w:sz="4" w:space="0"/>
            </w:tcBorders>
            <w:vAlign w:val="center"/>
          </w:tcPr>
          <w:p>
            <w:pPr>
              <w:widowControl/>
              <w:rPr>
                <w:rFonts w:ascii="宋体" w:hAnsi="宋体"/>
                <w:color w:val="000000" w:themeColor="text1"/>
                <w:kern w:val="0"/>
                <w:sz w:val="22"/>
                <w:szCs w:val="22"/>
                <w:highlight w:val="none"/>
                <w14:textFill>
                  <w14:solidFill>
                    <w14:schemeClr w14:val="tx1"/>
                  </w14:solidFill>
                </w14:textFill>
              </w:rPr>
            </w:pPr>
          </w:p>
        </w:tc>
        <w:tc>
          <w:tcPr>
            <w:tcW w:w="1276" w:type="dxa"/>
            <w:gridSpan w:val="2"/>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c>
          <w:tcPr>
            <w:tcW w:w="2243"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宋体" w:hAnsi="宋体"/>
                <w:color w:val="000000" w:themeColor="text1"/>
                <w:kern w:val="0"/>
                <w:sz w:val="22"/>
                <w:szCs w:val="22"/>
                <w:highlight w:val="none"/>
                <w14:textFill>
                  <w14:solidFill>
                    <w14:schemeClr w14:val="tx1"/>
                  </w14:solidFill>
                </w14:textFill>
              </w:rPr>
            </w:pPr>
          </w:p>
        </w:tc>
      </w:tr>
    </w:tbl>
    <w:p>
      <w:pPr>
        <w:widowControl/>
        <w:snapToGrid w:val="0"/>
        <w:spacing w:before="60" w:after="60" w:line="340" w:lineRule="atLeast"/>
        <w:ind w:left="60" w:right="62" w:firstLine="374"/>
        <w:jc w:val="left"/>
        <w:rPr>
          <w:rFonts w:ascii="宋体" w:hAnsi="宋体"/>
          <w:color w:val="000000" w:themeColor="text1"/>
          <w:sz w:val="22"/>
          <w:highlight w:val="none"/>
          <w14:textFill>
            <w14:solidFill>
              <w14:schemeClr w14:val="tx1"/>
            </w14:solidFill>
          </w14:textFill>
        </w:rPr>
      </w:pPr>
      <w:r>
        <w:rPr>
          <w:rFonts w:hint="eastAsia" w:ascii="楷体_GB2312" w:eastAsia="楷体_GB2312"/>
          <w:b/>
          <w:bCs/>
          <w:color w:val="000000" w:themeColor="text1"/>
          <w:kern w:val="0"/>
          <w:sz w:val="24"/>
          <w:highlight w:val="none"/>
          <w14:textFill>
            <w14:solidFill>
              <w14:schemeClr w14:val="tx1"/>
            </w14:solidFill>
          </w14:textFill>
        </w:rPr>
        <w:t>以上报名资料请装订成册。</w:t>
      </w:r>
    </w:p>
    <w:p>
      <w:pPr>
        <w:pStyle w:val="2"/>
        <w:rPr>
          <w:rFonts w:ascii="宋体"/>
          <w:color w:val="000000" w:themeColor="text1"/>
          <w:kern w:val="0"/>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numPr>
          <w:ilvl w:val="0"/>
          <w:numId w:val="3"/>
        </w:numPr>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投标人须知</w:t>
      </w:r>
    </w:p>
    <w:p>
      <w:pPr>
        <w:spacing w:line="360" w:lineRule="auto"/>
        <w:jc w:val="cente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前附表</w:t>
      </w:r>
    </w:p>
    <w:tbl>
      <w:tblPr>
        <w:tblStyle w:val="16"/>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016"/>
        <w:gridCol w:w="6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    目</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供应商特定资格要求</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答疑会或</w:t>
            </w:r>
            <w:r>
              <w:rPr>
                <w:rFonts w:hint="eastAsia" w:ascii="宋体" w:hAnsi="宋体" w:cs="宋体"/>
                <w:color w:val="000000" w:themeColor="text1"/>
                <w:sz w:val="24"/>
                <w:highlight w:val="none"/>
                <w14:textFill>
                  <w14:solidFill>
                    <w14:schemeClr w14:val="tx1"/>
                  </w14:solidFill>
                </w14:textFill>
              </w:rPr>
              <w:t>现场踏勘</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领取</w:t>
            </w:r>
            <w:r>
              <w:rPr>
                <w:rFonts w:hint="eastAsia" w:ascii="宋体" w:hAnsi="宋体" w:cs="宋体"/>
                <w:color w:val="000000" w:themeColor="text1"/>
                <w:sz w:val="24"/>
                <w:highlight w:val="none"/>
                <w14:textFill>
                  <w14:solidFill>
                    <w14:schemeClr w14:val="tx1"/>
                  </w14:solidFill>
                </w14:textFill>
              </w:rPr>
              <w:t>采购文件</w:t>
            </w:r>
            <w:r>
              <w:rPr>
                <w:rFonts w:hint="eastAsia" w:ascii="宋体" w:hAnsi="宋体" w:cs="宋体"/>
                <w:color w:val="000000" w:themeColor="text1"/>
                <w:kern w:val="0"/>
                <w:sz w:val="24"/>
                <w:highlight w:val="none"/>
                <w14:textFill>
                  <w14:solidFill>
                    <w14:schemeClr w14:val="tx1"/>
                  </w14:solidFill>
                </w14:textFill>
              </w:rPr>
              <w:t>后，各供应商请自行踏勘。</w:t>
            </w:r>
          </w:p>
          <w:p>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采购人：</w:t>
            </w:r>
            <w:r>
              <w:rPr>
                <w:rFonts w:hint="eastAsia" w:ascii="宋体" w:hAnsi="宋体" w:cs="宋体"/>
                <w:color w:val="000000" w:themeColor="text1"/>
                <w:kern w:val="0"/>
                <w:sz w:val="24"/>
                <w:highlight w:val="none"/>
                <w:lang w:eastAsia="zh-CN"/>
                <w14:textFill>
                  <w14:solidFill>
                    <w14:schemeClr w14:val="tx1"/>
                  </w14:solidFill>
                </w14:textFill>
              </w:rPr>
              <w:t>王老师</w:t>
            </w:r>
            <w:r>
              <w:rPr>
                <w:rFonts w:hint="eastAsia" w:ascii="宋体" w:hAnsi="宋体" w:cs="宋体"/>
                <w:color w:val="000000" w:themeColor="text1"/>
                <w:kern w:val="0"/>
                <w:sz w:val="24"/>
                <w:highlight w:val="none"/>
                <w14:textFill>
                  <w14:solidFill>
                    <w14:schemeClr w14:val="tx1"/>
                  </w14:solidFill>
                </w14:textFill>
              </w:rPr>
              <w:t xml:space="preserve">  </w:t>
            </w:r>
            <w:r>
              <w:rPr>
                <w:rFonts w:hint="eastAsia" w:ascii="宋体" w:hAnsi="宋体" w:cs="宋体"/>
                <w:color w:val="000000" w:themeColor="text1"/>
                <w:kern w:val="0"/>
                <w:sz w:val="24"/>
                <w:highlight w:val="none"/>
                <w:lang w:eastAsia="zh-CN"/>
                <w14:textFill>
                  <w14:solidFill>
                    <w14:schemeClr w14:val="tx1"/>
                  </w14:solidFill>
                </w14:textFill>
              </w:rPr>
              <w:t>0576-81717060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1" w:hRule="atLeast"/>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投标文件包装要求</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投标文件中的报价文件必须与其他文件分开各自密封包装。</w:t>
            </w:r>
          </w:p>
          <w:p>
            <w:pPr>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资格证明文件正本1份、副本4份</w:t>
            </w:r>
            <w:r>
              <w:rPr>
                <w:rFonts w:hint="eastAsia" w:ascii="宋体" w:hAnsi="宋体" w:cs="宋体"/>
                <w:color w:val="000000" w:themeColor="text1"/>
                <w:sz w:val="24"/>
                <w:highlight w:val="none"/>
                <w:lang w:eastAsia="zh-CN"/>
                <w14:textFill>
                  <w14:solidFill>
                    <w14:schemeClr w14:val="tx1"/>
                  </w14:solidFill>
                </w14:textFill>
              </w:rPr>
              <w:t>，</w:t>
            </w:r>
          </w:p>
          <w:p>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商务与技术文件正本1份、副本4份，</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报价文件正本1份、副本4份。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投标有效期</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投标有效期为开标后90天，</w:t>
            </w:r>
            <w:r>
              <w:rPr>
                <w:rFonts w:hint="eastAsia" w:ascii="宋体" w:hAnsi="宋体" w:cs="宋体"/>
                <w:color w:val="000000" w:themeColor="text1"/>
                <w:kern w:val="0"/>
                <w:sz w:val="24"/>
                <w:highlight w:val="none"/>
                <w14:textFill>
                  <w14:solidFill>
                    <w14:schemeClr w14:val="tx1"/>
                  </w14:solidFill>
                </w14:textFill>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7" w:hRule="atLeast"/>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投标文件递交</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截止时间：北京时间2019年</w:t>
            </w:r>
            <w:r>
              <w:rPr>
                <w:rFonts w:hint="eastAsia" w:ascii="宋体" w:hAnsi="宋体" w:cs="宋体"/>
                <w:color w:val="000000" w:themeColor="text1"/>
                <w:sz w:val="24"/>
                <w:highlight w:val="none"/>
                <w:lang w:eastAsia="zh-CN"/>
                <w14:textFill>
                  <w14:solidFill>
                    <w14:schemeClr w14:val="tx1"/>
                  </w14:solidFill>
                </w14:textFill>
              </w:rPr>
              <w:t>9月17日</w:t>
            </w:r>
            <w:r>
              <w:rPr>
                <w:rFonts w:hint="eastAsia" w:ascii="宋体" w:hAnsi="宋体" w:cs="宋体"/>
                <w:color w:val="000000" w:themeColor="text1"/>
                <w:sz w:val="24"/>
                <w:highlight w:val="none"/>
                <w14:textFill>
                  <w14:solidFill>
                    <w14:schemeClr w14:val="tx1"/>
                  </w14:solidFill>
                </w14:textFill>
              </w:rPr>
              <w:t>09:30</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递交地点：玉环市公共资源交易中心二楼开标室（二）（玉环市新城中路与长治路（南一路）交叉路口）</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逾期送达的投标文件恕不接受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1" w:hRule="atLeast"/>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开标时间及地点</w:t>
            </w:r>
          </w:p>
        </w:tc>
        <w:tc>
          <w:tcPr>
            <w:tcW w:w="665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时间：北京时间2019年</w:t>
            </w:r>
            <w:r>
              <w:rPr>
                <w:rFonts w:hint="eastAsia" w:ascii="宋体" w:hAnsi="宋体" w:cs="宋体"/>
                <w:color w:val="000000" w:themeColor="text1"/>
                <w:sz w:val="24"/>
                <w:highlight w:val="none"/>
                <w:lang w:eastAsia="zh-CN"/>
                <w14:textFill>
                  <w14:solidFill>
                    <w14:schemeClr w14:val="tx1"/>
                  </w14:solidFill>
                </w14:textFill>
              </w:rPr>
              <w:t>9月17日</w:t>
            </w:r>
            <w:r>
              <w:rPr>
                <w:rFonts w:hint="eastAsia" w:ascii="宋体" w:hAnsi="宋体" w:cs="宋体"/>
                <w:color w:val="000000" w:themeColor="text1"/>
                <w:sz w:val="24"/>
                <w:highlight w:val="none"/>
                <w14:textFill>
                  <w14:solidFill>
                    <w14:schemeClr w14:val="tx1"/>
                  </w14:solidFill>
                </w14:textFill>
              </w:rPr>
              <w:t>09:30</w:t>
            </w:r>
          </w:p>
          <w:p>
            <w:pPr>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地点：玉环市公共资源交易中心二楼开标室（二）（玉环市新城中路与长治路（南一路）交叉路口）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20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履约保证金</w:t>
            </w:r>
          </w:p>
        </w:tc>
        <w:tc>
          <w:tcPr>
            <w:tcW w:w="6651"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left="0" w:leftChars="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供应商在签订合同前须交纳本项目履约保证金为合同金额的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4" w:hRule="atLeast"/>
        </w:trPr>
        <w:tc>
          <w:tcPr>
            <w:tcW w:w="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8</w:t>
            </w:r>
          </w:p>
        </w:tc>
        <w:tc>
          <w:tcPr>
            <w:tcW w:w="20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解释权</w:t>
            </w:r>
          </w:p>
        </w:tc>
        <w:tc>
          <w:tcPr>
            <w:tcW w:w="66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本招标文件解释权属于采购人和集中采构机构/采购代理机构</w:t>
            </w:r>
          </w:p>
        </w:tc>
      </w:tr>
    </w:tbl>
    <w:p>
      <w:pPr>
        <w:pStyle w:val="9"/>
        <w:snapToGrid w:val="0"/>
        <w:spacing w:before="120" w:after="120" w:line="360" w:lineRule="auto"/>
        <w:rPr>
          <w:rFonts w:asciiTheme="minorEastAsia" w:hAnsiTheme="minorEastAsia" w:eastAsiaTheme="minorEastAsia"/>
          <w:b/>
          <w:color w:val="000000" w:themeColor="text1"/>
          <w:sz w:val="24"/>
          <w:highlight w:val="none"/>
          <w14:textFill>
            <w14:solidFill>
              <w14:schemeClr w14:val="tx1"/>
            </w14:solidFill>
          </w14:textFill>
        </w:rPr>
      </w:pPr>
    </w:p>
    <w:p>
      <w:pPr>
        <w:pStyle w:val="9"/>
        <w:snapToGrid w:val="0"/>
        <w:spacing w:before="120" w:after="12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 、总  则</w:t>
      </w:r>
    </w:p>
    <w:p>
      <w:pPr>
        <w:snapToGrid w:val="0"/>
        <w:spacing w:line="360" w:lineRule="auto"/>
        <w:ind w:firstLine="472" w:firstLineChars="196"/>
        <w:jc w:val="left"/>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w:t>
      </w:r>
      <w:r>
        <w:rPr>
          <w:rFonts w:asciiTheme="minorEastAsia" w:hAnsiTheme="minorEastAsia" w:eastAsiaTheme="minorEastAsia"/>
          <w:b/>
          <w:color w:val="000000" w:themeColor="text1"/>
          <w:sz w:val="24"/>
          <w:highlight w:val="none"/>
          <w14:textFill>
            <w14:solidFill>
              <w14:schemeClr w14:val="tx1"/>
            </w14:solidFill>
          </w14:textFill>
        </w:rPr>
        <w:t xml:space="preserve"> 适用范围</w:t>
      </w:r>
    </w:p>
    <w:p>
      <w:pPr>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本招标文件适用于</w:t>
      </w:r>
      <w:r>
        <w:rPr>
          <w:rFonts w:hint="eastAsia" w:asciiTheme="minorEastAsia" w:hAnsiTheme="minorEastAsia" w:eastAsiaTheme="minorEastAsia"/>
          <w:bCs/>
          <w:color w:val="000000" w:themeColor="text1"/>
          <w:sz w:val="24"/>
          <w:highlight w:val="none"/>
          <w14:textFill>
            <w14:solidFill>
              <w14:schemeClr w14:val="tx1"/>
            </w14:solidFill>
          </w14:textFill>
        </w:rPr>
        <w:t>本次</w:t>
      </w:r>
      <w:r>
        <w:rPr>
          <w:rFonts w:hint="eastAsia" w:asciiTheme="minorEastAsia" w:hAnsiTheme="minorEastAsia" w:eastAsiaTheme="minorEastAsia"/>
          <w:color w:val="000000" w:themeColor="text1"/>
          <w:sz w:val="24"/>
          <w:highlight w:val="none"/>
          <w14:textFill>
            <w14:solidFill>
              <w14:schemeClr w14:val="tx1"/>
            </w14:solidFill>
          </w14:textFill>
        </w:rPr>
        <w:t>项目的招标、投标、评标、定标、验收、合同履约、付款等行为（法律、法规另有规定的，从其规定）。</w:t>
      </w:r>
    </w:p>
    <w:p>
      <w:pPr>
        <w:snapToGrid w:val="0"/>
        <w:spacing w:before="156" w:beforeLines="50" w:line="360" w:lineRule="auto"/>
        <w:ind w:firstLine="354" w:firstLineChars="147"/>
        <w:jc w:val="left"/>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（二）定义</w:t>
      </w:r>
    </w:p>
    <w:p>
      <w:pPr>
        <w:pStyle w:val="4"/>
        <w:keepNext w:val="0"/>
        <w:keepLines w:val="0"/>
        <w:tabs>
          <w:tab w:val="left" w:pos="0"/>
          <w:tab w:val="left" w:pos="851"/>
        </w:tabs>
        <w:autoSpaceDE w:val="0"/>
        <w:autoSpaceDN w:val="0"/>
        <w:adjustRightInd w:val="0"/>
        <w:snapToGrid w:val="0"/>
        <w:spacing w:before="0" w:after="0"/>
        <w:ind w:firstLine="566" w:firstLineChars="236"/>
        <w:jc w:val="left"/>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color w:val="000000" w:themeColor="text1"/>
          <w:sz w:val="24"/>
          <w:szCs w:val="24"/>
          <w:highlight w:val="none"/>
          <w14:textFill>
            <w14:solidFill>
              <w14:schemeClr w14:val="tx1"/>
            </w14:solidFill>
          </w14:textFill>
        </w:rPr>
        <w:t>1、</w:t>
      </w:r>
      <w:r>
        <w:rPr>
          <w:rFonts w:hint="eastAsia" w:ascii="宋体" w:hAnsi="宋体"/>
          <w:b w:val="0"/>
          <w:bCs w:val="0"/>
          <w:color w:val="000000" w:themeColor="text1"/>
          <w:sz w:val="24"/>
          <w:szCs w:val="24"/>
          <w:highlight w:val="none"/>
          <w:lang w:val="zh-CN"/>
          <w14:textFill>
            <w14:solidFill>
              <w14:schemeClr w14:val="tx1"/>
            </w14:solidFill>
          </w14:textFill>
        </w:rPr>
        <w:t>“采购组织机构”指采购人委托组织招标的集中采购机构</w:t>
      </w:r>
      <w:r>
        <w:rPr>
          <w:rFonts w:hint="eastAsia" w:ascii="宋体" w:hAnsi="宋体" w:cs="Arial"/>
          <w:b w:val="0"/>
          <w:bCs w:val="0"/>
          <w:color w:val="000000" w:themeColor="text1"/>
          <w:sz w:val="24"/>
          <w:szCs w:val="24"/>
          <w:highlight w:val="none"/>
          <w14:textFill>
            <w14:solidFill>
              <w14:schemeClr w14:val="tx1"/>
            </w14:solidFill>
          </w14:textFill>
        </w:rPr>
        <w:t>/</w:t>
      </w:r>
      <w:r>
        <w:rPr>
          <w:rFonts w:hint="eastAsia" w:ascii="宋体" w:hAnsi="宋体"/>
          <w:b w:val="0"/>
          <w:bCs w:val="0"/>
          <w:color w:val="000000" w:themeColor="text1"/>
          <w:sz w:val="24"/>
          <w:szCs w:val="24"/>
          <w:highlight w:val="none"/>
          <w:lang w:val="zh-CN"/>
          <w14:textFill>
            <w14:solidFill>
              <w14:schemeClr w14:val="tx1"/>
            </w14:solidFill>
          </w14:textFill>
        </w:rPr>
        <w:t>采购代理机构。</w:t>
      </w:r>
    </w:p>
    <w:p>
      <w:pPr>
        <w:snapToGrid w:val="0"/>
        <w:spacing w:line="360" w:lineRule="auto"/>
        <w:ind w:firstLine="566" w:firstLineChars="23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2、采购人：是指委托</w:t>
      </w:r>
      <w:r>
        <w:rPr>
          <w:rFonts w:hint="eastAsia" w:ascii="宋体" w:hAnsi="宋体"/>
          <w:color w:val="000000" w:themeColor="text1"/>
          <w:sz w:val="24"/>
          <w:highlight w:val="none"/>
          <w:lang w:val="zh-CN"/>
          <w14:textFill>
            <w14:solidFill>
              <w14:schemeClr w14:val="tx1"/>
            </w14:solidFill>
          </w14:textFill>
        </w:rPr>
        <w:t>集中采购机构</w:t>
      </w:r>
      <w:r>
        <w:rPr>
          <w:rFonts w:hint="eastAsia" w:ascii="宋体" w:hAnsi="宋体" w:cs="Arial"/>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采购代理机构采购本次项目的国家机关、事业单位和团体组织。</w:t>
      </w:r>
    </w:p>
    <w:p>
      <w:pPr>
        <w:snapToGrid w:val="0"/>
        <w:spacing w:line="360" w:lineRule="auto"/>
        <w:ind w:left="424" w:leftChars="202" w:firstLine="141" w:firstLineChars="59"/>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投标人</w:t>
      </w:r>
      <w:r>
        <w:rPr>
          <w:rFonts w:hint="eastAsia" w:asciiTheme="minorEastAsia" w:hAnsiTheme="minorEastAsia" w:eastAsiaTheme="minorEastAsia"/>
          <w:color w:val="000000" w:themeColor="text1"/>
          <w:sz w:val="24"/>
          <w:highlight w:val="none"/>
          <w14:textFill>
            <w14:solidFill>
              <w14:schemeClr w14:val="tx1"/>
            </w14:solidFill>
          </w14:textFill>
        </w:rPr>
        <w:t>：是</w:t>
      </w:r>
      <w:r>
        <w:rPr>
          <w:rFonts w:asciiTheme="minorEastAsia" w:hAnsiTheme="minorEastAsia" w:eastAsiaTheme="minorEastAsia"/>
          <w:color w:val="000000" w:themeColor="text1"/>
          <w:sz w:val="24"/>
          <w:highlight w:val="none"/>
          <w14:textFill>
            <w14:solidFill>
              <w14:schemeClr w14:val="tx1"/>
            </w14:solidFill>
          </w14:textFill>
        </w:rPr>
        <w:t>指向</w:t>
      </w:r>
      <w:r>
        <w:rPr>
          <w:rFonts w:hint="eastAsia" w:asciiTheme="minorEastAsia" w:hAnsiTheme="minorEastAsia" w:eastAsiaTheme="minorEastAsia"/>
          <w:color w:val="000000" w:themeColor="text1"/>
          <w:sz w:val="24"/>
          <w:highlight w:val="none"/>
          <w14:textFill>
            <w14:solidFill>
              <w14:schemeClr w14:val="tx1"/>
            </w14:solidFill>
          </w14:textFill>
        </w:rPr>
        <w:t>采购</w:t>
      </w:r>
      <w:r>
        <w:rPr>
          <w:rFonts w:hint="eastAsia" w:ascii="宋体" w:hAnsi="宋体"/>
          <w:color w:val="000000" w:themeColor="text1"/>
          <w:sz w:val="24"/>
          <w:highlight w:val="none"/>
          <w:lang w:val="zh-CN"/>
          <w14:textFill>
            <w14:solidFill>
              <w14:schemeClr w14:val="tx1"/>
            </w14:solidFill>
          </w14:textFill>
        </w:rPr>
        <w:t>组织</w:t>
      </w:r>
      <w:r>
        <w:rPr>
          <w:rFonts w:hint="eastAsia" w:asciiTheme="minorEastAsia" w:hAnsiTheme="minorEastAsia" w:eastAsiaTheme="minorEastAsia"/>
          <w:color w:val="000000" w:themeColor="text1"/>
          <w:sz w:val="24"/>
          <w:highlight w:val="none"/>
          <w14:textFill>
            <w14:solidFill>
              <w14:schemeClr w14:val="tx1"/>
            </w14:solidFill>
          </w14:textFill>
        </w:rPr>
        <w:t>机构</w:t>
      </w:r>
      <w:r>
        <w:rPr>
          <w:rFonts w:asciiTheme="minorEastAsia" w:hAnsiTheme="minorEastAsia" w:eastAsiaTheme="minorEastAsia"/>
          <w:color w:val="000000" w:themeColor="text1"/>
          <w:sz w:val="24"/>
          <w:highlight w:val="none"/>
          <w14:textFill>
            <w14:solidFill>
              <w14:schemeClr w14:val="tx1"/>
            </w14:solidFill>
          </w14:textFill>
        </w:rPr>
        <w:t>提交投标文件的单位或个人。</w:t>
      </w:r>
    </w:p>
    <w:p>
      <w:pPr>
        <w:snapToGrid w:val="0"/>
        <w:spacing w:line="360" w:lineRule="auto"/>
        <w:ind w:left="424" w:leftChars="202" w:firstLine="143"/>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w:t>
      </w:r>
      <w:r>
        <w:rPr>
          <w:rFonts w:asciiTheme="minorEastAsia" w:hAnsiTheme="minorEastAsia" w:eastAsiaTheme="minorEastAsia"/>
          <w:color w:val="000000" w:themeColor="text1"/>
          <w:sz w:val="24"/>
          <w:highlight w:val="none"/>
          <w14:textFill>
            <w14:solidFill>
              <w14:schemeClr w14:val="tx1"/>
            </w14:solidFill>
          </w14:textFill>
        </w:rPr>
        <w:t>货物</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是指各种形态和种类的物品，包括原材料、燃料、设备、产品等。</w:t>
      </w:r>
    </w:p>
    <w:p>
      <w:pPr>
        <w:snapToGrid w:val="0"/>
        <w:spacing w:line="360" w:lineRule="auto"/>
        <w:ind w:firstLine="566" w:firstLineChars="236"/>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服务</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6、</w:t>
      </w:r>
      <w:r>
        <w:rPr>
          <w:rFonts w:asciiTheme="minorEastAsia" w:hAnsiTheme="minorEastAsia" w:eastAsiaTheme="minorEastAsia"/>
          <w:color w:val="000000" w:themeColor="text1"/>
          <w:sz w:val="24"/>
          <w:highlight w:val="none"/>
          <w14:textFill>
            <w14:solidFill>
              <w14:schemeClr w14:val="tx1"/>
            </w14:solidFill>
          </w14:textFill>
        </w:rPr>
        <w:t>“书面形式”包括信函、传真等。</w:t>
      </w:r>
    </w:p>
    <w:p>
      <w:pPr>
        <w:snapToGrid w:val="0"/>
        <w:spacing w:before="156" w:beforeLines="50" w:line="360" w:lineRule="auto"/>
        <w:ind w:firstLine="472" w:firstLineChars="196"/>
        <w:jc w:val="left"/>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（三）投标费用</w:t>
      </w:r>
    </w:p>
    <w:p>
      <w:pPr>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不论投标结果如何，投标人均应自行承担所有与投标有关的全部费用（招标文件有相关规定除外）。</w:t>
      </w:r>
    </w:p>
    <w:p>
      <w:pPr>
        <w:pStyle w:val="9"/>
        <w:snapToGrid w:val="0"/>
        <w:spacing w:line="360" w:lineRule="auto"/>
        <w:ind w:left="2" w:leftChars="1" w:firstLine="482" w:firstLineChars="200"/>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（四）特别说明</w:t>
      </w:r>
    </w:p>
    <w:p>
      <w:pPr>
        <w:pStyle w:val="9"/>
        <w:snapToGrid w:val="0"/>
        <w:spacing w:line="360" w:lineRule="auto"/>
        <w:ind w:left="2" w:leftChars="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投标人投标所使用的资格、信誉、荣誉、业绩与企业认证必须为本法人所拥有。投标人投标所使用的采购项目实施人员必须为本法人员工（</w:t>
      </w:r>
      <w:r>
        <w:rPr>
          <w:rFonts w:hint="eastAsia" w:asciiTheme="minorEastAsia" w:hAnsiTheme="minorEastAsia" w:eastAsiaTheme="minorEastAsia"/>
          <w:color w:val="000000" w:themeColor="text1"/>
          <w:sz w:val="24"/>
          <w:highlight w:val="none"/>
          <w14:textFill>
            <w14:solidFill>
              <w14:schemeClr w14:val="tx1"/>
            </w14:solidFill>
          </w14:textFill>
        </w:rPr>
        <w:t>指</w:t>
      </w:r>
      <w:r>
        <w:rPr>
          <w:rFonts w:asciiTheme="minorEastAsia" w:hAnsiTheme="minorEastAsia" w:eastAsiaTheme="minorEastAsia"/>
          <w:color w:val="000000" w:themeColor="text1"/>
          <w:sz w:val="24"/>
          <w:highlight w:val="none"/>
          <w14:textFill>
            <w14:solidFill>
              <w14:schemeClr w14:val="tx1"/>
            </w14:solidFill>
          </w14:textFill>
        </w:rPr>
        <w:t>本法人或控股公司正式员工）。</w:t>
      </w:r>
    </w:p>
    <w:p>
      <w:pPr>
        <w:spacing w:line="360" w:lineRule="auto"/>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Theme="minorEastAsia" w:hAnsiTheme="minorEastAsia" w:eastAsiaTheme="minorEastAsia" w:cstheme="minorBidi"/>
          <w:color w:val="000000" w:themeColor="text1"/>
          <w:sz w:val="24"/>
          <w:highlight w:val="none"/>
          <w14:textFill>
            <w14:solidFill>
              <w14:schemeClr w14:val="tx1"/>
            </w14:solidFill>
          </w14:textFill>
        </w:rPr>
        <w:tab/>
      </w:r>
    </w:p>
    <w:p>
      <w:pPr>
        <w:pStyle w:val="23"/>
        <w:snapToGrid w:val="0"/>
        <w:spacing w:line="360" w:lineRule="auto"/>
        <w:ind w:firstLineChars="0"/>
        <w:rPr>
          <w:rFonts w:asciiTheme="minorEastAsia" w:hAnsiTheme="minorEastAsia" w:eastAsiaTheme="minorEastAsia" w:cstheme="minorBidi"/>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3、</w:t>
      </w:r>
      <w:r>
        <w:rPr>
          <w:rFonts w:asciiTheme="minorEastAsia" w:hAnsiTheme="minorEastAsia" w:eastAsiaTheme="minorEastAsia" w:cstheme="minorBidi"/>
          <w:color w:val="000000" w:themeColor="text1"/>
          <w:sz w:val="24"/>
          <w:szCs w:val="24"/>
          <w:highlight w:val="none"/>
          <w14:textFill>
            <w14:solidFill>
              <w14:schemeClr w14:val="tx1"/>
            </w14:solidFill>
          </w14:textFill>
        </w:rPr>
        <w:t>投标人在投标活动中提供任何虚假材料,其投标无效，并报监管部门查处；中标后发现的,根据《中华人民共和国政府采购法》第七十七条第一款第一项之规定</w:t>
      </w: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w:t>
      </w:r>
      <w:r>
        <w:rPr>
          <w:rFonts w:asciiTheme="minorEastAsia" w:hAnsiTheme="minorEastAsia" w:eastAsiaTheme="minorEastAsia" w:cstheme="minorBidi"/>
          <w:color w:val="000000" w:themeColor="text1"/>
          <w:sz w:val="24"/>
          <w:szCs w:val="24"/>
          <w:highlight w:val="none"/>
          <w14:textFill>
            <w14:solidFill>
              <w14:schemeClr w14:val="tx1"/>
            </w14:solidFill>
          </w14:textFill>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Theme="minorEastAsia" w:hAnsiTheme="minorEastAsia" w:eastAsiaTheme="minorEastAsia" w:cstheme="minorBidi"/>
          <w:color w:val="000000" w:themeColor="text1"/>
          <w:sz w:val="24"/>
          <w:szCs w:val="24"/>
          <w:highlight w:val="none"/>
          <w14:textFill>
            <w14:solidFill>
              <w14:schemeClr w14:val="tx1"/>
            </w14:solidFill>
          </w14:textFill>
        </w:rPr>
        <w:t>。</w:t>
      </w:r>
    </w:p>
    <w:p>
      <w:pPr>
        <w:pStyle w:val="4"/>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4、投标人不得相互串通投标报价，不得妨碍其他投标人的公平竞争，不得损害采购人或其他投标人的合法权益，投标人不得以向采购人、评标委员会成员行贿或者采取其他不正当手段谋取中标。</w:t>
      </w:r>
    </w:p>
    <w:p>
      <w:pPr>
        <w:pStyle w:val="4"/>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5、为采购项目提供整体设计、规范编制或者项目管理、监理、检测等服务的供应商，不得再参加该采购项目的其他采购活动。</w:t>
      </w:r>
    </w:p>
    <w:p>
      <w:pPr>
        <w:pStyle w:val="4"/>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6、投标文件格式中的表格式样可以根据项目差别做适当调整,但应当保持表格样式基本形态不变。</w:t>
      </w:r>
    </w:p>
    <w:p>
      <w:pPr>
        <w:pStyle w:val="4"/>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7、单位负责人为同一人或者存在直接控股、管理关系的不同供应商，不得参加同一合同项下的政府采购活动。</w:t>
      </w:r>
    </w:p>
    <w:p>
      <w:pPr>
        <w:pStyle w:val="4"/>
        <w:keepNext w:val="0"/>
        <w:keepLines w:val="0"/>
        <w:tabs>
          <w:tab w:val="left" w:pos="851"/>
        </w:tabs>
        <w:autoSpaceDE w:val="0"/>
        <w:autoSpaceDN w:val="0"/>
        <w:adjustRightInd w:val="0"/>
        <w:snapToGrid w:val="0"/>
        <w:spacing w:before="0" w:after="0" w:line="360" w:lineRule="auto"/>
        <w:ind w:firstLine="480" w:firstLineChars="200"/>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8、本项目不允许分包。</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二、招标文件</w:t>
      </w:r>
    </w:p>
    <w:p>
      <w:pPr>
        <w:autoSpaceDE w:val="0"/>
        <w:autoSpaceDN w:val="0"/>
        <w:adjustRightInd w:val="0"/>
        <w:spacing w:line="360" w:lineRule="auto"/>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   （一）招标文件由招标文件总目录所列内容组成。</w:t>
      </w:r>
    </w:p>
    <w:p>
      <w:pPr>
        <w:autoSpaceDE w:val="0"/>
        <w:autoSpaceDN w:val="0"/>
        <w:adjustRightInd w:val="0"/>
        <w:spacing w:line="360" w:lineRule="auto"/>
        <w:ind w:firstLine="360" w:firstLineChars="15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（二）招标文件的澄清或修改</w:t>
      </w:r>
    </w:p>
    <w:p>
      <w:pPr>
        <w:autoSpaceDE w:val="0"/>
        <w:autoSpaceDN w:val="0"/>
        <w:adjustRightInd w:val="0"/>
        <w:spacing w:line="360" w:lineRule="auto"/>
        <w:ind w:firstLine="420" w:firstLineChars="175"/>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autoSpaceDE w:val="0"/>
        <w:autoSpaceDN w:val="0"/>
        <w:adjustRightIn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w:t>
      </w:r>
      <w:r>
        <w:rPr>
          <w:rFonts w:asciiTheme="minorEastAsia" w:hAnsiTheme="minorEastAsia" w:eastAsiaTheme="minorEastAsia"/>
          <w:color w:val="000000" w:themeColor="text1"/>
          <w:kern w:val="0"/>
          <w:sz w:val="24"/>
          <w:highlight w:val="none"/>
          <w14:textFill>
            <w14:solidFill>
              <w14:schemeClr w14:val="tx1"/>
            </w14:solidFill>
          </w14:textFill>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Theme="minorEastAsia" w:hAnsiTheme="minorEastAsia" w:eastAsiaTheme="minorEastAsia"/>
          <w:color w:val="000000" w:themeColor="text1"/>
          <w:kern w:val="0"/>
          <w:sz w:val="24"/>
          <w:highlight w:val="none"/>
          <w14:textFill>
            <w14:solidFill>
              <w14:schemeClr w14:val="tx1"/>
            </w14:solidFill>
          </w14:textFill>
        </w:rPr>
        <w:t>。</w:t>
      </w:r>
    </w:p>
    <w:p>
      <w:pPr>
        <w:tabs>
          <w:tab w:val="left" w:pos="1418"/>
        </w:tabs>
        <w:autoSpaceDE w:val="0"/>
        <w:autoSpaceDN w:val="0"/>
        <w:adjustRightInd w:val="0"/>
        <w:spacing w:line="360" w:lineRule="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 xml:space="preserve"> 三、投标文件</w:t>
      </w:r>
    </w:p>
    <w:p>
      <w:pPr>
        <w:autoSpaceDE w:val="0"/>
        <w:autoSpaceDN w:val="0"/>
        <w:adjustRightInd w:val="0"/>
        <w:spacing w:line="360" w:lineRule="auto"/>
        <w:ind w:firstLine="482" w:firstLineChars="200"/>
        <w:rPr>
          <w:rFonts w:asciiTheme="minorEastAsia" w:hAnsiTheme="minorEastAsia" w:eastAsiaTheme="minorEastAsia"/>
          <w:b/>
          <w:bCs/>
          <w:color w:val="000000" w:themeColor="text1"/>
          <w:kern w:val="0"/>
          <w:sz w:val="24"/>
          <w:highlight w:val="none"/>
          <w14:textFill>
            <w14:solidFill>
              <w14:schemeClr w14:val="tx1"/>
            </w14:solidFill>
          </w14:textFill>
        </w:rPr>
      </w:pPr>
      <w:r>
        <w:rPr>
          <w:rFonts w:hint="eastAsia" w:ascii="宋体"/>
          <w:b/>
          <w:color w:val="000000" w:themeColor="text1"/>
          <w:sz w:val="24"/>
          <w:highlight w:val="none"/>
          <w:lang w:val="zh-CN"/>
          <w14:textFill>
            <w14:solidFill>
              <w14:schemeClr w14:val="tx1"/>
            </w14:solidFill>
          </w14:textFill>
        </w:rPr>
        <w:t>（一）</w:t>
      </w:r>
      <w:r>
        <w:rPr>
          <w:rFonts w:hint="eastAsia" w:asciiTheme="minorEastAsia" w:hAnsiTheme="minorEastAsia" w:eastAsiaTheme="minorEastAsia"/>
          <w:b/>
          <w:bCs/>
          <w:color w:val="000000" w:themeColor="text1"/>
          <w:kern w:val="0"/>
          <w:sz w:val="24"/>
          <w:highlight w:val="none"/>
          <w14:textFill>
            <w14:solidFill>
              <w14:schemeClr w14:val="tx1"/>
            </w14:solidFill>
          </w14:textFill>
        </w:rPr>
        <w:t>投标文件的组成</w:t>
      </w:r>
    </w:p>
    <w:p>
      <w:pPr>
        <w:snapToGrid w:val="0"/>
        <w:spacing w:line="360" w:lineRule="auto"/>
        <w:ind w:firstLine="480" w:firstLineChars="200"/>
        <w:rPr>
          <w:rFonts w:ascii="仿宋_GB2312" w:hAnsi="仿宋_GB2312" w:eastAsia="仿宋_GB2312" w:cs="仿宋_GB2312"/>
          <w:color w:val="000000" w:themeColor="text1"/>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  投标人接到招标文件后，按照采购组织机构的要求提供：资格证明文件、商务与技术文件和报价文件。</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【特别提示：如有要求提供资料原件的，原件另行包装，并与投标文件一起提交，投标截止时间后所有原件不予接收。资料原件也可以用与原件相符的公证原件替代】</w:t>
      </w:r>
    </w:p>
    <w:p>
      <w:pPr>
        <w:snapToGrid w:val="0"/>
        <w:spacing w:line="360" w:lineRule="auto"/>
        <w:ind w:firstLine="482"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1、资格证明</w:t>
      </w:r>
      <w:r>
        <w:rPr>
          <w:rFonts w:asciiTheme="minorEastAsia" w:hAnsiTheme="minorEastAsia" w:eastAsiaTheme="minorEastAsia"/>
          <w:b/>
          <w:color w:val="000000" w:themeColor="text1"/>
          <w:sz w:val="24"/>
          <w:highlight w:val="none"/>
          <w14:textFill>
            <w14:solidFill>
              <w14:schemeClr w14:val="tx1"/>
            </w14:solidFill>
          </w14:textFill>
        </w:rPr>
        <w:t>文件</w:t>
      </w:r>
      <w:r>
        <w:rPr>
          <w:rFonts w:hint="eastAsia" w:ascii="宋体" w:hAnsi="宋体"/>
          <w:b/>
          <w:color w:val="000000" w:themeColor="text1"/>
          <w:sz w:val="24"/>
          <w:highlight w:val="none"/>
          <w14:textFill>
            <w14:solidFill>
              <w14:schemeClr w14:val="tx1"/>
            </w14:solidFill>
          </w14:textFill>
        </w:rPr>
        <w:t>的组成：</w:t>
      </w:r>
    </w:p>
    <w:p>
      <w:pPr>
        <w:widowControl/>
        <w:numPr>
          <w:ilvl w:val="0"/>
          <w:numId w:val="4"/>
        </w:numPr>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投标声明书；</w:t>
      </w:r>
    </w:p>
    <w:p>
      <w:pPr>
        <w:widowControl/>
        <w:numPr>
          <w:ilvl w:val="0"/>
          <w:numId w:val="4"/>
        </w:numPr>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授权委托书（法定代表人亲自办理投标事宜的，则无需提交)；</w:t>
      </w:r>
    </w:p>
    <w:p>
      <w:pPr>
        <w:widowControl/>
        <w:numPr>
          <w:ilvl w:val="0"/>
          <w:numId w:val="4"/>
        </w:numPr>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法人或者其他组织的营业执照等证明文件，自然人的身份证明；</w:t>
      </w:r>
    </w:p>
    <w:p>
      <w:pPr>
        <w:widowControl/>
        <w:numPr>
          <w:ilvl w:val="0"/>
          <w:numId w:val="4"/>
        </w:numPr>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财务状况报告，依法缴纳税收和社会保障资金的相关材料；</w:t>
      </w:r>
    </w:p>
    <w:p>
      <w:pPr>
        <w:widowControl/>
        <w:numPr>
          <w:ilvl w:val="0"/>
          <w:numId w:val="4"/>
        </w:numPr>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具备履行合同所必需的设备和专业技术能力的证明材料；</w:t>
      </w:r>
    </w:p>
    <w:p>
      <w:pPr>
        <w:widowControl/>
        <w:numPr>
          <w:ilvl w:val="0"/>
          <w:numId w:val="4"/>
        </w:numPr>
        <w:spacing w:line="360" w:lineRule="auto"/>
        <w:ind w:right="60" w:firstLine="472" w:firstLineChars="197"/>
        <w:jc w:val="left"/>
        <w:outlineLvl w:val="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提供采购公告中符合供应商特定条件的有效资质证书复印件（投标供应商特定条件中有要求的必须提供），以及需要说明的其他资料；</w:t>
      </w:r>
    </w:p>
    <w:p>
      <w:pPr>
        <w:snapToGrid w:val="0"/>
        <w:spacing w:line="360" w:lineRule="auto"/>
        <w:ind w:firstLine="482" w:firstLineChars="200"/>
        <w:rPr>
          <w:rFonts w:ascii="宋体" w:hAnsi="宋体" w:cs="宋体"/>
          <w:color w:val="000000" w:themeColor="text1"/>
          <w:sz w:val="24"/>
          <w:highlight w:val="none"/>
          <w:u w:val="singl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w:t>
      </w:r>
      <w:r>
        <w:rPr>
          <w:rFonts w:hint="eastAsia" w:ascii="宋体" w:hAnsi="宋体"/>
          <w:b/>
          <w:color w:val="000000" w:themeColor="text1"/>
          <w:sz w:val="24"/>
          <w:highlight w:val="none"/>
          <w14:textFill>
            <w14:solidFill>
              <w14:schemeClr w14:val="tx1"/>
            </w14:solidFill>
          </w14:textFill>
        </w:rPr>
        <w:t>商务与技术文件的组成：</w:t>
      </w:r>
    </w:p>
    <w:p>
      <w:pPr>
        <w:pStyle w:val="6"/>
        <w:widowControl/>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（1）投标人情况介绍（人员与技术力量、企业规模、经营业绩等）。</w:t>
      </w:r>
    </w:p>
    <w:p>
      <w:pPr>
        <w:pStyle w:val="6"/>
        <w:widowControl/>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（2）投标方案描述：</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B.项目组织实施方案（包括项目工期、确保项目供货的措施或方案、项目实施进度安排、项目实施人员及项目负责人的资质、类似经验及社保证明等）。</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w:t>
      </w:r>
      <w:r>
        <w:rPr>
          <w:rFonts w:asciiTheme="minorEastAsia" w:hAnsiTheme="minorEastAsia" w:eastAsiaTheme="minorEastAsia"/>
          <w:color w:val="000000" w:themeColor="text1"/>
          <w:kern w:val="0"/>
          <w:sz w:val="24"/>
          <w:szCs w:val="24"/>
          <w:highlight w:val="none"/>
          <w14:textFill>
            <w14:solidFill>
              <w14:schemeClr w14:val="tx1"/>
            </w14:solidFill>
          </w14:textFill>
        </w:rPr>
        <w:t>安装、调试及验收方案</w:t>
      </w:r>
      <w:r>
        <w:rPr>
          <w:rFonts w:hint="eastAsia" w:asciiTheme="minorEastAsia" w:hAnsiTheme="minorEastAsia" w:eastAsiaTheme="minorEastAsia"/>
          <w:color w:val="000000" w:themeColor="text1"/>
          <w:kern w:val="0"/>
          <w:sz w:val="24"/>
          <w:szCs w:val="24"/>
          <w:highlight w:val="none"/>
          <w14:textFill>
            <w14:solidFill>
              <w14:schemeClr w14:val="tx1"/>
            </w14:solidFill>
          </w14:textFill>
        </w:rPr>
        <w:t>（包括项目验收标准和验收方法等）</w:t>
      </w:r>
      <w:r>
        <w:rPr>
          <w:rFonts w:hint="eastAsia" w:asciiTheme="minorEastAsia" w:hAnsiTheme="minorEastAsia" w:eastAsiaTheme="minorEastAsia"/>
          <w:color w:val="000000" w:themeColor="text1"/>
          <w:sz w:val="24"/>
          <w:szCs w:val="24"/>
          <w:highlight w:val="none"/>
          <w14:textFill>
            <w14:solidFill>
              <w14:schemeClr w14:val="tx1"/>
            </w14:solidFill>
          </w14:textFill>
        </w:rPr>
        <w:t>和措施；</w:t>
      </w:r>
    </w:p>
    <w:p>
      <w:pPr>
        <w:pStyle w:val="6"/>
        <w:widowControl/>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（3）投标产品描述及相关资料：</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w:t>
      </w:r>
      <w:r>
        <w:rPr>
          <w:rFonts w:asciiTheme="minorEastAsia" w:hAnsiTheme="minorEastAsia" w:eastAsiaTheme="minorEastAsia"/>
          <w:color w:val="000000" w:themeColor="text1"/>
          <w:sz w:val="24"/>
          <w:szCs w:val="24"/>
          <w:highlight w:val="none"/>
          <w14:textFill>
            <w14:solidFill>
              <w14:schemeClr w14:val="tx1"/>
            </w14:solidFill>
          </w14:textFill>
        </w:rPr>
        <w:t>设备配置清单（</w:t>
      </w:r>
      <w:r>
        <w:rPr>
          <w:rFonts w:hint="eastAsia" w:asciiTheme="minorEastAsia" w:hAnsiTheme="minorEastAsia" w:eastAsiaTheme="minorEastAsia"/>
          <w:color w:val="000000" w:themeColor="text1"/>
          <w:sz w:val="24"/>
          <w:szCs w:val="24"/>
          <w:highlight w:val="none"/>
          <w14:textFill>
            <w14:solidFill>
              <w14:schemeClr w14:val="tx1"/>
            </w14:solidFill>
          </w14:textFill>
        </w:rPr>
        <w:t>均</w:t>
      </w:r>
      <w:r>
        <w:rPr>
          <w:rFonts w:asciiTheme="minorEastAsia" w:hAnsiTheme="minorEastAsia" w:eastAsiaTheme="minorEastAsia"/>
          <w:color w:val="000000" w:themeColor="text1"/>
          <w:sz w:val="24"/>
          <w:szCs w:val="24"/>
          <w:highlight w:val="none"/>
          <w14:textFill>
            <w14:solidFill>
              <w14:schemeClr w14:val="tx1"/>
            </w14:solidFill>
          </w14:textFill>
        </w:rPr>
        <w:t>不含报价）</w:t>
      </w:r>
      <w:r>
        <w:rPr>
          <w:rFonts w:hint="eastAsia" w:asciiTheme="minorEastAsia" w:hAnsiTheme="minorEastAsia" w:eastAsiaTheme="minorEastAsia"/>
          <w:color w:val="000000" w:themeColor="text1"/>
          <w:sz w:val="24"/>
          <w:szCs w:val="24"/>
          <w:highlight w:val="none"/>
          <w14:textFill>
            <w14:solidFill>
              <w14:schemeClr w14:val="tx1"/>
            </w14:solidFill>
          </w14:textFill>
        </w:rPr>
        <w:t>。</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B.产品品牌及型号、技术参数指标、性能特点、图片资料以及所遵循的技术规范、产品质保期、出厂标准、产品质量相关检测报告等内容。</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C.商务及技术响应表。</w:t>
      </w:r>
    </w:p>
    <w:p>
      <w:pPr>
        <w:spacing w:line="360" w:lineRule="auto"/>
        <w:ind w:left="218" w:leftChars="104" w:firstLine="619" w:firstLineChars="258"/>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pPr>
        <w:spacing w:line="360" w:lineRule="auto"/>
        <w:ind w:left="218" w:leftChars="104" w:firstLine="619" w:firstLineChars="258"/>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【特别提示：节能和环境标志产品最新一期政府采购清单，可在“中国政府采购网”中查看】</w:t>
      </w:r>
    </w:p>
    <w:p>
      <w:pPr>
        <w:autoSpaceDE w:val="0"/>
        <w:autoSpaceDN w:val="0"/>
        <w:adjustRightInd w:val="0"/>
        <w:spacing w:line="360" w:lineRule="auto"/>
        <w:ind w:firstLine="424" w:firstLineChars="177"/>
        <w:rPr>
          <w:rFonts w:ascii="宋体" w:hAnsi="宋体" w:cs="宋体"/>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w:t>
      </w:r>
      <w:r>
        <w:rPr>
          <w:rFonts w:asciiTheme="minorEastAsia" w:hAnsiTheme="minorEastAsia" w:eastAsiaTheme="minorEastAsia"/>
          <w:color w:val="000000" w:themeColor="text1"/>
          <w:kern w:val="0"/>
          <w:sz w:val="24"/>
          <w:highlight w:val="none"/>
          <w14:textFill>
            <w14:solidFill>
              <w14:schemeClr w14:val="tx1"/>
            </w14:solidFill>
          </w14:textFill>
        </w:rPr>
        <w:t>投标人通过的</w:t>
      </w:r>
      <w:r>
        <w:rPr>
          <w:rFonts w:hint="eastAsia" w:asciiTheme="minorEastAsia" w:hAnsiTheme="minorEastAsia" w:eastAsiaTheme="minorEastAsia"/>
          <w:color w:val="000000" w:themeColor="text1"/>
          <w:kern w:val="0"/>
          <w:sz w:val="24"/>
          <w:highlight w:val="none"/>
          <w14:textFill>
            <w14:solidFill>
              <w14:schemeClr w14:val="tx1"/>
            </w14:solidFill>
          </w14:textFill>
        </w:rPr>
        <w:t>质量管理和</w:t>
      </w:r>
      <w:r>
        <w:rPr>
          <w:rFonts w:asciiTheme="minorEastAsia" w:hAnsiTheme="minorEastAsia" w:eastAsiaTheme="minorEastAsia"/>
          <w:color w:val="000000" w:themeColor="text1"/>
          <w:kern w:val="0"/>
          <w:sz w:val="24"/>
          <w:highlight w:val="none"/>
          <w14:textFill>
            <w14:solidFill>
              <w14:schemeClr w14:val="tx1"/>
            </w14:solidFill>
          </w14:textFill>
        </w:rPr>
        <w:t>质量</w:t>
      </w:r>
      <w:r>
        <w:rPr>
          <w:rFonts w:hint="eastAsia" w:asciiTheme="minorEastAsia" w:hAnsiTheme="minorEastAsia" w:eastAsiaTheme="minorEastAsia"/>
          <w:color w:val="000000" w:themeColor="text1"/>
          <w:kern w:val="0"/>
          <w:sz w:val="24"/>
          <w:highlight w:val="none"/>
          <w14:textFill>
            <w14:solidFill>
              <w14:schemeClr w14:val="tx1"/>
            </w14:solidFill>
          </w14:textFill>
        </w:rPr>
        <w:t>保证</w:t>
      </w:r>
      <w:r>
        <w:rPr>
          <w:rFonts w:asciiTheme="minorEastAsia" w:hAnsiTheme="minorEastAsia" w:eastAsiaTheme="minorEastAsia"/>
          <w:color w:val="000000" w:themeColor="text1"/>
          <w:kern w:val="0"/>
          <w:sz w:val="24"/>
          <w:highlight w:val="none"/>
          <w14:textFill>
            <w14:solidFill>
              <w14:schemeClr w14:val="tx1"/>
            </w14:solidFill>
          </w14:textFill>
        </w:rPr>
        <w:t>体系、环保体系、</w:t>
      </w:r>
      <w:r>
        <w:rPr>
          <w:rFonts w:hint="eastAsia" w:asciiTheme="minorEastAsia" w:hAnsiTheme="minorEastAsia" w:eastAsiaTheme="minorEastAsia"/>
          <w:color w:val="000000" w:themeColor="text1"/>
          <w:sz w:val="24"/>
          <w:highlight w:val="none"/>
          <w14:textFill>
            <w14:solidFill>
              <w14:schemeClr w14:val="tx1"/>
            </w14:solidFill>
          </w14:textFill>
        </w:rPr>
        <w:t>自主创新相关证书、软件著作权证等等与本项目相关</w:t>
      </w:r>
      <w:r>
        <w:rPr>
          <w:rFonts w:asciiTheme="minorEastAsia" w:hAnsiTheme="minorEastAsia" w:eastAsiaTheme="minorEastAsia"/>
          <w:color w:val="000000" w:themeColor="text1"/>
          <w:kern w:val="0"/>
          <w:sz w:val="24"/>
          <w:highlight w:val="none"/>
          <w14:textFill>
            <w14:solidFill>
              <w14:schemeClr w14:val="tx1"/>
            </w14:solidFill>
          </w14:textFill>
        </w:rPr>
        <w:t>的认证证书</w:t>
      </w:r>
      <w:r>
        <w:rPr>
          <w:rFonts w:hint="eastAsia" w:asciiTheme="minorEastAsia" w:hAnsiTheme="minorEastAsia" w:eastAsiaTheme="minorEastAsia"/>
          <w:color w:val="000000" w:themeColor="text1"/>
          <w:kern w:val="0"/>
          <w:sz w:val="24"/>
          <w:highlight w:val="none"/>
          <w14:textFill>
            <w14:solidFill>
              <w14:schemeClr w14:val="tx1"/>
            </w14:solidFill>
          </w14:textFill>
        </w:rPr>
        <w:t>或文件；</w:t>
      </w:r>
    </w:p>
    <w:p>
      <w:pPr>
        <w:pStyle w:val="6"/>
        <w:widowControl/>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kern w:val="0"/>
          <w:sz w:val="24"/>
          <w:szCs w:val="24"/>
          <w:highlight w:val="none"/>
          <w14:textFill>
            <w14:solidFill>
              <w14:schemeClr w14:val="tx1"/>
            </w14:solidFill>
          </w14:textFill>
        </w:rPr>
        <w:t>（5）近四年来类似项目的成功案例（投标人类似项目实施情况一览表、合同复印件及其相应的发票、用户验收报告等；</w:t>
      </w:r>
    </w:p>
    <w:p>
      <w:pPr>
        <w:snapToGrid w:val="0"/>
        <w:spacing w:line="360" w:lineRule="auto"/>
        <w:ind w:firstLine="480" w:firstLineChars="200"/>
        <w:rPr>
          <w:rFonts w:ascii="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（6）投标人认为需要提供的其他资料（包括可能影响投标人商务与技术文件评分的各类证明材料）。</w:t>
      </w:r>
    </w:p>
    <w:p>
      <w:pPr>
        <w:pStyle w:val="6"/>
        <w:widowControl/>
        <w:adjustRightInd w:val="0"/>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（7）售后服务描述及承诺：</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A.距采购人最近的服务网点详细介绍（包括地理位置、资质资格、技术力量、工作业绩、服务内容及联系电话等）。</w:t>
      </w:r>
    </w:p>
    <w:p>
      <w:pPr>
        <w:pStyle w:val="6"/>
        <w:widowControl/>
        <w:adjustRightInd w:val="0"/>
        <w:snapToGrid w:val="0"/>
        <w:spacing w:line="360" w:lineRule="auto"/>
        <w:ind w:left="218" w:leftChars="104" w:firstLine="619" w:firstLineChars="258"/>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B.针对本项目的售后服务措施及承诺（售后技术服务方案、人员配备、故障响应时间、技术培训方案等）。</w:t>
      </w:r>
    </w:p>
    <w:p>
      <w:pPr>
        <w:autoSpaceDE w:val="0"/>
        <w:autoSpaceDN w:val="0"/>
        <w:adjustRightInd w:val="0"/>
        <w:spacing w:line="360" w:lineRule="auto"/>
        <w:ind w:left="426" w:firstLine="65" w:firstLineChars="27"/>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3、报价文件的组成</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（1）报价文件由开标一览表、报价明细表、小微企业等声明函、产品适用政府采购政策情况表，以及投标人认为其他需要说明的内容组成。</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（2）此报价为投标人一次性报出唯一的最终价格，包含其它一切所要涉及到的费用，有选择的报价将被拒绝。</w:t>
      </w:r>
    </w:p>
    <w:p>
      <w:pPr>
        <w:snapToGri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3</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投标报价是包括货款、标准附件、备品备件、专用工具、包装、运输、装卸、保险、税金、货到就位以及安装、调试、培训、保修、合同包含的所有风险责任等各项费用及不可预见费等所需的全部费用，全部费用已包含在开标一览表的投标总报价中。</w:t>
      </w:r>
    </w:p>
    <w:p>
      <w:pPr>
        <w:snapToGri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4</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政府采购优惠政策相关资料、产品适用政府采购政策情况表（如有）。</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（5）相关报价单需打印或用不退色的墨水填写， 投标报价单不得涂改和增删，如有错漏必须修改，修改处须由同一签署人签字或盖章。由于字迹模糊或表达不清引起的后果由投标人负责。</w:t>
      </w:r>
    </w:p>
    <w:p>
      <w:pPr>
        <w:autoSpaceDE w:val="0"/>
        <w:autoSpaceDN w:val="0"/>
        <w:adjustRightIn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投标报价应按招标文件中相关附表格式填写。</w:t>
      </w:r>
    </w:p>
    <w:p>
      <w:pPr>
        <w:numPr>
          <w:ilvl w:val="0"/>
          <w:numId w:val="5"/>
        </w:numPr>
        <w:rPr>
          <w:rFonts w:asciiTheme="minorEastAsia" w:hAnsiTheme="minorEastAsia" w:eastAsiaTheme="minorEastAsia"/>
          <w:b/>
          <w:bCs/>
          <w:color w:val="000000" w:themeColor="text1"/>
          <w:kern w:val="0"/>
          <w:sz w:val="24"/>
          <w:highlight w:val="none"/>
          <w14:textFill>
            <w14:solidFill>
              <w14:schemeClr w14:val="tx1"/>
            </w14:solidFill>
          </w14:textFill>
        </w:rPr>
      </w:pPr>
      <w:r>
        <w:rPr>
          <w:rFonts w:hint="eastAsia" w:asciiTheme="minorEastAsia" w:hAnsiTheme="minorEastAsia" w:eastAsiaTheme="minorEastAsia"/>
          <w:b/>
          <w:bCs/>
          <w:color w:val="000000" w:themeColor="text1"/>
          <w:kern w:val="0"/>
          <w:sz w:val="24"/>
          <w:highlight w:val="none"/>
          <w14:textFill>
            <w14:solidFill>
              <w14:schemeClr w14:val="tx1"/>
            </w14:solidFill>
          </w14:textFill>
        </w:rPr>
        <w:t>投标文件的</w:t>
      </w:r>
      <w:r>
        <w:rPr>
          <w:rFonts w:hint="eastAsia" w:asciiTheme="minorEastAsia" w:hAnsiTheme="minorEastAsia"/>
          <w:b/>
          <w:bCs/>
          <w:color w:val="000000" w:themeColor="text1"/>
          <w:kern w:val="0"/>
          <w:sz w:val="24"/>
          <w:highlight w:val="none"/>
          <w14:textFill>
            <w14:solidFill>
              <w14:schemeClr w14:val="tx1"/>
            </w14:solidFill>
          </w14:textFill>
        </w:rPr>
        <w:t>制作、封装及</w:t>
      </w:r>
      <w:r>
        <w:rPr>
          <w:rFonts w:hint="eastAsia" w:asciiTheme="minorEastAsia" w:hAnsiTheme="minorEastAsia" w:eastAsiaTheme="minorEastAsia"/>
          <w:b/>
          <w:bCs/>
          <w:color w:val="000000" w:themeColor="text1"/>
          <w:kern w:val="0"/>
          <w:sz w:val="24"/>
          <w:highlight w:val="none"/>
          <w14:textFill>
            <w14:solidFill>
              <w14:schemeClr w14:val="tx1"/>
            </w14:solidFill>
          </w14:textFill>
        </w:rPr>
        <w:t>递交要求</w:t>
      </w:r>
    </w:p>
    <w:p>
      <w:pPr>
        <w:autoSpaceDE w:val="0"/>
        <w:autoSpaceDN w:val="0"/>
        <w:adjustRightInd w:val="0"/>
        <w:spacing w:line="360" w:lineRule="auto"/>
        <w:ind w:firstLine="480"/>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b/>
          <w:bCs/>
          <w:color w:val="000000" w:themeColor="text1"/>
          <w:sz w:val="24"/>
          <w:highlight w:val="none"/>
          <w14:textFill>
            <w14:solidFill>
              <w14:schemeClr w14:val="tx1"/>
            </w14:solidFill>
          </w14:textFill>
        </w:rPr>
        <w:t>1、投标文件的制作要求</w:t>
      </w:r>
    </w:p>
    <w:p>
      <w:pPr>
        <w:autoSpaceDE w:val="0"/>
        <w:autoSpaceDN w:val="0"/>
        <w:adjustRightIn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投标人</w:t>
      </w:r>
      <w:r>
        <w:rPr>
          <w:rFonts w:hint="eastAsia" w:asciiTheme="minorEastAsia" w:hAnsiTheme="minorEastAsia"/>
          <w:color w:val="000000" w:themeColor="text1"/>
          <w:sz w:val="24"/>
          <w:highlight w:val="none"/>
          <w14:textFill>
            <w14:solidFill>
              <w14:schemeClr w14:val="tx1"/>
            </w14:solidFill>
          </w14:textFill>
        </w:rPr>
        <w:t>应</w:t>
      </w:r>
      <w:r>
        <w:rPr>
          <w:rFonts w:hint="eastAsia" w:asciiTheme="minorEastAsia" w:hAnsiTheme="minorEastAsia" w:eastAsiaTheme="minorEastAsia"/>
          <w:color w:val="000000" w:themeColor="text1"/>
          <w:sz w:val="24"/>
          <w:highlight w:val="none"/>
          <w14:textFill>
            <w14:solidFill>
              <w14:schemeClr w14:val="tx1"/>
            </w14:solidFill>
          </w14:textFill>
        </w:rPr>
        <w:t>按照</w:t>
      </w:r>
      <w:r>
        <w:rPr>
          <w:rFonts w:hint="eastAsia" w:asciiTheme="minorEastAsia" w:hAnsiTheme="minorEastAsia"/>
          <w:color w:val="000000" w:themeColor="text1"/>
          <w:sz w:val="24"/>
          <w:highlight w:val="none"/>
          <w14:textFill>
            <w14:solidFill>
              <w14:schemeClr w14:val="tx1"/>
            </w14:solidFill>
          </w14:textFill>
        </w:rPr>
        <w:t>投标文件组成内容</w:t>
      </w:r>
      <w:r>
        <w:rPr>
          <w:rFonts w:hint="eastAsia" w:asciiTheme="minorEastAsia" w:hAnsiTheme="minorEastAsia" w:eastAsiaTheme="minorEastAsia"/>
          <w:color w:val="000000" w:themeColor="text1"/>
          <w:sz w:val="24"/>
          <w:highlight w:val="none"/>
          <w14:textFill>
            <w14:solidFill>
              <w14:schemeClr w14:val="tx1"/>
            </w14:solidFill>
          </w14:textFill>
        </w:rPr>
        <w:t>及项目招标需求制作投标文件，</w:t>
      </w:r>
      <w:r>
        <w:rPr>
          <w:rFonts w:hint="eastAsia" w:asciiTheme="minorEastAsia" w:hAnsiTheme="minorEastAsia" w:eastAsiaTheme="minorEastAsia"/>
          <w:color w:val="000000" w:themeColor="text1"/>
          <w:kern w:val="0"/>
          <w:sz w:val="24"/>
          <w:highlight w:val="none"/>
          <w14:textFill>
            <w14:solidFill>
              <w14:schemeClr w14:val="tx1"/>
            </w14:solidFill>
          </w14:textFill>
        </w:rPr>
        <w:t>不按招标文件要求制作投标文件的将视情</w:t>
      </w:r>
      <w:r>
        <w:rPr>
          <w:rFonts w:hint="eastAsia" w:asciiTheme="minorEastAsia" w:hAnsiTheme="minorEastAsia"/>
          <w:color w:val="000000" w:themeColor="text1"/>
          <w:kern w:val="0"/>
          <w:sz w:val="24"/>
          <w:highlight w:val="none"/>
          <w14:textFill>
            <w14:solidFill>
              <w14:schemeClr w14:val="tx1"/>
            </w14:solidFill>
          </w14:textFill>
        </w:rPr>
        <w:t>处理（拒收、扣分等），由此产生的责任由投标人自行承担。</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（2）投标人应对所提供的全部资料的真实性承担法律责任，</w:t>
      </w:r>
      <w:r>
        <w:rPr>
          <w:rFonts w:hint="eastAsia" w:asciiTheme="minorEastAsia" w:hAnsiTheme="minorEastAsia"/>
          <w:color w:val="000000" w:themeColor="text1"/>
          <w:kern w:val="0"/>
          <w:sz w:val="24"/>
          <w:highlight w:val="none"/>
          <w:lang w:val="zh-CN"/>
          <w14:textFill>
            <w14:solidFill>
              <w14:schemeClr w14:val="tx1"/>
            </w14:solidFill>
          </w14:textFill>
        </w:rPr>
        <w:t>投标文件</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内</w:t>
      </w:r>
      <w:r>
        <w:rPr>
          <w:rFonts w:hint="eastAsia" w:asciiTheme="minorEastAsia" w:hAnsiTheme="minorEastAsia"/>
          <w:color w:val="000000" w:themeColor="text1"/>
          <w:kern w:val="0"/>
          <w:sz w:val="24"/>
          <w:highlight w:val="none"/>
          <w:lang w:val="zh-CN"/>
          <w14:textFill>
            <w14:solidFill>
              <w14:schemeClr w14:val="tx1"/>
            </w14:solidFill>
          </w14:textFill>
        </w:rPr>
        <w:t>容中</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有要求盖章或签字的地方，必须加盖投标人的公章以及法定代表人或全权代表盖章或签字。</w:t>
      </w:r>
    </w:p>
    <w:p>
      <w:pPr>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kern w:val="0"/>
          <w:sz w:val="24"/>
          <w:highlight w:val="none"/>
          <w:lang w:val="zh-CN"/>
          <w14:textFill>
            <w14:solidFill>
              <w14:schemeClr w14:val="tx1"/>
            </w14:solidFill>
          </w14:textFill>
        </w:rPr>
        <w:t>（</w:t>
      </w:r>
      <w:r>
        <w:rPr>
          <w:rFonts w:hint="eastAsia" w:asciiTheme="minorEastAsia" w:hAnsiTheme="minorEastAsia"/>
          <w:color w:val="000000" w:themeColor="text1"/>
          <w:kern w:val="0"/>
          <w:sz w:val="24"/>
          <w:highlight w:val="none"/>
          <w14:textFill>
            <w14:solidFill>
              <w14:schemeClr w14:val="tx1"/>
            </w14:solidFill>
          </w14:textFill>
        </w:rPr>
        <w:t>3</w:t>
      </w:r>
      <w:r>
        <w:rPr>
          <w:rFonts w:hint="eastAsia" w:asciiTheme="minorEastAsia" w:hAnsiTheme="minorEastAsia"/>
          <w:color w:val="000000" w:themeColor="text1"/>
          <w:kern w:val="0"/>
          <w:sz w:val="24"/>
          <w:highlight w:val="none"/>
          <w:lang w:val="zh-CN"/>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投标文件以及投标人与</w:t>
      </w:r>
      <w:r>
        <w:rPr>
          <w:rFonts w:hint="eastAsia" w:asciiTheme="minorEastAsia" w:hAnsiTheme="minorEastAsia" w:eastAsiaTheme="minorEastAsia"/>
          <w:color w:val="000000" w:themeColor="text1"/>
          <w:sz w:val="24"/>
          <w:highlight w:val="none"/>
          <w14:textFill>
            <w14:solidFill>
              <w14:schemeClr w14:val="tx1"/>
            </w14:solidFill>
          </w14:textFill>
        </w:rPr>
        <w:t>采购组织机构</w:t>
      </w:r>
      <w:r>
        <w:rPr>
          <w:rFonts w:asciiTheme="minorEastAsia" w:hAnsiTheme="minorEastAsia" w:eastAsiaTheme="minorEastAsia"/>
          <w:color w:val="000000" w:themeColor="text1"/>
          <w:sz w:val="24"/>
          <w:highlight w:val="none"/>
          <w14:textFill>
            <w14:solidFill>
              <w14:schemeClr w14:val="tx1"/>
            </w14:solidFill>
          </w14:textFill>
        </w:rPr>
        <w:t>就有关投标事宜的所有来往函电，均应以中文汉语书写。除</w:t>
      </w:r>
      <w:r>
        <w:rPr>
          <w:rFonts w:hint="eastAsia" w:asciiTheme="minorEastAsia" w:hAnsiTheme="minorEastAsia" w:eastAsiaTheme="minorEastAsia"/>
          <w:color w:val="000000" w:themeColor="text1"/>
          <w:sz w:val="24"/>
          <w:highlight w:val="none"/>
          <w14:textFill>
            <w14:solidFill>
              <w14:schemeClr w14:val="tx1"/>
            </w14:solidFill>
          </w14:textFill>
        </w:rPr>
        <w:t>签字</w:t>
      </w:r>
      <w:r>
        <w:rPr>
          <w:rFonts w:asciiTheme="minorEastAsia" w:hAnsiTheme="minorEastAsia" w:eastAsiaTheme="minorEastAsia"/>
          <w:color w:val="000000" w:themeColor="text1"/>
          <w:sz w:val="24"/>
          <w:highlight w:val="none"/>
          <w14:textFill>
            <w14:solidFill>
              <w14:schemeClr w14:val="tx1"/>
            </w14:solidFill>
          </w14:textFill>
        </w:rPr>
        <w:t>、盖章、专用名称等特殊情形外，以中文汉语以外的文字表述的投标文件视同未提供。</w:t>
      </w:r>
    </w:p>
    <w:p>
      <w:pPr>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（4）</w:t>
      </w:r>
      <w:r>
        <w:rPr>
          <w:rFonts w:asciiTheme="minorEastAsia" w:hAnsiTheme="minorEastAsia" w:eastAsiaTheme="minorEastAsia"/>
          <w:color w:val="000000" w:themeColor="text1"/>
          <w:sz w:val="24"/>
          <w:highlight w:val="none"/>
          <w14:textFill>
            <w14:solidFill>
              <w14:schemeClr w14:val="tx1"/>
            </w14:solidFill>
          </w14:textFill>
        </w:rPr>
        <w:t>投标计量单位，招标文件已有明确规定的，使用招标文件规定的计量单位；招标文件没有规定的，应采用中华人民共和国法定计量单位（货币单位：人民币元）。</w:t>
      </w:r>
    </w:p>
    <w:p>
      <w:pPr>
        <w:autoSpaceDE w:val="0"/>
        <w:autoSpaceDN w:val="0"/>
        <w:adjustRightInd w:val="0"/>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若投标人不按招标文件的要求提供资格审查材料，其风险由投标人自行承担。</w:t>
      </w:r>
    </w:p>
    <w:p>
      <w:pPr>
        <w:autoSpaceDE w:val="0"/>
        <w:autoSpaceDN w:val="0"/>
        <w:adjustRightInd w:val="0"/>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kern w:val="0"/>
          <w:sz w:val="24"/>
          <w:highlight w:val="none"/>
          <w14:textFill>
            <w14:solidFill>
              <w14:schemeClr w14:val="tx1"/>
            </w14:solidFill>
          </w14:textFill>
        </w:rPr>
        <w:t>（6）</w:t>
      </w:r>
      <w:r>
        <w:rPr>
          <w:rFonts w:hint="eastAsia" w:asciiTheme="minorEastAsia" w:hAnsiTheme="minorEastAsia" w:eastAsiaTheme="minorEastAsia"/>
          <w:color w:val="000000" w:themeColor="text1"/>
          <w:sz w:val="24"/>
          <w:highlight w:val="none"/>
          <w14:textFill>
            <w14:solidFill>
              <w14:schemeClr w14:val="tx1"/>
            </w14:solidFill>
          </w14:textFill>
        </w:rPr>
        <w:t>与本次投标无关的内容请不要制作在内，确保投标文件有针对性、简洁明了，同时节约纸张；投标文件建议以A4纸大小双面打印并装订。</w:t>
      </w:r>
    </w:p>
    <w:p>
      <w:pPr>
        <w:autoSpaceDE w:val="0"/>
        <w:autoSpaceDN w:val="0"/>
        <w:adjustRightInd w:val="0"/>
        <w:spacing w:line="360" w:lineRule="auto"/>
        <w:ind w:firstLine="480"/>
        <w:rPr>
          <w:rFonts w:asciiTheme="minorEastAsia" w:hAnsiTheme="minorEastAsia"/>
          <w:b/>
          <w:bCs/>
          <w:color w:val="000000" w:themeColor="text1"/>
          <w:sz w:val="24"/>
          <w:highlight w:val="none"/>
          <w14:textFill>
            <w14:solidFill>
              <w14:schemeClr w14:val="tx1"/>
            </w14:solidFill>
          </w14:textFill>
        </w:rPr>
      </w:pPr>
      <w:r>
        <w:rPr>
          <w:rFonts w:hint="eastAsia" w:asciiTheme="minorEastAsia" w:hAnsiTheme="minorEastAsia"/>
          <w:b/>
          <w:bCs/>
          <w:color w:val="000000" w:themeColor="text1"/>
          <w:sz w:val="24"/>
          <w:highlight w:val="none"/>
          <w14:textFill>
            <w14:solidFill>
              <w14:schemeClr w14:val="tx1"/>
            </w14:solidFill>
          </w14:textFill>
        </w:rPr>
        <w:t>2、投标文件的封装要求</w:t>
      </w:r>
    </w:p>
    <w:p>
      <w:pPr>
        <w:autoSpaceDE w:val="0"/>
        <w:autoSpaceDN w:val="0"/>
        <w:adjustRightInd w:val="0"/>
        <w:spacing w:line="360" w:lineRule="auto"/>
        <w:ind w:firstLine="475" w:firstLineChars="198"/>
        <w:rPr>
          <w:rFonts w:asciiTheme="minorEastAsia" w:hAnsi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（1）投标文件份数：</w:t>
      </w:r>
      <w:r>
        <w:rPr>
          <w:rFonts w:hint="eastAsia" w:ascii="宋体" w:hAnsi="宋体"/>
          <w:bCs/>
          <w:color w:val="000000" w:themeColor="text1"/>
          <w:sz w:val="24"/>
          <w:highlight w:val="none"/>
          <w:lang w:val="zh-CN"/>
          <w14:textFill>
            <w14:solidFill>
              <w14:schemeClr w14:val="tx1"/>
            </w14:solidFill>
          </w14:textFill>
        </w:rPr>
        <w:t>资格证明文件、商务与技术文件、报价文件必须分别编制并分开单独装订成册：</w:t>
      </w:r>
      <w:r>
        <w:rPr>
          <w:rFonts w:hint="eastAsia" w:ascii="宋体"/>
          <w:bCs/>
          <w:color w:val="000000" w:themeColor="text1"/>
          <w:sz w:val="24"/>
          <w:highlight w:val="none"/>
          <w:lang w:val="zh-CN"/>
          <w14:textFill>
            <w14:solidFill>
              <w14:schemeClr w14:val="tx1"/>
            </w14:solidFill>
          </w14:textFill>
        </w:rPr>
        <w:t>资格证明文件共</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5 </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lang w:val="zh-CN"/>
          <w14:textFill>
            <w14:solidFill>
              <w14:schemeClr w14:val="tx1"/>
            </w14:solidFill>
          </w14:textFill>
        </w:rPr>
        <w:t>份</w:t>
      </w:r>
      <w:r>
        <w:rPr>
          <w:rFonts w:hint="eastAsia" w:ascii="宋体"/>
          <w:bCs/>
          <w:color w:val="000000" w:themeColor="text1"/>
          <w:sz w:val="24"/>
          <w:highlight w:val="none"/>
          <w:lang w:val="zh-CN"/>
          <w14:textFill>
            <w14:solidFill>
              <w14:schemeClr w14:val="tx1"/>
            </w14:solidFill>
          </w14:textFill>
        </w:rPr>
        <w:t>（</w:t>
      </w:r>
      <w:r>
        <w:rPr>
          <w:rFonts w:hint="eastAsia" w:ascii="宋体" w:hAnsi="宋体"/>
          <w:bCs/>
          <w:color w:val="000000" w:themeColor="text1"/>
          <w:sz w:val="24"/>
          <w:highlight w:val="none"/>
          <w:u w:val="single"/>
          <w14:textFill>
            <w14:solidFill>
              <w14:schemeClr w14:val="tx1"/>
            </w14:solidFill>
          </w14:textFill>
        </w:rPr>
        <w:t xml:space="preserve"> 1</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正本</w:t>
      </w:r>
      <w:r>
        <w:rPr>
          <w:rFonts w:hint="eastAsia" w:asci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4</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副本，封装成一袋）</w:t>
      </w:r>
      <w:r>
        <w:rPr>
          <w:rFonts w:hint="eastAsia" w:ascii="宋体" w:hAnsi="宋体"/>
          <w:bCs/>
          <w:color w:val="000000" w:themeColor="text1"/>
          <w:sz w:val="24"/>
          <w:highlight w:val="none"/>
          <w:lang w:val="zh-CN"/>
          <w14:textFill>
            <w14:solidFill>
              <w14:schemeClr w14:val="tx1"/>
            </w14:solidFill>
          </w14:textFill>
        </w:rPr>
        <w:t>，商务与技术文件共</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5  </w:t>
      </w:r>
      <w:r>
        <w:rPr>
          <w:rFonts w:hint="eastAsia" w:ascii="宋体" w:hAnsi="宋体"/>
          <w:bCs/>
          <w:color w:val="000000" w:themeColor="text1"/>
          <w:sz w:val="24"/>
          <w:highlight w:val="none"/>
          <w:lang w:val="zh-CN"/>
          <w14:textFill>
            <w14:solidFill>
              <w14:schemeClr w14:val="tx1"/>
            </w14:solidFill>
          </w14:textFill>
        </w:rPr>
        <w:t>份</w:t>
      </w:r>
      <w:r>
        <w:rPr>
          <w:rFonts w:hint="eastAsia" w:ascii="宋体"/>
          <w:bCs/>
          <w:color w:val="000000" w:themeColor="text1"/>
          <w:sz w:val="24"/>
          <w:highlight w:val="none"/>
          <w:lang w:val="zh-CN"/>
          <w14:textFill>
            <w14:solidFill>
              <w14:schemeClr w14:val="tx1"/>
            </w14:solidFill>
          </w14:textFill>
        </w:rPr>
        <w:t>（</w:t>
      </w:r>
      <w:r>
        <w:rPr>
          <w:rFonts w:hint="eastAsia" w:ascii="宋体" w:hAnsi="宋体"/>
          <w:bCs/>
          <w:color w:val="000000" w:themeColor="text1"/>
          <w:sz w:val="24"/>
          <w:highlight w:val="none"/>
          <w:u w:val="single"/>
          <w14:textFill>
            <w14:solidFill>
              <w14:schemeClr w14:val="tx1"/>
            </w14:solidFill>
          </w14:textFill>
        </w:rPr>
        <w:t xml:space="preserve"> 1</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正本</w:t>
      </w:r>
      <w:r>
        <w:rPr>
          <w:rFonts w:hint="eastAsia" w:asci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4</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副本，封装成一袋）</w:t>
      </w:r>
      <w:r>
        <w:rPr>
          <w:rFonts w:hint="eastAsia" w:ascii="宋体" w:hAnsi="宋体"/>
          <w:bCs/>
          <w:color w:val="000000" w:themeColor="text1"/>
          <w:sz w:val="24"/>
          <w:highlight w:val="none"/>
          <w:lang w:val="zh-CN"/>
          <w14:textFill>
            <w14:solidFill>
              <w14:schemeClr w14:val="tx1"/>
            </w14:solidFill>
          </w14:textFill>
        </w:rPr>
        <w:t>，报价文件共</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5 </w:t>
      </w:r>
      <w:r>
        <w:rPr>
          <w:rFonts w:hint="eastAsia" w:ascii="宋体" w:hAnsi="宋体"/>
          <w:bCs/>
          <w:color w:val="000000" w:themeColor="text1"/>
          <w:sz w:val="24"/>
          <w:highlight w:val="none"/>
          <w:lang w:val="zh-CN"/>
          <w14:textFill>
            <w14:solidFill>
              <w14:schemeClr w14:val="tx1"/>
            </w14:solidFill>
          </w14:textFill>
        </w:rPr>
        <w:t>份</w:t>
      </w:r>
      <w:r>
        <w:rPr>
          <w:rFonts w:hint="eastAsia" w:ascii="宋体"/>
          <w:bCs/>
          <w:color w:val="000000" w:themeColor="text1"/>
          <w:sz w:val="24"/>
          <w:highlight w:val="none"/>
          <w:lang w:val="zh-CN"/>
          <w14:textFill>
            <w14:solidFill>
              <w14:schemeClr w14:val="tx1"/>
            </w14:solidFill>
          </w14:textFill>
        </w:rPr>
        <w:t>（</w:t>
      </w:r>
      <w:r>
        <w:rPr>
          <w:rFonts w:hint="eastAsia" w:ascii="宋体" w:hAnsi="宋体"/>
          <w:bCs/>
          <w:color w:val="000000" w:themeColor="text1"/>
          <w:sz w:val="24"/>
          <w:highlight w:val="none"/>
          <w:u w:val="single"/>
          <w14:textFill>
            <w14:solidFill>
              <w14:schemeClr w14:val="tx1"/>
            </w14:solidFill>
          </w14:textFill>
        </w:rPr>
        <w:t xml:space="preserve"> 1</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正本，</w:t>
      </w:r>
      <w:r>
        <w:rPr>
          <w:rFonts w:hint="eastAsia" w:asci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4</w:t>
      </w:r>
      <w:r>
        <w:rPr>
          <w:rFonts w:hint="eastAsia" w:ascii="宋体" w:hAnsi="宋体"/>
          <w:bCs/>
          <w:color w:val="000000" w:themeColor="text1"/>
          <w:sz w:val="24"/>
          <w:highlight w:val="none"/>
          <w:u w:val="single"/>
          <w:lang w:val="zh-CN"/>
          <w14:textFill>
            <w14:solidFill>
              <w14:schemeClr w14:val="tx1"/>
            </w14:solidFill>
          </w14:textFill>
        </w:rPr>
        <w:t xml:space="preserve"> </w:t>
      </w:r>
      <w:r>
        <w:rPr>
          <w:rFonts w:hint="eastAsia" w:ascii="宋体"/>
          <w:bCs/>
          <w:color w:val="000000" w:themeColor="text1"/>
          <w:sz w:val="24"/>
          <w:highlight w:val="none"/>
          <w:lang w:val="zh-CN"/>
          <w14:textFill>
            <w14:solidFill>
              <w14:schemeClr w14:val="tx1"/>
            </w14:solidFill>
          </w14:textFill>
        </w:rPr>
        <w:t>副本，封装成一袋）</w:t>
      </w:r>
      <w:r>
        <w:rPr>
          <w:rFonts w:hint="eastAsia" w:ascii="宋体" w:hAnsi="宋体"/>
          <w:bCs/>
          <w:color w:val="000000" w:themeColor="text1"/>
          <w:sz w:val="24"/>
          <w:highlight w:val="none"/>
          <w:lang w:val="zh-CN"/>
          <w14:textFill>
            <w14:solidFill>
              <w14:schemeClr w14:val="tx1"/>
            </w14:solidFill>
          </w14:textFill>
        </w:rPr>
        <w:t>。投标文件的正本封面必须注明“正本”字样，副本可以采用正本的复印件。</w:t>
      </w:r>
      <w:r>
        <w:rPr>
          <w:rFonts w:hint="eastAsia" w:asciiTheme="minorEastAsia" w:hAnsiTheme="minorEastAsia" w:eastAsiaTheme="minorEastAsia"/>
          <w:color w:val="000000" w:themeColor="text1"/>
          <w:sz w:val="24"/>
          <w:highlight w:val="none"/>
          <w14:textFill>
            <w14:solidFill>
              <w14:schemeClr w14:val="tx1"/>
            </w14:solidFill>
          </w14:textFill>
        </w:rPr>
        <w:t>除报价文件外其余一律不准出现数字报价。如有不同标段，请按标段号分别装订，密封要求同上。</w:t>
      </w:r>
    </w:p>
    <w:p>
      <w:pPr>
        <w:autoSpaceDE w:val="0"/>
        <w:autoSpaceDN w:val="0"/>
        <w:adjustRightIn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（2）所有投标资料按投标文件的组成所列内容及顺序装订成册，</w:t>
      </w:r>
      <w:r>
        <w:rPr>
          <w:rFonts w:hint="eastAsia" w:asciiTheme="minorEastAsia" w:hAnsiTheme="minorEastAsia" w:eastAsiaTheme="minorEastAsia"/>
          <w:color w:val="000000" w:themeColor="text1"/>
          <w:sz w:val="24"/>
          <w:highlight w:val="none"/>
          <w:lang w:val="zh-CN"/>
          <w14:textFill>
            <w14:solidFill>
              <w14:schemeClr w14:val="tx1"/>
            </w14:solidFill>
          </w14:textFill>
        </w:rPr>
        <w:t>并逐页连续标注页码。因投标文件内容不完整、编排混乱导致投标文件被误读、漏读或者查找不到相关内容的责任由投标人自行承担。</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（3）请在密封袋的封口处应有投标单位公章或投标全权代表签字。封皮上写明项目编号、标段、招标项目名称、投标人名称，并注明“投标文件名称（资格证明文件、</w:t>
      </w:r>
      <w:r>
        <w:rPr>
          <w:rFonts w:hint="eastAsia" w:ascii="宋体" w:hAnsi="宋体"/>
          <w:bCs/>
          <w:color w:val="000000" w:themeColor="text1"/>
          <w:sz w:val="24"/>
          <w:highlight w:val="none"/>
          <w:lang w:val="zh-CN"/>
          <w14:textFill>
            <w14:solidFill>
              <w14:schemeClr w14:val="tx1"/>
            </w14:solidFill>
          </w14:textFill>
        </w:rPr>
        <w:t>商务与技术文件</w:t>
      </w:r>
      <w:r>
        <w:rPr>
          <w:rFonts w:hint="eastAsia" w:asciiTheme="minorEastAsia" w:hAnsiTheme="minorEastAsia" w:eastAsiaTheme="minorEastAsia"/>
          <w:color w:val="000000" w:themeColor="text1"/>
          <w:kern w:val="0"/>
          <w:sz w:val="24"/>
          <w:highlight w:val="none"/>
          <w14:textFill>
            <w14:solidFill>
              <w14:schemeClr w14:val="tx1"/>
            </w14:solidFill>
          </w14:textFill>
        </w:rPr>
        <w:t>和报价文件）”、“开标时启封”字样，未按上述要求密封及加写标记，采购组织机构对投标文件的误投和提前启封不负责任。</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（4）项目如分标段，各标段投标文件必须分开编制，并按上述份数要求单独密封包装。</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（5）</w:t>
      </w:r>
      <w:r>
        <w:rPr>
          <w:rFonts w:hint="eastAsia" w:asciiTheme="minorEastAsia" w:hAnsiTheme="minorEastAsia" w:eastAsiaTheme="minorEastAsia"/>
          <w:color w:val="000000" w:themeColor="text1"/>
          <w:kern w:val="0"/>
          <w:sz w:val="24"/>
          <w:highlight w:val="none"/>
          <w:lang w:val="zh-CN"/>
          <w14:textFill>
            <w14:solidFill>
              <w14:schemeClr w14:val="tx1"/>
            </w14:solidFill>
          </w14:textFill>
        </w:rPr>
        <w:t>因密封不严、标记不明而造成失密、拒收、过早启封等情况，采购组织机构概不负责。</w:t>
      </w:r>
    </w:p>
    <w:p>
      <w:pPr>
        <w:autoSpaceDE w:val="0"/>
        <w:autoSpaceDN w:val="0"/>
        <w:adjustRightInd w:val="0"/>
        <w:spacing w:line="360" w:lineRule="auto"/>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w:t>
      </w:r>
      <w:r>
        <w:rPr>
          <w:rFonts w:hint="eastAsia" w:asciiTheme="minorEastAsia" w:hAnsiTheme="minorEastAsia"/>
          <w:color w:val="000000" w:themeColor="text1"/>
          <w:sz w:val="24"/>
          <w:highlight w:val="none"/>
          <w14:textFill>
            <w14:solidFill>
              <w14:schemeClr w14:val="tx1"/>
            </w14:solidFill>
          </w14:textFill>
        </w:rPr>
        <w:t>投标文件的递交要求</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（1）投标文件必须在规定时间前派人送达指定的投标地点。投标文件在截止时间后提交，采购组织机构将拒绝接收。</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（2）如有特殊情况，采购组织机构延长截止时间和开标时间，采购组织机构和投标人的权利和义务将受到新的截止时间和开标时间的约束。</w:t>
      </w:r>
    </w:p>
    <w:p>
      <w:pPr>
        <w:tabs>
          <w:tab w:val="left" w:pos="189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4、投标文件的补充、修改和撤回。</w:t>
      </w:r>
    </w:p>
    <w:p>
      <w:pPr>
        <w:tabs>
          <w:tab w:val="left" w:pos="960"/>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（1）投标人如需对上交的投标文件进行补充、修改或撤回的，必须在投标</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截止时间</w:t>
      </w:r>
      <w:r>
        <w:rPr>
          <w:rFonts w:hint="eastAsia" w:ascii="宋体"/>
          <w:color w:val="000000" w:themeColor="text1"/>
          <w:kern w:val="0"/>
          <w:sz w:val="24"/>
          <w:highlight w:val="none"/>
          <w14:textFill>
            <w14:solidFill>
              <w14:schemeClr w14:val="tx1"/>
            </w14:solidFill>
          </w14:textFill>
        </w:rPr>
        <w:t>以前将书面的修改文件或撤消通知送达采购组织机构。</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（2）投标修改文件必须密封，在密封袋上写明项目编号、标段、招标项目名称、投标人名称、并注明“修改文件”、“开标时启封”字样，其作为投标文件的组成部份。</w:t>
      </w:r>
    </w:p>
    <w:p>
      <w:pPr>
        <w:tabs>
          <w:tab w:val="left" w:pos="1898"/>
        </w:tabs>
        <w:autoSpaceDE w:val="0"/>
        <w:autoSpaceDN w:val="0"/>
        <w:adjustRightInd w:val="0"/>
        <w:spacing w:line="360" w:lineRule="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（三）投标文件的有效期</w:t>
      </w:r>
    </w:p>
    <w:p>
      <w:pPr>
        <w:pStyle w:val="5"/>
        <w:tabs>
          <w:tab w:val="left" w:pos="454"/>
          <w:tab w:val="left" w:pos="720"/>
          <w:tab w:val="left" w:pos="1200"/>
        </w:tabs>
        <w:snapToGrid w:val="0"/>
        <w:spacing w:line="360" w:lineRule="auto"/>
        <w:ind w:left="0" w:firstLine="480" w:firstLineChars="200"/>
        <w:rPr>
          <w:rFonts w:ascii="仿宋_GB2312" w:hAnsi="仿宋_GB2312" w:eastAsia="仿宋_GB2312" w:cs="仿宋_GB2312"/>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自投标截止日起90天投标文件应保持有效。有效期不足的投标文件将被拒绝。</w:t>
      </w:r>
    </w:p>
    <w:p>
      <w:pPr>
        <w:pStyle w:val="5"/>
        <w:tabs>
          <w:tab w:val="left" w:pos="454"/>
          <w:tab w:val="left" w:pos="720"/>
          <w:tab w:val="left" w:pos="1200"/>
        </w:tabs>
        <w:snapToGrid w:val="0"/>
        <w:spacing w:line="360" w:lineRule="auto"/>
        <w:ind w:left="0" w:firstLine="480" w:firstLineChars="200"/>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在特殊情况下，采购人可与投标人协商延长投标文件的有效期，这种要求和答复均以书面形式进行。</w:t>
      </w:r>
    </w:p>
    <w:p>
      <w:pPr>
        <w:snapToGrid w:val="0"/>
        <w:spacing w:line="360" w:lineRule="auto"/>
        <w:ind w:firstLine="480" w:firstLineChars="200"/>
        <w:jc w:val="left"/>
        <w:outlineLvl w:val="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中标人的投标文件自开标之日起至合同履行完毕均应保持有效。</w:t>
      </w:r>
    </w:p>
    <w:p>
      <w:pPr>
        <w:snapToGrid w:val="0"/>
        <w:spacing w:line="360" w:lineRule="auto"/>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四、开标</w:t>
      </w:r>
    </w:p>
    <w:p>
      <w:pPr>
        <w:autoSpaceDE w:val="0"/>
        <w:autoSpaceDN w:val="0"/>
        <w:adjustRightInd w:val="0"/>
        <w:spacing w:line="360" w:lineRule="auto"/>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    （一）开标事项</w:t>
      </w:r>
    </w:p>
    <w:p>
      <w:pPr>
        <w:autoSpaceDE w:val="0"/>
        <w:autoSpaceDN w:val="0"/>
        <w:adjustRightInd w:val="0"/>
        <w:spacing w:line="360" w:lineRule="auto"/>
        <w:ind w:firstLine="480" w:firstLineChars="200"/>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采购组织机构在“招标公告”规定的时间和地点公开开标，投标人的法定代表人或其授权代表应参加开标会并签到。</w:t>
      </w:r>
      <w:r>
        <w:rPr>
          <w:rFonts w:asciiTheme="minorEastAsia" w:hAnsiTheme="minorEastAsia" w:eastAsiaTheme="minorEastAsia"/>
          <w:bCs/>
          <w:color w:val="000000" w:themeColor="text1"/>
          <w:sz w:val="24"/>
          <w:highlight w:val="none"/>
          <w14:textFill>
            <w14:solidFill>
              <w14:schemeClr w14:val="tx1"/>
            </w14:solidFill>
          </w14:textFill>
        </w:rPr>
        <w:t>投标人的法定代表人或其授权代表未按时签到的，视同放弃开标监督权利、认可开标结果。</w:t>
      </w:r>
      <w:r>
        <w:rPr>
          <w:rFonts w:hint="eastAsia" w:asciiTheme="minorEastAsia" w:hAnsiTheme="minorEastAsia" w:eastAsiaTheme="minorEastAsia"/>
          <w:bCs/>
          <w:color w:val="000000" w:themeColor="text1"/>
          <w:sz w:val="24"/>
          <w:highlight w:val="none"/>
          <w14:textFill>
            <w14:solidFill>
              <w14:schemeClr w14:val="tx1"/>
            </w14:solidFill>
          </w14:textFill>
        </w:rPr>
        <w:t>采购组织机构</w:t>
      </w:r>
      <w:r>
        <w:rPr>
          <w:rFonts w:asciiTheme="minorEastAsia" w:hAnsiTheme="minorEastAsia" w:eastAsiaTheme="minorEastAsia"/>
          <w:bCs/>
          <w:color w:val="000000" w:themeColor="text1"/>
          <w:sz w:val="24"/>
          <w:highlight w:val="none"/>
          <w14:textFill>
            <w14:solidFill>
              <w14:schemeClr w14:val="tx1"/>
            </w14:solidFill>
          </w14:textFill>
        </w:rPr>
        <w:t>工作人员接收投标文件并登记，并由供应商代表对递交记录情况进行</w:t>
      </w:r>
      <w:r>
        <w:rPr>
          <w:rFonts w:hint="eastAsia" w:asciiTheme="minorEastAsia" w:hAnsiTheme="minorEastAsia" w:eastAsiaTheme="minorEastAsia"/>
          <w:bCs/>
          <w:color w:val="000000" w:themeColor="text1"/>
          <w:sz w:val="24"/>
          <w:highlight w:val="none"/>
          <w14:textFill>
            <w14:solidFill>
              <w14:schemeClr w14:val="tx1"/>
            </w14:solidFill>
          </w14:textFill>
        </w:rPr>
        <w:t>签字</w:t>
      </w:r>
      <w:r>
        <w:rPr>
          <w:rFonts w:asciiTheme="minorEastAsia" w:hAnsiTheme="minorEastAsia" w:eastAsiaTheme="minorEastAsia"/>
          <w:bCs/>
          <w:color w:val="000000" w:themeColor="text1"/>
          <w:sz w:val="24"/>
          <w:highlight w:val="none"/>
          <w14:textFill>
            <w14:solidFill>
              <w14:schemeClr w14:val="tx1"/>
            </w14:solidFill>
          </w14:textFill>
        </w:rPr>
        <w:t>确认。</w:t>
      </w:r>
      <w:r>
        <w:rPr>
          <w:rFonts w:hint="eastAsia" w:asciiTheme="minorEastAsia" w:hAnsiTheme="minorEastAsia" w:eastAsiaTheme="minorEastAsia"/>
          <w:bCs/>
          <w:color w:val="000000" w:themeColor="text1"/>
          <w:sz w:val="24"/>
          <w:highlight w:val="none"/>
          <w14:textFill>
            <w14:solidFill>
              <w14:schemeClr w14:val="tx1"/>
            </w14:solidFill>
          </w14:textFill>
        </w:rPr>
        <w:t>评标委员会成员不得参加开标活动。</w:t>
      </w:r>
      <w:r>
        <w:rPr>
          <w:rFonts w:hint="eastAsia" w:asciiTheme="minorEastAsia" w:hAnsiTheme="minorEastAsia" w:eastAsiaTheme="minorEastAsia"/>
          <w:color w:val="000000" w:themeColor="text1"/>
          <w:kern w:val="0"/>
          <w:sz w:val="24"/>
          <w:highlight w:val="none"/>
          <w14:textFill>
            <w14:solidFill>
              <w14:schemeClr w14:val="tx1"/>
            </w14:solidFill>
          </w14:textFill>
        </w:rPr>
        <w:t>（本次招标</w:t>
      </w:r>
      <w:r>
        <w:rPr>
          <w:rFonts w:cs="Arial" w:asciiTheme="minorEastAsia" w:hAnsiTheme="minorEastAsia" w:eastAsiaTheme="minorEastAsia"/>
          <w:color w:val="000000" w:themeColor="text1"/>
          <w:sz w:val="24"/>
          <w:highlight w:val="none"/>
          <w14:textFill>
            <w14:solidFill>
              <w14:schemeClr w14:val="tx1"/>
            </w14:solidFill>
          </w14:textFill>
        </w:rPr>
        <w:t>采用先评审商务资格</w:t>
      </w:r>
      <w:r>
        <w:rPr>
          <w:rFonts w:hint="eastAsia" w:cs="Arial" w:asciiTheme="minorEastAsia" w:hAnsiTheme="minorEastAsia" w:eastAsiaTheme="minorEastAsia"/>
          <w:color w:val="000000" w:themeColor="text1"/>
          <w:sz w:val="24"/>
          <w:highlight w:val="none"/>
          <w14:textFill>
            <w14:solidFill>
              <w14:schemeClr w14:val="tx1"/>
            </w14:solidFill>
          </w14:textFill>
        </w:rPr>
        <w:t>和</w:t>
      </w:r>
      <w:r>
        <w:rPr>
          <w:rFonts w:cs="Arial" w:asciiTheme="minorEastAsia" w:hAnsiTheme="minorEastAsia" w:eastAsiaTheme="minorEastAsia"/>
          <w:color w:val="000000" w:themeColor="text1"/>
          <w:sz w:val="24"/>
          <w:highlight w:val="none"/>
          <w14:textFill>
            <w14:solidFill>
              <w14:schemeClr w14:val="tx1"/>
            </w14:solidFill>
          </w14:textFill>
        </w:rPr>
        <w:t>技术服务方案</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cs="Arial" w:asciiTheme="minorEastAsia" w:hAnsiTheme="minorEastAsia" w:eastAsiaTheme="minorEastAsia"/>
          <w:color w:val="000000" w:themeColor="text1"/>
          <w:sz w:val="24"/>
          <w:highlight w:val="none"/>
          <w14:textFill>
            <w14:solidFill>
              <w14:schemeClr w14:val="tx1"/>
            </w14:solidFill>
          </w14:textFill>
        </w:rPr>
        <w:t>后公开并评审商务报价的办法</w:t>
      </w:r>
      <w:r>
        <w:rPr>
          <w:rFonts w:hint="eastAsia" w:asciiTheme="minorEastAsia" w:hAnsiTheme="minorEastAsia" w:eastAsiaTheme="minorEastAsia"/>
          <w:color w:val="000000" w:themeColor="text1"/>
          <w:kern w:val="0"/>
          <w:sz w:val="24"/>
          <w:highlight w:val="none"/>
          <w14:textFill>
            <w14:solidFill>
              <w14:schemeClr w14:val="tx1"/>
            </w14:solidFill>
          </w14:textFill>
        </w:rPr>
        <w:t>实施）。</w:t>
      </w:r>
    </w:p>
    <w:p>
      <w:pPr>
        <w:autoSpaceDE w:val="0"/>
        <w:autoSpaceDN w:val="0"/>
        <w:adjustRightInd w:val="0"/>
        <w:spacing w:line="360" w:lineRule="auto"/>
        <w:ind w:firstLine="480" w:firstLineChars="200"/>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（二） 开</w:t>
      </w:r>
      <w:r>
        <w:rPr>
          <w:rFonts w:hint="eastAsia" w:asciiTheme="minorEastAsia" w:hAnsiTheme="minorEastAsia" w:eastAsiaTheme="minorEastAsia"/>
          <w:bCs/>
          <w:color w:val="000000" w:themeColor="text1"/>
          <w:sz w:val="24"/>
          <w:highlight w:val="none"/>
          <w14:textFill>
            <w14:solidFill>
              <w14:schemeClr w14:val="tx1"/>
            </w14:solidFill>
          </w14:textFill>
        </w:rPr>
        <w:t>标</w:t>
      </w:r>
      <w:r>
        <w:rPr>
          <w:rFonts w:asciiTheme="minorEastAsia" w:hAnsiTheme="minorEastAsia" w:eastAsiaTheme="minorEastAsia"/>
          <w:bCs/>
          <w:color w:val="000000" w:themeColor="text1"/>
          <w:sz w:val="24"/>
          <w:highlight w:val="none"/>
          <w14:textFill>
            <w14:solidFill>
              <w14:schemeClr w14:val="tx1"/>
            </w14:solidFill>
          </w14:textFill>
        </w:rPr>
        <w:t>程序：</w:t>
      </w:r>
    </w:p>
    <w:p>
      <w:pPr>
        <w:pStyle w:val="9"/>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1、开标会由招标项目负责人主持，主持人宣布开标会议开始；</w:t>
      </w:r>
    </w:p>
    <w:p>
      <w:pPr>
        <w:pStyle w:val="9"/>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 xml:space="preserve">2、主持人介绍参加开标会的人员名单； </w:t>
      </w:r>
    </w:p>
    <w:p>
      <w:pPr>
        <w:pStyle w:val="9"/>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3、主持人宣布评标期间的有关事项，告知应当回避的情形,提请有关人员回避；</w:t>
      </w:r>
    </w:p>
    <w:p>
      <w:pPr>
        <w:pStyle w:val="9"/>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4、投标人或其当场推荐的代表，检查投标文件密封的完整性；</w:t>
      </w:r>
    </w:p>
    <w:p>
      <w:pPr>
        <w:pStyle w:val="9"/>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5、按投标文件递交的先后顺序当场拆封</w:t>
      </w:r>
      <w:r>
        <w:rPr>
          <w:rFonts w:hint="eastAsia" w:asciiTheme="minorEastAsia" w:hAnsiTheme="minorEastAsia" w:eastAsiaTheme="minorEastAsia"/>
          <w:color w:val="000000" w:themeColor="text1"/>
          <w:kern w:val="0"/>
          <w:sz w:val="24"/>
          <w:highlight w:val="none"/>
          <w14:textFill>
            <w14:solidFill>
              <w14:schemeClr w14:val="tx1"/>
            </w14:solidFill>
          </w14:textFill>
        </w:rPr>
        <w:t>资格证明文件、</w:t>
      </w:r>
      <w:r>
        <w:rPr>
          <w:rFonts w:hint="eastAsia" w:hAnsi="宋体"/>
          <w:bCs/>
          <w:color w:val="000000" w:themeColor="text1"/>
          <w:sz w:val="24"/>
          <w:highlight w:val="none"/>
          <w:lang w:val="zh-CN"/>
          <w14:textFill>
            <w14:solidFill>
              <w14:schemeClr w14:val="tx1"/>
            </w14:solidFill>
          </w14:textFill>
        </w:rPr>
        <w:t>商务与技术文件</w:t>
      </w:r>
      <w:r>
        <w:rPr>
          <w:rFonts w:hint="eastAsia" w:asciiTheme="minorEastAsia" w:hAnsiTheme="minorEastAsia" w:eastAsiaTheme="minorEastAsia"/>
          <w:color w:val="000000" w:themeColor="text1"/>
          <w:sz w:val="24"/>
          <w:highlight w:val="none"/>
          <w14:textFill>
            <w14:solidFill>
              <w14:schemeClr w14:val="tx1"/>
            </w14:solidFill>
          </w14:textFill>
        </w:rPr>
        <w:t>后，进入资格审查及符合性审查环节；</w:t>
      </w:r>
    </w:p>
    <w:p>
      <w:pPr>
        <w:pStyle w:val="9"/>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6、完成</w:t>
      </w:r>
      <w:r>
        <w:rPr>
          <w:rFonts w:ascii="Arial" w:hAnsi="Arial" w:cs="Arial"/>
          <w:color w:val="000000" w:themeColor="text1"/>
          <w:sz w:val="24"/>
          <w:highlight w:val="none"/>
          <w14:textFill>
            <w14:solidFill>
              <w14:schemeClr w14:val="tx1"/>
            </w14:solidFill>
          </w14:textFill>
        </w:rPr>
        <w:t>综合比较与评价</w:t>
      </w:r>
      <w:r>
        <w:rPr>
          <w:rFonts w:hint="eastAsia" w:ascii="Arial" w:hAnsi="Arial" w:cs="Arial"/>
          <w:color w:val="000000" w:themeColor="text1"/>
          <w:sz w:val="24"/>
          <w:highlight w:val="none"/>
          <w14:textFill>
            <w14:solidFill>
              <w14:schemeClr w14:val="tx1"/>
            </w14:solidFill>
          </w14:textFill>
        </w:rPr>
        <w:t>后，</w:t>
      </w:r>
      <w:r>
        <w:rPr>
          <w:rFonts w:hint="eastAsia" w:asciiTheme="minorEastAsia" w:hAnsiTheme="minorEastAsia" w:eastAsiaTheme="minorEastAsia"/>
          <w:color w:val="000000" w:themeColor="text1"/>
          <w:sz w:val="24"/>
          <w:highlight w:val="none"/>
          <w14:textFill>
            <w14:solidFill>
              <w14:schemeClr w14:val="tx1"/>
            </w14:solidFill>
          </w14:textFill>
        </w:rPr>
        <w:t>由主持人按投标文件的先后顺序当场拆封报价文件，并现场宣读《开标一览表》中的投标报价，以及采购组织机构认为有必要宣读的其他内容；</w:t>
      </w:r>
    </w:p>
    <w:p>
      <w:pPr>
        <w:pStyle w:val="9"/>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7、采购组织机构做开标记录, 投标人代表对开标记录进行当场校核及勘误，并签字确认。同时由记录人、监督人当场签字确认。投标人代表未到场签字确认或者拒绝签字确认的，不影响评标过程；</w:t>
      </w:r>
    </w:p>
    <w:p>
      <w:pPr>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8、在完成评标后，宣布评标结果，开标会议结束。</w:t>
      </w:r>
    </w:p>
    <w:p>
      <w:pPr>
        <w:pStyle w:val="9"/>
        <w:snapToGrid w:val="0"/>
        <w:spacing w:line="360" w:lineRule="auto"/>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五、评标</w:t>
      </w:r>
    </w:p>
    <w:p>
      <w:pPr>
        <w:pStyle w:val="9"/>
        <w:snapToGrid w:val="0"/>
        <w:spacing w:line="360" w:lineRule="auto"/>
        <w:ind w:left="720" w:leftChars="228" w:hanging="241" w:hangingChars="1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（一）组建评标委员会</w:t>
      </w:r>
    </w:p>
    <w:p>
      <w:pPr>
        <w:pStyle w:val="9"/>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本项目评标委员会由政府采购评审专家</w:t>
      </w:r>
      <w:r>
        <w:rPr>
          <w:rFonts w:hint="eastAsia" w:asciiTheme="minorEastAsia" w:hAnsiTheme="minorEastAsia" w:eastAsiaTheme="minorEastAsia"/>
          <w:color w:val="000000" w:themeColor="text1"/>
          <w:sz w:val="24"/>
          <w:highlight w:val="none"/>
          <w14:textFill>
            <w14:solidFill>
              <w14:schemeClr w14:val="tx1"/>
            </w14:solidFill>
          </w14:textFill>
        </w:rPr>
        <w:t>和采购单位评审代表</w:t>
      </w:r>
      <w:r>
        <w:rPr>
          <w:rFonts w:asciiTheme="minorEastAsia" w:hAnsiTheme="minorEastAsia" w:eastAsiaTheme="minorEastAsia"/>
          <w:color w:val="000000" w:themeColor="text1"/>
          <w:sz w:val="24"/>
          <w:highlight w:val="none"/>
          <w14:textFill>
            <w14:solidFill>
              <w14:schemeClr w14:val="tx1"/>
            </w14:solidFill>
          </w14:textFill>
        </w:rPr>
        <w:t>组成。</w:t>
      </w:r>
    </w:p>
    <w:p>
      <w:pPr>
        <w:pStyle w:val="9"/>
        <w:snapToGrid w:val="0"/>
        <w:spacing w:line="360" w:lineRule="auto"/>
        <w:ind w:left="720" w:leftChars="228" w:hanging="241" w:hangingChars="1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二</w:t>
      </w:r>
      <w:r>
        <w:rPr>
          <w:rFonts w:asciiTheme="minorEastAsia" w:hAnsiTheme="minorEastAsia" w:eastAsiaTheme="minorEastAsia"/>
          <w:b/>
          <w:color w:val="000000" w:themeColor="text1"/>
          <w:sz w:val="24"/>
          <w:highlight w:val="none"/>
          <w14:textFill>
            <w14:solidFill>
              <w14:schemeClr w14:val="tx1"/>
            </w14:solidFill>
          </w14:textFill>
        </w:rPr>
        <w:t>）</w:t>
      </w:r>
      <w:r>
        <w:rPr>
          <w:rFonts w:asciiTheme="minorEastAsia" w:hAnsiTheme="minorEastAsia" w:eastAsiaTheme="minorEastAsia"/>
          <w:b/>
          <w:bCs/>
          <w:color w:val="000000" w:themeColor="text1"/>
          <w:sz w:val="24"/>
          <w:highlight w:val="none"/>
          <w14:textFill>
            <w14:solidFill>
              <w14:schemeClr w14:val="tx1"/>
            </w14:solidFill>
          </w14:textFill>
        </w:rPr>
        <w:t>评标程序</w:t>
      </w:r>
    </w:p>
    <w:p>
      <w:pPr>
        <w:snapToGrid w:val="0"/>
        <w:spacing w:line="360" w:lineRule="auto"/>
        <w:ind w:firstLine="472" w:firstLineChars="196"/>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1、资格</w:t>
      </w:r>
      <w:r>
        <w:rPr>
          <w:rFonts w:asciiTheme="minorEastAsia" w:hAnsiTheme="minorEastAsia" w:eastAsiaTheme="minorEastAsia"/>
          <w:b/>
          <w:bCs/>
          <w:color w:val="000000" w:themeColor="text1"/>
          <w:sz w:val="24"/>
          <w:highlight w:val="none"/>
          <w14:textFill>
            <w14:solidFill>
              <w14:schemeClr w14:val="tx1"/>
            </w14:solidFill>
          </w14:textFill>
        </w:rPr>
        <w:t>审查</w:t>
      </w:r>
    </w:p>
    <w:p>
      <w:pPr>
        <w:pStyle w:val="14"/>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公开招标采购项目开标结束后，采购人或者采购组织机构应当依法对投标人的资格进行审查，对审查发现无效的进行必要的询标，结束后公布无效投标的投标人名单、投标无效的原因。</w:t>
      </w:r>
    </w:p>
    <w:p>
      <w:pPr>
        <w:pStyle w:val="14"/>
        <w:spacing w:before="0" w:beforeAutospacing="0" w:after="0" w:afterAutospacing="0" w:line="360" w:lineRule="auto"/>
        <w:ind w:firstLine="472" w:firstLineChars="196"/>
        <w:jc w:val="both"/>
        <w:rPr>
          <w:rFonts w:hint="default" w:asciiTheme="minorEastAsia" w:hAnsiTheme="minorEastAsia" w:eastAsiaTheme="minorEastAsia"/>
          <w:b/>
          <w:bCs/>
          <w:color w:val="000000" w:themeColor="text1"/>
          <w:highlight w:val="none"/>
          <w14:textFill>
            <w14:solidFill>
              <w14:schemeClr w14:val="tx1"/>
            </w14:solidFill>
          </w14:textFill>
        </w:rPr>
      </w:pPr>
      <w:r>
        <w:rPr>
          <w:rFonts w:asciiTheme="minorEastAsia" w:hAnsiTheme="minorEastAsia" w:eastAsiaTheme="minorEastAsia"/>
          <w:b/>
          <w:bCs/>
          <w:color w:val="000000" w:themeColor="text1"/>
          <w:highlight w:val="none"/>
          <w14:textFill>
            <w14:solidFill>
              <w14:schemeClr w14:val="tx1"/>
            </w14:solidFill>
          </w14:textFill>
        </w:rPr>
        <w:t>2、符合性审查</w:t>
      </w:r>
    </w:p>
    <w:p>
      <w:pPr>
        <w:pStyle w:val="14"/>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评标委员会应当对符合资格的投标人的投标文件进行符合性审查，以确定其是否满足招标文件的实质性要求，对审查发现无效的进行必要的询标，结束后公布无效投标的投标人名单、投标无效的原因。</w:t>
      </w:r>
    </w:p>
    <w:p>
      <w:pPr>
        <w:pStyle w:val="14"/>
        <w:spacing w:before="0" w:beforeAutospacing="0" w:after="0" w:afterAutospacing="0" w:line="360" w:lineRule="auto"/>
        <w:ind w:firstLine="482"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b/>
          <w:bCs/>
          <w:color w:val="000000" w:themeColor="text1"/>
          <w:highlight w:val="none"/>
          <w14:textFill>
            <w14:solidFill>
              <w14:schemeClr w14:val="tx1"/>
            </w14:solidFill>
          </w14:textFill>
        </w:rPr>
        <w:t>3、</w:t>
      </w:r>
      <w:r>
        <w:rPr>
          <w:rFonts w:hint="default" w:ascii="Arial" w:hAnsi="Arial" w:cs="Arial"/>
          <w:b/>
          <w:bCs/>
          <w:color w:val="000000" w:themeColor="text1"/>
          <w:highlight w:val="none"/>
          <w14:textFill>
            <w14:solidFill>
              <w14:schemeClr w14:val="tx1"/>
            </w14:solidFill>
          </w14:textFill>
        </w:rPr>
        <w:t>综合比较与评价</w:t>
      </w:r>
    </w:p>
    <w:p>
      <w:pPr>
        <w:pStyle w:val="14"/>
        <w:spacing w:before="0" w:beforeAutospacing="0" w:after="0" w:afterAutospacing="0" w:line="360" w:lineRule="auto"/>
        <w:ind w:firstLine="360" w:firstLineChars="1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（1）对于投标文件中含义不明确、同类问题表述不一致或者有明显文字和计算错误的内容，评标委员会应当以书面形式要求投标人作出必要的澄清、说明或者补正。</w:t>
      </w:r>
    </w:p>
    <w:p>
      <w:pPr>
        <w:pStyle w:val="14"/>
        <w:spacing w:before="0" w:beforeAutospacing="0" w:after="0" w:afterAutospacing="0" w:line="360" w:lineRule="auto"/>
        <w:ind w:firstLine="360" w:firstLineChars="1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（2）评标委员会应当按照招标文件中规定的评标方法和标准，对符合性审查合格的投标文件进行商务和技术评估，综合比较与评价。</w:t>
      </w:r>
    </w:p>
    <w:p>
      <w:pPr>
        <w:snapToGrid w:val="0"/>
        <w:spacing w:line="360" w:lineRule="auto"/>
        <w:ind w:firstLine="360" w:firstLineChars="15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（3）评标时，评标委员会各成员应当独立对每个投标人的投标文件进行评价，并汇总每个投标人的得分。</w:t>
      </w:r>
    </w:p>
    <w:p>
      <w:pPr>
        <w:numPr>
          <w:ilvl w:val="255"/>
          <w:numId w:val="0"/>
        </w:numPr>
        <w:snapToGrid w:val="0"/>
        <w:spacing w:line="360" w:lineRule="auto"/>
        <w:ind w:firstLine="482" w:firstLineChars="200"/>
        <w:rPr>
          <w:rFonts w:ascii="Arial" w:hAnsi="Arial" w:cs="Arial"/>
          <w:b/>
          <w:bCs/>
          <w:color w:val="000000" w:themeColor="text1"/>
          <w:sz w:val="24"/>
          <w:highlight w:val="none"/>
          <w14:textFill>
            <w14:solidFill>
              <w14:schemeClr w14:val="tx1"/>
            </w14:solidFill>
          </w14:textFill>
        </w:rPr>
      </w:pPr>
      <w:r>
        <w:rPr>
          <w:rFonts w:hint="eastAsia" w:ascii="Arial" w:hAnsi="Arial" w:cs="Arial"/>
          <w:b/>
          <w:bCs/>
          <w:color w:val="000000" w:themeColor="text1"/>
          <w:sz w:val="24"/>
          <w:highlight w:val="none"/>
          <w14:textFill>
            <w14:solidFill>
              <w14:schemeClr w14:val="tx1"/>
            </w14:solidFill>
          </w14:textFill>
        </w:rPr>
        <w:t>4、得分确认及评审报告编写</w:t>
      </w:r>
    </w:p>
    <w:p>
      <w:pPr>
        <w:pStyle w:val="9"/>
        <w:snapToGrid w:val="0"/>
        <w:spacing w:line="360" w:lineRule="auto"/>
        <w:ind w:firstLine="420" w:firstLineChars="175"/>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评标委员会对报价文件进行复核，对于系统计算出的价格分及总得分进行确认；</w:t>
      </w:r>
    </w:p>
    <w:p>
      <w:pPr>
        <w:pStyle w:val="14"/>
        <w:spacing w:before="0" w:beforeAutospacing="0" w:after="0" w:afterAutospacing="0" w:line="360" w:lineRule="auto"/>
        <w:ind w:firstLine="420" w:firstLineChars="175"/>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（2）评标委员会应当按照招标文件中规定的评标方法和标准，对符合性审查合格的投标文件进行商务和技术评估，综合比较与评价。</w:t>
      </w:r>
    </w:p>
    <w:p>
      <w:pPr>
        <w:snapToGrid w:val="0"/>
        <w:spacing w:line="360" w:lineRule="auto"/>
        <w:ind w:firstLine="480" w:firstLineChars="200"/>
        <w:rPr>
          <w:rFonts w:ascii="Arial" w:hAnsi="Arial" w:cs="Arial"/>
          <w:b/>
          <w:bCs/>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评标委员会</w:t>
      </w:r>
      <w:r>
        <w:rPr>
          <w:rFonts w:asciiTheme="minorEastAsia" w:hAnsiTheme="minorEastAsia" w:eastAsiaTheme="minorEastAsia"/>
          <w:color w:val="000000" w:themeColor="text1"/>
          <w:sz w:val="24"/>
          <w:highlight w:val="none"/>
          <w14:textFill>
            <w14:solidFill>
              <w14:schemeClr w14:val="tx1"/>
            </w14:solidFill>
          </w14:textFill>
        </w:rPr>
        <w:t>按评标原则</w:t>
      </w:r>
      <w:r>
        <w:rPr>
          <w:rFonts w:hint="eastAsia" w:asciiTheme="minorEastAsia" w:hAnsiTheme="minorEastAsia" w:eastAsiaTheme="minorEastAsia"/>
          <w:color w:val="000000" w:themeColor="text1"/>
          <w:sz w:val="24"/>
          <w:highlight w:val="none"/>
          <w14:textFill>
            <w14:solidFill>
              <w14:schemeClr w14:val="tx1"/>
            </w14:solidFill>
          </w14:textFill>
        </w:rPr>
        <w:t>及得分情况编写评审报告。</w:t>
      </w:r>
    </w:p>
    <w:p>
      <w:pPr>
        <w:numPr>
          <w:ilvl w:val="255"/>
          <w:numId w:val="0"/>
        </w:numPr>
        <w:snapToGrid w:val="0"/>
        <w:spacing w:line="360" w:lineRule="auto"/>
        <w:ind w:firstLine="482" w:firstLineChars="200"/>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5、评价</w:t>
      </w:r>
    </w:p>
    <w:p>
      <w:pPr>
        <w:snapToGrid w:val="0"/>
        <w:spacing w:line="360" w:lineRule="auto"/>
        <w:ind w:firstLine="480" w:firstLineChars="200"/>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采购组织机构对评标委员会评审专家进行评价。</w:t>
      </w:r>
    </w:p>
    <w:p>
      <w:pPr>
        <w:snapToGrid w:val="0"/>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b/>
          <w:color w:val="000000" w:themeColor="text1"/>
          <w:sz w:val="24"/>
          <w:highlight w:val="none"/>
          <w14:textFill>
            <w14:solidFill>
              <w14:schemeClr w14:val="tx1"/>
            </w14:solidFill>
          </w14:textFill>
        </w:rPr>
        <w:t>（三）澄清问题的形式</w:t>
      </w:r>
    </w:p>
    <w:p>
      <w:pPr>
        <w:snapToGrid w:val="0"/>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投标人的澄清、说明或者补正应当采用书面形式，并加盖公章，或者由法定代理人或其授权的代表签字，并不得超出投标文件的范围或者改变投标文件的实质性内容。</w:t>
      </w:r>
    </w:p>
    <w:p>
      <w:pPr>
        <w:pStyle w:val="9"/>
        <w:snapToGrid w:val="0"/>
        <w:spacing w:line="360" w:lineRule="auto"/>
        <w:ind w:left="720" w:leftChars="228" w:hanging="241" w:hangingChars="1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（四）错误修正</w:t>
      </w:r>
    </w:p>
    <w:p>
      <w:pPr>
        <w:pStyle w:val="14"/>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投标文件报价出现前后不一致的，除招标文件另有规定外，按照下列规定修正：</w:t>
      </w:r>
    </w:p>
    <w:p>
      <w:pPr>
        <w:pStyle w:val="14"/>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1、投标文件中开标一览表（报价表）内容与投标文件中相应内容不一致的，以开标一览表（报价表）为准；</w:t>
      </w:r>
    </w:p>
    <w:p>
      <w:pPr>
        <w:pStyle w:val="14"/>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2、大写金额和小写金额不一致的，以大写金额为准；</w:t>
      </w:r>
    </w:p>
    <w:p>
      <w:pPr>
        <w:pStyle w:val="14"/>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3、单价金额小数点或者百分比有明显错位的，以开标一览表的总价为准，并修改单价；</w:t>
      </w:r>
    </w:p>
    <w:p>
      <w:pPr>
        <w:pStyle w:val="14"/>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4、总价金额与按单价汇总金额不一致的，以单价金额计算结果为准。</w:t>
      </w:r>
    </w:p>
    <w:p>
      <w:pPr>
        <w:pStyle w:val="14"/>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同时出现两种以上不一致的，按照前款规定的顺序修正。修正应当采用书面形式，并加盖公章，或者由法定代表人或其授权的代表签字。修正后的报价经投标人确认后产生约束力，投标人不确认的，其投标无效。</w:t>
      </w:r>
    </w:p>
    <w:p>
      <w:pPr>
        <w:pStyle w:val="14"/>
        <w:spacing w:before="0" w:beforeAutospacing="0" w:after="0" w:afterAutospacing="0" w:line="360" w:lineRule="auto"/>
        <w:ind w:firstLine="361" w:firstLineChars="150"/>
        <w:jc w:val="both"/>
        <w:rPr>
          <w:rFonts w:hint="default" w:asciiTheme="minorEastAsia" w:hAnsiTheme="minorEastAsia" w:eastAsiaTheme="minorEastAsia"/>
          <w:b/>
          <w:color w:val="000000" w:themeColor="text1"/>
          <w:highlight w:val="none"/>
          <w14:textFill>
            <w14:solidFill>
              <w14:schemeClr w14:val="tx1"/>
            </w14:solidFill>
          </w14:textFill>
        </w:rPr>
      </w:pPr>
      <w:r>
        <w:rPr>
          <w:rFonts w:asciiTheme="minorEastAsia" w:hAnsiTheme="minorEastAsia" w:eastAsiaTheme="minorEastAsia"/>
          <w:b/>
          <w:bCs/>
          <w:color w:val="000000" w:themeColor="text1"/>
          <w:highlight w:val="none"/>
          <w14:textFill>
            <w14:solidFill>
              <w14:schemeClr w14:val="tx1"/>
            </w14:solidFill>
          </w14:textFill>
        </w:rPr>
        <w:t>（五）</w:t>
      </w:r>
      <w:r>
        <w:rPr>
          <w:rFonts w:asciiTheme="minorEastAsia" w:hAnsiTheme="minorEastAsia" w:eastAsiaTheme="minorEastAsia"/>
          <w:b/>
          <w:color w:val="000000" w:themeColor="text1"/>
          <w:highlight w:val="none"/>
          <w14:textFill>
            <w14:solidFill>
              <w14:schemeClr w14:val="tx1"/>
            </w14:solidFill>
          </w14:textFill>
        </w:rPr>
        <w:t>投标人存在下列情况之一的，投标无效</w:t>
      </w:r>
    </w:p>
    <w:p>
      <w:pPr>
        <w:adjustRightInd w:val="0"/>
        <w:snapToGrid w:val="0"/>
        <w:spacing w:line="360" w:lineRule="auto"/>
        <w:ind w:left="4" w:firstLine="470" w:firstLineChars="196"/>
        <w:jc w:val="left"/>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1、资格证明文件或商务与技术文件跟报价文件出现混装或在资格证明文件或商务与技术文件中出现投标报价的，或者报价文件中报价的货物跟商务与技术文件中的投标货物出现重大偏差的；</w:t>
      </w:r>
    </w:p>
    <w:p>
      <w:pPr>
        <w:pStyle w:val="14"/>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2、不具备招标文件中规定的资格要求的。</w:t>
      </w:r>
      <w:r>
        <w:rPr>
          <w:rFonts w:hint="default" w:asciiTheme="minorEastAsia" w:hAnsiTheme="minorEastAsia" w:eastAsiaTheme="minorEastAsia"/>
          <w:color w:val="000000" w:themeColor="text1"/>
          <w:highlight w:val="none"/>
          <w14:textFill>
            <w14:solidFill>
              <w14:schemeClr w14:val="tx1"/>
            </w14:solidFill>
          </w14:textFill>
        </w:rPr>
        <w:tab/>
      </w:r>
    </w:p>
    <w:p>
      <w:pPr>
        <w:pStyle w:val="14"/>
        <w:adjustRightInd w:val="0"/>
        <w:snapToGrid w:val="0"/>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3、投标文件含有采购人不能接受的附加条件的。</w:t>
      </w:r>
    </w:p>
    <w:p>
      <w:pPr>
        <w:adjustRightInd w:val="0"/>
        <w:snapToGrid w:val="0"/>
        <w:spacing w:line="360" w:lineRule="auto"/>
        <w:ind w:firstLine="470" w:firstLineChars="196"/>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、投标代表人未能出具身份证明或与法定代表人授权委托人身份不符的；</w:t>
      </w:r>
    </w:p>
    <w:p>
      <w:pPr>
        <w:pStyle w:val="14"/>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4"/>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xml:space="preserve">6、报价超过招标文件中规定的预算金额/最高限价。 </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7、投标参数未如实填写，完全复制粘贴招标参数的。</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 xml:space="preserve">8、投标文件提供虚假材料的。 </w:t>
      </w:r>
    </w:p>
    <w:p>
      <w:pPr>
        <w:tabs>
          <w:tab w:val="left" w:pos="1898"/>
        </w:tabs>
        <w:autoSpaceDE w:val="0"/>
        <w:autoSpaceDN w:val="0"/>
        <w:adjustRightInd w:val="0"/>
        <w:snapToGrid w:val="0"/>
        <w:spacing w:line="360" w:lineRule="auto"/>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9</w:t>
      </w:r>
      <w:r>
        <w:rPr>
          <w:rFonts w:asciiTheme="minorEastAsia" w:hAnsiTheme="minorEastAsia" w:eastAsiaTheme="minorEastAsia"/>
          <w:color w:val="000000" w:themeColor="text1"/>
          <w:kern w:val="0"/>
          <w:sz w:val="24"/>
          <w:highlight w:val="none"/>
          <w14:textFill>
            <w14:solidFill>
              <w14:schemeClr w14:val="tx1"/>
            </w14:solidFill>
          </w14:textFill>
        </w:rPr>
        <w:t>、不符合中华人民共和国财政部令第87号《政府采购货物和服务招标投标管理办法》第三十七条情形之一的，视为投标人串通投标，其投标无效</w:t>
      </w:r>
      <w:r>
        <w:rPr>
          <w:rFonts w:hint="eastAsia" w:asciiTheme="minorEastAsia" w:hAnsiTheme="minorEastAsia" w:eastAsiaTheme="minorEastAsia"/>
          <w:color w:val="000000" w:themeColor="text1"/>
          <w:kern w:val="0"/>
          <w:sz w:val="24"/>
          <w:highlight w:val="none"/>
          <w14:textFill>
            <w14:solidFill>
              <w14:schemeClr w14:val="tx1"/>
            </w14:solidFill>
          </w14:textFill>
        </w:rPr>
        <w:t>，并移送采购监管部门</w:t>
      </w:r>
      <w:r>
        <w:rPr>
          <w:rFonts w:asciiTheme="minorEastAsia" w:hAnsiTheme="minorEastAsia" w:eastAsiaTheme="minorEastAsia"/>
          <w:color w:val="000000" w:themeColor="text1"/>
          <w:kern w:val="0"/>
          <w:sz w:val="24"/>
          <w:highlight w:val="none"/>
          <w14:textFill>
            <w14:solidFill>
              <w14:schemeClr w14:val="tx1"/>
            </w14:solidFill>
          </w14:textFill>
        </w:rPr>
        <w:t>：</w:t>
      </w:r>
    </w:p>
    <w:p>
      <w:pPr>
        <w:pStyle w:val="14"/>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（1）不同投标人的投标文件由同一单位或者个人编制；</w:t>
      </w:r>
    </w:p>
    <w:p>
      <w:pPr>
        <w:pStyle w:val="14"/>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（2）不同投标人委托同一单位或者个人办理投标事宜；</w:t>
      </w:r>
    </w:p>
    <w:p>
      <w:pPr>
        <w:pStyle w:val="14"/>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（3）不同投标人的投标文件载明的项目管理成员或者联系人员为同一人；</w:t>
      </w:r>
    </w:p>
    <w:p>
      <w:pPr>
        <w:pStyle w:val="14"/>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（4）不同投标人的投标文件异常一致或者投标报价呈规律性差异；</w:t>
      </w:r>
    </w:p>
    <w:p>
      <w:pPr>
        <w:pStyle w:val="14"/>
        <w:spacing w:before="0" w:beforeAutospacing="0" w:after="0" w:afterAutospacing="0" w:line="360" w:lineRule="auto"/>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（5）不同投标人的投标文件相互混装；</w:t>
      </w:r>
    </w:p>
    <w:p>
      <w:pPr>
        <w:tabs>
          <w:tab w:val="right" w:pos="8306"/>
        </w:tabs>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10、不符合法律、法规和招标文件中规定的其他实质性要求的。</w:t>
      </w:r>
    </w:p>
    <w:p>
      <w:pPr>
        <w:autoSpaceDE w:val="0"/>
        <w:autoSpaceDN w:val="0"/>
        <w:adjustRightInd w:val="0"/>
        <w:spacing w:line="360" w:lineRule="auto"/>
        <w:ind w:left="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（六）有下列情况之一的，本次招标作为废标处理</w:t>
      </w:r>
    </w:p>
    <w:p>
      <w:pPr>
        <w:pStyle w:val="14"/>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1、出现影响采购公正的违法、违规行为的；</w:t>
      </w:r>
    </w:p>
    <w:p>
      <w:pPr>
        <w:pStyle w:val="14"/>
        <w:spacing w:before="0" w:beforeAutospacing="0" w:after="0" w:afterAutospacing="0" w:line="360" w:lineRule="auto"/>
        <w:ind w:firstLine="600" w:firstLineChars="250"/>
        <w:jc w:val="both"/>
        <w:rPr>
          <w:rFonts w:hint="default" w:asciiTheme="minorEastAsia" w:hAnsiTheme="minorEastAsia" w:eastAsiaTheme="minorEastAsia"/>
          <w:b/>
          <w:bCs/>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 xml:space="preserve">2、评标委员会发现招标文件存在歧义、重大缺陷导致评标工作无法进行，或者招标文件内容违反国家有关强制性规定的； </w:t>
      </w:r>
    </w:p>
    <w:p>
      <w:pPr>
        <w:pStyle w:val="14"/>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3、因重大变故，采购任务取消的；</w:t>
      </w:r>
    </w:p>
    <w:p>
      <w:pPr>
        <w:pStyle w:val="14"/>
        <w:spacing w:before="0" w:beforeAutospacing="0" w:after="0" w:afterAutospacing="0" w:line="360" w:lineRule="auto"/>
        <w:ind w:firstLine="600" w:firstLineChars="25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4、法律、法规和招标文件规定的其他导致评标结果无效的。</w:t>
      </w:r>
    </w:p>
    <w:p>
      <w:pPr>
        <w:pStyle w:val="9"/>
        <w:tabs>
          <w:tab w:val="left" w:pos="630"/>
        </w:tabs>
        <w:snapToGrid w:val="0"/>
        <w:spacing w:line="360" w:lineRule="auto"/>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七</w:t>
      </w:r>
      <w:r>
        <w:rPr>
          <w:rFonts w:asciiTheme="minorEastAsia" w:hAnsiTheme="minorEastAsia" w:eastAsiaTheme="minorEastAsia"/>
          <w:b/>
          <w:color w:val="000000" w:themeColor="text1"/>
          <w:sz w:val="24"/>
          <w:highlight w:val="none"/>
          <w14:textFill>
            <w14:solidFill>
              <w14:schemeClr w14:val="tx1"/>
            </w14:solidFill>
          </w14:textFill>
        </w:rPr>
        <w:t>）评标原则和评标办法</w:t>
      </w:r>
    </w:p>
    <w:p>
      <w:pPr>
        <w:pStyle w:val="9"/>
        <w:snapToGrid w:val="0"/>
        <w:spacing w:line="360" w:lineRule="auto"/>
        <w:ind w:firstLine="600" w:firstLineChars="2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9"/>
        <w:snapToGrid w:val="0"/>
        <w:spacing w:line="360" w:lineRule="auto"/>
        <w:ind w:firstLine="600" w:firstLineChars="2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评标办法。具体评标内容及评分标准等详见《第</w:t>
      </w:r>
      <w:r>
        <w:rPr>
          <w:rFonts w:hint="eastAsia" w:asciiTheme="minorEastAsia" w:hAnsiTheme="minorEastAsia" w:eastAsiaTheme="minorEastAsia"/>
          <w:color w:val="000000" w:themeColor="text1"/>
          <w:sz w:val="24"/>
          <w:highlight w:val="none"/>
          <w14:textFill>
            <w14:solidFill>
              <w14:schemeClr w14:val="tx1"/>
            </w14:solidFill>
          </w14:textFill>
        </w:rPr>
        <w:t>三章</w:t>
      </w:r>
      <w:r>
        <w:rPr>
          <w:rFonts w:asciiTheme="minorEastAsia" w:hAnsiTheme="minorEastAsia" w:eastAsiaTheme="minorEastAsia"/>
          <w:color w:val="000000" w:themeColor="text1"/>
          <w:sz w:val="24"/>
          <w:highlight w:val="none"/>
          <w14:textFill>
            <w14:solidFill>
              <w14:schemeClr w14:val="tx1"/>
            </w14:solidFill>
          </w14:textFill>
        </w:rPr>
        <w:t>：评标</w:t>
      </w:r>
      <w:r>
        <w:rPr>
          <w:rFonts w:hint="eastAsia" w:asciiTheme="minorEastAsia" w:hAnsiTheme="minorEastAsia" w:eastAsiaTheme="minorEastAsia"/>
          <w:color w:val="000000" w:themeColor="text1"/>
          <w:sz w:val="24"/>
          <w:highlight w:val="none"/>
          <w14:textFill>
            <w14:solidFill>
              <w14:schemeClr w14:val="tx1"/>
            </w14:solidFill>
          </w14:textFill>
        </w:rPr>
        <w:t>方</w:t>
      </w:r>
      <w:r>
        <w:rPr>
          <w:rFonts w:asciiTheme="minorEastAsia" w:hAnsiTheme="minorEastAsia" w:eastAsiaTheme="minorEastAsia"/>
          <w:color w:val="000000" w:themeColor="text1"/>
          <w:sz w:val="24"/>
          <w:highlight w:val="none"/>
          <w14:textFill>
            <w14:solidFill>
              <w14:schemeClr w14:val="tx1"/>
            </w14:solidFill>
          </w14:textFill>
        </w:rPr>
        <w:t>法及评分标准》。</w:t>
      </w:r>
    </w:p>
    <w:p>
      <w:pPr>
        <w:pStyle w:val="9"/>
        <w:snapToGrid w:val="0"/>
        <w:spacing w:line="360" w:lineRule="auto"/>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八</w:t>
      </w:r>
      <w:r>
        <w:rPr>
          <w:rFonts w:asciiTheme="minorEastAsia" w:hAnsiTheme="minorEastAsia" w:eastAsiaTheme="minorEastAsia"/>
          <w:b/>
          <w:color w:val="000000" w:themeColor="text1"/>
          <w:sz w:val="24"/>
          <w:highlight w:val="none"/>
          <w14:textFill>
            <w14:solidFill>
              <w14:schemeClr w14:val="tx1"/>
            </w14:solidFill>
          </w14:textFill>
        </w:rPr>
        <w:t>）评标过程的监控</w:t>
      </w:r>
    </w:p>
    <w:p>
      <w:pPr>
        <w:pStyle w:val="14"/>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本项目评标过程实行全程录音、录像监控，政府采购监管部门视情进行现场监督，投标人在评标过程中所进行的试图影响评标结果的不公正活动，可能导致其投标被拒绝。</w:t>
      </w:r>
    </w:p>
    <w:p>
      <w:pPr>
        <w:pStyle w:val="14"/>
        <w:spacing w:before="0" w:beforeAutospacing="0" w:after="0" w:afterAutospacing="0" w:line="360" w:lineRule="auto"/>
        <w:ind w:firstLine="361" w:firstLineChars="150"/>
        <w:jc w:val="both"/>
        <w:rPr>
          <w:rFonts w:hint="default" w:asciiTheme="minorEastAsia" w:hAnsiTheme="minorEastAsia" w:eastAsiaTheme="minorEastAsia"/>
          <w:b/>
          <w:color w:val="000000" w:themeColor="text1"/>
          <w:highlight w:val="none"/>
          <w14:textFill>
            <w14:solidFill>
              <w14:schemeClr w14:val="tx1"/>
            </w14:solidFill>
          </w14:textFill>
        </w:rPr>
      </w:pPr>
      <w:r>
        <w:rPr>
          <w:rFonts w:asciiTheme="minorEastAsia" w:hAnsiTheme="minorEastAsia" w:eastAsiaTheme="minorEastAsia"/>
          <w:b/>
          <w:color w:val="000000" w:themeColor="text1"/>
          <w:highlight w:val="none"/>
          <w14:textFill>
            <w14:solidFill>
              <w14:schemeClr w14:val="tx1"/>
            </w14:solidFill>
          </w14:textFill>
        </w:rPr>
        <w:t>六、定标</w:t>
      </w:r>
    </w:p>
    <w:p>
      <w:pPr>
        <w:pStyle w:val="14"/>
        <w:spacing w:before="0" w:beforeAutospacing="0" w:after="0" w:afterAutospacing="0" w:line="360" w:lineRule="auto"/>
        <w:ind w:firstLine="480" w:firstLineChars="200"/>
        <w:jc w:val="both"/>
        <w:rPr>
          <w:rFonts w:hint="default"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确定中标供应商。</w:t>
      </w:r>
      <w:r>
        <w:rPr>
          <w:rFonts w:asciiTheme="minorEastAsia" w:hAnsiTheme="minorEastAsia" w:eastAsiaTheme="minorEastAsia"/>
          <w:color w:val="000000" w:themeColor="text1"/>
          <w:highlight w:val="none"/>
          <w14:textFill>
            <w14:solidFill>
              <w14:schemeClr w14:val="tx1"/>
            </w14:solidFill>
          </w14:textFill>
        </w:rPr>
        <w:t>评标委员会根据采购单位的</w:t>
      </w:r>
      <w:r>
        <w:rPr>
          <w:color w:val="000000" w:themeColor="text1"/>
          <w:highlight w:val="none"/>
          <w14:textFill>
            <w14:solidFill>
              <w14:schemeClr w14:val="tx1"/>
            </w14:solidFill>
          </w14:textFill>
        </w:rPr>
        <w:t>《授权意见确认书》</w:t>
      </w:r>
      <w:r>
        <w:rPr>
          <w:rFonts w:asciiTheme="minorEastAsia" w:hAnsiTheme="minorEastAsia" w:eastAsiaTheme="minorEastAsia"/>
          <w:color w:val="000000" w:themeColor="text1"/>
          <w:highlight w:val="none"/>
          <w14:textFill>
            <w14:solidFill>
              <w14:schemeClr w14:val="tx1"/>
            </w14:solidFill>
          </w14:textFill>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ascii="宋体" w:hAnsi="宋体"/>
          <w:color w:val="000000" w:themeColor="text1"/>
          <w:kern w:val="0"/>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宋体" w:hAnsi="宋体"/>
          <w:color w:val="000000" w:themeColor="text1"/>
          <w:kern w:val="0"/>
          <w:sz w:val="24"/>
          <w:highlight w:val="none"/>
          <w14:textFill>
            <w14:solidFill>
              <w14:schemeClr w14:val="tx1"/>
            </w14:solidFill>
          </w14:textFill>
        </w:rPr>
        <w:t>发布</w:t>
      </w:r>
      <w:r>
        <w:rPr>
          <w:color w:val="000000" w:themeColor="text1"/>
          <w:sz w:val="24"/>
          <w:highlight w:val="none"/>
          <w14:textFill>
            <w14:solidFill>
              <w14:schemeClr w14:val="tx1"/>
            </w14:solidFill>
          </w14:textFill>
        </w:rPr>
        <w:t>中标</w:t>
      </w:r>
      <w:r>
        <w:rPr>
          <w:rFonts w:hint="eastAsia" w:ascii="宋体" w:hAnsi="宋体"/>
          <w:color w:val="000000" w:themeColor="text1"/>
          <w:kern w:val="0"/>
          <w:sz w:val="24"/>
          <w:highlight w:val="none"/>
          <w14:textFill>
            <w14:solidFill>
              <w14:schemeClr w14:val="tx1"/>
            </w14:solidFill>
          </w14:textFill>
        </w:rPr>
        <w:t>结果公告。采购组织机构应当自中标人</w:t>
      </w:r>
      <w:r>
        <w:rPr>
          <w:rFonts w:ascii="宋体" w:hAnsi="宋体"/>
          <w:color w:val="000000" w:themeColor="text1"/>
          <w:kern w:val="0"/>
          <w:sz w:val="24"/>
          <w:highlight w:val="none"/>
          <w14:textFill>
            <w14:solidFill>
              <w14:schemeClr w14:val="tx1"/>
            </w14:solidFill>
          </w14:textFill>
        </w:rPr>
        <w:t>确定</w:t>
      </w:r>
      <w:r>
        <w:rPr>
          <w:rFonts w:hint="eastAsia" w:ascii="宋体" w:hAnsi="宋体"/>
          <w:color w:val="000000" w:themeColor="text1"/>
          <w:kern w:val="0"/>
          <w:sz w:val="24"/>
          <w:highlight w:val="none"/>
          <w14:textFill>
            <w14:solidFill>
              <w14:schemeClr w14:val="tx1"/>
            </w14:solidFill>
          </w14:textFill>
        </w:rPr>
        <w:t>之日起</w:t>
      </w:r>
      <w:r>
        <w:rPr>
          <w:rFonts w:ascii="宋体" w:hAnsi="宋体"/>
          <w:color w:val="000000" w:themeColor="text1"/>
          <w:kern w:val="0"/>
          <w:sz w:val="24"/>
          <w:highlight w:val="none"/>
          <w14:textFill>
            <w14:solidFill>
              <w14:schemeClr w14:val="tx1"/>
            </w14:solidFill>
          </w14:textFill>
        </w:rPr>
        <w:t>2个工作日内</w:t>
      </w:r>
      <w:r>
        <w:rPr>
          <w:rFonts w:hint="eastAsia" w:ascii="宋体" w:hAnsi="宋体"/>
          <w:color w:val="000000" w:themeColor="text1"/>
          <w:kern w:val="0"/>
          <w:sz w:val="24"/>
          <w:highlight w:val="none"/>
          <w14:textFill>
            <w14:solidFill>
              <w14:schemeClr w14:val="tx1"/>
            </w14:solidFill>
          </w14:textFill>
        </w:rPr>
        <w:t>，</w:t>
      </w:r>
      <w:r>
        <w:rPr>
          <w:rFonts w:ascii="宋体" w:hAnsi="宋体"/>
          <w:color w:val="000000" w:themeColor="text1"/>
          <w:kern w:val="0"/>
          <w:sz w:val="24"/>
          <w:highlight w:val="none"/>
          <w14:textFill>
            <w14:solidFill>
              <w14:schemeClr w14:val="tx1"/>
            </w14:solidFill>
          </w14:textFill>
        </w:rPr>
        <w:t>在省级以上财政部门指定的媒体及相关网站</w:t>
      </w:r>
      <w:r>
        <w:rPr>
          <w:rFonts w:hint="eastAsia" w:ascii="宋体" w:hAnsi="宋体"/>
          <w:color w:val="000000" w:themeColor="text1"/>
          <w:kern w:val="0"/>
          <w:sz w:val="24"/>
          <w:highlight w:val="none"/>
          <w14:textFill>
            <w14:solidFill>
              <w14:schemeClr w14:val="tx1"/>
            </w14:solidFill>
          </w14:textFill>
        </w:rPr>
        <w:t>上</w:t>
      </w:r>
      <w:r>
        <w:rPr>
          <w:rFonts w:ascii="宋体" w:hAnsi="宋体"/>
          <w:color w:val="000000" w:themeColor="text1"/>
          <w:kern w:val="0"/>
          <w:sz w:val="24"/>
          <w:highlight w:val="none"/>
          <w14:textFill>
            <w14:solidFill>
              <w14:schemeClr w14:val="tx1"/>
            </w14:solidFill>
          </w14:textFill>
        </w:rPr>
        <w:t>公告</w:t>
      </w:r>
      <w:r>
        <w:rPr>
          <w:rFonts w:hint="eastAsia" w:ascii="宋体" w:hAnsi="宋体"/>
          <w:color w:val="000000" w:themeColor="text1"/>
          <w:kern w:val="0"/>
          <w:sz w:val="24"/>
          <w:highlight w:val="none"/>
          <w14:textFill>
            <w14:solidFill>
              <w14:schemeClr w14:val="tx1"/>
            </w14:solidFill>
          </w14:textFill>
        </w:rPr>
        <w:t>中标结果，招标文件应当随中标结果同时公告。</w:t>
      </w:r>
    </w:p>
    <w:p>
      <w:pPr>
        <w:spacing w:line="360" w:lineRule="auto"/>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3、发出中标通知书。采购组织机构在发布中标结果的同时，向中标人发出中标通知书。</w:t>
      </w:r>
    </w:p>
    <w:p>
      <w:pPr>
        <w:spacing w:line="360" w:lineRule="auto"/>
        <w:ind w:firstLine="482" w:firstLineChars="200"/>
        <w:rPr>
          <w:rFonts w:ascii="宋体" w:hAnsi="宋体"/>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七</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宋体" w:hAnsi="宋体"/>
          <w:b/>
          <w:color w:val="000000" w:themeColor="text1"/>
          <w:kern w:val="0"/>
          <w:sz w:val="24"/>
          <w:highlight w:val="none"/>
          <w14:textFill>
            <w14:solidFill>
              <w14:schemeClr w14:val="tx1"/>
            </w14:solidFill>
          </w14:textFill>
        </w:rPr>
        <w:t>合同签订及公告</w:t>
      </w:r>
    </w:p>
    <w:p>
      <w:pPr>
        <w:spacing w:line="360" w:lineRule="auto"/>
        <w:ind w:firstLine="482" w:firstLineChars="200"/>
        <w:rPr>
          <w:rFonts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（一）签订合同</w:t>
      </w:r>
    </w:p>
    <w:p>
      <w:pPr>
        <w:pStyle w:val="14"/>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1、采购人应当自中标通知书发出之日起10个工作日内，按照招标文件和中标人投标文件的规定，与中标人签订书面合同。所签订的合同不得对招标文件确定的事项和中标人投标文件作实质性修改。</w:t>
      </w:r>
    </w:p>
    <w:p>
      <w:pPr>
        <w:pStyle w:val="14"/>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2、采购人不得向中标人提出任何不合理的要求作为签订合同的条件。</w:t>
      </w:r>
    </w:p>
    <w:p>
      <w:pPr>
        <w:pStyle w:val="14"/>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3、中标供应商无故拖延、拒签合同的,取消中标资格。</w:t>
      </w:r>
    </w:p>
    <w:p>
      <w:pPr>
        <w:pStyle w:val="14"/>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14"/>
        <w:spacing w:before="0" w:beforeAutospacing="0" w:after="0" w:afterAutospacing="0" w:line="360" w:lineRule="auto"/>
        <w:ind w:firstLine="600" w:firstLineChars="250"/>
        <w:jc w:val="both"/>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5、询问或者质疑事项可能影响中标结果的，采购人应当暂停签订合同，已经签订合同的，应当中止履行合同（中标结果的质疑期为中标结果公告期限届满之日起七个工作日）。</w:t>
      </w:r>
    </w:p>
    <w:p>
      <w:pPr>
        <w:pStyle w:val="14"/>
        <w:spacing w:line="360" w:lineRule="auto"/>
        <w:ind w:firstLine="424" w:firstLineChars="176"/>
        <w:rPr>
          <w:rFonts w:hint="default" w:cs="仿宋_GB2312"/>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（二）合同公告及备案</w:t>
      </w:r>
    </w:p>
    <w:p>
      <w:pPr>
        <w:pStyle w:val="8"/>
        <w:spacing w:line="360" w:lineRule="auto"/>
        <w:ind w:left="0" w:leftChars="0"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1、采购人应当自政府采购合同签订之日起2个工作日内，</w:t>
      </w:r>
      <w:r>
        <w:rPr>
          <w:rFonts w:ascii="宋体" w:hAnsi="宋体"/>
          <w:color w:val="000000" w:themeColor="text1"/>
          <w:kern w:val="0"/>
          <w:sz w:val="24"/>
          <w:highlight w:val="none"/>
          <w14:textFill>
            <w14:solidFill>
              <w14:schemeClr w14:val="tx1"/>
            </w14:solidFill>
          </w14:textFill>
        </w:rPr>
        <w:t>在省级以上财政部门指定的</w:t>
      </w:r>
      <w:r>
        <w:rPr>
          <w:rFonts w:hint="eastAsia" w:ascii="宋体" w:hAnsi="宋体"/>
          <w:color w:val="000000" w:themeColor="text1"/>
          <w:kern w:val="0"/>
          <w:sz w:val="24"/>
          <w:highlight w:val="none"/>
          <w14:textFill>
            <w14:solidFill>
              <w14:schemeClr w14:val="tx1"/>
            </w14:solidFill>
          </w14:textFill>
        </w:rPr>
        <w:t>政府采购信息发布</w:t>
      </w:r>
      <w:r>
        <w:rPr>
          <w:rFonts w:ascii="宋体" w:hAnsi="宋体"/>
          <w:color w:val="000000" w:themeColor="text1"/>
          <w:kern w:val="0"/>
          <w:sz w:val="24"/>
          <w:highlight w:val="none"/>
          <w14:textFill>
            <w14:solidFill>
              <w14:schemeClr w14:val="tx1"/>
            </w14:solidFill>
          </w14:textFill>
        </w:rPr>
        <w:t>媒体及相关网站</w:t>
      </w:r>
      <w:r>
        <w:rPr>
          <w:rFonts w:hint="eastAsia" w:ascii="宋体" w:hAnsi="宋体"/>
          <w:color w:val="000000" w:themeColor="text1"/>
          <w:kern w:val="0"/>
          <w:sz w:val="24"/>
          <w:highlight w:val="none"/>
          <w14:textFill>
            <w14:solidFill>
              <w14:schemeClr w14:val="tx1"/>
            </w14:solidFill>
          </w14:textFill>
        </w:rPr>
        <w:t>上</w:t>
      </w:r>
      <w:r>
        <w:rPr>
          <w:rFonts w:ascii="宋体" w:hAnsi="宋体"/>
          <w:color w:val="000000" w:themeColor="text1"/>
          <w:kern w:val="0"/>
          <w:sz w:val="24"/>
          <w:highlight w:val="none"/>
          <w14:textFill>
            <w14:solidFill>
              <w14:schemeClr w14:val="tx1"/>
            </w14:solidFill>
          </w14:textFill>
        </w:rPr>
        <w:t>公告</w:t>
      </w:r>
      <w:r>
        <w:rPr>
          <w:rFonts w:hint="eastAsia" w:ascii="宋体" w:hAnsi="宋体"/>
          <w:color w:val="000000" w:themeColor="text1"/>
          <w:sz w:val="24"/>
          <w:highlight w:val="none"/>
          <w14:textFill>
            <w14:solidFill>
              <w14:schemeClr w14:val="tx1"/>
            </w14:solidFill>
          </w14:textFill>
        </w:rPr>
        <w:t>。</w:t>
      </w:r>
    </w:p>
    <w:p>
      <w:pPr>
        <w:pStyle w:val="8"/>
        <w:spacing w:line="360" w:lineRule="auto"/>
        <w:ind w:left="0" w:leftChars="0"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2、采购人应当自政府采购合同签订之日起7个工作日内，将政府采购合同副本报同级人民政府财政部门备案以及采购组织机构存档。</w:t>
      </w:r>
    </w:p>
    <w:p>
      <w:pPr>
        <w:pStyle w:val="3"/>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八、采购代理费</w:t>
      </w:r>
    </w:p>
    <w:p>
      <w:pPr>
        <w:autoSpaceDE w:val="0"/>
        <w:autoSpaceDN w:val="0"/>
        <w:adjustRightInd w:val="0"/>
        <w:spacing w:line="450" w:lineRule="atLeast"/>
        <w:ind w:firstLine="480" w:firstLineChars="200"/>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中标供应商在领取中标通知书前须支付</w:t>
      </w:r>
      <w:r>
        <w:rPr>
          <w:rFonts w:hint="eastAsia" w:ascii="宋体" w:hAnsi="宋体" w:cs="Arial"/>
          <w:color w:val="000000" w:themeColor="text1"/>
          <w:sz w:val="24"/>
          <w:highlight w:val="none"/>
          <w14:textFill>
            <w14:solidFill>
              <w14:schemeClr w14:val="tx1"/>
            </w14:solidFill>
          </w14:textFill>
        </w:rPr>
        <w:t>采购代理费</w:t>
      </w:r>
      <w:r>
        <w:rPr>
          <w:rFonts w:hint="eastAsia" w:ascii="宋体" w:hAnsi="宋体" w:cs="Arial"/>
          <w:color w:val="000000" w:themeColor="text1"/>
          <w:sz w:val="24"/>
          <w:highlight w:val="none"/>
          <w:lang w:val="en-US" w:eastAsia="zh-CN"/>
          <w14:textFill>
            <w14:solidFill>
              <w14:schemeClr w14:val="tx1"/>
            </w14:solidFill>
          </w14:textFill>
        </w:rPr>
        <w:t>27</w:t>
      </w:r>
      <w:r>
        <w:rPr>
          <w:rFonts w:hint="eastAsia" w:ascii="宋体" w:hAnsi="宋体" w:cs="Arial"/>
          <w:color w:val="000000" w:themeColor="text1"/>
          <w:sz w:val="24"/>
          <w:highlight w:val="none"/>
          <w14:textFill>
            <w14:solidFill>
              <w14:schemeClr w14:val="tx1"/>
            </w14:solidFill>
          </w14:textFill>
        </w:rPr>
        <w:t>000元人民币</w:t>
      </w:r>
      <w:r>
        <w:rPr>
          <w:rFonts w:hint="eastAsia" w:ascii="宋体" w:hAnsi="宋体"/>
          <w:color w:val="000000" w:themeColor="text1"/>
          <w:sz w:val="24"/>
          <w:highlight w:val="none"/>
          <w14:textFill>
            <w14:solidFill>
              <w14:schemeClr w14:val="tx1"/>
            </w14:solidFill>
          </w14:textFill>
        </w:rPr>
        <w:t>，</w:t>
      </w:r>
      <w:r>
        <w:rPr>
          <w:rFonts w:hint="eastAsia" w:ascii="宋体" w:hAnsi="宋体" w:cs="Arial"/>
          <w:color w:val="000000" w:themeColor="text1"/>
          <w:sz w:val="24"/>
          <w:highlight w:val="none"/>
          <w14:textFill>
            <w14:solidFill>
              <w14:schemeClr w14:val="tx1"/>
            </w14:solidFill>
          </w14:textFill>
        </w:rPr>
        <w:t>采购代理费</w:t>
      </w:r>
      <w:r>
        <w:rPr>
          <w:rFonts w:hint="eastAsia" w:ascii="宋体" w:hAnsi="宋体"/>
          <w:color w:val="000000" w:themeColor="text1"/>
          <w:sz w:val="24"/>
          <w:highlight w:val="none"/>
          <w14:textFill>
            <w14:solidFill>
              <w14:schemeClr w14:val="tx1"/>
            </w14:solidFill>
          </w14:textFill>
        </w:rPr>
        <w:t>包含在投标总价中。招标代理服务费汇入以下账户：</w:t>
      </w:r>
    </w:p>
    <w:p>
      <w:pPr>
        <w:adjustRightInd w:val="0"/>
        <w:snapToGrid w:val="0"/>
        <w:spacing w:line="420" w:lineRule="exact"/>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开户银行：工行台州玉环玉城支行</w:t>
      </w:r>
    </w:p>
    <w:p>
      <w:pPr>
        <w:adjustRightInd w:val="0"/>
        <w:snapToGrid w:val="0"/>
        <w:spacing w:line="420" w:lineRule="exact"/>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开户名称：杭州华旗招标代理有限公司玉环分公司</w:t>
      </w:r>
    </w:p>
    <w:p>
      <w:pPr>
        <w:adjustRightInd w:val="0"/>
        <w:snapToGrid w:val="0"/>
        <w:spacing w:line="420" w:lineRule="exact"/>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开户帐号：1207281909100001839</w:t>
      </w:r>
    </w:p>
    <w:p>
      <w:pPr>
        <w:pStyle w:val="8"/>
        <w:spacing w:line="360" w:lineRule="auto"/>
        <w:ind w:left="0" w:leftChars="0" w:firstLine="480" w:firstLineChars="200"/>
        <w:rPr>
          <w:rFonts w:ascii="宋体" w:hAnsi="宋体"/>
          <w:color w:val="000000" w:themeColor="text1"/>
          <w:sz w:val="24"/>
          <w:highlight w:val="none"/>
          <w14:textFill>
            <w14:solidFill>
              <w14:schemeClr w14:val="tx1"/>
            </w14:solidFill>
          </w14:textFill>
        </w:rPr>
      </w:pPr>
    </w:p>
    <w:p>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p>
    <w:p>
      <w:pPr>
        <w:pStyle w:val="2"/>
        <w:rPr>
          <w:rFonts w:asciiTheme="minorEastAsia" w:hAnsiTheme="minorEastAsia" w:eastAsiaTheme="minorEastAsia"/>
          <w:b/>
          <w:color w:val="000000" w:themeColor="text1"/>
          <w:sz w:val="28"/>
          <w:szCs w:val="28"/>
          <w:highlight w:val="none"/>
          <w14:textFill>
            <w14:solidFill>
              <w14:schemeClr w14:val="tx1"/>
            </w14:solidFill>
          </w14:textFill>
        </w:rPr>
      </w:pPr>
    </w:p>
    <w:p>
      <w:pPr>
        <w:pStyle w:val="2"/>
        <w:rPr>
          <w:rFonts w:asciiTheme="minorEastAsia" w:hAnsiTheme="minorEastAsia" w:eastAsiaTheme="minorEastAsia"/>
          <w:b/>
          <w:color w:val="000000" w:themeColor="text1"/>
          <w:sz w:val="28"/>
          <w:szCs w:val="28"/>
          <w:highlight w:val="none"/>
          <w14:textFill>
            <w14:solidFill>
              <w14:schemeClr w14:val="tx1"/>
            </w14:solidFill>
          </w14:textFill>
        </w:rPr>
      </w:pPr>
    </w:p>
    <w:p>
      <w:pPr>
        <w:pStyle w:val="2"/>
        <w:rPr>
          <w:rFonts w:asciiTheme="minorEastAsia" w:hAnsiTheme="minorEastAsia" w:eastAsiaTheme="minorEastAsia"/>
          <w:b/>
          <w:color w:val="000000" w:themeColor="text1"/>
          <w:sz w:val="28"/>
          <w:szCs w:val="28"/>
          <w:highlight w:val="none"/>
          <w14:textFill>
            <w14:solidFill>
              <w14:schemeClr w14:val="tx1"/>
            </w14:solidFill>
          </w14:textFill>
        </w:rPr>
      </w:pPr>
    </w:p>
    <w:p>
      <w:pPr>
        <w:pStyle w:val="2"/>
        <w:rPr>
          <w:rFonts w:asciiTheme="minorEastAsia" w:hAnsiTheme="minorEastAsia" w:eastAsiaTheme="minorEastAsia"/>
          <w:b/>
          <w:color w:val="000000" w:themeColor="text1"/>
          <w:sz w:val="28"/>
          <w:szCs w:val="28"/>
          <w:highlight w:val="none"/>
          <w14:textFill>
            <w14:solidFill>
              <w14:schemeClr w14:val="tx1"/>
            </w14:solidFill>
          </w14:textFill>
        </w:rPr>
      </w:pPr>
    </w:p>
    <w:p>
      <w:pPr>
        <w:pStyle w:val="2"/>
        <w:rPr>
          <w:rFonts w:asciiTheme="minorEastAsia" w:hAnsiTheme="minorEastAsia" w:eastAsiaTheme="minorEastAsia"/>
          <w:b/>
          <w:color w:val="000000" w:themeColor="text1"/>
          <w:sz w:val="28"/>
          <w:szCs w:val="28"/>
          <w:highlight w:val="none"/>
          <w14:textFill>
            <w14:solidFill>
              <w14:schemeClr w14:val="tx1"/>
            </w14:solidFill>
          </w14:textFill>
        </w:rPr>
      </w:pPr>
    </w:p>
    <w:p>
      <w:pPr>
        <w:widowControl/>
        <w:jc w:val="left"/>
        <w:rPr>
          <w:rFonts w:asciiTheme="minorEastAsia" w:hAnsiTheme="minorEastAsia" w:eastAsiaTheme="minorEastAsia"/>
          <w:b/>
          <w:color w:val="000000" w:themeColor="text1"/>
          <w:sz w:val="28"/>
          <w:szCs w:val="28"/>
          <w:highlight w:val="none"/>
          <w14:textFill>
            <w14:solidFill>
              <w14:schemeClr w14:val="tx1"/>
            </w14:solidFill>
          </w14:textFill>
        </w:rPr>
      </w:pPr>
      <w:r>
        <w:rPr>
          <w:rFonts w:asciiTheme="minorEastAsia" w:hAnsiTheme="minorEastAsia" w:eastAsiaTheme="minorEastAsia"/>
          <w:b/>
          <w:color w:val="000000" w:themeColor="text1"/>
          <w:sz w:val="28"/>
          <w:szCs w:val="28"/>
          <w:highlight w:val="none"/>
          <w14:textFill>
            <w14:solidFill>
              <w14:schemeClr w14:val="tx1"/>
            </w14:solidFill>
          </w14:textFill>
        </w:rPr>
        <w:br w:type="page"/>
      </w:r>
    </w:p>
    <w:p>
      <w:pPr>
        <w:numPr>
          <w:ilvl w:val="0"/>
          <w:numId w:val="3"/>
        </w:numPr>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评标办法及评分标准</w:t>
      </w:r>
    </w:p>
    <w:p>
      <w:pPr>
        <w:autoSpaceDE w:val="0"/>
        <w:autoSpaceDN w:val="0"/>
        <w:spacing w:line="360" w:lineRule="auto"/>
        <w:ind w:firstLine="480" w:firstLineChars="200"/>
        <w:rPr>
          <w:rFonts w:asciiTheme="minorEastAsia" w:hAnsiTheme="minorEastAsia" w:eastAsiaTheme="minorEastAsia"/>
          <w:b/>
          <w:i/>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一、采购组织机构将组织评标委员会，对投标人提供的投标文件进行综合评审。</w:t>
      </w:r>
    </w:p>
    <w:p>
      <w:pPr>
        <w:autoSpaceDE w:val="0"/>
        <w:autoSpaceDN w:val="0"/>
        <w:adjustRightInd w:val="0"/>
        <w:spacing w:line="360" w:lineRule="auto"/>
        <w:ind w:left="19" w:leftChars="9" w:firstLine="458" w:firstLineChars="191"/>
        <w:jc w:val="left"/>
        <w:rPr>
          <w:rFonts w:ascii="宋体" w:hAnsi="宋体"/>
          <w:color w:val="000000" w:themeColor="text1"/>
          <w:kern w:val="0"/>
          <w:sz w:val="24"/>
          <w:highlight w:val="none"/>
          <w:lang w:val="zh-CN"/>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二、本次招标项目的评标方法为综合评分法，</w:t>
      </w:r>
      <w:r>
        <w:rPr>
          <w:rFonts w:hint="eastAsia" w:ascii="宋体" w:hAnsi="宋体"/>
          <w:color w:val="000000" w:themeColor="text1"/>
          <w:kern w:val="0"/>
          <w:sz w:val="24"/>
          <w:highlight w:val="none"/>
          <w14:textFill>
            <w14:solidFill>
              <w14:schemeClr w14:val="tx1"/>
            </w14:solidFill>
          </w14:textFill>
        </w:rPr>
        <w:t>总计100分。商务报价评分</w:t>
      </w:r>
      <w:r>
        <w:rPr>
          <w:rFonts w:hint="eastAsia" w:ascii="宋体" w:hAnsi="宋体"/>
          <w:color w:val="000000" w:themeColor="text1"/>
          <w:kern w:val="0"/>
          <w:sz w:val="24"/>
          <w:highlight w:val="none"/>
          <w:lang w:val="en-US" w:eastAsia="zh-CN"/>
          <w14:textFill>
            <w14:solidFill>
              <w14:schemeClr w14:val="tx1"/>
            </w14:solidFill>
          </w14:textFill>
        </w:rPr>
        <w:t>3</w:t>
      </w:r>
      <w:r>
        <w:rPr>
          <w:rFonts w:hint="eastAsia" w:ascii="宋体" w:hAnsi="宋体"/>
          <w:color w:val="000000" w:themeColor="text1"/>
          <w:kern w:val="0"/>
          <w:sz w:val="24"/>
          <w:highlight w:val="none"/>
          <w14:textFill>
            <w14:solidFill>
              <w14:schemeClr w14:val="tx1"/>
            </w14:solidFill>
          </w14:textFill>
        </w:rPr>
        <w:t xml:space="preserve">0分，技术、服务、资信综合评分 </w:t>
      </w:r>
      <w:r>
        <w:rPr>
          <w:rFonts w:hint="eastAsia" w:ascii="宋体" w:hAnsi="宋体"/>
          <w:color w:val="000000" w:themeColor="text1"/>
          <w:kern w:val="0"/>
          <w:sz w:val="24"/>
          <w:highlight w:val="none"/>
          <w:lang w:val="en-US" w:eastAsia="zh-CN"/>
          <w14:textFill>
            <w14:solidFill>
              <w14:schemeClr w14:val="tx1"/>
            </w14:solidFill>
          </w14:textFill>
        </w:rPr>
        <w:t>7</w:t>
      </w:r>
      <w:r>
        <w:rPr>
          <w:rFonts w:hint="eastAsia" w:ascii="宋体" w:hAnsi="宋体"/>
          <w:color w:val="000000" w:themeColor="text1"/>
          <w:kern w:val="0"/>
          <w:sz w:val="24"/>
          <w:highlight w:val="none"/>
          <w14:textFill>
            <w14:solidFill>
              <w14:schemeClr w14:val="tx1"/>
            </w14:solidFill>
          </w14:textFill>
        </w:rPr>
        <w:t>0分。</w:t>
      </w:r>
    </w:p>
    <w:p>
      <w:pPr>
        <w:autoSpaceDE w:val="0"/>
        <w:autoSpaceDN w:val="0"/>
        <w:adjustRightInd w:val="0"/>
        <w:spacing w:line="360" w:lineRule="auto"/>
        <w:ind w:right="84" w:firstLine="472"/>
        <w:rPr>
          <w:rFonts w:ascii="宋体"/>
          <w:bCs/>
          <w:color w:val="000000" w:themeColor="text1"/>
          <w:sz w:val="24"/>
          <w:highlight w:val="none"/>
          <w:lang w:val="zh-CN"/>
          <w14:textFill>
            <w14:solidFill>
              <w14:schemeClr w14:val="tx1"/>
            </w14:solidFill>
          </w14:textFill>
        </w:rPr>
      </w:pPr>
      <w:r>
        <w:rPr>
          <w:rFonts w:hint="eastAsia" w:ascii="宋体"/>
          <w:bCs/>
          <w:color w:val="000000" w:themeColor="text1"/>
          <w:sz w:val="24"/>
          <w:highlight w:val="none"/>
          <w:lang w:val="zh-CN"/>
          <w14:textFill>
            <w14:solidFill>
              <w14:schemeClr w14:val="tx1"/>
            </w14:solidFill>
          </w14:textFill>
        </w:rPr>
        <w:t>（一）商务与技术文件中的客观分由评标委员会讨论后统一打分；其余在规定的分值内单独评定打分。</w:t>
      </w:r>
    </w:p>
    <w:p>
      <w:pPr>
        <w:autoSpaceDE w:val="0"/>
        <w:autoSpaceDN w:val="0"/>
        <w:adjustRightInd w:val="0"/>
        <w:spacing w:line="360" w:lineRule="auto"/>
        <w:ind w:right="84" w:firstLine="472"/>
        <w:rPr>
          <w:rFonts w:ascii="宋体"/>
          <w:bCs/>
          <w:color w:val="000000" w:themeColor="text1"/>
          <w:sz w:val="24"/>
          <w:highlight w:val="none"/>
          <w:shd w:val="clear" w:color="FFFFFF" w:fill="D9D9D9"/>
          <w:lang w:val="zh-CN"/>
          <w14:textFill>
            <w14:solidFill>
              <w14:schemeClr w14:val="tx1"/>
            </w14:solidFill>
          </w14:textFill>
        </w:rPr>
      </w:pPr>
      <w:r>
        <w:rPr>
          <w:rFonts w:hint="eastAsia" w:ascii="宋体"/>
          <w:bCs/>
          <w:color w:val="000000" w:themeColor="text1"/>
          <w:sz w:val="24"/>
          <w:highlight w:val="none"/>
          <w:lang w:val="zh-CN"/>
          <w14:textFill>
            <w14:solidFill>
              <w14:schemeClr w14:val="tx1"/>
            </w14:solidFill>
          </w14:textFill>
        </w:rPr>
        <w:t>（二）各投标人商务与技术文件</w:t>
      </w:r>
      <w:r>
        <w:rPr>
          <w:rFonts w:hint="eastAsia" w:ascii="宋体"/>
          <w:color w:val="000000" w:themeColor="text1"/>
          <w:kern w:val="0"/>
          <w:sz w:val="24"/>
          <w:highlight w:val="none"/>
          <w:lang w:val="zh-CN"/>
          <w14:textFill>
            <w14:solidFill>
              <w14:schemeClr w14:val="tx1"/>
            </w14:solidFill>
          </w14:textFill>
        </w:rPr>
        <w:t>得分按照评标委员会成</w:t>
      </w:r>
      <w:r>
        <w:rPr>
          <w:rFonts w:hint="eastAsia" w:ascii="宋体"/>
          <w:bCs/>
          <w:color w:val="000000" w:themeColor="text1"/>
          <w:sz w:val="24"/>
          <w:highlight w:val="none"/>
          <w:lang w:val="zh-CN"/>
          <w14:textFill>
            <w14:solidFill>
              <w14:schemeClr w14:val="tx1"/>
            </w14:solidFill>
          </w14:textFill>
        </w:rPr>
        <w:t>员的独立评分结果汇总后的算术平均分计算，计算公式为：</w:t>
      </w:r>
    </w:p>
    <w:p>
      <w:pPr>
        <w:autoSpaceDE w:val="0"/>
        <w:autoSpaceDN w:val="0"/>
        <w:adjustRightInd w:val="0"/>
        <w:spacing w:line="360" w:lineRule="auto"/>
        <w:ind w:right="84" w:firstLine="472"/>
        <w:rPr>
          <w:rFonts w:ascii="宋体"/>
          <w:bCs/>
          <w:color w:val="000000" w:themeColor="text1"/>
          <w:sz w:val="24"/>
          <w:highlight w:val="none"/>
          <w:shd w:val="clear" w:color="FFFFFF" w:fill="D9D9D9"/>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商务与技术文件得分</w:t>
      </w:r>
      <w:r>
        <w:rPr>
          <w:rFonts w:hint="eastAsia" w:ascii="宋体"/>
          <w:bCs/>
          <w:color w:val="000000" w:themeColor="text1"/>
          <w:sz w:val="24"/>
          <w:highlight w:val="none"/>
          <w:lang w:val="zh-CN"/>
          <w14:textFill>
            <w14:solidFill>
              <w14:schemeClr w14:val="tx1"/>
            </w14:solidFill>
          </w14:textFill>
        </w:rPr>
        <w:t>=评标委员会所有成员评分合计数/评标委员会组成人员数。</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bCs/>
          <w:color w:val="000000" w:themeColor="text1"/>
          <w:sz w:val="24"/>
          <w:highlight w:val="none"/>
          <w:lang w:val="zh-CN"/>
          <w14:textFill>
            <w14:solidFill>
              <w14:schemeClr w14:val="tx1"/>
            </w14:solidFill>
          </w14:textFill>
        </w:rPr>
        <w:t>（三）</w:t>
      </w:r>
      <w:r>
        <w:rPr>
          <w:rFonts w:hint="eastAsia" w:ascii="宋体"/>
          <w:color w:val="000000" w:themeColor="text1"/>
          <w:sz w:val="24"/>
          <w:highlight w:val="none"/>
          <w:lang w:val="zh-CN"/>
          <w14:textFill>
            <w14:solidFill>
              <w14:schemeClr w14:val="tx1"/>
            </w14:solidFill>
          </w14:textFill>
        </w:rPr>
        <w:t>投标报价得分采用低价优先法计算，即满足招标文件要求且投标价格最低的投标报价为评标基准价，其报价得满分。其他投标人的投标报价得分按下列公式计算：</w:t>
      </w:r>
    </w:p>
    <w:p>
      <w:pPr>
        <w:autoSpaceDE w:val="0"/>
        <w:autoSpaceDN w:val="0"/>
        <w:adjustRightInd w:val="0"/>
        <w:spacing w:line="360" w:lineRule="auto"/>
        <w:ind w:right="85" w:firstLine="480" w:firstLineChars="200"/>
        <w:rPr>
          <w:rFonts w:ascii="宋体" w:hAnsi="宋体"/>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投标报价得</w:t>
      </w:r>
      <w:r>
        <w:rPr>
          <w:color w:val="000000" w:themeColor="text1"/>
          <w:sz w:val="24"/>
          <w:highlight w:val="none"/>
          <w:u w:val="single"/>
          <w14:textFill>
            <w14:solidFill>
              <w14:schemeClr w14:val="tx1"/>
            </w14:solidFill>
          </w14:textFill>
        </w:rPr>
        <w:t>分=(评标基准价／投</w:t>
      </w:r>
      <w:r>
        <w:rPr>
          <w:rFonts w:ascii="宋体" w:hAnsi="宋体"/>
          <w:color w:val="000000" w:themeColor="text1"/>
          <w:sz w:val="24"/>
          <w:highlight w:val="none"/>
          <w:u w:val="single"/>
          <w14:textFill>
            <w14:solidFill>
              <w14:schemeClr w14:val="tx1"/>
            </w14:solidFill>
          </w14:textFill>
        </w:rPr>
        <w:t>标报价)×</w:t>
      </w:r>
      <w:r>
        <w:rPr>
          <w:rFonts w:hint="eastAsia" w:ascii="宋体" w:hAnsi="宋体"/>
          <w:color w:val="000000" w:themeColor="text1"/>
          <w:sz w:val="24"/>
          <w:highlight w:val="none"/>
          <w:u w:val="single"/>
          <w:lang w:val="en-US" w:eastAsia="zh-CN"/>
          <w14:textFill>
            <w14:solidFill>
              <w14:schemeClr w14:val="tx1"/>
            </w14:solidFill>
          </w14:textFill>
        </w:rPr>
        <w:t>3</w:t>
      </w:r>
      <w:r>
        <w:rPr>
          <w:rFonts w:hint="eastAsia" w:ascii="宋体" w:hAnsi="宋体"/>
          <w:color w:val="000000" w:themeColor="text1"/>
          <w:sz w:val="24"/>
          <w:highlight w:val="none"/>
          <w:u w:val="single"/>
          <w14:textFill>
            <w14:solidFill>
              <w14:schemeClr w14:val="tx1"/>
            </w14:solidFill>
          </w14:textFill>
        </w:rPr>
        <w:t>0%</w:t>
      </w:r>
      <w:r>
        <w:rPr>
          <w:rFonts w:ascii="宋体" w:hAnsi="宋体"/>
          <w:color w:val="000000" w:themeColor="text1"/>
          <w:sz w:val="24"/>
          <w:highlight w:val="none"/>
          <w:u w:val="single"/>
          <w14:textFill>
            <w14:solidFill>
              <w14:schemeClr w14:val="tx1"/>
            </w14:solidFill>
          </w14:textFill>
        </w:rPr>
        <w:t>×100</w:t>
      </w:r>
      <w:r>
        <w:rPr>
          <w:rFonts w:hint="eastAsia" w:ascii="宋体" w:hAnsi="宋体"/>
          <w:color w:val="000000" w:themeColor="text1"/>
          <w:sz w:val="24"/>
          <w:highlight w:val="none"/>
          <w:u w:val="single"/>
          <w14:textFill>
            <w14:solidFill>
              <w14:schemeClr w14:val="tx1"/>
            </w14:solidFill>
          </w14:textFill>
        </w:rPr>
        <w:t xml:space="preserve"> 。</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四）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国家企业信用信息公示系统——小微企业名录”页面查询结果（查询时间为投标前一周内，并加盖单位公章）等相关证明材料（评标委员会据此进行核查）、《产品适用政府采购政策情况表》（见附件），如投标人提供其他小微企业制造的货物，应同时提供制造商的《小微企业声明函（制造商）》和国家企业信用信息公示系统——小微企业名录”页面查询结果（查询时间为投标前一周内，并加盖单位公章）等相关证明材料（评标委员会据此进行核查）；（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具体优惠：对于小型微型企业产品的价格给予</w:t>
      </w:r>
      <w:r>
        <w:rPr>
          <w:rFonts w:hint="eastAsia" w:ascii="宋体"/>
          <w:color w:val="000000" w:themeColor="text1"/>
          <w:sz w:val="24"/>
          <w:highlight w:val="none"/>
          <w:u w:val="single"/>
          <w:lang w:val="zh-CN"/>
          <w14:textFill>
            <w14:solidFill>
              <w14:schemeClr w14:val="tx1"/>
            </w14:solidFill>
          </w14:textFill>
        </w:rPr>
        <w:t xml:space="preserve"> </w:t>
      </w:r>
      <w:r>
        <w:rPr>
          <w:rFonts w:hint="eastAsia" w:ascii="宋体"/>
          <w:color w:val="000000" w:themeColor="text1"/>
          <w:sz w:val="24"/>
          <w:highlight w:val="none"/>
          <w:u w:val="single"/>
          <w14:textFill>
            <w14:solidFill>
              <w14:schemeClr w14:val="tx1"/>
            </w14:solidFill>
          </w14:textFill>
        </w:rPr>
        <w:t>6</w:t>
      </w:r>
      <w:r>
        <w:rPr>
          <w:rFonts w:hint="eastAsia" w:ascii="宋体"/>
          <w:color w:val="000000" w:themeColor="text1"/>
          <w:sz w:val="24"/>
          <w:highlight w:val="none"/>
          <w:u w:val="single"/>
          <w:lang w:val="zh-CN"/>
          <w14:textFill>
            <w14:solidFill>
              <w14:schemeClr w14:val="tx1"/>
            </w14:solidFill>
          </w14:textFill>
        </w:rPr>
        <w:t xml:space="preserve"> </w:t>
      </w:r>
      <w:r>
        <w:rPr>
          <w:rFonts w:hint="eastAsia" w:ascii="宋体"/>
          <w:color w:val="000000" w:themeColor="text1"/>
          <w:sz w:val="24"/>
          <w:highlight w:val="none"/>
          <w:lang w:val="zh-CN"/>
          <w14:textFill>
            <w14:solidFill>
              <w14:schemeClr w14:val="tx1"/>
            </w14:solidFill>
          </w14:textFill>
        </w:rPr>
        <w:t>%的扣除，用扣除后的价格计算评标基准价和投标报价。同一投标人（包括联合体），小微企业、监狱企业、残疾人福利性单位价格扣除优惠只享受一次，不得重复享受。</w:t>
      </w:r>
    </w:p>
    <w:p>
      <w:pPr>
        <w:autoSpaceDE w:val="0"/>
        <w:autoSpaceDN w:val="0"/>
        <w:adjustRightInd w:val="0"/>
        <w:spacing w:line="360" w:lineRule="auto"/>
        <w:ind w:right="84" w:firstLine="472"/>
        <w:rPr>
          <w:rFonts w:ascii="宋体"/>
          <w:bCs/>
          <w:color w:val="000000" w:themeColor="text1"/>
          <w:sz w:val="24"/>
          <w:highlight w:val="none"/>
          <w:shd w:val="clear" w:color="FFFFFF" w:fill="D9D9D9"/>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注：得分以系统计算为准，保留2位小数。</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三、在最大限度地满足招标文件实质性要求前提下，评标委员会按照招标文件中规定的各项因素进行综合评审后，以评标总得分最高的投标人为中标候选人。</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四、如综合得分相同，投标报价低者为先；如综合得分且投标报价相同的，货物类采购项目以技术性能得分较高者为先，服务类采购项目以实力信誉及业绩得分较高者为先。</w:t>
      </w:r>
    </w:p>
    <w:p>
      <w:pPr>
        <w:autoSpaceDE w:val="0"/>
        <w:autoSpaceDN w:val="0"/>
        <w:adjustRightInd w:val="0"/>
        <w:spacing w:line="360" w:lineRule="auto"/>
        <w:ind w:right="85"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autoSpaceDE w:val="0"/>
        <w:autoSpaceDN w:val="0"/>
        <w:adjustRightInd w:val="0"/>
        <w:spacing w:line="360" w:lineRule="auto"/>
        <w:ind w:firstLine="360" w:firstLineChars="150"/>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六、本次评分具体分值细化条款如下表：</w:t>
      </w:r>
    </w:p>
    <w:tbl>
      <w:tblPr>
        <w:tblStyle w:val="16"/>
        <w:tblW w:w="94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843"/>
        <w:gridCol w:w="6026"/>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val="0"/>
            <w:vAlign w:val="center"/>
          </w:tcPr>
          <w:p>
            <w:pPr>
              <w:widowControl/>
              <w:spacing w:line="42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序号</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widowControl/>
              <w:spacing w:line="42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项目</w:t>
            </w:r>
          </w:p>
        </w:tc>
        <w:tc>
          <w:tcPr>
            <w:tcW w:w="6026" w:type="dxa"/>
            <w:tcBorders>
              <w:top w:val="single" w:color="auto" w:sz="4" w:space="0"/>
              <w:left w:val="single" w:color="auto" w:sz="4" w:space="0"/>
              <w:bottom w:val="single" w:color="auto" w:sz="4" w:space="0"/>
              <w:right w:val="single" w:color="auto" w:sz="4" w:space="0"/>
            </w:tcBorders>
            <w:noWrap w:val="0"/>
            <w:vAlign w:val="center"/>
          </w:tcPr>
          <w:p>
            <w:pPr>
              <w:widowControl/>
              <w:spacing w:line="42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评分细则</w:t>
            </w:r>
          </w:p>
        </w:tc>
        <w:tc>
          <w:tcPr>
            <w:tcW w:w="840" w:type="dxa"/>
            <w:tcBorders>
              <w:top w:val="single" w:color="auto" w:sz="4" w:space="0"/>
              <w:left w:val="single" w:color="auto" w:sz="4" w:space="0"/>
              <w:bottom w:val="single" w:color="auto" w:sz="4" w:space="0"/>
              <w:right w:val="single" w:color="auto" w:sz="4" w:space="0"/>
            </w:tcBorders>
            <w:noWrap w:val="0"/>
            <w:vAlign w:val="center"/>
          </w:tcPr>
          <w:p>
            <w:pPr>
              <w:widowControl/>
              <w:spacing w:line="42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774" w:type="dxa"/>
            <w:tcBorders>
              <w:top w:val="single" w:color="auto" w:sz="4" w:space="0"/>
              <w:left w:val="single" w:color="000000"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w:t>
            </w:r>
          </w:p>
        </w:tc>
        <w:tc>
          <w:tcPr>
            <w:tcW w:w="1843" w:type="dxa"/>
            <w:tcBorders>
              <w:top w:val="single" w:color="auto" w:sz="4" w:space="0"/>
              <w:left w:val="single" w:color="000000"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投标货物技术参数性能</w:t>
            </w:r>
          </w:p>
        </w:tc>
        <w:tc>
          <w:tcPr>
            <w:tcW w:w="6026" w:type="dxa"/>
            <w:tcBorders>
              <w:top w:val="single" w:color="auto" w:sz="4" w:space="0"/>
              <w:left w:val="single" w:color="auto" w:sz="4" w:space="0"/>
              <w:right w:val="single" w:color="auto" w:sz="4" w:space="0"/>
            </w:tcBorders>
            <w:noWrap w:val="0"/>
            <w:vAlign w:val="center"/>
          </w:tcPr>
          <w:p>
            <w:pPr>
              <w:widowControl/>
              <w:spacing w:line="420" w:lineRule="exact"/>
              <w:jc w:val="left"/>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货物的技术性和功能：根据各投标人所投货物技术性能、功能以及对招标文件各项技术要求的逐项响应承诺等方面情况由评委进行评分。所投货物技术性能、功能完全满足招标文件要求的得25分；每负偏离一条扣1分，带</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每负偏离一条扣2分，扣完为止。（注：投标人必须如实地对招标文件《招标内容及要求》 “技术参数及要求”中各条款作出明确的逐项响应承诺，并对其真实性负责。当投标人所提供样品与投标文件中响应的技术指标不符合时，评委将以样品为准进行评定。）</w:t>
            </w:r>
          </w:p>
        </w:tc>
        <w:tc>
          <w:tcPr>
            <w:tcW w:w="840" w:type="dxa"/>
            <w:tcBorders>
              <w:top w:val="single" w:color="auto" w:sz="4" w:space="0"/>
              <w:left w:val="single" w:color="auto"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774" w:type="dxa"/>
            <w:tcBorders>
              <w:left w:val="single" w:color="000000"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w:t>
            </w:r>
          </w:p>
        </w:tc>
        <w:tc>
          <w:tcPr>
            <w:tcW w:w="1843" w:type="dxa"/>
            <w:tcBorders>
              <w:left w:val="single" w:color="000000"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质量和安全控制保障</w:t>
            </w:r>
          </w:p>
        </w:tc>
        <w:tc>
          <w:tcPr>
            <w:tcW w:w="6026" w:type="dxa"/>
            <w:tcBorders>
              <w:top w:val="single" w:color="auto" w:sz="4" w:space="0"/>
              <w:left w:val="single" w:color="auto" w:sz="4" w:space="0"/>
              <w:right w:val="single" w:color="auto" w:sz="4" w:space="0"/>
            </w:tcBorders>
            <w:noWrap w:val="0"/>
            <w:vAlign w:val="center"/>
          </w:tcPr>
          <w:p>
            <w:pPr>
              <w:spacing w:line="40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投标人需提供经省级及以上质量检测部门出具投标人拥有的实验桌、仪器柜、水槽、学生凳、学生电源、会议椅检验报告（2017年1月1日以后），每提供一个检验报告得0.5分。</w:t>
            </w:r>
            <w:r>
              <w:rPr>
                <w:rFonts w:hint="eastAsia" w:ascii="宋体" w:hAnsi="宋体" w:eastAsia="宋体" w:cs="宋体"/>
                <w:color w:val="000000" w:themeColor="text1"/>
                <w:sz w:val="24"/>
                <w:szCs w:val="24"/>
                <w:highlight w:val="none"/>
                <w14:textFill>
                  <w14:solidFill>
                    <w14:schemeClr w14:val="tx1"/>
                  </w14:solidFill>
                </w14:textFill>
              </w:rPr>
              <w:t>提供录播系统嵌入式图像定位系统软件著作权证书</w:t>
            </w:r>
            <w:r>
              <w:rPr>
                <w:rFonts w:hint="eastAsia" w:ascii="宋体" w:hAnsi="宋体" w:eastAsia="宋体" w:cs="宋体"/>
                <w:bCs/>
                <w:color w:val="000000" w:themeColor="text1"/>
                <w:sz w:val="24"/>
                <w:szCs w:val="24"/>
                <w:highlight w:val="none"/>
                <w14:textFill>
                  <w14:solidFill>
                    <w14:schemeClr w14:val="tx1"/>
                  </w14:solidFill>
                </w14:textFill>
              </w:rPr>
              <w:t>得1分</w:t>
            </w:r>
            <w:r>
              <w:rPr>
                <w:rFonts w:hint="eastAsia" w:ascii="宋体" w:hAnsi="宋体" w:eastAsia="宋体" w:cs="宋体"/>
                <w:color w:val="000000" w:themeColor="text1"/>
                <w:sz w:val="24"/>
                <w:szCs w:val="24"/>
                <w:highlight w:val="none"/>
                <w14:textFill>
                  <w14:solidFill>
                    <w14:schemeClr w14:val="tx1"/>
                  </w14:solidFill>
                </w14:textFill>
              </w:rPr>
              <w:t>；提供录播系统摄像机“国家广播电影电视总局广播电视计量检测中心”出具的检测证书</w:t>
            </w:r>
            <w:r>
              <w:rPr>
                <w:rFonts w:hint="eastAsia" w:ascii="宋体" w:hAnsi="宋体" w:eastAsia="宋体" w:cs="宋体"/>
                <w:bCs/>
                <w:color w:val="000000" w:themeColor="text1"/>
                <w:sz w:val="24"/>
                <w:szCs w:val="24"/>
                <w:highlight w:val="none"/>
                <w14:textFill>
                  <w14:solidFill>
                    <w14:schemeClr w14:val="tx1"/>
                  </w14:solidFill>
                </w14:textFill>
              </w:rPr>
              <w:t>得1分</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14:textFill>
                  <w14:solidFill>
                    <w14:schemeClr w14:val="tx1"/>
                  </w14:solidFill>
                </w14:textFill>
              </w:rPr>
              <w:t>(提供检测报告复印件，原件备查)</w:t>
            </w:r>
          </w:p>
        </w:tc>
        <w:tc>
          <w:tcPr>
            <w:tcW w:w="840" w:type="dxa"/>
            <w:tcBorders>
              <w:top w:val="single" w:color="auto" w:sz="4" w:space="0"/>
              <w:left w:val="single" w:color="auto"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6" w:hRule="atLeast"/>
          <w:jc w:val="center"/>
        </w:trPr>
        <w:tc>
          <w:tcPr>
            <w:tcW w:w="774" w:type="dxa"/>
            <w:tcBorders>
              <w:left w:val="single" w:color="000000"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w:t>
            </w:r>
          </w:p>
        </w:tc>
        <w:tc>
          <w:tcPr>
            <w:tcW w:w="1843" w:type="dxa"/>
            <w:tcBorders>
              <w:left w:val="single" w:color="000000"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环保认证</w:t>
            </w:r>
          </w:p>
        </w:tc>
        <w:tc>
          <w:tcPr>
            <w:tcW w:w="6026" w:type="dxa"/>
            <w:tcBorders>
              <w:top w:val="single" w:color="auto" w:sz="4" w:space="0"/>
              <w:left w:val="single" w:color="auto" w:sz="4" w:space="0"/>
              <w:right w:val="single" w:color="auto" w:sz="4" w:space="0"/>
            </w:tcBorders>
            <w:noWrap w:val="0"/>
            <w:vAlign w:val="center"/>
          </w:tcPr>
          <w:p>
            <w:pPr>
              <w:widowControl/>
              <w:tabs>
                <w:tab w:val="left" w:pos="3850"/>
              </w:tabs>
              <w:spacing w:line="420" w:lineRule="exact"/>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投标人所投本次项目有关产品通过中国环保产品认证及中国环境标志产品认证，提供一个产品得1分，最高4分。</w:t>
            </w:r>
            <w:r>
              <w:rPr>
                <w:rFonts w:hint="eastAsia" w:ascii="宋体" w:hAnsi="宋体" w:eastAsia="宋体" w:cs="宋体"/>
                <w:b/>
                <w:color w:val="000000" w:themeColor="text1"/>
                <w:sz w:val="24"/>
                <w:szCs w:val="24"/>
                <w:highlight w:val="none"/>
                <w14:textFill>
                  <w14:solidFill>
                    <w14:schemeClr w14:val="tx1"/>
                  </w14:solidFill>
                </w14:textFill>
              </w:rPr>
              <w:t>(提供复印件，原件备查)</w:t>
            </w:r>
          </w:p>
        </w:tc>
        <w:tc>
          <w:tcPr>
            <w:tcW w:w="840" w:type="dxa"/>
            <w:tcBorders>
              <w:top w:val="single" w:color="auto" w:sz="4" w:space="0"/>
              <w:left w:val="single" w:color="auto"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jc w:val="center"/>
        </w:trPr>
        <w:tc>
          <w:tcPr>
            <w:tcW w:w="774" w:type="dxa"/>
            <w:vMerge w:val="restart"/>
            <w:tcBorders>
              <w:left w:val="single" w:color="000000"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4</w:t>
            </w:r>
          </w:p>
        </w:tc>
        <w:tc>
          <w:tcPr>
            <w:tcW w:w="1843" w:type="dxa"/>
            <w:vMerge w:val="restart"/>
            <w:tcBorders>
              <w:left w:val="single" w:color="000000"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提供样品及演示情况</w:t>
            </w:r>
          </w:p>
        </w:tc>
        <w:tc>
          <w:tcPr>
            <w:tcW w:w="6026" w:type="dxa"/>
            <w:tcBorders>
              <w:top w:val="single" w:color="auto" w:sz="4" w:space="0"/>
              <w:left w:val="single" w:color="auto" w:sz="4" w:space="0"/>
              <w:right w:val="single" w:color="auto" w:sz="4" w:space="0"/>
            </w:tcBorders>
            <w:noWrap w:val="0"/>
            <w:vAlign w:val="center"/>
          </w:tcPr>
          <w:p>
            <w:pPr>
              <w:widowControl/>
              <w:spacing w:line="420" w:lineRule="exact"/>
              <w:jc w:val="left"/>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以下样品评分从样品工艺、质量、材质、尺寸、规格、外观的整体效果是否响应招标文件要求横向比较进行评分。</w:t>
            </w:r>
          </w:p>
        </w:tc>
        <w:tc>
          <w:tcPr>
            <w:tcW w:w="840" w:type="dxa"/>
            <w:tcBorders>
              <w:top w:val="single" w:color="auto" w:sz="4" w:space="0"/>
              <w:left w:val="single" w:color="auto"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jc w:val="center"/>
        </w:trPr>
        <w:tc>
          <w:tcPr>
            <w:tcW w:w="774" w:type="dxa"/>
            <w:vMerge w:val="continue"/>
            <w:tcBorders>
              <w:left w:val="single" w:color="000000"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1843" w:type="dxa"/>
            <w:vMerge w:val="continue"/>
            <w:tcBorders>
              <w:left w:val="single" w:color="000000"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p>
        </w:tc>
        <w:tc>
          <w:tcPr>
            <w:tcW w:w="6026" w:type="dxa"/>
            <w:tcBorders>
              <w:top w:val="single" w:color="auto" w:sz="4" w:space="0"/>
              <w:left w:val="single" w:color="auto" w:sz="4" w:space="0"/>
              <w:right w:val="single" w:color="auto" w:sz="4" w:space="0"/>
            </w:tcBorders>
            <w:noWrap w:val="0"/>
            <w:vAlign w:val="center"/>
          </w:tcPr>
          <w:p>
            <w:pPr>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1、物理桌面220V及低压电源：（0-3分）</w:t>
            </w:r>
          </w:p>
          <w:p>
            <w:pPr>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2、仪器分组收纳柜：（0-4分）</w:t>
            </w:r>
          </w:p>
          <w:p>
            <w:pPr>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3、学生圆凳：（</w:t>
            </w:r>
            <w:r>
              <w:rPr>
                <w:rFonts w:hint="eastAsia" w:ascii="宋体" w:hAnsi="宋体" w:eastAsia="宋体" w:cs="宋体"/>
                <w:b/>
                <w:color w:val="000000" w:themeColor="text1"/>
                <w:sz w:val="24"/>
                <w:szCs w:val="24"/>
                <w:highlight w:val="none"/>
                <w14:textFill>
                  <w14:solidFill>
                    <w14:schemeClr w14:val="tx1"/>
                  </w14:solidFill>
                </w14:textFill>
              </w:rPr>
              <w:t>0-3</w:t>
            </w:r>
            <w:r>
              <w:rPr>
                <w:rFonts w:hint="eastAsia" w:ascii="宋体" w:hAnsi="宋体" w:eastAsia="宋体" w:cs="宋体"/>
                <w:color w:val="000000" w:themeColor="text1"/>
                <w:sz w:val="24"/>
                <w:szCs w:val="24"/>
                <w:highlight w:val="none"/>
                <w14:textFill>
                  <w14:solidFill>
                    <w14:schemeClr w14:val="tx1"/>
                  </w14:solidFill>
                </w14:textFill>
              </w:rPr>
              <w:t>分）</w:t>
            </w:r>
          </w:p>
          <w:p>
            <w:pPr>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 化学实验桌：（0-5分）</w:t>
            </w:r>
          </w:p>
          <w:p>
            <w:pPr>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心理测评系统V6.0现场功能演示（0-3分）</w:t>
            </w:r>
          </w:p>
          <w:p>
            <w:pPr>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根据以上要求在0～18分之间进行评分</w:t>
            </w:r>
          </w:p>
        </w:tc>
        <w:tc>
          <w:tcPr>
            <w:tcW w:w="840" w:type="dxa"/>
            <w:tcBorders>
              <w:top w:val="single" w:color="auto" w:sz="4" w:space="0"/>
              <w:left w:val="single" w:color="auto"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774" w:type="dxa"/>
            <w:tcBorders>
              <w:left w:val="single" w:color="000000"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5</w:t>
            </w:r>
          </w:p>
        </w:tc>
        <w:tc>
          <w:tcPr>
            <w:tcW w:w="1843" w:type="dxa"/>
            <w:tcBorders>
              <w:left w:val="single" w:color="auto"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资信</w:t>
            </w:r>
          </w:p>
        </w:tc>
        <w:tc>
          <w:tcPr>
            <w:tcW w:w="602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20" w:lineRule="exact"/>
              <w:ind w:firstLine="120" w:firstLineChars="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1、投标人企业通过ISO9001：2015管理体系认证的得2分。</w:t>
            </w:r>
          </w:p>
          <w:p>
            <w:pPr>
              <w:widowControl/>
              <w:adjustRightInd w:val="0"/>
              <w:snapToGrid w:val="0"/>
              <w:spacing w:line="420" w:lineRule="exact"/>
              <w:ind w:firstLine="120" w:firstLineChars="5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2、投标人获得省级骨干企业证书的得2分；</w:t>
            </w:r>
          </w:p>
          <w:p>
            <w:pPr>
              <w:pStyle w:val="23"/>
              <w:widowControl/>
              <w:adjustRightInd w:val="0"/>
              <w:snapToGrid w:val="0"/>
              <w:spacing w:line="420" w:lineRule="exact"/>
              <w:ind w:left="105" w:firstLine="0" w:firstLineChars="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3、投标产品是否具有中国教育装备行业协会颁布的推荐产品证书，每提供一个产品得1分，最高得3分。</w:t>
            </w:r>
          </w:p>
          <w:p>
            <w:pPr>
              <w:pStyle w:val="23"/>
              <w:widowControl/>
              <w:adjustRightInd w:val="0"/>
              <w:snapToGrid w:val="0"/>
              <w:spacing w:line="420" w:lineRule="exact"/>
              <w:ind w:left="105" w:firstLine="0" w:firstLineChars="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4、投标人企业为省级AAA级“守合同重信用”企业得2分；AA级“守合同重信用”企业得1分.（该证书由政府工商部门颁发而且可提供网址可查）</w:t>
            </w:r>
          </w:p>
          <w:p>
            <w:pPr>
              <w:widowControl/>
              <w:adjustRightInd w:val="0"/>
              <w:snapToGrid w:val="0"/>
              <w:spacing w:line="420" w:lineRule="exact"/>
              <w:ind w:firstLine="120" w:firstLineChars="50"/>
              <w:jc w:val="left"/>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(提供以上资信证明复印件，原件备查，不提供不得分)</w:t>
            </w:r>
          </w:p>
        </w:tc>
        <w:tc>
          <w:tcPr>
            <w:tcW w:w="840" w:type="dxa"/>
            <w:tcBorders>
              <w:top w:val="single" w:color="auto" w:sz="4" w:space="0"/>
              <w:left w:val="single" w:color="auto" w:sz="4" w:space="0"/>
              <w:bottom w:val="single" w:color="auto"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774" w:type="dxa"/>
            <w:tcBorders>
              <w:top w:val="single" w:color="auto" w:sz="4" w:space="0"/>
              <w:left w:val="single" w:color="000000"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6</w:t>
            </w:r>
          </w:p>
        </w:tc>
        <w:tc>
          <w:tcPr>
            <w:tcW w:w="1843" w:type="dxa"/>
            <w:tcBorders>
              <w:top w:val="single" w:color="auto" w:sz="4" w:space="0"/>
              <w:left w:val="single" w:color="auto"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投标人业绩</w:t>
            </w:r>
          </w:p>
        </w:tc>
        <w:tc>
          <w:tcPr>
            <w:tcW w:w="6026" w:type="dxa"/>
            <w:tcBorders>
              <w:top w:val="single" w:color="auto" w:sz="4" w:space="0"/>
              <w:left w:val="single" w:color="auto" w:sz="4" w:space="0"/>
              <w:right w:val="single" w:color="auto" w:sz="4" w:space="0"/>
            </w:tcBorders>
            <w:noWrap w:val="0"/>
            <w:vAlign w:val="center"/>
          </w:tcPr>
          <w:p>
            <w:pPr>
              <w:widowControl/>
              <w:adjustRightInd w:val="0"/>
              <w:snapToGrid w:val="0"/>
              <w:spacing w:line="420" w:lineRule="exact"/>
              <w:jc w:val="left"/>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提供2015年以来执行过类似学科教室、实验室单个项目超过200万元的定单合同得2分、超过400万元的定单合同得4分。【注：（提供相关网站中标公告的下载网页并注明网址）、中标通知书复印件、采购合同文本复印件，以及能够证明该业绩项目已经采购人验收合格的相关证明文件复印件，并加盖投标人单位公章，如未按以上要求完整提供证明材料不得分，无业绩或未提供任何业绩证明资料的本项得0分。】</w:t>
            </w:r>
            <w:r>
              <w:rPr>
                <w:rFonts w:hint="eastAsia" w:ascii="宋体" w:hAnsi="宋体" w:eastAsia="宋体" w:cs="宋体"/>
                <w:b/>
                <w:color w:val="000000" w:themeColor="text1"/>
                <w:sz w:val="24"/>
                <w:szCs w:val="24"/>
                <w:highlight w:val="none"/>
                <w14:textFill>
                  <w14:solidFill>
                    <w14:schemeClr w14:val="tx1"/>
                  </w14:solidFill>
                </w14:textFill>
              </w:rPr>
              <w:t>（提供原件备查，不提供不得分）</w:t>
            </w:r>
          </w:p>
        </w:tc>
        <w:tc>
          <w:tcPr>
            <w:tcW w:w="840" w:type="dxa"/>
            <w:tcBorders>
              <w:top w:val="single" w:color="auto" w:sz="4" w:space="0"/>
              <w:left w:val="single" w:color="auto" w:sz="4" w:space="0"/>
              <w:right w:val="single" w:color="auto" w:sz="4" w:space="0"/>
            </w:tcBorders>
            <w:noWrap w:val="0"/>
            <w:vAlign w:val="center"/>
          </w:tcPr>
          <w:p>
            <w:pPr>
              <w:widowControl/>
              <w:adjustRightInd w:val="0"/>
              <w:snapToGrid w:val="0"/>
              <w:spacing w:line="420" w:lineRule="exact"/>
              <w:ind w:firstLine="120" w:firstLineChars="5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74" w:type="dxa"/>
            <w:tcBorders>
              <w:left w:val="single" w:color="000000"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7</w:t>
            </w:r>
          </w:p>
        </w:tc>
        <w:tc>
          <w:tcPr>
            <w:tcW w:w="1843" w:type="dxa"/>
            <w:tcBorders>
              <w:left w:val="single" w:color="auto"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售后服务情况</w:t>
            </w:r>
          </w:p>
          <w:p>
            <w:pPr>
              <w:widowControl/>
              <w:spacing w:line="420" w:lineRule="exact"/>
              <w:jc w:val="left"/>
              <w:rPr>
                <w:rFonts w:hint="eastAsia" w:ascii="宋体" w:hAnsi="宋体" w:eastAsia="宋体" w:cs="宋体"/>
                <w:bCs/>
                <w:color w:val="000000" w:themeColor="text1"/>
                <w:sz w:val="24"/>
                <w:szCs w:val="24"/>
                <w:highlight w:val="none"/>
                <w14:textFill>
                  <w14:solidFill>
                    <w14:schemeClr w14:val="tx1"/>
                  </w14:solidFill>
                </w14:textFill>
              </w:rPr>
            </w:pPr>
          </w:p>
        </w:tc>
        <w:tc>
          <w:tcPr>
            <w:tcW w:w="6026" w:type="dxa"/>
            <w:tcBorders>
              <w:top w:val="single" w:color="auto" w:sz="4" w:space="0"/>
              <w:left w:val="single" w:color="auto" w:sz="4" w:space="0"/>
              <w:right w:val="single" w:color="auto" w:sz="4" w:space="0"/>
            </w:tcBorders>
            <w:noWrap w:val="0"/>
            <w:vAlign w:val="center"/>
          </w:tcPr>
          <w:p>
            <w:pPr>
              <w:widowControl/>
              <w:spacing w:line="420" w:lineRule="exact"/>
              <w:jc w:val="left"/>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1、详细完整的“三包”、免费保修及售后服务措施和方案（包括质保年限、服务措施、产品质量保证、回访、技术培训、维修配件价格等）在0～3分之间进行评分，</w:t>
            </w:r>
          </w:p>
          <w:p>
            <w:pPr>
              <w:widowControl/>
              <w:spacing w:line="420" w:lineRule="exact"/>
              <w:jc w:val="left"/>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2、“三包”质保年限每增加一年加1分，最高2分。</w:t>
            </w:r>
          </w:p>
        </w:tc>
        <w:tc>
          <w:tcPr>
            <w:tcW w:w="840" w:type="dxa"/>
            <w:tcBorders>
              <w:top w:val="single" w:color="auto" w:sz="4" w:space="0"/>
              <w:left w:val="single" w:color="auto" w:sz="4" w:space="0"/>
              <w:right w:val="single" w:color="auto" w:sz="4" w:space="0"/>
            </w:tcBorders>
            <w:noWrap w:val="0"/>
            <w:vAlign w:val="center"/>
          </w:tcPr>
          <w:p>
            <w:pPr>
              <w:widowControl/>
              <w:spacing w:line="420" w:lineRule="exact"/>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643" w:type="dxa"/>
            <w:gridSpan w:val="3"/>
            <w:tcBorders>
              <w:left w:val="single" w:color="000000" w:sz="4" w:space="0"/>
              <w:right w:val="single" w:color="auto" w:sz="4" w:space="0"/>
            </w:tcBorders>
            <w:noWrap w:val="0"/>
            <w:vAlign w:val="center"/>
          </w:tcPr>
          <w:p>
            <w:pPr>
              <w:widowControl/>
              <w:spacing w:line="42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技术资信总分</w:t>
            </w:r>
          </w:p>
        </w:tc>
        <w:tc>
          <w:tcPr>
            <w:tcW w:w="840" w:type="dxa"/>
            <w:tcBorders>
              <w:top w:val="single" w:color="auto" w:sz="4" w:space="0"/>
              <w:left w:val="single" w:color="auto" w:sz="4" w:space="0"/>
              <w:right w:val="single" w:color="auto" w:sz="4" w:space="0"/>
            </w:tcBorders>
            <w:noWrap w:val="0"/>
            <w:vAlign w:val="center"/>
          </w:tcPr>
          <w:p>
            <w:pPr>
              <w:widowControl/>
              <w:tabs>
                <w:tab w:val="left" w:pos="3850"/>
              </w:tabs>
              <w:spacing w:line="420" w:lineRule="exact"/>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70分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9483" w:type="dxa"/>
            <w:gridSpan w:val="4"/>
            <w:tcBorders>
              <w:left w:val="single" w:color="000000" w:sz="4" w:space="0"/>
              <w:bottom w:val="single" w:color="auto" w:sz="4" w:space="0"/>
              <w:right w:val="single" w:color="auto" w:sz="4" w:space="0"/>
            </w:tcBorders>
            <w:noWrap w:val="0"/>
            <w:vAlign w:val="center"/>
          </w:tcPr>
          <w:p>
            <w:pPr>
              <w:widowControl/>
              <w:spacing w:line="420" w:lineRule="exact"/>
              <w:ind w:firstLine="233" w:firstLineChars="100"/>
              <w:jc w:val="left"/>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pacing w:val="-4"/>
                <w:sz w:val="24"/>
                <w:szCs w:val="24"/>
                <w:highlight w:val="none"/>
                <w14:textFill>
                  <w14:solidFill>
                    <w14:schemeClr w14:val="tx1"/>
                  </w14:solidFill>
                </w14:textFill>
              </w:rPr>
              <w:t>特别说明：</w:t>
            </w:r>
            <w:r>
              <w:rPr>
                <w:rFonts w:hint="eastAsia" w:ascii="宋体" w:hAnsi="宋体" w:eastAsia="宋体" w:cs="宋体"/>
                <w:b/>
                <w:color w:val="000000" w:themeColor="text1"/>
                <w:sz w:val="24"/>
                <w:szCs w:val="24"/>
                <w:highlight w:val="none"/>
                <w14:textFill>
                  <w14:solidFill>
                    <w14:schemeClr w14:val="tx1"/>
                  </w14:solidFill>
                </w14:textFill>
              </w:rPr>
              <w:t>本次采购产品有要求提供相关认证证书、检测报告及资质文件都必须是经过国家认可的检测机构出具的，本次投标人所拥有的，投标人必须严格按照要求提供所投产品的相关认证证书、检测报告及资质文件的复印件，复印件需清晰并加盖投标人公章，提供原件，以方便评委会审阅。</w:t>
            </w:r>
          </w:p>
        </w:tc>
      </w:tr>
    </w:tbl>
    <w:p>
      <w:pPr>
        <w:rPr>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样品及演示：</w:t>
      </w:r>
    </w:p>
    <w:tbl>
      <w:tblPr>
        <w:tblStyle w:val="16"/>
        <w:tblpPr w:leftFromText="180" w:rightFromText="180" w:vertAnchor="text" w:horzAnchor="page" w:tblpX="1362" w:tblpY="806"/>
        <w:tblOverlap w:val="never"/>
        <w:tblW w:w="9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028"/>
        <w:gridCol w:w="6804"/>
        <w:gridCol w:w="598"/>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1028"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货物名称</w:t>
            </w:r>
          </w:p>
        </w:tc>
        <w:tc>
          <w:tcPr>
            <w:tcW w:w="6804"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主要技术参数</w:t>
            </w:r>
          </w:p>
        </w:tc>
        <w:tc>
          <w:tcPr>
            <w:tcW w:w="598"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w:t>
            </w:r>
          </w:p>
        </w:tc>
        <w:tc>
          <w:tcPr>
            <w:tcW w:w="675"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640" w:type="dxa"/>
            <w:noWrap w:val="0"/>
            <w:vAlign w:val="center"/>
          </w:tcPr>
          <w:p>
            <w:pPr>
              <w:ind w:left="14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样品1</w:t>
            </w:r>
          </w:p>
        </w:tc>
        <w:tc>
          <w:tcPr>
            <w:tcW w:w="1028"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桌面220及低压电源</w:t>
            </w:r>
          </w:p>
        </w:tc>
        <w:tc>
          <w:tcPr>
            <w:tcW w:w="6804" w:type="dxa"/>
            <w:noWrap w:val="0"/>
            <w:vAlign w:val="center"/>
          </w:tcPr>
          <w:p>
            <w:pPr>
              <w:adjustRightInd w:val="0"/>
              <w:snapToGrid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220电源：尺寸：160*80*50mm,▲单独安装在桌面上方，盒体为工程PC塑料模具注塑一次成型，面板与台面呈150°夹角，既便于读取参数又便于操作；◆面板采用耐磨、耐腐蚀的PVC薄膜面板。微电脑控制，数码实时显示电压电流值；电压表精度1%，电流表精度1.5%±5字；</w:t>
            </w:r>
            <w:r>
              <w:rPr>
                <w:rFonts w:hint="eastAsia" w:ascii="宋体" w:hAnsi="宋体" w:eastAsia="宋体" w:cs="宋体"/>
                <w:color w:val="000000" w:themeColor="text1"/>
                <w:sz w:val="24"/>
                <w:szCs w:val="24"/>
                <w:highlight w:val="none"/>
                <w14:textFill>
                  <w14:solidFill>
                    <w14:schemeClr w14:val="tx1"/>
                  </w14:solidFill>
                </w14:textFill>
              </w:rPr>
              <w:t>◆设置2路多功能220V五孔交流插座，操作简单，安全可靠。使用环境：温度0-40℃，湿度&lt;90%。靠。</w:t>
            </w:r>
          </w:p>
          <w:p>
            <w:pPr>
              <w:pStyle w:val="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桌面低压电源：尺寸：160*80*50mm,单独安装在桌面上方，▲</w:t>
            </w:r>
            <w:r>
              <w:rPr>
                <w:rFonts w:hint="eastAsia" w:ascii="宋体" w:hAnsi="宋体" w:eastAsia="宋体" w:cs="宋体"/>
                <w:bCs/>
                <w:color w:val="000000" w:themeColor="text1"/>
                <w:sz w:val="24"/>
                <w:szCs w:val="24"/>
                <w:highlight w:val="none"/>
                <w14:textFill>
                  <w14:solidFill>
                    <w14:schemeClr w14:val="tx1"/>
                  </w14:solidFill>
                </w14:textFill>
              </w:rPr>
              <w:t>盒体为工程PC塑料模具注塑一次成型，面板与台面呈150°夹角，既便于读取参数又便于操作；</w:t>
            </w:r>
            <w:r>
              <w:rPr>
                <w:rFonts w:hint="eastAsia" w:ascii="宋体" w:hAnsi="宋体" w:eastAsia="宋体" w:cs="宋体"/>
                <w:bCs/>
                <w:color w:val="000000" w:themeColor="text1"/>
                <w:sz w:val="24"/>
                <w:szCs w:val="24"/>
                <w:highlight w:val="none"/>
                <w14:textFill>
                  <w14:solidFill>
                    <w14:schemeClr w14:val="tx1"/>
                  </w14:solidFill>
                </w14:textFill>
              </w:rPr>
              <w:br w:type="textWrapping"/>
            </w:r>
            <w:r>
              <w:rPr>
                <w:rFonts w:hint="eastAsia" w:ascii="宋体" w:hAnsi="宋体" w:eastAsia="宋体" w:cs="宋体"/>
                <w:bCs/>
                <w:color w:val="000000" w:themeColor="text1"/>
                <w:sz w:val="24"/>
                <w:szCs w:val="24"/>
                <w:highlight w:val="none"/>
                <w14:textFill>
                  <w14:solidFill>
                    <w14:schemeClr w14:val="tx1"/>
                  </w14:solidFill>
                </w14:textFill>
              </w:rPr>
              <w:t>◆面板采用耐磨、耐腐蚀的PVC薄膜面板，轻触按钮开关。微电脑控制，数码显示电压电流值；</w:t>
            </w:r>
            <w:r>
              <w:rPr>
                <w:rFonts w:hint="eastAsia" w:ascii="宋体" w:hAnsi="宋体" w:eastAsia="宋体" w:cs="宋体"/>
                <w:bCs/>
                <w:color w:val="000000" w:themeColor="text1"/>
                <w:sz w:val="24"/>
                <w:szCs w:val="24"/>
                <w:highlight w:val="none"/>
                <w14:textFill>
                  <w14:solidFill>
                    <w14:schemeClr w14:val="tx1"/>
                  </w14:solidFill>
                </w14:textFill>
              </w:rPr>
              <w:br w:type="textWrapping"/>
            </w:r>
            <w:r>
              <w:rPr>
                <w:rFonts w:hint="eastAsia" w:ascii="宋体" w:hAnsi="宋体" w:eastAsia="宋体" w:cs="宋体"/>
                <w:bCs/>
                <w:color w:val="000000" w:themeColor="text1"/>
                <w:sz w:val="24"/>
                <w:szCs w:val="24"/>
                <w:highlight w:val="none"/>
                <w14:textFill>
                  <w14:solidFill>
                    <w14:schemeClr w14:val="tx1"/>
                  </w14:solidFill>
                </w14:textFill>
              </w:rPr>
              <w:t>◆输入电压：220v±10%；</w:t>
            </w:r>
            <w:r>
              <w:rPr>
                <w:rFonts w:hint="eastAsia" w:ascii="宋体" w:hAnsi="宋体" w:eastAsia="宋体" w:cs="宋体"/>
                <w:bCs/>
                <w:color w:val="000000" w:themeColor="text1"/>
                <w:sz w:val="24"/>
                <w:szCs w:val="24"/>
                <w:highlight w:val="none"/>
                <w14:textFill>
                  <w14:solidFill>
                    <w14:schemeClr w14:val="tx1"/>
                  </w14:solidFill>
                </w14:textFill>
              </w:rPr>
              <w:br w:type="textWrapping"/>
            </w:r>
            <w:r>
              <w:rPr>
                <w:rFonts w:hint="eastAsia" w:ascii="宋体" w:hAnsi="宋体" w:eastAsia="宋体" w:cs="宋体"/>
                <w:bCs/>
                <w:color w:val="000000" w:themeColor="text1"/>
                <w:sz w:val="24"/>
                <w:szCs w:val="24"/>
                <w:highlight w:val="none"/>
                <w14:textFill>
                  <w14:solidFill>
                    <w14:schemeClr w14:val="tx1"/>
                  </w14:solidFill>
                </w14:textFill>
              </w:rPr>
              <w:t>◆交流输出：2-24V，2V一档共12档，额定电流2-12V，3A，14-24V，2A,数字电压电流表实时显示，精度1%，具有智能过载保护功能，当电流高于1.05倍额定电流时，自动断开，按开关键复位。</w:t>
            </w:r>
            <w:r>
              <w:rPr>
                <w:rFonts w:hint="eastAsia" w:ascii="宋体" w:hAnsi="宋体" w:eastAsia="宋体" w:cs="宋体"/>
                <w:bCs/>
                <w:color w:val="000000" w:themeColor="text1"/>
                <w:sz w:val="24"/>
                <w:szCs w:val="24"/>
                <w:highlight w:val="none"/>
                <w14:textFill>
                  <w14:solidFill>
                    <w14:schemeClr w14:val="tx1"/>
                  </w14:solidFill>
                </w14:textFill>
              </w:rPr>
              <w:br w:type="textWrapping"/>
            </w:r>
            <w:r>
              <w:rPr>
                <w:rFonts w:hint="eastAsia" w:ascii="宋体" w:hAnsi="宋体" w:eastAsia="宋体" w:cs="宋体"/>
                <w:bCs/>
                <w:color w:val="000000" w:themeColor="text1"/>
                <w:sz w:val="24"/>
                <w:szCs w:val="24"/>
                <w:highlight w:val="none"/>
                <w14:textFill>
                  <w14:solidFill>
                    <w14:schemeClr w14:val="tx1"/>
                  </w14:solidFill>
                </w14:textFill>
              </w:rPr>
              <w:t>◆直流输出：1.5-24V（极限0-24V），0.1V一档，额定电流1.5-12V，2A，12.1-24V，1.5A，数字电压电流表实时显示，精度0.5%。具有智能过载保护功能，当电流高于1.05倍额定电流时，自动断开，按开关键复位。</w:t>
            </w:r>
            <w:r>
              <w:rPr>
                <w:rFonts w:hint="eastAsia" w:ascii="宋体" w:hAnsi="宋体" w:eastAsia="宋体" w:cs="宋体"/>
                <w:bCs/>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◆使用环境：温度0-40℃，湿度&lt;90%。</w:t>
            </w:r>
          </w:p>
        </w:tc>
        <w:tc>
          <w:tcPr>
            <w:tcW w:w="598"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套</w:t>
            </w:r>
          </w:p>
        </w:tc>
        <w:tc>
          <w:tcPr>
            <w:tcW w:w="675" w:type="dxa"/>
            <w:noWrap w:val="0"/>
            <w:vAlign w:val="center"/>
          </w:tcPr>
          <w:p>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640" w:type="dxa"/>
            <w:noWrap w:val="0"/>
            <w:vAlign w:val="center"/>
          </w:tcPr>
          <w:p>
            <w:pPr>
              <w:ind w:left="14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样品2</w:t>
            </w:r>
          </w:p>
        </w:tc>
        <w:tc>
          <w:tcPr>
            <w:tcW w:w="1028" w:type="dxa"/>
            <w:noWrap w:val="0"/>
            <w:vAlign w:val="center"/>
          </w:tcPr>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仪器分组收纳柜</w:t>
            </w:r>
          </w:p>
        </w:tc>
        <w:tc>
          <w:tcPr>
            <w:tcW w:w="6804" w:type="dxa"/>
            <w:noWrap w:val="0"/>
            <w:vAlign w:val="center"/>
          </w:tcPr>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尺 寸：1200*450*1800mm；主框架：采用ABS工程塑料注塑成型的侧横梁、铝合金型材前横梁、铝合金型材后横梁与铝合金型材立柱组成的箱体式复合框架结构，分上下两层。前中横梁上配专用特种锁具，可以一锁锁四门。前横梁：60*60mm壁厚1.2mm带圆弧造型铝合金型材。后横梁：60*40mm壁厚1.2mm长方体铝合金型材。</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左右支撑架：450*120*86mm壁厚2.5mmABS工程材料。前立柱：35*24mm壁厚1.2mm铝合金型材。</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后立柱： 37*37mm壁厚1.2mm后端R25圆角的铝合金型材。所有型材表面均经纯环氧树脂塑粉高温固化处理达到耐腐耐磨。</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柜体（侧板、顶板、背板）和柜门：柜体侧板、顶板、背板采用16mm中密度三聚氰胺双饰面板，以优质2mmPVC封边条配合进口胶王热熔封边作防水处理；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上下柜门的四个环形拉手组成一圆环造型，并在中间前横梁上加装专用锁具，可以一锁锁四门。</w:t>
            </w:r>
            <w:r>
              <w:rPr>
                <w:rFonts w:hint="eastAsia" w:ascii="宋体" w:hAnsi="宋体" w:eastAsia="宋体" w:cs="宋体"/>
                <w:b/>
                <w:bCs/>
                <w:color w:val="000000" w:themeColor="text1"/>
                <w:sz w:val="24"/>
                <w:szCs w:val="24"/>
                <w:highlight w:val="none"/>
                <w14:textFill>
                  <w14:solidFill>
                    <w14:schemeClr w14:val="tx1"/>
                  </w14:solidFill>
                </w14:textFill>
              </w:rPr>
              <w:t>上下柜门均采用门轴式开门</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层板：上下柜体共带4块层板，采用16mm中密度三聚氰胺双饰面板，专用铝型材加固条加固，铝型材表面经纯环氧树脂塑粉高温固化处理。活动式层板可自由拆卸或调整高度，(可选择阶梯式层板可存放高度不一的试剂瓶)，方便取放物体。</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可调脚：采用尼龙塑料注塑制作，具有高度可调、耐磨、防潮、防腐蚀等特点。配收纳抽屉24个）；收纳抽屉：采用PP材料，塑料注塑模一次性成型，规格为400*350*80mm壁厚2.5mm,可以放置于上下柜体和讲台、学生桌的抽屉位,仪器柜每层柜体放置24个抽屉。</w:t>
            </w:r>
            <w:r>
              <w:rPr>
                <w:rFonts w:hint="eastAsia" w:ascii="宋体" w:hAnsi="宋体" w:eastAsia="宋体" w:cs="宋体"/>
                <w:b/>
                <w:bCs/>
                <w:color w:val="000000" w:themeColor="text1"/>
                <w:sz w:val="24"/>
                <w:szCs w:val="24"/>
                <w:highlight w:val="none"/>
                <w:u w:val="single"/>
                <w14:textFill>
                  <w14:solidFill>
                    <w14:schemeClr w14:val="tx1"/>
                  </w14:solidFill>
                </w14:textFill>
              </w:rPr>
              <w:t>收纳抽屉要与收纳柜、学生桌的抽屉位空间兼容，</w:t>
            </w:r>
          </w:p>
        </w:tc>
        <w:tc>
          <w:tcPr>
            <w:tcW w:w="598"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张</w:t>
            </w:r>
          </w:p>
        </w:tc>
        <w:tc>
          <w:tcPr>
            <w:tcW w:w="675" w:type="dxa"/>
            <w:noWrap w:val="0"/>
            <w:vAlign w:val="center"/>
          </w:tcPr>
          <w:p>
            <w:pPr>
              <w:widowControl/>
              <w:jc w:val="center"/>
              <w:textAlignment w:val="center"/>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640" w:type="dxa"/>
            <w:noWrap w:val="0"/>
            <w:vAlign w:val="center"/>
          </w:tcPr>
          <w:p>
            <w:pPr>
              <w:ind w:left="14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样品3</w:t>
            </w:r>
          </w:p>
        </w:tc>
        <w:tc>
          <w:tcPr>
            <w:tcW w:w="1028" w:type="dxa"/>
            <w:noWrap w:val="0"/>
            <w:vAlign w:val="center"/>
          </w:tcPr>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化学实验桌及学生凳</w:t>
            </w:r>
          </w:p>
        </w:tc>
        <w:tc>
          <w:tcPr>
            <w:tcW w:w="6804" w:type="dxa"/>
            <w:noWrap w:val="0"/>
            <w:vAlign w:val="center"/>
          </w:tcPr>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尺寸：1200*600*780㎜ 台面：</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b/>
                <w:bCs/>
                <w:color w:val="000000" w:themeColor="text1"/>
                <w:sz w:val="24"/>
                <w:szCs w:val="24"/>
                <w:highlight w:val="none"/>
                <w14:textFill>
                  <w14:solidFill>
                    <w14:schemeClr w14:val="tx1"/>
                  </w14:solidFill>
                </w14:textFill>
              </w:rPr>
              <w:t>▲台面：采用20mm浅豆绿色陶瓷复合板，四周带阻水边（防止试剂倒到桌面往四周外溢），耐酸碱，表面哑光，不反光防滑</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前横梁：采用50x40mm壁厚1.2mm的优质铝型材材料一次性成型，一边85mm圆弧造型，和面板弧形无缝贴合，材料表面经过防腐氧化处理和纯环氧树脂塑粉高温固化处理，具有较强的耐蚀性及承重性。 中横梁：采用26x26mm壁厚1.2mm的优质铝型材材料一次性成型，材料表面经过防腐氧化处理和纯环氧树脂塑粉高温固化处理，具有较强的耐蚀性及承重性。 加强横支撑件：采用25x100mm壁厚1.2mm的优质铝型材材料一次性成型，每面有两条加强抗变形的凹槽，材料表面经过防腐氧化处理和纯环氧树脂塑粉高温固化处理，具有较强的耐蚀性及承重性。 后挡板：采用130*30mm壁厚1.8mm的优质铝型材材料一次性成型，材料表面经过防腐氧化处理和纯环氧树脂塑粉高温固化处理，具有较强的耐蚀性及承重性。造型截面为后端连续相切弧形，顶端高出台面30mm，带两凹槽，镶嵌弹性橡胶条，可防止台面物体向后滑落并保护易碎物体不易被碰碎。 桌腿由立柱、顶底支脚和脚套组成 立柱：采用100x50mm壁厚1.8mm的优质铝材材料，横截面前R6圆角，后端45*8斜切再R6圆角，内有不少于8根厚度不低于2mm的加强筋，中心是直径为20mm的圆形，攻丝处理后用于连接顶底支脚，材料表面经过防腐氧化处理和纯环氧树脂塑粉高温固化处理，具有较强的耐蚀性。 支脚：采用4mm厚的铝压铸模一次性成型，一侧弧形圆角，弧度和立柱的弧度吻合，材料表面经过防腐氧化处理和纯环氧树脂塑粉高温固化处理，具有较强的耐蚀性及承重性。 脚套：采用PP改性材料，注塑模一次性成型，表面沙面处理。中间有一凹槽，用于上螺丝把支脚固定于地面上，配有同色塑料盖封口。 书包斗：规格470*318*148mm,厚度6mm，采用ABS材料，塑料注塑模一次性成型，正面设有可悬挂凳子的圆形孔，周边加厚加强，斗内有10根宽度为30mm的沙面处理的加强体块，两侧和后侧均设有固定耳。 通风柱：规格400*240*754mm，分为桶体和底座两部份，底座为与桌面同色的壁厚3mmPP改性材质注塑成型；桶体分为两块，壁厚3mm,采用PP改性材料，塑料注塑模一次性成型,表面沙面和光面相结合处理，以齿合槽配以螺丝连接，拆分组合方便，方便检修桶体内的风管或电线。</w:t>
            </w: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学生凳：凳面300(直径）*420（高)mm，</w:t>
            </w: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hint="eastAsia" w:ascii="宋体" w:hAnsi="宋体" w:eastAsia="宋体" w:cs="宋体"/>
                <w:b/>
                <w:bCs/>
                <w:color w:val="000000" w:themeColor="text1"/>
                <w:sz w:val="24"/>
                <w:szCs w:val="24"/>
                <w:highlight w:val="none"/>
                <w:u w:val="single"/>
                <w14:textFill>
                  <w14:solidFill>
                    <w14:schemeClr w14:val="tx1"/>
                  </w14:solidFill>
                </w14:textFill>
              </w:rPr>
              <w:t>凳面采用5mm厚PP工程塑料注塑成型</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支撑柱采用直径56mm圆钢管，顶端为165*165*2mm钢板，采用全周满焊焊接，用四颗直径10mm的六角螺丝连接凳面，结构牢固，长期使用也不会出现摇晃松散现象；</w:t>
            </w: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hint="eastAsia" w:ascii="宋体" w:hAnsi="宋体" w:eastAsia="宋体" w:cs="宋体"/>
                <w:b/>
                <w:bCs/>
                <w:color w:val="000000" w:themeColor="text1"/>
                <w:sz w:val="24"/>
                <w:szCs w:val="24"/>
                <w:highlight w:val="none"/>
                <w:u w:val="single"/>
                <w14:textFill>
                  <w14:solidFill>
                    <w14:schemeClr w14:val="tx1"/>
                  </w14:solidFill>
                </w14:textFill>
              </w:rPr>
              <w:t>下端五根直径30mm的铝合金管压铸成型凳脚（不允许使用铁管焊接</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，爪端焊造型螺母，配直径50mm高30mm的工程塑料脚盘，金属材料表面经过防腐氧化处理和纯环氧树脂塑粉高温固化处理，具有较强的耐蚀性及承重性。凳面颜色浅豆绿                                                    </w:t>
            </w:r>
          </w:p>
        </w:tc>
        <w:tc>
          <w:tcPr>
            <w:tcW w:w="598"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张</w:t>
            </w:r>
          </w:p>
        </w:tc>
        <w:tc>
          <w:tcPr>
            <w:tcW w:w="675" w:type="dxa"/>
            <w:noWrap w:val="0"/>
            <w:vAlign w:val="center"/>
          </w:tcPr>
          <w:p>
            <w:pPr>
              <w:widowControl/>
              <w:jc w:val="center"/>
              <w:textAlignment w:val="center"/>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640" w:type="dxa"/>
            <w:noWrap w:val="0"/>
            <w:vAlign w:val="center"/>
          </w:tcPr>
          <w:p>
            <w:pPr>
              <w:ind w:left="14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演示</w:t>
            </w:r>
          </w:p>
        </w:tc>
        <w:tc>
          <w:tcPr>
            <w:tcW w:w="1028" w:type="dxa"/>
            <w:noWrap w:val="0"/>
            <w:vAlign w:val="center"/>
          </w:tcPr>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心理测评系统V6.0现场功能演示</w:t>
            </w:r>
          </w:p>
        </w:tc>
        <w:tc>
          <w:tcPr>
            <w:tcW w:w="6804" w:type="dxa"/>
            <w:noWrap w:val="0"/>
            <w:vAlign w:val="center"/>
          </w:tcPr>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系统包含：量表清单、快速使用指南、量表指导手册、软件安装工具、软件加密工具。 2. 运行环境：采用B/S模式，即浏览器和服务器的结构方式运行，系统可满足于单机、局域网等多种环境。 3. 为符合心理测评的保密原则，系统须配备独立的专用硬件加密狗，避免隐私泄露风险。 4. 数据共享与安全：系统具有数据（账号数据及测评数据）备份、还原功能，确保数据的安全性。 5. 系统须包含信息管理中心、心理测评中心、咨询预约中心、数据管理中心等模块。 6. 系统可以智能分级管理，满足不同管理需要。管理员账号可根据实际需要，设置班级权限、学生信息权限、报告模板设置权限、心理量表设置权限、测评报告管理权限、心理预警权限、咨询预约权限、数据管理权限等。 7. 系统须提供入学测试、心理健康快速筛查、危机诊断、家庭关系等不同情境下的组合测量包。 8. 系统自动生成个体与团体测评报告，组合测量包须自动生成一份复合报告，可自定义团体并快速生成团体心理分析报告。报告内容包括文字描述及统计图表等，解读直观、具有参考性的指导建议。 9. 系统可以以年级、班级、性别等为关键词进行横向与纵向比较分析。 10. 系统提供原始测验数据导出。导出的数据可以导入Excel常规表格汇总和输出直观图形，也可导入SPSS等专业的心理统计软件中进行更深入的分析。 11. 系统具有自动筛选测验异常结果，并根据结果智能划分预警等级，及时发现识别危机因素，便于及时跟踪处理，制定相关干预措施，防止危机爆发。 12. 量表可导出为电子文档，直接进行打印，适应特殊环境的纸质测试需要。并支持纸笔问卷数据文件导入系统。 13. 系统提供自定义添加问卷功能，定制个性化问卷，并可根据需求添加评分方法及报告格式。 14. 支持在线预约咨询服务，方便快捷的同时，有效的确保用户隐私安全。 15. 系统可以批量导入学生信息，也可以手工添加学生信息，建立学生心理档案。 16. 由心理学知名院校提供量表专题培训，培训时间不少于16课时。 ★17. 系统包含64个国内外权威量表。涵盖智力类、学业类、职业类、人格类、人际关系类、环境适应类、心理健康类、情绪类、意志力类、婚姻与家庭类、幼儿类、能力类等十二大类。 ★18. 系统必须包含：卡特尔联合型测评(CCT)、学习适应性测验(AAT)（小学一年级~高中）、提高学习能力因素诊断测验(FAT)（小学一年级~高中）、学习动机测验(MAAT)、注意力测验(AT)、5种自我状态人格测验(5ESPT)、心理健康诊断测验（CAS）、心理健康诊断测验（GHQ）、中小学生心理健康诊断测验（MHT）、问题行为早期发现测验（PPCT）、亲子关系测验(PCRT)等量表 19、 产品资质： 1) 软件著作权登记证书； 2) 核心量表作品登记证书； 3) 省部级以上心理学会鉴定证书； 4) 省部级以上心理学会科学技术成果鉴定证书；（核心量表） 5) 心理学知名院校开具的提供培训证明文件； 6) 核心量表修订证明。</w:t>
            </w:r>
          </w:p>
        </w:tc>
        <w:tc>
          <w:tcPr>
            <w:tcW w:w="598"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台</w:t>
            </w:r>
          </w:p>
        </w:tc>
        <w:tc>
          <w:tcPr>
            <w:tcW w:w="675" w:type="dxa"/>
            <w:noWrap w:val="0"/>
            <w:vAlign w:val="center"/>
          </w:tcPr>
          <w:p>
            <w:pPr>
              <w:widowControl/>
              <w:jc w:val="center"/>
              <w:textAlignment w:val="center"/>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1</w:t>
            </w:r>
          </w:p>
        </w:tc>
      </w:tr>
    </w:tbl>
    <w:p>
      <w:pPr>
        <w:snapToGrid w:val="0"/>
        <w:spacing w:line="360" w:lineRule="auto"/>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（样品每少一个样品扣5分。扣完为止）</w:t>
      </w: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pStyle w:val="2"/>
        <w:rPr>
          <w:rFonts w:hint="eastAsia" w:hAnsi="宋体" w:cs="宋体"/>
          <w:color w:val="000000" w:themeColor="text1"/>
          <w:szCs w:val="21"/>
          <w:highlight w:val="none"/>
          <w14:textFill>
            <w14:solidFill>
              <w14:schemeClr w14:val="tx1"/>
            </w14:solidFill>
          </w14:textFill>
        </w:rPr>
      </w:pPr>
    </w:p>
    <w:p>
      <w:pPr>
        <w:numPr>
          <w:ilvl w:val="0"/>
          <w:numId w:val="3"/>
        </w:numPr>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公开招标需求</w:t>
      </w:r>
    </w:p>
    <w:p>
      <w:pPr>
        <w:pStyle w:val="2"/>
        <w:rPr>
          <w:rFonts w:ascii="宋体"/>
          <w:b/>
          <w:color w:val="000000" w:themeColor="text1"/>
          <w:sz w:val="22"/>
          <w:szCs w:val="22"/>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一、采购清单</w:t>
      </w:r>
    </w:p>
    <w:tbl>
      <w:tblPr>
        <w:tblStyle w:val="16"/>
        <w:tblW w:w="9193" w:type="dxa"/>
        <w:jc w:val="center"/>
        <w:tblInd w:w="0" w:type="dxa"/>
        <w:tblLayout w:type="fixed"/>
        <w:tblCellMar>
          <w:top w:w="0" w:type="dxa"/>
          <w:left w:w="0" w:type="dxa"/>
          <w:bottom w:w="0" w:type="dxa"/>
          <w:right w:w="0" w:type="dxa"/>
        </w:tblCellMar>
      </w:tblPr>
      <w:tblGrid>
        <w:gridCol w:w="958"/>
        <w:gridCol w:w="4260"/>
        <w:gridCol w:w="1020"/>
        <w:gridCol w:w="1230"/>
        <w:gridCol w:w="1725"/>
      </w:tblGrid>
      <w:tr>
        <w:tblPrEx>
          <w:tblLayout w:type="fixed"/>
          <w:tblCellMar>
            <w:top w:w="0" w:type="dxa"/>
            <w:left w:w="0" w:type="dxa"/>
            <w:bottom w:w="0" w:type="dxa"/>
            <w:right w:w="0" w:type="dxa"/>
          </w:tblCellMar>
        </w:tblPrEx>
        <w:trPr>
          <w:trHeight w:val="240" w:hRule="atLeast"/>
          <w:jc w:val="center"/>
        </w:trPr>
        <w:tc>
          <w:tcPr>
            <w:tcW w:w="9193" w:type="dxa"/>
            <w:gridSpan w:val="5"/>
            <w:tcBorders>
              <w:top w:val="nil"/>
              <w:left w:val="single" w:color="000000" w:sz="4" w:space="0"/>
              <w:bottom w:val="single" w:color="000000" w:sz="4" w:space="0"/>
              <w:right w:val="single" w:color="auto" w:sz="4" w:space="0"/>
            </w:tcBorders>
            <w:shd w:val="clear" w:color="auto" w:fill="D9D9D9"/>
            <w:noWrap w:val="0"/>
            <w:tcMar>
              <w:top w:w="15" w:type="dxa"/>
              <w:left w:w="15" w:type="dxa"/>
              <w:right w:w="15" w:type="dxa"/>
            </w:tcMar>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玉环干江中学学科实验室功能室汇总表</w:t>
            </w: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序号</w:t>
            </w:r>
          </w:p>
        </w:tc>
        <w:tc>
          <w:tcPr>
            <w:tcW w:w="426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教室名称</w:t>
            </w:r>
          </w:p>
        </w:tc>
        <w:tc>
          <w:tcPr>
            <w:tcW w:w="102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数量</w:t>
            </w:r>
          </w:p>
        </w:tc>
        <w:tc>
          <w:tcPr>
            <w:tcW w:w="123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单位</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42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会议室2间</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批</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2</w:t>
            </w:r>
          </w:p>
        </w:tc>
        <w:tc>
          <w:tcPr>
            <w:tcW w:w="42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录播教室</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间</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3</w:t>
            </w:r>
          </w:p>
        </w:tc>
        <w:tc>
          <w:tcPr>
            <w:tcW w:w="42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多功能报告厅</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间</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4</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物理综合实验室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5</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化学实验室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6</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生物实验室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7</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物理准备仪器室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8</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化学准备仪器室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9</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生物准备仪器室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10</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图书阅览室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11</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音乐教室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12</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音乐器材室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13</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计算机室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14</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计算机语音室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15</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书法教室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16</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书法器材室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9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17</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美术教室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18</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美术器材室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19</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劳技教室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20</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舞蹈室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240" w:hRule="atLeast"/>
          <w:jc w:val="center"/>
        </w:trPr>
        <w:tc>
          <w:tcPr>
            <w:tcW w:w="95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21</w:t>
            </w:r>
          </w:p>
        </w:tc>
        <w:tc>
          <w:tcPr>
            <w:tcW w:w="426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心理活动室</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室</w:t>
            </w:r>
          </w:p>
        </w:tc>
        <w:tc>
          <w:tcPr>
            <w:tcW w:w="17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right"/>
              <w:rPr>
                <w:rFonts w:hint="eastAsia" w:ascii="宋体" w:hAnsi="宋体" w:cs="宋体"/>
                <w:color w:val="000000" w:themeColor="text1"/>
                <w:sz w:val="24"/>
                <w:highlight w:val="none"/>
                <w14:textFill>
                  <w14:solidFill>
                    <w14:schemeClr w14:val="tx1"/>
                  </w14:solidFill>
                </w14:textFill>
              </w:rPr>
            </w:pPr>
          </w:p>
        </w:tc>
      </w:tr>
    </w:tbl>
    <w:p>
      <w:pPr>
        <w:rPr>
          <w:rFonts w:hint="eastAsia"/>
          <w:color w:val="000000" w:themeColor="text1"/>
          <w:sz w:val="24"/>
          <w:szCs w:val="32"/>
          <w:highlight w:val="none"/>
          <w14:textFill>
            <w14:solidFill>
              <w14:schemeClr w14:val="tx1"/>
            </w14:solidFill>
          </w14:textFill>
        </w:rPr>
      </w:pPr>
    </w:p>
    <w:p>
      <w:pPr>
        <w:numPr>
          <w:ilvl w:val="0"/>
          <w:numId w:val="6"/>
        </w:num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采购内容及要求</w:t>
      </w:r>
    </w:p>
    <w:tbl>
      <w:tblPr>
        <w:tblStyle w:val="16"/>
        <w:tblW w:w="9776" w:type="dxa"/>
        <w:tblInd w:w="0" w:type="dxa"/>
        <w:tblLayout w:type="fixed"/>
        <w:tblCellMar>
          <w:top w:w="0" w:type="dxa"/>
          <w:left w:w="0" w:type="dxa"/>
          <w:bottom w:w="0" w:type="dxa"/>
          <w:right w:w="0" w:type="dxa"/>
        </w:tblCellMar>
      </w:tblPr>
      <w:tblGrid>
        <w:gridCol w:w="450"/>
        <w:gridCol w:w="888"/>
        <w:gridCol w:w="6225"/>
        <w:gridCol w:w="450"/>
        <w:gridCol w:w="474"/>
        <w:gridCol w:w="1289"/>
      </w:tblGrid>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会议室</w:t>
            </w:r>
          </w:p>
        </w:tc>
      </w:tr>
      <w:tr>
        <w:tblPrEx>
          <w:tblLayout w:type="fixed"/>
          <w:tblCellMar>
            <w:top w:w="0" w:type="dxa"/>
            <w:left w:w="0" w:type="dxa"/>
            <w:bottom w:w="0" w:type="dxa"/>
            <w:right w:w="0" w:type="dxa"/>
          </w:tblCellMar>
        </w:tblPrEx>
        <w:trPr>
          <w:trHeight w:val="57" w:hRule="atLeast"/>
        </w:trPr>
        <w:tc>
          <w:tcPr>
            <w:tcW w:w="4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产品名称</w:t>
            </w:r>
          </w:p>
        </w:tc>
        <w:tc>
          <w:tcPr>
            <w:tcW w:w="622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参数</w:t>
            </w:r>
          </w:p>
        </w:tc>
        <w:tc>
          <w:tcPr>
            <w:tcW w:w="4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液晶投影机（三楼会议室 ）</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1、3LCD液晶投影机                                                                           2、彩色亮度：4000流明                                                                                           3、标准分辨率：1280*800                                                                    4、对比度：15000:1                                                                          5、2路HDMI/USB 三合一投影                                                                   6、自定义开机LOGO                                                                            7、屏幕宽高比例：16:10                                                                      8、RS-232C接口                                                                              9、屏幕调节：垂直梯形校正/水平梯形校正/水平梯形滑钮/快速四角调节</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升降机</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1M</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高清线</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秋叶原15M</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根</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线材及系统集成</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批</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液晶投影机（四楼会议室 ）</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1、3LCD液晶投影机                                                             2、彩色亮度：4000流明                                                          3、标准分辨率：1280*800                                                           4、对比度：15000:1                                                               5、2路HDMI/USB 三合一投影                                                           6、自定义开机LOGO                                                               7、屏幕宽高比例：16:10                                                                 8、RS-232C接口                                                                    9、屏幕调节：垂直梯形校正/水平梯形校正/水平梯形滑钮/快速四角调节                 10、120寸宽屏幕布</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升降机</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订制</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吸顶音箱</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产品特点：室内高保真喇叭，全封闭结构，铁质阻燃性单元保护后盖，多功率定压定阻选择。螺丝固定压脚系统。适用于宾馆，酒店，会所，商场等室内。</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技术参数：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1．额定功率(100V)：5W,10W,20W,40W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2．额定功率(70V)：2.5W,5W,10W,20W,40W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3．变压器阻抗：2KΩ/1KΩ/500Ω/250Ω/125Ω</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4．输入：70V/100V/8Ω</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5．灵敏度(1W/1M)：90dB±3dB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6．频率响应(-10dB)：90-20KHz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7．喇叭单元：8"×1,1.5"×1</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8．安装开孔尺寸：245mm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9．尺寸：280×195mm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10．重量：2.5Kg</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11.外壳材质：塑料外壳+铁质网罩+铁质后罩</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多媒体合并功放</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功能特点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1.两路线路音频输入，带切换功能。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2.三路话筒输入功能。带独立增益调节功能。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3.MIC 1双接口输入，并带幻象电源功能。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4.专业的数码回声延时电路，使声音更加丰满自然。</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5.带SD/USB接口的MP3播放器，具有蓝牙播放功能，带数码管显示功能。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6.带MP3录音功能便可以将你的歌唱和讲话录音。可以通过MP3随时随地播放录音。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7.120W×2功率输出。能同时外接两组8Ω音箱。</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8.音量及效果采用隐藏式调节，保证工作可靠防误操作。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9.强制冷风扇加强本机的散热，满足长时间的工作。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10、电源采用开关电源，效率高；开机软启动，防止开机时向电网吸收大电流，干扰其它用电设备。</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12.具有：过压保护，欠压保护，过温压限，过温关机，过流压限，过流关机，直流保护，输出短路保护，线性温控风扇。</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13、独有专业D类功放设计，效率更高，重量轻巧，。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技术参数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1.额定输出功率：2×120W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2.输出阻抗：4~8Ω</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3.输入灵敏度与阻抗：MIC1/2/3:±5mV/600Ω（非平衡输入）;</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AUX: 350mV/10KΩ, （非平衡输入）</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VCD: 350mV/10KΩ, （非平衡输入）</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EFFECTOR IN:350mV10KΩ（非平衡输入）</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4.前置输出：EFFECTOR OUT:350mV/470Ω，</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AUDIO OUT:1V±50mV/470Ω</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5.话筒音调：低频:±10dB at 100Hz，高频:±10dB at 10KHz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6.音乐音调：低频:±10dB at 100Hz，高频:±10dB at 10KHz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7.效果器参数： DELAY: 80ms-240ms; ECHO : 1-12，REPEAT: 0.1s-2s</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8.频率响应：AUX,VCD：20HZ（±3dB）--20KHZ（±3dB），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MIC：50HZ（±3dB）--16kHZ（±3dB）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9.信噪比：Mic:≥65dB，音乐：≥70dB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10.谐波失真：功放额定输出功率时的失真≤1%</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11.指示灯：电源指示灯</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12.冷却方式：风冷式</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13.保护方式：超温/短路</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14.输入电源：~220V/50Hz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15.尺寸(LxWxH)：484x209x44mm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16.保险丝规格：T3.15A-250V-5×20</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17.功率损耗：300W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18.重量：3.2Kg</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无线话筒</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产品特点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 采用UHF超高频段双真分集接收，并采用DPLL数字锁相环多信道频率合成技术。</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 提供各200个可调频率，共500个信道选择，真正分集式接收,有效避免断频现象和延长接收距离。</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 具有SCAN 自动扫频功能，使用前按SET功能键自动找一个环境最干净的频点处停下来，此频率作为接收机的使用频率</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 V/A显示屏在任何角度观察字体清晰同时显示信道号与工作频率。带8级射频电平显示，8级音频电平显示，频道菜单显示，静音显示。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 平衡和非平衡两种选择输出端口，适应不同的设备连接需求。</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 超强的抗干扰能力，能有效抑制由外部带来的噪音干扰及同频干扰。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 红外对频功能，能方便、快捷的使发射机与接收机频率同步。</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 中频丰富，声音且有磁性感和混厚感，属人声话筒音持的精华。</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 轻触式按钮控制简捷，让用户使用更方便。</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10.配套有1台接收主机和2个无线手持话筒。</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技术参数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系统指标1.频率指标：640-690MHz 740-790MHz 807-830MHz 共三段 共500个频率2.调制方式：宽带FM，3.频道数目：500个</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4.频道间隔：250KHz，5.频率稳定度：±0.005%以内，6.动态范围：100dB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7.最大频偏：±45KHz，8.频率响应：80Hz-18KHz（±3dB）（整个系统的频率取决于话筒单元），9.综合信噪比：105dB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10.综合失真：≤0.5%，11.工作距离：约100m（工作距离取决于很多因素，包括RF信号的吸收、反射和干扰等）直线无障碍</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12.工作温度：-10℃~+60℃</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接收机指标</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1．接收机方式：二次变频超外差，2．中频频率：110MHz，10.7MHz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3．无线接口：BNC/50Ω，4．灵敏度：12dB μV（80dBS/N)</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5．灵敏度调节范围：12-32dB μV，。6．离散抑制：≥75dB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7．最大输出电平：+10dBV，8．供电方式：DC12V-1A输入</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9．重量：1.95 Kg ，不含天线，10．尺寸：宽422mm×深180mm×高44.5mm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发射机指标，1.音头：动圈式麦克风（双手持话筒）</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2.天线：手持麦克风内置螺旋天线，佩挂发射机采用1/4波长鞭状天线</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3.输出功率：高功率30mW；低功率3mW，4.离散抑制：-60dB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5.供电：2节5号1.5V碱性电池</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6.电池寿命：30mW时大约10个小时，3mW时大约15个小时</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7.功能特点：采用真分集接收方式、有效避免断频现象和延长接收距离</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8.音质特点：中频丰富唱歌轻松，声音具有磁性感和混厚感属人声话筒音持的精华，9.重量：0.34Kg（手持），不含电池重量</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10.尺寸：长268mm×直径35mm（手持）</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支架</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高度：160-200mm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重量：0.23kg</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有线话筒</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技术参数1.换能方式：电容式，2.指向性：心形指向性，3.频率响应：20Hz-18KHz，4.输出阻抗：75Ω，平衡，5.灵敏度：-40dB±2dB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6.动态范围：109dB, 1KH at max spl ，7.信噪比：65dB 1KHz at 1 Pa</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8.供电电压：DC3V/幻象48V ，9.开关：电子轻触，10.咪杆长度：410mm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11.线材配置：8米双芯、卡龙母+卡龙公，12.单支话筒重量：0.78Kg</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13.底座规格（L x W x H）：114×140×37mm </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电源时序</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功能特点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1.8通道电源时序打开/关闭。2.远程控制（上电+24V直流信号）8通道电源时序打开/关闭—当电源开关锁处于off位置时有效；支持配置CH1和CH2通道为受控或不受控状态。3.当远程控制有效时同时控制后板ALARM（报警）端口导通—起到级联控制ALARM（报警）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4.单个通道最大负载功率2200W，所有通道负载总功率达6000W。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5.输入连接器：大功率线码式电源连接器。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6.输出连接器：多用途电源插座。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技术参数1.额定输出电压：AC~220V50Hz，2.额定输出电流：30A</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3.可控制电源：8路，4.每路动作延时时间：1秒</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5.供电电源：VAC，220V50/60Hz，30A，6.单路额定输出电源：10A</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7.尺寸（LxWxH）：484x295x44mm，8.重量：4.2Kg</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机柜</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高清线</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根</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线材及系统集成</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批</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center"/>
              <w:textAlignment w:val="bottom"/>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录播教室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产品名称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互动录播一体机</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推荐品牌：奥威亚、盈可视、凡龙，1.整体设计：标准1U机架式外观设计，便于机柜安装。要求采用嵌入式ARM架构设计，Linux操作系统。</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▲2.内置互动功能：兼容H.323主流互动协议，支持多台录播之间互动教学、教研应用。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3.内置跟踪功能：无需额外配置跟踪主机即可实现图像识别跟踪分析与处理功能。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4.内置音频处理功能：支持混音、EQ均衡、回声抑制、幻象供电功能。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5.视频采集：支持1080P@30高清采集和编码录制，支持4路1080P高清摄像机输入、2路1080P高清HDMI信号接入。</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▲6.视频传输：高清摄像机采用3G-SDI方式传输，保证视频传输质量，不接受网络传输方式。支持PoC供电，实现高清摄像机视频信号、PoC供电信号和控制信号同传。</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7.视频输出：支持3路HDMI输出，输出分辨率支持1080P@60，输出内容包括导播画面、录制效果画面和互动画面。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8.视频编码：兼容H.265和H.264两种视频编码协议，实现更高效率和更好质量的编码技术。</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9.音频编码：采用AAC编码协议，支持2路XLR平衡音频输入、2路Line in、1路Line out、1路耳机监听输出。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10.视频存储：内置2T存储硬盘，支持录制文件本地保存，支持标准MP4视频封装格式。</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11.视频直播：支持RTMP视频传输协议，满足向云端服务器或直播平台的直播推送功能。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12.导播控制：支持2个USB2.0，支持U盘同步录制、视频拷贝，支持接入鼠标键盘的本地导播操作；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13.文件上传：支持FTP文件传输协议，与资源平台无缝对接，通过FTP方式实现视频自动/手动上传至资源平台。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流媒体管理软件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1.整体设计：采用B/S架构设计，支持主流浏览器直接访问录播主机进行管理。实现跟踪管理、录像管理、用户管理、版本管理、参数管理等各种应用功能的整合管理。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2.跟踪管理：基于图像识别跟踪拍摄，支持多种逻辑跟踪技术，支持教师特写和全景画面切换跟踪，支持学生起立回答问题特写跟踪。支持电脑课件信号自动检测跟踪。</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3.硬盘管理：支持硬盘格式化功能，支持对设备异常断电、宕机造成的损坏视频文件进行修复。</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4.版本管理：支持在线升级与系统授权，可查询录播主机的设备型号、版本信息、机身号。</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5.互动管理：支持通过通讯录选择互动录播并“一键式”呼叫创建互动房间，支持通过会议号和会议密码直接加入已创建的互动房间。</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互动通讯录管理：支持查询互动云系统的通讯录数据，查询内容包括所有已在互动云系统注册的录播账号、录播昵称。支持分级筛选查询互动录播设备。支持“关键字”检索功能，通过录播账号、昵称快速查找到互动录播设备。</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远程授课管理：支持授课模式和会议模式两种互动方式。授课模式支持老师实时预览远端画面；提供契合互动教学应用的简易操作模式，支持控制面板按键式快速切换互动画面，支持本地老师、学生、电脑与远端课室画面的自由组合。</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互动网络管理：支持网络检测功能，测试录播设备与互动服务器之前的网络通讯情况，包括上下行丢包率数据、带宽数据。互动应用支持网络自适应功能，互动画面中可叠加显示各互动点的视频码流和丢包率。提供上述功能软件界面截图并加盖厂家投标专用章或公章。</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流媒体直播软件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1.直播协议：支持HTTP、RTMP、RTSP多种直播视频流传输协议；支持TCP和UDP传输控制协议。</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2.推流对接：支持通过RTMP协议向各类型直播服务器推送音视频流，支持同时推送至少3路独立的RTMP直播流。提供上述功能软件界面截图并加盖厂家投标专用章或公章。</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3.直播参数：支持高清直播画质，可自定义直播分辨率、码流大小，以适应不同网络环境下保持直播的流畅性。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4.直播场景：录播主机录课状态、互动状态均支持直播应用，实现公开课直播、教研听课等应用。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5.平台直播：支持录播主机与资源平台无缝对接，实现一键开启“直播”功能，可通过PC、手机等终端访问平台观看直播。</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流媒体导播软件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导播方式：提供本地导播和网页导播多种导播方式，支持外接导播摇杆控制台进行导播操作。2.导播功能：支持布局切换、转场特效、字幕、LOGO、摄像机控制等基本导播功能。3.跟踪方式：支持手动、全自动、半自动是那种跟踪导播方式，可“一键式”开启全自动图像跟踪拍摄录制。4.信号切换：支持摄像机和HDMI信号的实时预览，支持点击切换录制画面。5.鼠标定位：支持鼠标快速定位功能，通过鼠标点击快速居中画面区域，通过鼠标滚轮可以调节云台摄像机的焦距。</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6.云台预置位：支持云台摄像机预置位的预设和调用功能，每个云台摄像机至少支持8个以上预置位功能。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7.布局设置：支持自定义布局设置，支持多个视频图层自由叠加组合，自定义布局时可随意拖拉画面窗口。</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8.字幕台标：支持字幕和字幕背景的透明度设置功能，支持字幕滚动和固定位置两种显示方式；支持上传台标，自定义台标位置。</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高清摄像机</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推荐品牌：奥威亚、盈可视、凡龙，硬件参数：                                                                        1. 视频输出接口：HDMI*1、SDI*1，同步输出图像2. 传感器类型：CMOS、1/2.33英寸；3. 传感器像素：有效像素：800万4. 变焦倍数：22倍光学变焦；5. 水平视场角：72° ~ 6.7°，垂直视场角：43.2° ~ 3.7°6. 水平转动范围：±170°，垂直转动范围：-30° ~ +120°，水平转动速度范围：1.0° ~ 94.2°/s，垂直转动速度范围：1.0° ~ 74.8°/s；7. 预置位数量：255</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 网络接口：RJ45；9. 音频接口：Line In,3.5mm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10. 通讯接口：RS232、RS422；11. 编码技术：视频H.265/H.264，音频AAC                          12供电接口：DC12V，支持POC供电，1根SDI连接录播主机实现供电、控制、视频传输。12. 要求摄像机与录播主机为同一品牌13. 提供产品无故障运行时间MTBF＞100000小时检测报告复印件并加盖厂家投标专用章或公章。                                                                     软件参数：1. 摄像机管理软件采用B/S架构，支持通用浏览器直接访问进行管理。2. 支持网络参数设置与修改，支持一键恢复默认参数。3. 支持曝光模式设置功能，包括自动、手动。4. 支持抗闪烁频率、动态范围、光圈、快门参数设置。5. 支持自动白平衡设置功能，红、蓝增益可调。</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 支持噪声抑制设置功能，支持2D、3D降噪。</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 支持摄像机图像质量调节功能，包括亮度、对比度、色调、饱和度。8. 支持摄像机控制功能，包括云台控制、预置位设置与调用、焦距调节等。</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教师定位分析仪</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after="200"/>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推荐品牌：奥威亚、盈可视、凡龙，硬件参数：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1）扫描方式：逐行扫描；2) 输出帧率：30fps；3) 摄像元件：1/3 " ；4) 有效像素：1920（H）×1080（V）</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 信噪比(S/N)：大于48dB (AGC关)；6) 镜头：内置镜头（f=2.3mm）；7) 最低照度：0.3Lux；8) 接口控制：网络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 供电：PoE</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软件参数：1) 采用B/S架构设计，支持通用浏览器进行远程访问进行管理。2）智能识别老师行为，根据预设的跟踪分析逻辑触发跟踪信号，跟踪策略：教师在教坛区域走动时，切换教坛全景，当教师站立不动时切换到教师特写镜头。</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 支持区域屏蔽功能，避免这个区域的人员干扰活动，提高系统识别效果；4) 具有“模糊防抖”功能，避免人员小幅度活动时引起的摄像机画面抖动现象。</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学生定位分析仪</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推荐品牌：奥威亚、盈可视、凡龙，硬件参数：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1）扫描方式：逐行扫描；2) 输出帧率：30fps；3) 摄像元件：1/3 " ；4) 有效像素：1920（H）×1080（V）</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 信噪比(S/N)：大于48dB (AGC关)；6) 镜头：内置镜头（f=2.3mm）；7) 最低照度：0.3Lux；8) 接口控制：网络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 供电：PoE；软件参数：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 采用B/S架构设计，支持通用浏览器进行远程访问进行管理。2) 智能识别学生行为，根据预设的跟踪分析逻辑触发跟踪信号，跟踪策略：学生起立回答问题时，先切换到学生全景，摄像机到位后再切换到学生特写。</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 支持区域屏蔽功能，避免这个区域的人员干扰活动，提高系统识别效果；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4) 具有“模糊防抖”功能，避免人员小幅度活动时引起的摄像机画面抖动现象。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5）图像分析定位仪应安装在天花板上或2.2米高度以上，避免学生破坏。</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高保真话筒</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推荐品牌：奥威亚、盈可视、凡龙，1、单体：背极式柱极体。2、指向性：超心型/叶型。3、频率响应：40-20,000 Hz。4、灵敏度：-38 dB±2dB(1dB=1V/Pa @1KHz)。5、信噪比：75 dB ,1kHz at 1Pa。6、最大声压级：1kHz条件下130 dB。7、幻象电源：48V。</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支</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硬件导播台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奥威亚、盈可视、凡龙，功能要求：1）支持远程操作录播主机的开关机；2）支持不少于5种特技效果；3）支持不少于6布局选择；6路视频直播切换；6个预置位6个视频预选功能；4）支持云台控制功能：上下左右及变焦功能；5）支持录制、暂停、停止功能；6）支持全自动录播模式和手动录播模式。</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连接要求：7）支持通过USB线缆直接连接录播主机；8）安装导播控制台软件，并设置录播地址；9）导播界面与导播控制台按键/状态同步对应。10）导播控制台关机按键为控制录播系统软关机/唤醒功能。</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互动控制面板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推荐品牌：奥威亚、盈可视、凡龙，1) 在讲台上镶嵌式安装方式；2) 控制接口：RS232；3) 信号指示灯：支持</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 支持一键式系统电源开关控制。5) 一键式录制、停止、锁定电脑信号；6) 支持本地录播全自动的开启、关闭控制。该功能同时支持录播模式和互动模式。7) 支持通过面板一键发起与远端设备互动连接；8) 教师上课过程中，通过交互控制面板切换互动画面的信号源，并传输到听课室，包括本地老师信号、学生信号、电脑信号、远端课室画面。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 支持对各画面的自由布局控制，包括单画面全屏、双分屏、三分屏、四分屏、画中画，并传输到听课室。</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录播电源管理器</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推荐品牌：奥威亚、盈可视、凡龙，1）支持对录播系统控制功能；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2）向录播视频系统、音频系统、显示系统提供统一的、至少八路电源管理；从而实现对录播系统的远程集中统一控制。</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无线话筒（头戴+手持）</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推荐品牌：PAW、铁三角、舒尔，频率范围:580-870MHz;最大频道数:160;频带宽度:24MHz;接收灵敏:&lt;-90dBm for 30dB S/N Ratio;最大频偏:+/-50KHz;频率响应:50~15000Hz;信噪比&gt;102dB (A);失真度&lt;1%;动态范围&gt;95dB；手持话筒采用金属压铸管体和橡胶尾部设计，防摔功能卓著;音头模组分离式设计;背光LCD可显示组号、频道、电量、功率、增益、静音等状态;三级功率和音频增益调节功能;红外线数据同步装置。</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数字音频处理器</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推荐品牌：技湛、艾力特、快鱼。12进4出音频处理器，集成自动噪音抑制技术，（去除包含空调、排气扇等噪音干扰）保证声音质量；可通过网络进行监听，软件升级和参数配置（支持局域网和公网）；8路差分输入；4路单声道Line-IN输入, 4路平衡输出，；8路平衡输入可做16段EQ处理（其他输入、输出不作EQ处理）； 音抗混响功能，避免多路语音互相干扰，突出重要语音信号；回声消除功能：无线麦克风、吊麦的混音需要进行AEC处理，参考信号为远程音频信号；具有AGC功能，防止多人大声说话时破音；远程回声消除： 处理回声延迟能力：128ms，256ms，512ms回声抑制比： ＞60dB采样率： 32K采样位数： 16位动态范围： 90db；环境噪声消除：  稳态噪声消除比：30dB ；频率响应 ： 20Hz-16KHz 最大增益 ： 59dB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具备降噪控制软件证书；具备回声消除专用软件证书；                                       具备音频主机软件证书；具备公安部检测报告或其他可靠性测试报告；</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时序电源</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推荐品牌：宝得声、湖山、声博。19”标准机架式结构;高度:1U；电源电压交流:220V 50HZ ;8路通道输出,每组延迟时间1s,每组最大输出电流30A。</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专业操控台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机架全钢，布置机柜（高度13U），具有合理的走线槽、全尺寸键盘抽屉；面板：材质为防滑、耐磨防火板，边沿前鸭嘴、后圆角式样；尺寸：1800mm*750mm*800mm。</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观摩电视机</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LED液晶智能电视，酷开操作系统/兼容安卓5.1； 屏幕寿命：≥30000小时；能效等级：等于或优于2级；屏幕尺寸：50英寸；屏幕比例：16:9；物理分辨率：3840*2160；对比度：≥10000:1；响应时间：≤8ms；产品功耗：≤120W；待机功率：≤0.5W;有线/WIFI/蓝牙功能；声音输出功率：≥8W*2;显示技术：六基色、屏变功能；输入端口：HDMI 接口：2个； USB3.0*1路；USB2.0*1路；网络接口：1路；VGA接口：1路；分量接口：1路；耳机接口：1路；无源音箱输出：1路； AV输入/输出：1/1组；TF卡槽：1路</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后台导播电脑</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一、主机参数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1、有独立的原厂机箱、可立可卧；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▲2、CPU：Intel® Core™ i5-8500 Processors 或以上；</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3、主板与接口：Intel Q370芯片组或以上，≥2条DIMM扩展插；</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4、内存：单条4GB DDR4 2133或以上；</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5、硬盘：数量1个；技术参数：固态硬盘，容量≥256GB；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6、显卡：主板集成显卡，支持双屏显示；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7、声卡：集成声卡；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8、网卡：INTEL 1000 MHz集成网卡；</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9、无线网卡：支持802.11AC</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10、接口：USB接口4个或以上，（其中1个以上USB3.0，可支持关机为其他USB外设充电功能）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11、电源适配器：≤65W；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12、键鼠：自带USB键盘鼠标</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▲13、内置软件：内置Intel联合软件系统Unite，提供跨操作系统的无线共享技术；</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▲14、操作系统：微软Windows10 64位中文版</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二、软件功能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通过网络远程可查看教学智能一体机基本信息，如：开关机状态、整机温度、以及系统内存使用情况、硬盘空间使用情况及硬件（CPU、内存、硬盘、网卡等）硬件信息，方便学校信息老师、区教育局管理设备。并支持按照年级、班级，设置教室中的教学智能一体机的名称，方便管理员对应管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2、通过网络远程可设置教学智能一体机开关机时间段，如“周六中午12点至14点开机”，方便管理员保证教学智能一体机在非正常使用时间段内，进行系统升级或维护操作；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3、通过网络远程可加载操作系统镜像文件，远程安装、修复操作系统或进行统一部署等日常维护工作；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显示器参数                                                          1、尺寸：21.5英寸及以上LED窄边框设计显示器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2、外观设计：，无边界窄边框、模块化设计，可与主机组合为模块化一体机；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3、分辨率：支持1920*1080分辨率；</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4、对比度：1000：1对比度；</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5、支架：可调节支架，支持屏幕升降、俯仰及旋转调节；</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6、接口：预留USB3.1和DP-IN端口可外接显示设备信号输入；</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7、其他组件：提供高清摄像头、麦克风、内置音箱；</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音箱</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低音单元 6.5英寸；高音单元 1.4英寸；额定阻抗 8 Ohm；额定功率 2*80W(Nominal额定) . 120W(Peak峰值)；频率范围 80Hz~20KHz；最大声压级 113dB（Continuous 持续值）.119dB（Peak 峰值）；信噪比：&gt;86dB</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对</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功放</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频率响应：20Hz-20kHz(±0.3dB)；灵敏度：0.775V；输入阻抗：20KΩ平衡/10KΩ不平衡；额定功率：8Ω 300W×2  4Ω 600W×2；信噪比：≧110dB（A计权）；转换速率：＞30V/us</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阻尼系数：＞500@1Khz；总谐波失真：＜0.01；保护：峰值限幅，过载，直接，短路，过热，软启动控制。；电 源：AC220v±10%</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交换机1</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千兆以太网交换机;应用层级:二层;传输速率10Mbps/100Mbps/1000Mbps;端口数量：24口</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交换机2</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网络标准 IEEE 802.3、IEEE 802.3u、IEEE 802.3x、IEEE 802.af、IEEE 802.at；端口：5个10/100Mbps RJ45 端口，其中1-4端口支持PoE功能</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互动电视机</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推荐品牌：创维、长虹、海信）LED液晶智能电视，酷开操作系统/兼容安卓5.1；屏幕寿命：≥30000小时；能效等级：等于或优于2级；屏幕尺寸：65英寸；屏幕比例：16:9；物理分辨率：3840*2160；对比度：≥1000:1；响应时间：≤8ms；产品功耗：≤200W；有线/WIFI/蓝牙功能；声音输出功率：≥8W*2;显示技术：六基色、屏变功能；输入端口：HDMI 接口：2个；USB2.0*1路；网络接口：1路</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系统配件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各类配件、线材。</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系统集成及培训</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课桌</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规格：778*515*600~780mm;高度可调,每档30mm，共6档。</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【1】台面：采用25mm厚中密度三聚氰胺饰面板，四周包边处理；直线加连续相切的圆弧构成鱼形灵动造型，可自由排列成多种拼合方式。</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桌腿:采用3mm厚冲压成型的铁板和直径50mm壁厚1.5mm的钢管焊接而成，内置直径40mm壁厚1.5mm并钻了10对调节孔的钢管，配合可调节塑料片可以调节桌腿高度；表面环氧树脂高压静电粉末喷涂，具有较强的耐腐蚀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【3】可调节塑料片：采用两瓣合并上下移动的可调节结构方式，用高强度的ABS材料，塑料注塑模一次性成型，具有较强的耐蚀性及承重性。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【4】固定螺栓：内六角不锈钢螺栓</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【5】多功能可调地脚（可根据地面平整度调节）：高度螺旋调节，采用高强度的尼龙材料，塑料注塑模一次性成型，内置脚轮固定孔，可加装脚轮，具有较强的耐蚀性及承重性。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书包斗：规格470*318*148mm,厚度6mm，采用ABS材料，塑料注塑模一次性成型，正面设有可悬挂凳子的圆形孔，周边加厚加强，斗内有10根宽度为30mm的沙面处理的加强体块，两侧和后侧均设有固定耳。现场演示高度可调工艺及调整后的稳固情况：接触件之间是否有空隙及摇晃情况。</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实验椅</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规格：730*450*430mm,弹性靠背，外观无裂纹、变形、针孔，汽包、飞边等，选用进口 PP 塑料注塑成型，经久耐用、鲜艳不褪色。提供18年之后省级（含）及以上第三方监督抽查检测报告，检测依据：GB\32487-2016（朔料家具通用技术条件）、GB28481-2012(朔料家具中有害物质限量），生产厂家自己送检的检测报告无效。（提供针对本项目的生产厂家授权书）</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听课椅</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座椅规格：中心距：580mm±5mm、总高1000mm±5mm,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座内宽500mm±5mm、座深450mm±5mm、座高455mm±5mm、扶手高620mm±5mm、扶手宽80mm±5mm、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深度：720mm（打开座包）±5mm整体深度：850mm±5mm（打开写字板）、</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建议最小行距900mm-1000mm，外形设计：采用HDS人体流线设计，符合人体生理学原理，结构坚固耐用，有效保障学生健康，防止骨架变形，肌肉酸软，适用于音乐厅、礼堂、剧院、大型会议室场所；</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1、背海棉：采用高密度冷发泡PU定型海棉，符合人体工学原理，柔软、舒适、回弹性好、背海绵密度不低于45kg/ m3，长时间使用不会变形。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2、座海棉：采用高密度冷发泡PU定型海棉，符合人体工学原理，柔软、舒适、回弹性好、座海绵密度不低于50kg/ m3，长时间使用不会变形。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3、背内板：采用优质夹板经模具压注成型，外型成弧型，美观大方，具有曲线美。</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4、座背胶壳：座背胶壳采用优质PP（聚丙烯）多元素复合材料经模具一次压铸成型，附独特蜂窝式吸音气孔，整体吸音率0.5，保证座椅的良好透气性能和整个会场无噪音。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5、回位功能：采用自动回复装置，使椅座能自动复位，回位轻盈，无故障使用，永不失效；</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6、扶手面：采用优质进口橡，木板面经六次以上喷油、打磨，油漆采用高硬高度聚脂环保漆；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7、写字板：内藏式折叠写字板，采用铝合金支撑结构配铝合金码仔，面板采用高密度中纤板，外冷压防火面板，四周PU封边。不用时可收藏于扶手内，使用极为方便，省空间，完全满足书写时的承重要求。</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面料：采用优质环保软质麻绒面料，针车成型，渗透力强,吸声效果好，甲醛含量≤0.012mg/kg,耐干摩擦色牢度≥4级，起球≥3.5级，耐酸碱汗渍色牢度≥4级，撕破强力≥25N，断裂强力≥300N,可根据客户需求确定颜色和质感;</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9、胶粘剂：采用优质进口环保胶粘剂，其中游离甲醛≤0.05g/kg，笨 ≤0.01g/kg，甲苯+二甲苯≤8g/kg，二氯甲烷≤20g/kg，，总挥发性有机物≤480g/L。                                                                            10、侧板：采用优质木侧板贴棉绒布包裹，嵌入扶手框内侧，整体美观，牢固。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11、扶手框：扶手框采用优质A级冷轧板经模具冲压焊接成型，其框架上端长度400mm±5mm、下端长245mm±5mm、宽度80mm±5mm、高度350±5mmmm。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12、扶手脚架：采用优质铝合金经模具压注一次成型，造型优美，工艺精良，脚架表面光滑无毛剌，整体无焊接痕迹，且脚架表面经过防氧化处理后又经高温喷涂处理，使粉末附着力更强，保证脚架耐腐蚀、不生锈、不褪色。脚架高度：234mm±2mm，脚架顶端与扶手框链接位规格为：长147mm±2mm、宽65mm±2mm、厚10mm±2mm，脚掌规格：长406mm±2mm、宽55mm±2mm、高32mm±2mm，其脚板地脚孔前后中心孔距361mm±2mm，脚架整体设计符合力学及人体工程学原理，受力均匀，抗冲击、经久耐用，脚架底部带有加强筋，从而加强座椅的受力点以及承受力度，脚架采用M8膨胀螺丝+M12膨胀胶固定到地面，表面卡扣式PP胶盖嵌入，起到防尘美观作用。                     </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报告厅</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产品名称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主席台</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ascii="仿宋_GB2312" w:hAnsi="宋体" w:eastAsia="仿宋_GB2312" w:cs="仿宋_GB2312"/>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4200mm*600mm*760mm，（1）面材：采用优质品牌胡桃木皮，木皮厚度0.6mm ，木皮宽度≥200mm ，木皮纹理颜色一致，无结疤，无瑕疵；</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(2)台面：选用优质E1级中密度纤维板，板材密度≥740kg/m³, 甲醛含量≤1.5mg/L,静曲张度≥51.2Mpa,吸水膨胀率≤8.1% ，含水率≤8.1%。;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(3)封边用材：与贴面用材种类相同的实木木材，用封油进行封固，防止其吸收外界水分；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(4)油漆：采用优质环保油漆，“五底三面”工艺，非显孔亚光，两面均衡油饰，漆膜附着力达到1级，硬度达到3H 以上；</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(5)五金配件：采用“雅洁、汇泰龙、德国易度”或同等品牌优质五金配件。</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0"/>
                <w:szCs w:val="20"/>
                <w:highlight w:val="none"/>
                <w14:textFill>
                  <w14:solidFill>
                    <w14:schemeClr w14:val="tx1"/>
                  </w14:solidFill>
                </w14:textFill>
              </w:rPr>
            </w:pPr>
            <w:r>
              <w:rPr>
                <w:rFonts w:hint="eastAsia" w:ascii="宋体" w:hAnsi="宋体" w:cs="宋体"/>
                <w:b/>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58240" behindDoc="0" locked="0" layoutInCell="1" allowOverlap="1">
                  <wp:simplePos x="0" y="0"/>
                  <wp:positionH relativeFrom="column">
                    <wp:posOffset>48260</wp:posOffset>
                  </wp:positionH>
                  <wp:positionV relativeFrom="paragraph">
                    <wp:posOffset>518160</wp:posOffset>
                  </wp:positionV>
                  <wp:extent cx="741680" cy="455295"/>
                  <wp:effectExtent l="0" t="0" r="7620" b="1905"/>
                  <wp:wrapNone/>
                  <wp:docPr id="28" name="Picture_6"/>
                  <wp:cNvGraphicFramePr/>
                  <a:graphic xmlns:a="http://schemas.openxmlformats.org/drawingml/2006/main">
                    <a:graphicData uri="http://schemas.openxmlformats.org/drawingml/2006/picture">
                      <pic:pic xmlns:pic="http://schemas.openxmlformats.org/drawingml/2006/picture">
                        <pic:nvPicPr>
                          <pic:cNvPr id="28" name="Picture_6"/>
                          <pic:cNvPicPr/>
                        </pic:nvPicPr>
                        <pic:blipFill>
                          <a:blip r:embed="rId6"/>
                          <a:stretch>
                            <a:fillRect/>
                          </a:stretch>
                        </pic:blipFill>
                        <pic:spPr>
                          <a:xfrm>
                            <a:off x="0" y="0"/>
                            <a:ext cx="741680" cy="4552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主席椅</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（1）面料：选用优质西皮，厚度≥1.5mm，防潮、防污易清洁等，皮面柔软舒适，光泽持久性好；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（2）基材：进口橡木框架，材质坚硬钢性强，承托力达320kg,含水率≤8.1%,经防腐防虫防潮等技术处理；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（3）辅料：采用优质高密度定型PU泡棉，泡棉密度≥55KG/m³,拉升强度≥90kPa,伸长率≥130％，回弹力≥64％，撕裂强度≥2.0N/cm,在常期负重状态下性能保持良好；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（4）整体：车缝线路均匀、线条顺畅、针距均匀；扪面整体感观流畅、外型符合要求；组装后全面测试：转角平滑、后背及底座包饱满，富有弹性、左右对齐。</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把</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0"/>
                <w:szCs w:val="20"/>
                <w:highlight w:val="none"/>
                <w14:textFill>
                  <w14:solidFill>
                    <w14:schemeClr w14:val="tx1"/>
                  </w14:solidFill>
                </w14:textFill>
              </w:rPr>
            </w:pPr>
            <w:r>
              <w:rPr>
                <w:rFonts w:hint="eastAsia" w:ascii="宋体" w:hAnsi="宋体" w:cs="宋体"/>
                <w:b/>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wp:posOffset>
                  </wp:positionH>
                  <wp:positionV relativeFrom="paragraph">
                    <wp:posOffset>796925</wp:posOffset>
                  </wp:positionV>
                  <wp:extent cx="810895" cy="701675"/>
                  <wp:effectExtent l="0" t="0" r="1905" b="9525"/>
                  <wp:wrapNone/>
                  <wp:docPr id="19" name="Picture_8"/>
                  <wp:cNvGraphicFramePr/>
                  <a:graphic xmlns:a="http://schemas.openxmlformats.org/drawingml/2006/main">
                    <a:graphicData uri="http://schemas.openxmlformats.org/drawingml/2006/picture">
                      <pic:pic xmlns:pic="http://schemas.openxmlformats.org/drawingml/2006/picture">
                        <pic:nvPicPr>
                          <pic:cNvPr id="19" name="Picture_8"/>
                          <pic:cNvPicPr/>
                        </pic:nvPicPr>
                        <pic:blipFill>
                          <a:blip r:embed="rId7"/>
                          <a:stretch>
                            <a:fillRect/>
                          </a:stretch>
                        </pic:blipFill>
                        <pic:spPr>
                          <a:xfrm>
                            <a:off x="0" y="0"/>
                            <a:ext cx="810895" cy="70167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会议椅</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座椅规格：中心距：580mm±5mm、总高1000mm±5mm,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座内宽500mm±5mm、座深450mm±5mm、座高455mm±5mm、扶手高620mm±5mm、扶手宽80mm±5mm、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深度：720mm（打开座包）±5mm整体深度：850mm±5mm（打开写字板）、</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color w:val="000000" w:themeColor="text1"/>
                <w:highlight w:val="none"/>
                <w14:textFill>
                  <w14:solidFill>
                    <w14:schemeClr w14:val="tx1"/>
                  </w14:solidFill>
                </w14:textFill>
              </w:rPr>
              <w:drawing>
                <wp:anchor distT="0" distB="0" distL="114300" distR="114300" simplePos="0" relativeHeight="251712512" behindDoc="0" locked="0" layoutInCell="1" allowOverlap="1">
                  <wp:simplePos x="0" y="0"/>
                  <wp:positionH relativeFrom="column">
                    <wp:posOffset>4457700</wp:posOffset>
                  </wp:positionH>
                  <wp:positionV relativeFrom="paragraph">
                    <wp:posOffset>2647950</wp:posOffset>
                  </wp:positionV>
                  <wp:extent cx="935355" cy="349885"/>
                  <wp:effectExtent l="0" t="0" r="4445" b="5715"/>
                  <wp:wrapNone/>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8"/>
                          <a:stretch>
                            <a:fillRect/>
                          </a:stretch>
                        </pic:blipFill>
                        <pic:spPr>
                          <a:xfrm>
                            <a:off x="0" y="0"/>
                            <a:ext cx="935355" cy="349885"/>
                          </a:xfrm>
                          <a:prstGeom prst="rect">
                            <a:avLst/>
                          </a:prstGeom>
                          <a:noFill/>
                          <a:ln>
                            <a:noFill/>
                          </a:ln>
                        </pic:spPr>
                      </pic:pic>
                    </a:graphicData>
                  </a:graphic>
                </wp:anchor>
              </w:drawing>
            </w:r>
            <w:r>
              <w:rPr>
                <w:color w:val="000000" w:themeColor="text1"/>
                <w:highlight w:val="none"/>
                <w14:textFill>
                  <w14:solidFill>
                    <w14:schemeClr w14:val="tx1"/>
                  </w14:solidFill>
                </w14:textFill>
              </w:rPr>
              <w:drawing>
                <wp:anchor distT="0" distB="0" distL="114300" distR="114300" simplePos="0" relativeHeight="251713536" behindDoc="0" locked="0" layoutInCell="1" allowOverlap="1">
                  <wp:simplePos x="0" y="0"/>
                  <wp:positionH relativeFrom="column">
                    <wp:posOffset>4573905</wp:posOffset>
                  </wp:positionH>
                  <wp:positionV relativeFrom="paragraph">
                    <wp:posOffset>3762375</wp:posOffset>
                  </wp:positionV>
                  <wp:extent cx="690880" cy="598170"/>
                  <wp:effectExtent l="0" t="0" r="7620" b="1143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tretch>
                            <a:fillRect/>
                          </a:stretch>
                        </pic:blipFill>
                        <pic:spPr>
                          <a:xfrm>
                            <a:off x="0" y="0"/>
                            <a:ext cx="690880" cy="598170"/>
                          </a:xfrm>
                          <a:prstGeom prst="rect">
                            <a:avLst/>
                          </a:prstGeom>
                          <a:noFill/>
                          <a:ln>
                            <a:noFill/>
                          </a:ln>
                        </pic:spPr>
                      </pic:pic>
                    </a:graphicData>
                  </a:graphic>
                </wp:anchor>
              </w:drawing>
            </w:r>
            <w:r>
              <w:rPr>
                <w:rFonts w:hint="eastAsia" w:ascii="宋体" w:hAnsi="宋体" w:cs="宋体"/>
                <w:b/>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4493260</wp:posOffset>
                  </wp:positionH>
                  <wp:positionV relativeFrom="paragraph">
                    <wp:posOffset>618490</wp:posOffset>
                  </wp:positionV>
                  <wp:extent cx="923925" cy="902335"/>
                  <wp:effectExtent l="0" t="0" r="3175" b="12065"/>
                  <wp:wrapNone/>
                  <wp:docPr id="24" name="Picture_1"/>
                  <wp:cNvGraphicFramePr/>
                  <a:graphic xmlns:a="http://schemas.openxmlformats.org/drawingml/2006/main">
                    <a:graphicData uri="http://schemas.openxmlformats.org/drawingml/2006/picture">
                      <pic:pic xmlns:pic="http://schemas.openxmlformats.org/drawingml/2006/picture">
                        <pic:nvPicPr>
                          <pic:cNvPr id="24" name="Picture_1"/>
                          <pic:cNvPicPr/>
                        </pic:nvPicPr>
                        <pic:blipFill>
                          <a:blip r:embed="rId10"/>
                          <a:stretch>
                            <a:fillRect/>
                          </a:stretch>
                        </pic:blipFill>
                        <pic:spPr>
                          <a:xfrm>
                            <a:off x="0" y="0"/>
                            <a:ext cx="923925" cy="902335"/>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lang w:bidi="ar"/>
                <w14:textFill>
                  <w14:solidFill>
                    <w14:schemeClr w14:val="tx1"/>
                  </w14:solidFill>
                </w14:textFill>
              </w:rPr>
              <w:t>建议最小行距900mm-1000mm，外形设计：采用HDS人体流线设计，符合人体生理学原理，结构坚固耐用，有效保障学生健康，防止骨架变形，肌肉酸软，适用于音乐厅、礼堂、剧院、大型会议室场所；</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1、背海棉：采用高密度冷发泡PU定型海棉，符合人体工学原理，柔软、</w:t>
            </w:r>
            <w:r>
              <w:rPr>
                <w:rFonts w:hint="eastAsia" w:ascii="宋体" w:hAnsi="宋体" w:cs="宋体"/>
                <w:b/>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4551680</wp:posOffset>
                  </wp:positionH>
                  <wp:positionV relativeFrom="paragraph">
                    <wp:posOffset>959485</wp:posOffset>
                  </wp:positionV>
                  <wp:extent cx="814070" cy="559435"/>
                  <wp:effectExtent l="0" t="0" r="11430" b="12065"/>
                  <wp:wrapNone/>
                  <wp:docPr id="29" name="图片_2"/>
                  <wp:cNvGraphicFramePr/>
                  <a:graphic xmlns:a="http://schemas.openxmlformats.org/drawingml/2006/main">
                    <a:graphicData uri="http://schemas.openxmlformats.org/drawingml/2006/picture">
                      <pic:pic xmlns:pic="http://schemas.openxmlformats.org/drawingml/2006/picture">
                        <pic:nvPicPr>
                          <pic:cNvPr id="29" name="图片_2"/>
                          <pic:cNvPicPr/>
                        </pic:nvPicPr>
                        <pic:blipFill>
                          <a:blip r:embed="rId11"/>
                          <a:stretch>
                            <a:fillRect/>
                          </a:stretch>
                        </pic:blipFill>
                        <pic:spPr>
                          <a:xfrm>
                            <a:off x="0" y="0"/>
                            <a:ext cx="814070" cy="559435"/>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lang w:bidi="ar"/>
                <w14:textFill>
                  <w14:solidFill>
                    <w14:schemeClr w14:val="tx1"/>
                  </w14:solidFill>
                </w14:textFill>
              </w:rPr>
              <w:t>舒适、回弹性好、背海绵密度不低于45kg/ m3，长时间使用不会变形。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2、座海棉：采用高密度冷发泡PU定型海棉，符合人体工学原理，柔软、舒适、回弹性好、座海绵密度不低于50kg/ m3，长时间使用不会变形。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3、背内板：采用优质夹板经模具压注成型，外型成弧型，美观大方，具有曲线美。</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4、座背胶壳：座背胶壳采用优质PP（聚丙烯）多元素复合材料经模具一次压铸成型，附独特蜂窝式吸音气孔，整体吸音率0.5，保证座椅的良好透气性能和整个会场无噪音。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5、回位功能：采用自动回复装置，使椅座能自动复位，回位轻盈，无故障使用，永不失效；</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6、扶手面：采用优质进口橡，木板面经六次以上喷油、打磨，油漆采用高硬高度聚脂环保漆；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7、写字板：内藏式折叠写字板，采用铝合金支撑结构配铝合金码仔，面板采用高密度中纤板，外冷压防火面板，四周PU封边。不用时可收藏于扶手内，使用极为方便，省空间，完全满足书写时的承重要求。</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面料：采用优质环保软质麻绒面料，针车成型，渗透力强,吸声效果好，甲醛含量≤0.012mg/kg,耐干摩擦色牢度≥4级，起球≥3.5级，耐酸碱汗渍色牢度≥4级，撕破强力≥25N，断裂强力≥300N,可根据客户需求确定颜色和质感;</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9、胶粘剂：采用优质进口环保胶粘剂，其中游离甲醛≤0.05g/kg，笨 ≤0.01g/kg，甲苯+二甲苯≤8g/kg，二氯甲烷≤20g/kg，，总挥发性有机物≤480g/L。                                                                            10、侧板：采用优质木侧板贴棉绒布包裹，嵌入扶手框内侧，整体美观，牢固。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11、扶手框：扶手框采用优质A级冷轧板经模具冲压焊接成型，其框架上端长度400mm±5mm、下端长245mm±5mm、宽度80mm±5mm、高度350±5mmmm。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12、扶手脚架：采用优质铝合金经模具压注一次成型，造型优美，工艺精良，脚架表面光滑无毛剌，整体无焊接痕迹，且脚架表面经过防氧化处理后又经高温喷涂处理，使粉末附着力更强，保证脚架耐腐蚀、不生锈、不褪色。脚架高度：234mm±2mm，脚架顶端与扶手框链接位规格为：长147mm±2mm、宽65mm±2mm、厚10mm±2mm，脚掌规格：长406mm±2mm、宽55mm±2mm、高32mm±2mm，其脚板地脚孔前后中心孔距361mm±2mm，脚架整体设计符合力学及人体工程学原理，受力均匀，抗冲击、经久耐用，脚架底部带有加强筋，从而加强座椅的受力点以及承受力度，脚架采用M8膨胀螺丝+M12膨胀胶固定到地面，表面卡扣式PP胶盖嵌入，起到防尘美观作用。                                                                                                                                               </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194</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位</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0"/>
                <w:szCs w:val="20"/>
                <w:highlight w:val="none"/>
                <w14:textFill>
                  <w14:solidFill>
                    <w14:schemeClr w14:val="tx1"/>
                  </w14:solidFill>
                </w14:textFill>
              </w:rPr>
            </w:pPr>
            <w:r>
              <w:rPr>
                <w:rFonts w:hint="eastAsia" w:ascii="宋体" w:hAnsi="宋体" w:cs="宋体"/>
                <w:b/>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64384" behindDoc="0" locked="0" layoutInCell="1" allowOverlap="1">
                  <wp:simplePos x="0" y="0"/>
                  <wp:positionH relativeFrom="column">
                    <wp:posOffset>140335</wp:posOffset>
                  </wp:positionH>
                  <wp:positionV relativeFrom="paragraph">
                    <wp:posOffset>2971800</wp:posOffset>
                  </wp:positionV>
                  <wp:extent cx="690880" cy="598170"/>
                  <wp:effectExtent l="0" t="0" r="7620" b="11430"/>
                  <wp:wrapNone/>
                  <wp:docPr id="15" name="图片_3"/>
                  <wp:cNvGraphicFramePr/>
                  <a:graphic xmlns:a="http://schemas.openxmlformats.org/drawingml/2006/main">
                    <a:graphicData uri="http://schemas.openxmlformats.org/drawingml/2006/picture">
                      <pic:pic xmlns:pic="http://schemas.openxmlformats.org/drawingml/2006/picture">
                        <pic:nvPicPr>
                          <pic:cNvPr id="15" name="图片_3"/>
                          <pic:cNvPicPr/>
                        </pic:nvPicPr>
                        <pic:blipFill>
                          <a:blip r:embed="rId12"/>
                          <a:stretch>
                            <a:fillRect/>
                          </a:stretch>
                        </pic:blipFill>
                        <pic:spPr>
                          <a:xfrm>
                            <a:off x="0" y="0"/>
                            <a:ext cx="690880" cy="5981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投影机</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1、3LCD激光工程投影机2、彩色亮度：6000流明；3、标准分辨率：1280*800</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4、对比度：250万:1；5、5秒迅速开机；6、灯泡：2万小时免维护；7、屏幕比例16:10；8、光路密封防尘设计；9、镜头居中设计</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投影幕布</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180寸16：10、质材：白塑、电动遥控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升降机</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1M</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付</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线材及安装调试</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会议分屏</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75寸会议分屏</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拆叠支架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拆叠支架</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付</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网线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超六类</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箱</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HDMI延长器</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对</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无缝高清矩阵切换器</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1.支持4个HDMI输入接口，4个HDMI输出接口。2.支持HDMI 1.4标准，支持HDCP1.4标准。3.最大输入输出分辨率可达3840x2160@30Hz。4.控制接口：1×网口、1×RS 232.1×IR IN、1×USB UPDATE</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主音箱功放</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1.两声道功放有三档输入灵敏度选择（支持0.775V/1V/1.44V），可轻松接纳宽幅度范围信号源输入。输入座接地脚接地和悬浮控制。</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2.采用智能控制强制散热设计，具有风机噪音小，散热效率高等特点；具有完善可靠的安全保护措施和工作状态指示（短路、过载、直流和过热保护，变压器过热保护），让用户放心使用。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3.输出功率:立体声/并联8Ω:700W*2.立体声/并联4Ω:1050W*2.桥接8Ω:2100W。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4.采用标准XLR+TRS1/4” 复合多功能输入接口，更加方便不同用户需求。智能削峰限幅器，控制功率模块及扬声器系统在安全范围内工作。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5.信噪比≥95dB、频响:20Hz-20KHz(+0dB/-2dB)；分离度≥80dB、失真度≤0.05%。</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b/>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主音箱</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1.阻抗：8Ω；2.频响：45Hz~20KHz；3.额定功率：450W；4.灵敏度：100dB/W/M；5.覆盖角度：(H)80°(V)60°；6.高音：1.73"压缩高音单元×1</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7.低音：15"低音×1</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b/>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补声音箱功放</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1.两声道功放有三档输入灵敏度选择（支持0.775V/1V/1.44V），可轻松接纳宽幅度范围信号源输入。输入座接地脚接地和悬浮控制。</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2.采用智能控制强制散热设计，具有风机噪音小，散热效率高等特点；具有完善可靠的安全保护措施和工作状态指示（短路、过载、直流和过热保护，变压器过热保护），让用户放心使用。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3.输出功率:立体声/并联8Ω:350W*2.立体声/并联4Ω:530W*2.桥接8Ω:1060W。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4.采用标准XLR+TRS1/4” 复合多功能输入接口，更加方便不同用户需求。智能削峰限幅器，控制功率模块及扬声器系统在安全范围内工作。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5.信噪比≥95dB、频响:20Hz-20KHz(+0dB/-2dB)；分离度≥80dB、失真度≤0.05%。</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补声音箱</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1.阻抗：8Ω；2.频响：60Hz~20KHz；3.额定功率：200W；4.灵敏度：96dB/W/M；5.覆盖角度：(H)80°(V)60°；6.高音：1.4"压缩高音单元×1</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7.低音：8"低音×1</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支架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固定面板尺寸（长*宽）： 140mm*65mm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箱体固定面板尺寸（长*宽）： 128mm*70mm</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调音台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1.支持≥10路MIC输入兼容8路线路输入接口，支持≥2组立体声输入接口，≥4路RCA输入，话筒接口幻像电源：+48V。</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2.具有≥2组立体主输出、≥4路编组输出、≥4路辅助输出、≥1组立体声监听输出、≥1个耳机监听输出、≥2个效果输出、≥1组主混音断点插入、≥8个断点插入。</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3.内置24位DSP效果器，提供100种预设效果。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4.具备15个60mm行程的高精密碳膜推子。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★5.内置USB声卡模块，支持连接电脑进行音乐播放和声音录音；内置MP3播放器，支持1个USB接口接U盘播放音乐。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6.频率响应：10Hz to 55KHz，+/-3dB；失真度：&lt;0.003% at+0dB,22Hz-22KHz A-weighted；灵敏度：+21dB~-30dB；信噪比：&lt;-100dBr A-weighted</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音频处理器</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1.数字音频处理器支持≥12路平衡式话筒/线路输入通道，采用裸线接口端子，平衡接法；支持≥12路平衡式线路输出，采用裸线接口端子，平衡接法。</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2.输入通道支持前级放大、信号发生器、扩展器、压缩器、5段参量均衡、AM自动混音功能、AFC自适应反馈消除、AEC回声消除、ANC噪声消除。</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3.输出通道支持31段参量均衡器、延时器、分频器、高低通滤波器、限幅器。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4.支持24bit/48KHz卓越的高品质声音，支持输入通道48V幻像供电，频率响应：20Hz-20KHz，总谐波失真＜0.002% @1KHz ,4dBu，数/模动态范围(A-计权)：120dB；最大输出电平≥+24dBu，最大输入电平≥+24dBu。</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★5.支持通过ipad或iPhone或安卓手机APP软件进行操作控制、切换8个不同场景。面板具备USB接口，支持多媒体存储，可进行播放或存储录播。（提供功能演示视频供评标查证，未提供本项演示的视为非实质性响应）</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6.配置双向RS-232接口，可用于控制外部设备；配置RS-485接口，可实现自动摄像跟踪功能。配置8通道可编程GPIO控制接口（可自定义输入输出）。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7.支持断电自动保护记忆功能。支持通道拷贝、粘贴、联控功能。支持通过浏览器访问设备，下载自带管理控制软件；软件界面直观、图形化，可工作在XP/Windows7.8.10等系统环境下。</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无线话筒（双手持）</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采用UHF超高频段双真分集接收，并采用DPLL数字锁相环多信道频率合成技术；V/A显示屏在任何角度观察字体清晰同时显示信道号与工作频率。红外对频功能，能方便、快捷的使发射机与接收机频率同步，超强的抗干扰能力，能有效抑制由外部带来的噪音干扰及同频干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2.带8级射频电平显示，8级音频电平显示，频道菜单显示，静音显示；具有SCAN 自动扫频功能，使用前按SET功能键自动找一个环境最干净的频点处停下来，此频率作为接收机的使用频率</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3.平衡和非平衡两种选择输出端口，适应不同的设备连接需求。</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4.频率指标:640-830MHz，调制方式:宽带FM，提供各200个可调频率，共500个信道选择，真正分集式接收,有效避免断频现象和延长接收距离。工作距离约100m；中频丰富，声音具有磁性感和混厚感。</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5.接收机指标：采用二次变频超外差的接收机方式，灵敏度: 12dB μV（80dBS/N)，灵敏度调节范围:12-32dB μV，频率响应:80Hz-18KHz（±3dB）。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6.系统包括有一台主机+两个无线手持话筒；发射机指标：音头采用动圈式麦克风，输出功率:3mW~30mW。</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无线话筒（双头戴）</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采用UHF超高频段双真分集接收，并采用DPLL数字锁相环多信道频率合成技术；V/A显示屏在任何角度观察字体清晰同时显示信道号与工作频率。红外对频功能，能方便、快捷的使发射机与接收机频率同步，超强的抗干扰能力，能有效抑制由外部带来的噪音干扰及同频干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2.带8级射频电平显示，8级音频电平显示，频道菜单显示，静音显示；具有SCAN 自动扫频功能，使用前按SET功能键自动找一个环境最干净的频点处停下来，此频率作为接收机的使用频率</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3.平衡和非平衡两种选择输出端口，适应不同的设备连接需求。</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频率指标:640-830MHz，调制方式:宽带FM，提供各200个可调频率，共500个信道选择，真正分集式接收,有效避免断频现象和延长接收距离。工作距离约100m；中频丰富，声音且有磁性感和混厚感，属人声话筒音持的精华。</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5.接收机指标：采用二次变频超外差的接收机方式，灵敏度: 12dB μV（80dBS/N)，灵敏度调节范围:12-32dB μV，频率响应:80Hz-18KHz（±3dB）。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6.系统包括有一台主机+两个头戴话筒；发射机指标：音头采用动圈式麦克风，输出功率:3mW~30mW。</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无线话筒（鹅颈一拖四）</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采用先进PLL频率合成锁相环技术，微电脑集成中央处理器CPU总线控制系统。</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 兼容手动选频和红外自动对频锁定频道， 杂讯锁定静噪控制及音码锁定静噪控制，信号更稳定。</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 V/A显示屏在任何角度观察字体清晰同时显示信道号与工作频率。带8级射频电平显示，8级音频电平显示，频道菜单显示，静音显示。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 先进的滤波及抗干扰功能能够有效阻隔外界不良信号及手机信号的干扰。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 使用640-830MHZ频段，每台接收机拥有200个可调频率。</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 采用传统按键操控，更省电，更经济实惠，性价比高，内置高性能的语音压扩技术，支持平衡和非平衡两种选择输出端口。</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7.系统指标：频率范围： 640-690MHZ  740-790MHz  807-830MHz、频道数目： 500个、音频响应 ：80HZ-18KHZ(±2dB)、信噪比： &gt;105dB、灵敏度 ：–105 dBm for 12 dB SINAD, typical、有效使用距离 ：空旷50米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8.接收器指标：平衡200Ω 负载-13dBV，非平衡600Ω、音频输出阻抗： 平衡200Ω；1路合并非平衡600Ω；</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9.麦克风指标：输出功率 ：高功率30mW；低功率3mW</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10.系统包括有一台主机+四台桌面式无线麦克</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电源时序器</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1.支持8通道电源时序打开/关闭，支持远程控制（上电+24V直流信号）8通道电源时序打开/关闭—当电源开关锁处于off位置时有效。支持配置CH1和CH2通道为受控或不受控状态。</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2.当远程控制有效时同时控制后板ALARM（报警）端口导通—起到级联控制ALARM（报警）功能。</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3.单个通道最大负载功率2200W，所有通道负载总功率达6000W。输出连接器：多用途电源插座。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机柜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42U</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桌插</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音频连接线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设备所需的连接跳线</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32</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条</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音箱线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HIFI音响线音频线喇叭线带神经线主音箱线300芯蓝色透明100米 QS2208T100S </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卷</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管材</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DN=25mm，厚度：2.0mm，每支钢管通常定尺长度为6000mm</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40</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支</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系统集成</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left"/>
              <w:textAlignment w:val="bottom"/>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center"/>
              <w:textAlignment w:val="bottom"/>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center"/>
              <w:textAlignment w:val="bottom"/>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物理实验室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教师演示台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尺寸：2400*600*850㎜ 台面：采用12.7mm实芯理化板，圆周加厚处理，总厚度为25.4mm,四角圆角,四边磨边。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采用16mm厚中密度三聚氰胺双饰面板，断面以优质2mmPVC封边条配合进口胶王热熔封边防水处理，专用连接件连接组合紧固。四角包边：采用PP改性材料，塑料注塑模一次性成型，曲面弧形造型，可以有效避免碰撞对人体产生的伤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层板：采用16mm以上厚的E1级中密度三聚氰胺饰面板，周边及断面采用厚2mm以上PVC热熔封边并作防水处理；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每个箱体配四个优质的实验室仪器专用地脚，具有防腐防锈减震等特点。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柜门，抽屉：采用厚16mm的中密度三聚氰胺饰面板，柜门和抽屉面板四周注塑模注塑包边成型，拉手与注塑包边一次性成型注塑。</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讲台配有键盘和中控抽屉，侧边配视频展示台抽屉。后板内置视频采集端，设有拆卸式检修板。教师可以在桌面演示实验，并同步拍摄实验操作过程。</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教师视频采集系统</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配备500万像素高清摄像系统，具有对焦、自动调整ISO值等功能，多关节结构，摄像视角360度可调。关节采用尼龙耐磨材料注塑成型，支臂采用铝合型材，表面经过防腐氧化处理和纯环氧树脂塑粉高温固化处理，具有较强的耐蚀性和承重性；用于实验操作的视频录制采集，纸质实验报告和资料的拍摄，含专用软件</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nil"/>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教师总电源</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尺寸：374*262*80mm，装置在主控台组合柜内，交流输出2-24V,2V/档，电流6A；直流输出1-24伏，0.1伏/档，电流6A；有过载保护。提供220V插座两个，带漏电开关；</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实验桌</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规格：1200*600*780mm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台面：采用８mm实心湖蓝色理化板，防火阻燃、防腐蚀、耐酸碱、防静电、耐磨、抗污染，台前热弯加工后成型，使台面前端呈半圆弧形，圆润下滑、曲面优美，嵌入铝合金围栏卡槽内防变形，台面配置1.2mm厚透明橡胶防护垫.</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框架：主体采用铝合金型材和铝压铸件连接组合框架；立柱：采用100x50mm壁厚1.8mm优质铝合金型材，内附6条铝合金加强筋连接中心支点成网状，可承重、耐侧压、不晃动；前横梁：采用50x40mm壁厚1.8mm优质铝合金拉模，台前整体呈半圆弧形，配合台面圆弧更加美观、承重、严丝合缝； 后横梁：采用130x30壁厚1.8mm的优质铝型材材料一次性成型，配8mm台面卡槽及装饰条卡槽，装饰条颜色与台面颜色相匹配；支撑横梁：采用100mm宽、壁厚10mm的优质铝型材材料一次性成型，与立柱连接采用内六角螺丝，使整个铝合金桌体牢固、不晃动；整体铝合金框架表面经过防腐氧化处理和纯环氧树脂塑粉高温固化处理，具有较强的耐蚀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书包斗：整体PP工程塑料一次性注塑成型，耐压，韧性强。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★产品特点：零甲醛、零污染、易擦洗、耐老化、环保、防水、可回收。</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台面橡胶垫</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1200*600*1.5mm，透明橡胶软垫</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学生实验圆凳（带样）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凳面300(直径）*420（高)mm，凳面采用5mm厚PP工程塑料注塑成型；支撑柱采用直径56mm圆钢管，顶端为165*165*2mm钢板，采用全周满焊焊接，用四颗直径10mm的六角螺丝连接凳面，结构牢固，长期使用也不会出现摇晃松散现象；</w:t>
            </w:r>
            <w:r>
              <w:rPr>
                <w:rStyle w:val="47"/>
                <w:rFonts w:hint="default"/>
                <w:color w:val="000000" w:themeColor="text1"/>
                <w:highlight w:val="none"/>
                <w:lang w:bidi="ar"/>
                <w14:textFill>
                  <w14:solidFill>
                    <w14:schemeClr w14:val="tx1"/>
                  </w14:solidFill>
                </w14:textFill>
              </w:rPr>
              <w:t>▲下端直径30mm的铝合金压铸成虎爪状的凳脚（不允许使用铁管焊接）</w:t>
            </w:r>
            <w:r>
              <w:rPr>
                <w:rStyle w:val="48"/>
                <w:rFonts w:hint="default"/>
                <w:color w:val="000000" w:themeColor="text1"/>
                <w:highlight w:val="none"/>
                <w:lang w:bidi="ar"/>
                <w14:textFill>
                  <w14:solidFill>
                    <w14:schemeClr w14:val="tx1"/>
                  </w14:solidFill>
                </w14:textFill>
              </w:rPr>
              <w:t>，爪端焊造型螺母，配直径50mm高30mm的工程塑料脚盘，金属材料表面经过防腐氧化处理和纯环氧树脂塑粉高温固化处理，具有较强的耐蚀性及承重性。凳面颜色湖蓝</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49</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水槽（含水嘴）</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尺寸500*600*750/850mm，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水槽：采用PP改性材料，塑料注塑模一次性成型，其规格600*500*343mm，壁厚4mm，四周有10mm高挡水沿；水槽内尺寸：430*360*270mm，耐强酸强碱耐＜80℃有机溶剂并耐150℃以下高温；水槽内右上角带溢水口。</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下水系统：采用国际公认的韩国共聚PP材质专用连接管，配有防虹吸，防阻塞装置。</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上下固定框：采用PP改性材料，600*500mm，塑料注塑模一次性成型，表面光面处理。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箱体支撑件：箱体四周采用64*34mm和81*34mm的铝型材支撑，表面经过时效处理和纯环氧树脂塑粉高温固化处理，具有较强的耐蚀性及承重性。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水柜左右侧板：采用优质的9mm厚的中纤板，尺寸：545*655mm, 其插在支撑件铝型材槽内部。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水柜前后门：采用pp改性材料，374*640*10mm，塑料注塑模一次性成型，表面沙面与光面相结合处理。并且采用直接成型后无需安装铰链、把手一体化设计，其内部置于两根32.5*6.6mm的铝型材为加强筋。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仪器柜</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寸：1000mm×500mm×2000mm，1、结构：全铝合金框架，32×32×1.2mm厚铝合金方管柜架，表面经酸砂处理后喷塑，基材采用E1级16mm三聚氰胺环保刨花板芯板，可见截面均采用全自动封边机，2mm厚PVC封边处理。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w:t>
            </w:r>
            <w:r>
              <w:rPr>
                <w:rStyle w:val="49"/>
                <w:rFonts w:hint="default"/>
                <w:color w:val="000000" w:themeColor="text1"/>
                <w:highlight w:val="none"/>
                <w:lang w:bidi="ar"/>
                <w14:textFill>
                  <w14:solidFill>
                    <w14:schemeClr w14:val="tx1"/>
                  </w14:solidFill>
                </w14:textFill>
              </w:rPr>
              <w:t>上下柜门的四个环形拉手组成一圆环造型。柜门采用PP旋转门轴对开门（避免试剂对合页的腐蚀生锈）</w:t>
            </w:r>
            <w:r>
              <w:rPr>
                <w:rStyle w:val="50"/>
                <w:rFonts w:hint="default"/>
                <w:color w:val="000000" w:themeColor="text1"/>
                <w:highlight w:val="none"/>
                <w:lang w:bidi="ar"/>
                <w14:textFill>
                  <w14:solidFill>
                    <w14:schemeClr w14:val="tx1"/>
                  </w14:solidFill>
                </w14:textFill>
              </w:rPr>
              <w:t>，中间带三折导轨抽屉 3、隔板：上层3块隔</w:t>
            </w:r>
            <w:r>
              <w:rPr>
                <w:rStyle w:val="51"/>
                <w:rFonts w:hint="default"/>
                <w:color w:val="000000" w:themeColor="text1"/>
                <w:highlight w:val="none"/>
                <w:lang w:bidi="ar"/>
                <w14:textFill>
                  <w14:solidFill>
                    <w14:schemeClr w14:val="tx1"/>
                  </w14:solidFill>
                </w14:textFill>
              </w:rPr>
              <w:t>板，下层2块隔板，16mm厚三聚氰胺刨花板（双贴面），铝合金加强条卡边加固，防止下弯变形。4、脚垫：采用ABS工程塑料模具成型制作而成，高度可调。以上芯板均为E1级环保芯板，甲醛释放量（穿孔萃取法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65408"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17" name="图片_11"/>
                  <wp:cNvGraphicFramePr/>
                  <a:graphic xmlns:a="http://schemas.openxmlformats.org/drawingml/2006/main">
                    <a:graphicData uri="http://schemas.openxmlformats.org/drawingml/2006/picture">
                      <pic:pic xmlns:pic="http://schemas.openxmlformats.org/drawingml/2006/picture">
                        <pic:nvPicPr>
                          <pic:cNvPr id="17" name="图片_11"/>
                          <pic:cNvPicPr/>
                        </pic:nvPicPr>
                        <pic:blipFill>
                          <a:blip r:embed="rId13"/>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66432"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25" name="图片_9"/>
                  <wp:cNvGraphicFramePr/>
                  <a:graphic xmlns:a="http://schemas.openxmlformats.org/drawingml/2006/main">
                    <a:graphicData uri="http://schemas.openxmlformats.org/drawingml/2006/picture">
                      <pic:pic xmlns:pic="http://schemas.openxmlformats.org/drawingml/2006/picture">
                        <pic:nvPicPr>
                          <pic:cNvPr id="25" name="图片_9"/>
                          <pic:cNvPicPr/>
                        </pic:nvPicPr>
                        <pic:blipFill>
                          <a:blip r:embed="rId14"/>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67456" behindDoc="0" locked="0" layoutInCell="1" allowOverlap="1">
                  <wp:simplePos x="0" y="0"/>
                  <wp:positionH relativeFrom="column">
                    <wp:posOffset>76200</wp:posOffset>
                  </wp:positionH>
                  <wp:positionV relativeFrom="paragraph">
                    <wp:posOffset>0</wp:posOffset>
                  </wp:positionV>
                  <wp:extent cx="606425" cy="1270"/>
                  <wp:effectExtent l="0" t="0" r="0" b="0"/>
                  <wp:wrapNone/>
                  <wp:docPr id="13" name="图片_10"/>
                  <wp:cNvGraphicFramePr/>
                  <a:graphic xmlns:a="http://schemas.openxmlformats.org/drawingml/2006/main">
                    <a:graphicData uri="http://schemas.openxmlformats.org/drawingml/2006/picture">
                      <pic:pic xmlns:pic="http://schemas.openxmlformats.org/drawingml/2006/picture">
                        <pic:nvPicPr>
                          <pic:cNvPr id="13" name="图片_10"/>
                          <pic:cNvPicPr/>
                        </pic:nvPicPr>
                        <pic:blipFill>
                          <a:blip r:embed="rId15"/>
                          <a:stretch>
                            <a:fillRect/>
                          </a:stretch>
                        </pic:blipFill>
                        <pic:spPr>
                          <a:xfrm>
                            <a:off x="0" y="0"/>
                            <a:ext cx="606425"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68480" behindDoc="0" locked="0" layoutInCell="1" allowOverlap="1">
                  <wp:simplePos x="0" y="0"/>
                  <wp:positionH relativeFrom="column">
                    <wp:posOffset>76200</wp:posOffset>
                  </wp:positionH>
                  <wp:positionV relativeFrom="paragraph">
                    <wp:posOffset>0</wp:posOffset>
                  </wp:positionV>
                  <wp:extent cx="606425" cy="1270"/>
                  <wp:effectExtent l="0" t="0" r="0" b="0"/>
                  <wp:wrapNone/>
                  <wp:docPr id="20" name="图片_8"/>
                  <wp:cNvGraphicFramePr/>
                  <a:graphic xmlns:a="http://schemas.openxmlformats.org/drawingml/2006/main">
                    <a:graphicData uri="http://schemas.openxmlformats.org/drawingml/2006/picture">
                      <pic:pic xmlns:pic="http://schemas.openxmlformats.org/drawingml/2006/picture">
                        <pic:nvPicPr>
                          <pic:cNvPr id="20" name="图片_8"/>
                          <pic:cNvPicPr/>
                        </pic:nvPicPr>
                        <pic:blipFill>
                          <a:blip r:embed="rId16"/>
                          <a:stretch>
                            <a:fillRect/>
                          </a:stretch>
                        </pic:blipFill>
                        <pic:spPr>
                          <a:xfrm>
                            <a:off x="0" y="0"/>
                            <a:ext cx="606425" cy="12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220电源（带样）</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160*80*50mm,▲单独安装在桌面上方，盒体为工程PC塑料模具注塑一次成型，面板与台面呈150°夹角，既便于读取参数又便于操作；◆面板采用耐磨、耐腐蚀的PVC薄膜面板。微电脑控制，数码实时显示电压电流值；电压表精度1%，电流表精度1.5%±5字；◆设置2路多功能220V五孔交流插座，操作简单，安全可靠。使用环境：温度0-40℃，湿度&lt;90%。靠。</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桌面低压电源（带样）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尺寸：160*80*50mm,单独安装在桌面上方，▲盒体为工程PC塑料模具注塑一次成型，面板与台面呈150°夹角，既便于读取参数又便于操作；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◆面板采用耐磨、耐腐蚀的PVC薄膜面板，轻触按钮开关。微电脑控制，数码显示电压电流值；</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◆输入电压：220v±10%；</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◆交流输出：2-24V，2V一档共12档，额定电流2-12V，3A，14-24V，2A,数字电压电流表实时显示，精度1%，具有智能过载保护功能，当电流高于1.05倍额定电流时，自动断开，按开关键复位。</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◆直流输出：1.5-24V（极限0-24V），0.1V一档，额定电流1.5-12V，2A，12.1-24V，1.5A，数字电压电流表实时显示，精度0.5%。具有智能过载保护功能，当电流高于1.05倍额定电流时，自动断开，按开关键复位。</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◆使用环境：温度0-40℃，湿度&lt;90%。</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left"/>
              <w:textAlignment w:val="bottom"/>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69504" behindDoc="0" locked="0" layoutInCell="1" allowOverlap="1">
                  <wp:simplePos x="0" y="0"/>
                  <wp:positionH relativeFrom="column">
                    <wp:posOffset>38100</wp:posOffset>
                  </wp:positionH>
                  <wp:positionV relativeFrom="paragraph">
                    <wp:posOffset>0</wp:posOffset>
                  </wp:positionV>
                  <wp:extent cx="644525" cy="0"/>
                  <wp:effectExtent l="0" t="0" r="0" b="0"/>
                  <wp:wrapNone/>
                  <wp:docPr id="21" name="Picture_1024"/>
                  <wp:cNvGraphicFramePr/>
                  <a:graphic xmlns:a="http://schemas.openxmlformats.org/drawingml/2006/main">
                    <a:graphicData uri="http://schemas.openxmlformats.org/drawingml/2006/picture">
                      <pic:pic xmlns:pic="http://schemas.openxmlformats.org/drawingml/2006/picture">
                        <pic:nvPicPr>
                          <pic:cNvPr id="21" name="Picture_1024"/>
                          <pic:cNvPicPr/>
                        </pic:nvPicPr>
                        <pic:blipFill>
                          <a:blip r:embed="rId17"/>
                          <a:stretch>
                            <a:fillRect/>
                          </a:stretch>
                        </pic:blipFill>
                        <pic:spPr>
                          <a:xfrm>
                            <a:off x="0" y="0"/>
                            <a:ext cx="644525" cy="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70528" behindDoc="0" locked="0" layoutInCell="1" allowOverlap="1">
                  <wp:simplePos x="0" y="0"/>
                  <wp:positionH relativeFrom="column">
                    <wp:posOffset>38100</wp:posOffset>
                  </wp:positionH>
                  <wp:positionV relativeFrom="paragraph">
                    <wp:posOffset>0</wp:posOffset>
                  </wp:positionV>
                  <wp:extent cx="644525" cy="0"/>
                  <wp:effectExtent l="0" t="0" r="0" b="0"/>
                  <wp:wrapNone/>
                  <wp:docPr id="26" name="Picture_1024_SpCnt_1"/>
                  <wp:cNvGraphicFramePr/>
                  <a:graphic xmlns:a="http://schemas.openxmlformats.org/drawingml/2006/main">
                    <a:graphicData uri="http://schemas.openxmlformats.org/drawingml/2006/picture">
                      <pic:pic xmlns:pic="http://schemas.openxmlformats.org/drawingml/2006/picture">
                        <pic:nvPicPr>
                          <pic:cNvPr id="26" name="Picture_1024_SpCnt_1"/>
                          <pic:cNvPicPr/>
                        </pic:nvPicPr>
                        <pic:blipFill>
                          <a:blip r:embed="rId18"/>
                          <a:stretch>
                            <a:fillRect/>
                          </a:stretch>
                        </pic:blipFill>
                        <pic:spPr>
                          <a:xfrm>
                            <a:off x="0" y="0"/>
                            <a:ext cx="644525" cy="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布线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含教学电源国标2.5㎜*3电线与铺设人工费,</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w:t>
            </w:r>
          </w:p>
        </w:tc>
        <w:tc>
          <w:tcPr>
            <w:tcW w:w="474"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多功能仪器收纳柜（带样）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 寸：1200*450*1800mm；主框架：采用ABS工程塑料注塑成型的侧横梁、铝合金型材前横梁、铝合金型材后横梁与铝合金型材立柱组成的箱体式复合框架结构，分上下两层。前中横梁上配专用特种锁具，可以一锁锁四门。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前横梁：60*60mm壁厚1.2mm带圆弧造型铝合金型材。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后横梁：60*40mm壁厚1.2mm长方体铝合金型材。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左右支撑架：450*120*86mm壁厚2.5mmABS工程材料。</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前立柱：35*24mm壁厚1.2mm铝合金型材。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后立柱： 37*37mm壁厚1.2mm后端R25圆角的铝合金型材。所有型材表面均经纯环氧树脂塑粉高温固化处理达到耐腐耐磨。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柜体（侧板、顶板、背板）和柜门：柜体侧板、顶板、背板采用16mm中密度三聚氰胺双饰面板，以优质2mmPVC封边条配合进口胶王热熔封边作防水处理；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上下柜门的四个环形拉手组成一圆环造型，并在中间前横梁上加装专用锁具，可以一锁锁四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层板：上下柜体共带4块层板，采用16mm中密度三聚氰胺双饰面板，专用铝型材加固条加固，铝型材表面经纯环氧树脂塑粉高温固化处理。活动式层板可自由拆卸或调整高度，(可选择阶梯式层板可存放高度不一的试剂瓶)，方便取放物体。</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可调脚：采用尼龙塑料注塑制作，具有高度可调、耐磨、防潮、防腐蚀等特点。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配收纳抽屉24个：采用PP材料，塑料注塑模一次性成型，规格为400*350*80mm壁厚2.5mm,可以放置于上下柜体和讲台、学生桌的抽屉位,仪器柜每层柜体可放置24个抽屉。</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挂图</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尺寸：840×597，画纸采用正胶写真。</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层材质为5mm厚无色透明亚克力，四周倒角。背层材质为8mm厚PVC版。四角用不小于12mm*25mm的广告钉固定在墙上。每套挂图5副，内容应适合学生知识水平和理解能力，与学科教学内容相关或科学普及方面。每副挂图的选题适当，主题明确，以图为主辅以文字。图片清晰美观，文字准确精炼，语句通顺易读，标点使用正确。共5副</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给排水系统</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PP-R，φ20、给排水管，φ50、110UPVC管</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化学实验室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教师演示台（带样）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尺寸：2400*600*850㎜ 台面：采用12.7mm实芯理化板，圆周加厚处理，总厚度为25.4mm,四角圆角,四边磨边。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采用16mm厚中密度三聚氰胺双饰面板，断面以优质2mmPVC封边条配合进口胶王热熔封边防水处理，专用连接件连接组合紧固。四角包边：采用PP改性材料，塑料注塑模一次性成型，曲面弧形造型，可以有效避免碰撞对人体产生的伤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层板：采用16mm以上厚的E1级中密度三聚氰胺饰面板，周边及断面采用厚2mm以上PVC热熔封边并作防水处理；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每个箱体配四个优质的实验室仪器专用地脚，具有防腐防锈减震等特点。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柜门，抽屉：采用厚16mm的中密度三聚氰胺饰面板，柜门和抽屉面板四周注塑模注塑包边成型，拉手与注塑包边一次性成型注塑。</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讲台配有键盘和中控抽屉，侧边配视频展示台抽屉。后板内置视频采集端，设有拆卸式检修板。教师可以在桌面演示实验，并同步拍摄实验操作过程。</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bidi="ar"/>
                <w14:textFill>
                  <w14:solidFill>
                    <w14:schemeClr w14:val="tx1"/>
                  </w14:solidFill>
                </w14:textFill>
              </w:rPr>
              <w:t>教师视频采集系统（带样）</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配备500万像素高清摄像系统，具有对焦、自动调整ISO值等功能，多关节结构，摄像视角360度可调。关节采用尼龙耐磨材料注塑成型，支臂采用铝合型材，表面经过防腐氧化处理和纯环氧树脂塑粉高温固化处理，具有较强的耐蚀性和承重性；用于实验操作的视频录制采集，纸质实验报告和资料的拍摄，含专用软件</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教师总电源</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374*262*80mm，装置在主控台组合柜内，交流输出2-24V,2V/档，电流6A；直流输出1-24伏，0.1伏/档，电流6A；采用耐磨、耐腐蚀的PVC薄膜面板，优质元器件，微电脑控制，轻触按钮开关。分总电源开关、讲台电源开关、排风扇带调速开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◆输入电压：220v±10%；</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◆内装有教师演示电源及主控电源装置，教师能对实验室进行总体及分组控制：</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◆220V电源输出，电源总开关、漏电保护开关、工作指示灯、220V交流输出多用豪华插座，微电脑控制，数码实时显示电压电流值；电压表精度1%，电流表精度1.5%±5字；</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◆带老师、学生220V过载漏电保护。</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◆使用环境：温度0-40℃，湿度&lt;90%。</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化学实验桌（带样）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规格：1200*600*780mm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尺寸：1200*600*780，▲台面：采用20mm湖蓝色陶瓷复合板，四周带阻水边（防止化学试剂倒到桌面不会往四周外流），耐酸碱，表面哑光，不反光防滑；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框架：主体采用铝合金型材和铝压铸件连接组合框架；立柱：采用100x50mm壁厚1.8mm优质铝合金型材，内附6条铝合金加强筋连接中心支点成网状，可承重、耐侧压、不晃动；前横梁：采用50x40mm壁厚1.8mm优质铝合金拉模，台前整体呈半圆弧形，配合台面圆弧更加美观、承重、严丝合缝； 后横梁：采用130x30壁厚1.8mm的优质铝型材材料一次性成型，配8mm台面卡槽及装饰条卡槽，装饰条颜色与台面颜色相匹配；支撑横梁：采用100mm宽、壁厚10mm的优质铝型材材料一次性成型，与立柱连接采用内六角螺丝，使整个铝合金桌体牢固、不晃动；整体铝合金框架表面经过防腐氧化处理和纯环氧树脂塑粉高温固化处理，具有较强的耐蚀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书包斗：整体PP工程塑料一次性注塑成型，耐压，韧性强。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走线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抽斗电源：尺寸：120*120*400mm,单独安装在桌面下方两抽斗中间，箱体由三组工程PC塑料模具一次成型,工作操作台为翻转式，完全打开时工作面板与水平面呈140°夹角。◆面板采用耐磨、耐腐蚀的PVC薄膜面板。微电脑控制，数码实时显示电压电流值；电压表精度1%，电流表精度1.5%±5字；◆有电源开关，零火线可同时关断</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◆设置2路多功能220V五孔交流插座，操作简单，安全可靠。★产品特点：零甲醛、零污染、易擦洗、耐老化、环保、防水、可回收。</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bidi="ar"/>
                <w14:textFill>
                  <w14:solidFill>
                    <w14:schemeClr w14:val="tx1"/>
                  </w14:solidFill>
                </w14:textFill>
              </w:rPr>
              <w:t>抽斗电源A</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尺寸：120*120*400mm,单独安装在桌面下方两抽斗中间，箱体由三组工程PC塑料模具一次成型,工作操作台为翻转式，完全打开时工作面板与水平面呈140°夹角。</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◆面板采用耐磨、耐腐蚀的PVC薄膜面板。微电脑控制，数码实时显示电压电流值；电压表精度1%，电流表精度1.5%±5字；</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◆有电源开关，零火线可同时关断</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◆设置2路多功能220V五孔交流插座，操作简单，安全可靠。</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2"/>
                <w:szCs w:val="22"/>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学生实验圆凳（带样）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凳面300(直径）*420（高)mm，凳面采用5mm厚PP工程塑料注塑成型；支撑柱采用直径56mm圆钢管，顶端为165*165*2mm钢板，采用全周满焊焊接，用四颗直径10mm的六角螺丝连接凳面，结构牢固，长期使用也不会出现摇晃松散现象；</w:t>
            </w:r>
            <w:r>
              <w:rPr>
                <w:rStyle w:val="47"/>
                <w:rFonts w:hint="default"/>
                <w:color w:val="000000" w:themeColor="text1"/>
                <w:highlight w:val="none"/>
                <w:lang w:bidi="ar"/>
                <w14:textFill>
                  <w14:solidFill>
                    <w14:schemeClr w14:val="tx1"/>
                  </w14:solidFill>
                </w14:textFill>
              </w:rPr>
              <w:t>▲下端直径30mm的铝合金压铸成虎爪状的凳脚（不允许使用铁管焊接）</w:t>
            </w:r>
            <w:r>
              <w:rPr>
                <w:rStyle w:val="48"/>
                <w:rFonts w:hint="default"/>
                <w:color w:val="000000" w:themeColor="text1"/>
                <w:highlight w:val="none"/>
                <w:lang w:bidi="ar"/>
                <w14:textFill>
                  <w14:solidFill>
                    <w14:schemeClr w14:val="tx1"/>
                  </w14:solidFill>
                </w14:textFill>
              </w:rPr>
              <w:t>，爪端焊造型螺母，配直径50mm高30mm的工程塑料脚盘，金属材料表面经过防腐氧化处理和纯环氧树脂塑粉高温固化处理，具有较强的耐蚀性及承重性。凳面颜色湖蓝</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水槽台（含水嘴）</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尺寸500*600*750/850mm，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水槽：采用PP改性材料，塑料注塑模一次性成型，其规格600*500*343mm，壁厚4mm，四周有10mm高挡水沿；水槽内尺寸：430*360*270mm，耐强酸强碱耐＜80℃有机溶剂并耐150℃以下高温；水槽内右上角带溢水口。</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下水系统：采用国际公认的韩国共聚PP材质专用连接管，配有防虹吸，防阻塞装置。</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上下固定框：采用PP改性材料，600*500mm，塑料注塑模一次性成型，表面光面处理。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箱体支撑件：箱体四周采用64*34mm和81*34mm的铝型材支撑，表面经过时效处理和纯环氧树脂塑粉高温固化处理，具有较强的耐蚀性及承重性。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水柜左右侧板：采用优质的9mm厚的中纤板，尺寸：545*655mm, 其插在支撑件铝型材槽内部。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水柜前后门：采用pp改性材料，374*640*10mm，塑料注塑模一次性成型，表面沙面与光面相结合处理。并且采用直接成型后无需安装铰链、把手一体化设计，其内部置于两根32.5*6.6mm的铝型材为加强筋。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总控机柜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规格：700*120*1200mm,采用1mm厚优质钢板冷轧成型，两侧冲有散热孔，所有金属表面经过防腐氧化处理和纯环氧树脂塑粉高温固化处理，具有较强的耐蚀性。</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布线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含教学电源国标2.5㎜*3电线与铺设人工费,</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全室给排水系统改造</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PP-R，φ20、Φ25给排水管，φ50UPVC管。含原供排水管拆除</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多功能仪器收纳柜（带样）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 寸：1200*450*1800mm；主框架：采用ABS工程塑料注塑成型的侧横梁、铝合金型材前横梁、铝合金型材后横梁与铝合金型材立柱组成的箱体式复合框架结构，分上下两层。前中横梁上配专用特种锁具，可以一锁锁四门。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前横梁：60*60mm壁厚1.2mm带圆弧造型铝合金型材。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后横梁：60*40mm壁厚1.2mm长方体铝合金型材。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左右支撑架：450*120*86mm壁厚2.5mmABS工程材料。</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前立柱：35*24mm壁厚1.2mm铝合金型材。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后立柱： 37*37mm壁厚1.2mm后端R25圆角的铝合金型材。所有型材表面均经纯环氧树脂塑粉高温固化处理达到耐腐耐磨。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柜体（侧板、顶板、背板）和柜门：柜体侧板、顶板、背板采用16mm中密度三聚氰胺双饰面板，以优质2mmPVC封边条配合进口胶王热熔封边作防水处理；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上下柜门的四个环形拉手组成一圆环造型，并在中间前横梁上加装专用锁具，可以一锁锁四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层板：上下柜体共带4块层板，采用16mm中密度三聚氰胺双饰面板，专用铝型材加固条加固，铝型材表面经纯环氧树脂塑粉高温固化处理。活动式层板可自由拆卸或调整高度，(可选择阶梯式层板可存放高度不一的试剂瓶)，方便取放物体。</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可调脚：采用尼龙塑料注塑制作，具有高度可调、耐磨、防潮、防腐蚀等特点。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配收纳抽屉24个：采用PP材料，塑料注塑模一次性成型，规格为400*350*80mm壁厚2.5mm,可以放置于上下柜体和讲台、学生桌的抽屉位,仪器柜每层柜体可放置24个抽屉。</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nil"/>
              <w:left w:val="nil"/>
              <w:bottom w:val="nil"/>
              <w:right w:val="single" w:color="000000" w:sz="4" w:space="0"/>
            </w:tcBorders>
            <w:noWrap/>
            <w:tcMar>
              <w:top w:w="15" w:type="dxa"/>
              <w:left w:w="15" w:type="dxa"/>
              <w:right w:w="15" w:type="dxa"/>
            </w:tcMar>
            <w:vAlign w:val="bottom"/>
          </w:tcPr>
          <w:p>
            <w:pPr>
              <w:rPr>
                <w:rFonts w:hint="eastAsia" w:ascii="宋体" w:hAnsi="宋体" w:cs="宋体"/>
                <w:color w:val="000000" w:themeColor="text1"/>
                <w:sz w:val="22"/>
                <w:szCs w:val="22"/>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仪器柜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寸：1000mm×500mm×2000mm，1、结构：全铝合金框架，32×32×1.2mm厚铝合金方管柜架，表面经酸砂处理后喷塑，基材采用E1级16mm三聚氰胺环保刨花板芯板，可见截面均采用全自动封边机，2mm厚PVC封边处理。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w:t>
            </w:r>
            <w:r>
              <w:rPr>
                <w:rStyle w:val="49"/>
                <w:rFonts w:hint="default"/>
                <w:color w:val="000000" w:themeColor="text1"/>
                <w:highlight w:val="none"/>
                <w:lang w:bidi="ar"/>
                <w14:textFill>
                  <w14:solidFill>
                    <w14:schemeClr w14:val="tx1"/>
                  </w14:solidFill>
                </w14:textFill>
              </w:rPr>
              <w:t>上下柜门的四个环形拉手组成一圆环造型。柜门采用PP旋转门轴对开门（避免试剂对合页的腐蚀生锈）</w:t>
            </w:r>
            <w:r>
              <w:rPr>
                <w:rStyle w:val="50"/>
                <w:rFonts w:hint="default"/>
                <w:color w:val="000000" w:themeColor="text1"/>
                <w:highlight w:val="none"/>
                <w:lang w:bidi="ar"/>
                <w14:textFill>
                  <w14:solidFill>
                    <w14:schemeClr w14:val="tx1"/>
                  </w14:solidFill>
                </w14:textFill>
              </w:rPr>
              <w:t>，中间带三折导轨抽屉 3、隔板：上层3块隔</w:t>
            </w:r>
            <w:r>
              <w:rPr>
                <w:rStyle w:val="51"/>
                <w:rFonts w:hint="default"/>
                <w:color w:val="000000" w:themeColor="text1"/>
                <w:highlight w:val="none"/>
                <w:lang w:bidi="ar"/>
                <w14:textFill>
                  <w14:solidFill>
                    <w14:schemeClr w14:val="tx1"/>
                  </w14:solidFill>
                </w14:textFill>
              </w:rPr>
              <w:t>板，下层2块隔板，16mm厚三聚氰胺刨花板（双贴面），铝合金加强条卡边加固，防止下弯变形。4、脚垫：采用ABS工程塑料模具成型制作而成，高度可调。以上芯板均为E1级环保芯板，甲醛释放量（穿孔萃取法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2"/>
                <w:szCs w:val="22"/>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挂图</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尺寸：840×597，画纸采用正胶写真。</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层材质为5mm厚无色透明亚克力，四周倒角。背层材质为8mm厚PVC版。四角用不小于12mm*25mm的广告钉固定在墙上。每套挂图5副，内容应适合学生知识水平和理解能力，与学科教学内容相关或科学普及方面。每副挂图的选题适当，主题明确，以图为主辅以文字。图片清晰美观，文字准确精炼，语句通顺易读，标点使用正确。共5副</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生物实验室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教师演示台（）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尺寸：2400*600*850㎜ 台面：采用12.7mm实芯理化板，圆周加厚处理，总厚度为25.4mm,四角圆角,四边磨边。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采用16mm厚中密度三聚氰胺双饰面板，断面以优质2mmPVC封边条配合进口胶王热熔封边防水处理，专用连接件连接组合紧固。四角包边：采用PP改性材料，塑料注塑模一次性成型，曲面弧形造型，可以有效避免碰撞对人体产生的伤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层板：采用16mm以上厚的E1级中密度三聚氰胺饰面板，周边及断面采用厚2mm以上PVC热熔封边并作防水处理；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每个箱体配四个优质的实验室仪器专用地脚，具有防腐防锈减震等特点。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柜门，抽屉：采用厚16mm的中密度三聚氰胺饰面板，柜门和抽屉面板四周注塑模注塑包边成型，拉手与注塑包边一次性成型注塑。</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讲台配有键盘和中控抽屉，侧边配视频展示台抽屉。后板内置视频采集端，设有拆卸式检修板。教师可以在桌面演示实验，并同步拍摄实验操作过程。</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教师视频采集系统</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配备500万像素高清摄像系统，具有对焦、自动调整ISO值等功能，多关节结构，摄像视角360度可调。关节采用尼龙耐磨材料注塑成型，支臂采用铝合型材，表面经过防腐氧化处理和纯环氧树脂塑粉高温固化处理，具有较强的耐蚀性和承重性；用于实验操作的视频录制采集，纸质实验报告和资料的拍摄，含专用软件</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教师总电源</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尺寸：374*262*80mm，装置在主控台组合柜内，采用耐磨、耐腐蚀的PVC薄膜面板，优质元器件，微电脑控制，轻触按钮开关。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◆输入电压：220v±10%；</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◆内装有教师演示电源及主控电源装置，教师能对实验室进行总体及分组控制：</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◆220V电源输出，电源总开关、漏电保护开关、工作指示灯、220V交流输出多用豪华插座，微电脑控制，数码实时显示电压电流值；电压表精度1%，电流表精度1.5%±5字；</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◆带老师、学生220V过载漏电保护。</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◆使用环境：温度0-40℃，湿度&lt;90%。</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生物实验桌</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规格：1200*600*780mm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台面：采用８mm实心湖蓝色理化板，防火阻燃、防腐蚀、耐酸碱、防静电、耐磨、抗污染，台前热弯加工后成型，使台面前端呈半圆弧形，圆润下滑、曲面优美，嵌入铝合金围栏卡槽内防变形，台面配置1.2mm厚透明橡胶防护垫.</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框架：主体采用铝合金型材和铝压铸件连接组合框架；立柱：采用100x50mm壁厚1.8mm优质铝合金型材，内附6条铝合金加强筋连接中心支点成网状，可承重、耐侧压、不晃动；前横梁：采用50x40mm壁厚1.8mm优质铝合金拉模，台前整体呈半圆弧形，配合台面圆弧更加美观、承重、严丝合缝； 后横梁：采用130x30壁厚1.8mm的优质铝型材材料一次性成型，配8mm台面卡槽及装饰条卡槽，装饰条颜色与台面颜色相匹配；支撑横梁：采用100mm宽、壁厚10mm的优质铝型材材料一次性成型，与立柱连接采用内六角螺丝，使整个铝合金桌体牢固、不晃动；整体铝合金框架表面经过防腐氧化处理和纯环氧树脂塑粉高温固化处理，具有较强的耐蚀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书包斗：整体PP工程塑料一次性注塑成型，耐压，韧性强。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★产品特点：零甲醛、零污染、易擦洗、耐老化、环保、防水、可回收。</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学生实验圆凳</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凳面300(直径）*420（高)mm，凳面采用5mm厚PP工程塑料注塑成型；支撑柱采用直径56mm圆钢管，顶端为165*165*2mm钢板，采用全周满焊焊接，用四颗直径10mm的六角螺丝连接凳面，结构牢固，长期使用也不会出现摇晃松散现象；</w:t>
            </w:r>
            <w:r>
              <w:rPr>
                <w:rStyle w:val="47"/>
                <w:rFonts w:hint="default"/>
                <w:color w:val="000000" w:themeColor="text1"/>
                <w:highlight w:val="none"/>
                <w:lang w:bidi="ar"/>
                <w14:textFill>
                  <w14:solidFill>
                    <w14:schemeClr w14:val="tx1"/>
                  </w14:solidFill>
                </w14:textFill>
              </w:rPr>
              <w:t>▲下端直径30mm的铝合金压铸成虎爪状的凳脚（不允许使用铁管焊接）</w:t>
            </w:r>
            <w:r>
              <w:rPr>
                <w:rStyle w:val="48"/>
                <w:rFonts w:hint="default"/>
                <w:color w:val="000000" w:themeColor="text1"/>
                <w:highlight w:val="none"/>
                <w:lang w:bidi="ar"/>
                <w14:textFill>
                  <w14:solidFill>
                    <w14:schemeClr w14:val="tx1"/>
                  </w14:solidFill>
                </w14:textFill>
              </w:rPr>
              <w:t>，爪端焊造型螺母，配直径50mm高30mm的工程塑料脚盘，金属材料表面经过防腐氧化处理和纯环氧树脂塑粉高温固化处理，具有较强的耐蚀性及承重性。凳面颜色湖蓝</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49</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水槽台（含水嘴）</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尺寸500*600*750/850mm，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水槽：采用PP改性材料，塑料注塑模一次性成型，其规格600*500*343mm，壁厚4mm，四周有10mm高挡水沿；水槽内尺寸：430*360*270mm，耐强酸强碱耐＜80℃有机溶剂并耐150℃以下高温；水槽内右上角带溢水口。</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下水系统：采用国际公认的韩国共聚PP材质专用连接管，配有防虹吸，防阻塞装置。</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上下固定框：采用PP改性材料，600*500mm，塑料注塑模一次性成型，表面光面处理。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箱体支撑件：箱体四周采用64*34mm和81*34mm的铝型材支撑，表面经过时效处理和纯环氧树脂塑粉高温固化处理，具有较强的耐蚀性及承重性。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水柜左右侧板：采用优质的9mm厚的中纤板，尺寸：545*655mm, 其插在支撑件铝型材槽内部。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水柜前后门：采用pp改性材料，374*640*10mm，塑料注塑模一次性成型，表面沙面与光面相结合处理。并且采用直接成型后无需安装铰链、把手一体化设计，其内部置于两根32.5*6.6mm的铝型材为加强筋。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仪器柜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寸：1000mm×500mm×2000mm，1、结构：全铝合金框架，32×32×1.2mm厚铝合金方管柜架，表面经酸砂处理后喷塑，基材采用E1级16mm三聚氰胺环保刨花板芯板，可见截面均采用全自动封边机，2mm厚PVC封边处理。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w:t>
            </w:r>
            <w:r>
              <w:rPr>
                <w:rStyle w:val="49"/>
                <w:rFonts w:hint="default"/>
                <w:color w:val="000000" w:themeColor="text1"/>
                <w:highlight w:val="none"/>
                <w:lang w:bidi="ar"/>
                <w14:textFill>
                  <w14:solidFill>
                    <w14:schemeClr w14:val="tx1"/>
                  </w14:solidFill>
                </w14:textFill>
              </w:rPr>
              <w:t>上下柜门的四个环形拉手组成一圆环造型。柜门采用PP旋转门轴对开门（避免试剂对合页的腐蚀生锈）</w:t>
            </w:r>
            <w:r>
              <w:rPr>
                <w:rStyle w:val="50"/>
                <w:rFonts w:hint="default"/>
                <w:color w:val="000000" w:themeColor="text1"/>
                <w:highlight w:val="none"/>
                <w:lang w:bidi="ar"/>
                <w14:textFill>
                  <w14:solidFill>
                    <w14:schemeClr w14:val="tx1"/>
                  </w14:solidFill>
                </w14:textFill>
              </w:rPr>
              <w:t>，中间带三折导轨抽屉 3、隔板：上层3块隔</w:t>
            </w:r>
            <w:r>
              <w:rPr>
                <w:rStyle w:val="51"/>
                <w:rFonts w:hint="default"/>
                <w:color w:val="000000" w:themeColor="text1"/>
                <w:highlight w:val="none"/>
                <w:lang w:bidi="ar"/>
                <w14:textFill>
                  <w14:solidFill>
                    <w14:schemeClr w14:val="tx1"/>
                  </w14:solidFill>
                </w14:textFill>
              </w:rPr>
              <w:t>板，下层2块隔板，16mm厚三聚氰胺刨花板（双贴面），铝合金加强条卡边加固，防止下弯变形。4、脚垫：采用ABS工程塑料模具成型制作而成，高度可调。以上芯板均为E1级环保芯板，甲醛释放量（穿孔萃取法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抽斗电源A</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尺寸：120*120*400mm,单独安装在桌面下方两抽斗中间，箱体由三组工程PC塑料模具一次成型,工作操作台为翻转式，完全打开时工作面板与水平面呈140°夹角。</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◆面板采用耐磨、耐腐蚀的PVC薄膜面板。微电脑控制，数码实时显示电压电流值；电压表精度1%，电流表精度1.5%±5字；</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◆有电源开关，零火线可同时关断</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◆设置2路多功能220V五孔交流插座，操作简单，安全可靠。</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光源</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长度400mm,镜面不锈钢材质，21个5050LED光源；亮度高，有独开关，光照角度可调。</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挂图</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尺寸：840×597，画纸采用正胶写真。</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层材质为5mm厚无色透明亚克力，四周倒角。背层材质为8mm厚PVC版。四角用不小于12mm*25mm的广告钉固定在墙上。每套挂图5副，内容应适合学生知识水平和理解能力，与学科教学内容相关或科学普及方面。每副挂图的选题适当，主题明确，以图为主辅以文字。图片清晰美观，文字准确精炼，语句通顺易读，标点使用正确。共5副</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布线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含教学电源国标2.5㎜*3电线与铺设人工费,</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多功能仪器收纳柜（带样）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 寸：1200*450*1800mm；主框架：采用ABS工程塑料注塑成型的侧横梁、铝合金型材前横梁、铝合金型材后横梁与铝合金型材立柱组成的箱体式复合框架结构，分上下两层。前中横梁上配专用特种锁具，可以一锁锁四门。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前横梁：60*60mm壁厚1.2mm带圆弧造型铝合金型材。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后横梁：60*40mm壁厚1.2mm长方体铝合金型材。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左右支撑架：450*120*86mm壁厚2.5mmABS工程材料。</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前立柱：35*24mm壁厚1.2mm铝合金型材。</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后立柱： 37*37mm壁厚1.2mm后端R25圆角的铝合金型材。所有型材表面均经纯环氧树脂塑粉高温固化处理达到耐腐耐磨。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柜体（侧板、顶板、背板）和柜门：柜体侧板、顶板、背板采用16mm中密度三聚氰胺双饰面板，以优质2mmPVC封边条配合进口胶王热熔封边作防水处理；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上下柜门的四个环形拉手组成一圆环造型，并在中间前横梁上加装专用锁具，可以一锁锁四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层板：上下柜体共带4块层板，采用16mm中密度三聚氰胺双饰面板，专用铝型材加固条加固，铝型材表面经纯环氧树脂塑粉高温固化处理。活动式层板可自由拆卸或调整高度，(可选择阶梯式层板可存放高度不一的试剂瓶)，方便取放物体。</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可调脚：采用尼龙塑料注塑制作，具有高度可调、耐磨、防潮、防腐蚀等特点。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配收纳抽屉24个：采用PP材料，塑料注塑模一次性成型，规格为400*350*80mm壁厚2.5mm,可以放置于上下柜体和讲台、学生桌的抽屉位,仪器柜每层柜体可放置24个抽屉。</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全室给排水系统改造</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PP-R，φ20、Φ25给排水管，φ50、110、φ75UPVC管。含原供排水管拆除</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物理准备仪器室</w:t>
            </w:r>
          </w:p>
        </w:tc>
      </w:tr>
      <w:tr>
        <w:tblPrEx>
          <w:tblLayout w:type="fixed"/>
          <w:tblCellMar>
            <w:top w:w="0" w:type="dxa"/>
            <w:left w:w="0" w:type="dxa"/>
            <w:bottom w:w="0" w:type="dxa"/>
            <w:right w:w="0" w:type="dxa"/>
          </w:tblCellMar>
        </w:tblPrEx>
        <w:trPr>
          <w:trHeight w:val="57" w:hRule="atLeast"/>
        </w:trPr>
        <w:tc>
          <w:tcPr>
            <w:tcW w:w="45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物理仪器柜</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寸：1500mm×500mm×2000mm，1、结构：全铝合金框架，32×32×1.2mm厚铝合金方管柜架，表面经酸砂处理后喷塑，基材采用E1级16mm三聚氰胺环保刨花板芯板，可见截面均采用全自动封边机，2mm厚PVC封边处理。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w:t>
            </w:r>
            <w:r>
              <w:rPr>
                <w:rStyle w:val="49"/>
                <w:rFonts w:hint="default"/>
                <w:color w:val="000000" w:themeColor="text1"/>
                <w:highlight w:val="none"/>
                <w:lang w:bidi="ar"/>
                <w14:textFill>
                  <w14:solidFill>
                    <w14:schemeClr w14:val="tx1"/>
                  </w14:solidFill>
                </w14:textFill>
              </w:rPr>
              <w:t>上下柜门的四个环形拉手组成一圆环造型。柜门采用PP旋转门轴对开门（避免试剂对合页的腐蚀生锈）</w:t>
            </w:r>
            <w:r>
              <w:rPr>
                <w:rStyle w:val="50"/>
                <w:rFonts w:hint="default"/>
                <w:color w:val="000000" w:themeColor="text1"/>
                <w:highlight w:val="none"/>
                <w:lang w:bidi="ar"/>
                <w14:textFill>
                  <w14:solidFill>
                    <w14:schemeClr w14:val="tx1"/>
                  </w14:solidFill>
                </w14:textFill>
              </w:rPr>
              <w:t>，中间带三折导轨抽屉 3、隔板：上层3块隔</w:t>
            </w:r>
            <w:r>
              <w:rPr>
                <w:rStyle w:val="51"/>
                <w:rFonts w:hint="default"/>
                <w:color w:val="000000" w:themeColor="text1"/>
                <w:highlight w:val="none"/>
                <w:lang w:bidi="ar"/>
                <w14:textFill>
                  <w14:solidFill>
                    <w14:schemeClr w14:val="tx1"/>
                  </w14:solidFill>
                </w14:textFill>
              </w:rPr>
              <w:t>板，下层2块隔板，16mm厚三聚氰胺刨花板（双贴面），铝合金加强条卡边加固，防止下弯变形。4、脚垫：采用ABS工程塑料模具成型制作而成，高度可调。以上芯板均为E1级环保芯板，甲醛释放量（穿孔萃取法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71552"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33" name="图片_19"/>
                  <wp:cNvGraphicFramePr/>
                  <a:graphic xmlns:a="http://schemas.openxmlformats.org/drawingml/2006/main">
                    <a:graphicData uri="http://schemas.openxmlformats.org/drawingml/2006/picture">
                      <pic:pic xmlns:pic="http://schemas.openxmlformats.org/drawingml/2006/picture">
                        <pic:nvPicPr>
                          <pic:cNvPr id="33" name="图片_19"/>
                          <pic:cNvPicPr/>
                        </pic:nvPicPr>
                        <pic:blipFill>
                          <a:blip r:embed="rId19"/>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72576"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14" name="图片_17"/>
                  <wp:cNvGraphicFramePr/>
                  <a:graphic xmlns:a="http://schemas.openxmlformats.org/drawingml/2006/main">
                    <a:graphicData uri="http://schemas.openxmlformats.org/drawingml/2006/picture">
                      <pic:pic xmlns:pic="http://schemas.openxmlformats.org/drawingml/2006/picture">
                        <pic:nvPicPr>
                          <pic:cNvPr id="14" name="图片_17"/>
                          <pic:cNvPicPr/>
                        </pic:nvPicPr>
                        <pic:blipFill>
                          <a:blip r:embed="rId20"/>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73600"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18" name="图片_18"/>
                  <wp:cNvGraphicFramePr/>
                  <a:graphic xmlns:a="http://schemas.openxmlformats.org/drawingml/2006/main">
                    <a:graphicData uri="http://schemas.openxmlformats.org/drawingml/2006/picture">
                      <pic:pic xmlns:pic="http://schemas.openxmlformats.org/drawingml/2006/picture">
                        <pic:nvPicPr>
                          <pic:cNvPr id="18" name="图片_18"/>
                          <pic:cNvPicPr/>
                        </pic:nvPicPr>
                        <pic:blipFill>
                          <a:blip r:embed="rId21"/>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74624"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22" name="图片_16"/>
                  <wp:cNvGraphicFramePr/>
                  <a:graphic xmlns:a="http://schemas.openxmlformats.org/drawingml/2006/main">
                    <a:graphicData uri="http://schemas.openxmlformats.org/drawingml/2006/picture">
                      <pic:pic xmlns:pic="http://schemas.openxmlformats.org/drawingml/2006/picture">
                        <pic:nvPicPr>
                          <pic:cNvPr id="22" name="图片_16"/>
                          <pic:cNvPicPr/>
                        </pic:nvPicPr>
                        <pic:blipFill>
                          <a:blip r:embed="rId22"/>
                          <a:stretch>
                            <a:fillRect/>
                          </a:stretch>
                        </pic:blipFill>
                        <pic:spPr>
                          <a:xfrm>
                            <a:off x="0" y="0"/>
                            <a:ext cx="609600" cy="12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仪器柜</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寸：1200mm×500mm×2000mm，1、结构：全铝合金框架，32×32×1.2mm厚铝合金方管柜架，表面经酸砂处理后喷塑，基材采用E1级16mm三聚氰胺环保刨花板芯板，可见截面均采用全自动封边机，2mm厚PVC封边处理。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w:t>
            </w:r>
            <w:r>
              <w:rPr>
                <w:rStyle w:val="49"/>
                <w:rFonts w:hint="default"/>
                <w:color w:val="000000" w:themeColor="text1"/>
                <w:highlight w:val="none"/>
                <w:lang w:bidi="ar"/>
                <w14:textFill>
                  <w14:solidFill>
                    <w14:schemeClr w14:val="tx1"/>
                  </w14:solidFill>
                </w14:textFill>
              </w:rPr>
              <w:t>上下柜门的四个环形拉手组成一圆环造型。柜门采用PP旋转门轴对开门（避免试剂对合页的腐蚀生锈）</w:t>
            </w:r>
            <w:r>
              <w:rPr>
                <w:rStyle w:val="50"/>
                <w:rFonts w:hint="default"/>
                <w:color w:val="000000" w:themeColor="text1"/>
                <w:highlight w:val="none"/>
                <w:lang w:bidi="ar"/>
                <w14:textFill>
                  <w14:solidFill>
                    <w14:schemeClr w14:val="tx1"/>
                  </w14:solidFill>
                </w14:textFill>
              </w:rPr>
              <w:t>，中间带三折导轨抽屉 3、隔板：上层3块隔</w:t>
            </w:r>
            <w:r>
              <w:rPr>
                <w:rStyle w:val="51"/>
                <w:rFonts w:hint="default"/>
                <w:color w:val="000000" w:themeColor="text1"/>
                <w:highlight w:val="none"/>
                <w:lang w:bidi="ar"/>
                <w14:textFill>
                  <w14:solidFill>
                    <w14:schemeClr w14:val="tx1"/>
                  </w14:solidFill>
                </w14:textFill>
              </w:rPr>
              <w:t>板，下层2块隔板，16mm厚三聚氰胺刨花板（双贴面），铝合金加强条卡边加固，防止下弯变形。4、脚垫：采用ABS工程塑料模具成型制作而成，高度可调。以上芯板均为E1级环保芯板，甲醛释放量（穿孔萃取法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75648"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34" name="图片_15"/>
                  <wp:cNvGraphicFramePr/>
                  <a:graphic xmlns:a="http://schemas.openxmlformats.org/drawingml/2006/main">
                    <a:graphicData uri="http://schemas.openxmlformats.org/drawingml/2006/picture">
                      <pic:pic xmlns:pic="http://schemas.openxmlformats.org/drawingml/2006/picture">
                        <pic:nvPicPr>
                          <pic:cNvPr id="34" name="图片_15"/>
                          <pic:cNvPicPr/>
                        </pic:nvPicPr>
                        <pic:blipFill>
                          <a:blip r:embed="rId23"/>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76672"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30" name="图片_13"/>
                  <wp:cNvGraphicFramePr/>
                  <a:graphic xmlns:a="http://schemas.openxmlformats.org/drawingml/2006/main">
                    <a:graphicData uri="http://schemas.openxmlformats.org/drawingml/2006/picture">
                      <pic:pic xmlns:pic="http://schemas.openxmlformats.org/drawingml/2006/picture">
                        <pic:nvPicPr>
                          <pic:cNvPr id="30" name="图片_13"/>
                          <pic:cNvPicPr/>
                        </pic:nvPicPr>
                        <pic:blipFill>
                          <a:blip r:embed="rId24"/>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77696"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23" name="图片_14"/>
                  <wp:cNvGraphicFramePr/>
                  <a:graphic xmlns:a="http://schemas.openxmlformats.org/drawingml/2006/main">
                    <a:graphicData uri="http://schemas.openxmlformats.org/drawingml/2006/picture">
                      <pic:pic xmlns:pic="http://schemas.openxmlformats.org/drawingml/2006/picture">
                        <pic:nvPicPr>
                          <pic:cNvPr id="23" name="图片_14"/>
                          <pic:cNvPicPr/>
                        </pic:nvPicPr>
                        <pic:blipFill>
                          <a:blip r:embed="rId25"/>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78720"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27" name="图片_12"/>
                  <wp:cNvGraphicFramePr/>
                  <a:graphic xmlns:a="http://schemas.openxmlformats.org/drawingml/2006/main">
                    <a:graphicData uri="http://schemas.openxmlformats.org/drawingml/2006/picture">
                      <pic:pic xmlns:pic="http://schemas.openxmlformats.org/drawingml/2006/picture">
                        <pic:nvPicPr>
                          <pic:cNvPr id="27" name="图片_12"/>
                          <pic:cNvPicPr/>
                        </pic:nvPicPr>
                        <pic:blipFill>
                          <a:blip r:embed="rId26"/>
                          <a:stretch>
                            <a:fillRect/>
                          </a:stretch>
                        </pic:blipFill>
                        <pic:spPr>
                          <a:xfrm>
                            <a:off x="0" y="0"/>
                            <a:ext cx="609600" cy="12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仪器柜</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寸：1200mm×500mm×2000mm，1、结构：全铝合金框架，32×32×1.2mm厚铝合金方管柜架，表面经酸砂处理后喷塑，基材采用E1级16mm三聚氰胺环保刨花板芯板，可见截面均采用全自动封边机，2mm厚PVC封边处理。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w:t>
            </w:r>
            <w:r>
              <w:rPr>
                <w:rStyle w:val="49"/>
                <w:rFonts w:hint="default"/>
                <w:color w:val="000000" w:themeColor="text1"/>
                <w:highlight w:val="none"/>
                <w:lang w:bidi="ar"/>
                <w14:textFill>
                  <w14:solidFill>
                    <w14:schemeClr w14:val="tx1"/>
                  </w14:solidFill>
                </w14:textFill>
              </w:rPr>
              <w:t>上下柜门的四个环形拉手组成一圆环造型。柜门采用PP旋转门轴对开门（避免试剂对合页的腐蚀生锈）</w:t>
            </w:r>
            <w:r>
              <w:rPr>
                <w:rStyle w:val="50"/>
                <w:rFonts w:hint="default"/>
                <w:color w:val="000000" w:themeColor="text1"/>
                <w:highlight w:val="none"/>
                <w:lang w:bidi="ar"/>
                <w14:textFill>
                  <w14:solidFill>
                    <w14:schemeClr w14:val="tx1"/>
                  </w14:solidFill>
                </w14:textFill>
              </w:rPr>
              <w:t>，中间带三折导轨抽屉 3、隔板：上层3块隔</w:t>
            </w:r>
            <w:r>
              <w:rPr>
                <w:rStyle w:val="51"/>
                <w:rFonts w:hint="default"/>
                <w:color w:val="000000" w:themeColor="text1"/>
                <w:highlight w:val="none"/>
                <w:lang w:bidi="ar"/>
                <w14:textFill>
                  <w14:solidFill>
                    <w14:schemeClr w14:val="tx1"/>
                  </w14:solidFill>
                </w14:textFill>
              </w:rPr>
              <w:t>板，下层2块隔板，16mm厚三聚氰胺刨花板（双贴面），铝合金加强条卡边加固，防止下弯变形。4、脚垫：采用ABS工程塑料模具成型制作而成，高度可调。以上芯板均为E1级环保芯板，甲醛释放量（穿孔萃取法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79744"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32" name="图片_27"/>
                  <wp:cNvGraphicFramePr/>
                  <a:graphic xmlns:a="http://schemas.openxmlformats.org/drawingml/2006/main">
                    <a:graphicData uri="http://schemas.openxmlformats.org/drawingml/2006/picture">
                      <pic:pic xmlns:pic="http://schemas.openxmlformats.org/drawingml/2006/picture">
                        <pic:nvPicPr>
                          <pic:cNvPr id="32" name="图片_27"/>
                          <pic:cNvPicPr/>
                        </pic:nvPicPr>
                        <pic:blipFill>
                          <a:blip r:embed="rId27"/>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80768"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47" name="图片_25"/>
                  <wp:cNvGraphicFramePr/>
                  <a:graphic xmlns:a="http://schemas.openxmlformats.org/drawingml/2006/main">
                    <a:graphicData uri="http://schemas.openxmlformats.org/drawingml/2006/picture">
                      <pic:pic xmlns:pic="http://schemas.openxmlformats.org/drawingml/2006/picture">
                        <pic:nvPicPr>
                          <pic:cNvPr id="47" name="图片_25"/>
                          <pic:cNvPicPr/>
                        </pic:nvPicPr>
                        <pic:blipFill>
                          <a:blip r:embed="rId28"/>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81792"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36" name="图片_26"/>
                  <wp:cNvGraphicFramePr/>
                  <a:graphic xmlns:a="http://schemas.openxmlformats.org/drawingml/2006/main">
                    <a:graphicData uri="http://schemas.openxmlformats.org/drawingml/2006/picture">
                      <pic:pic xmlns:pic="http://schemas.openxmlformats.org/drawingml/2006/picture">
                        <pic:nvPicPr>
                          <pic:cNvPr id="36" name="图片_26"/>
                          <pic:cNvPicPr/>
                        </pic:nvPicPr>
                        <pic:blipFill>
                          <a:blip r:embed="rId29"/>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82816"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39" name="图片_24"/>
                  <wp:cNvGraphicFramePr/>
                  <a:graphic xmlns:a="http://schemas.openxmlformats.org/drawingml/2006/main">
                    <a:graphicData uri="http://schemas.openxmlformats.org/drawingml/2006/picture">
                      <pic:pic xmlns:pic="http://schemas.openxmlformats.org/drawingml/2006/picture">
                        <pic:nvPicPr>
                          <pic:cNvPr id="39" name="图片_24"/>
                          <pic:cNvPicPr/>
                        </pic:nvPicPr>
                        <pic:blipFill>
                          <a:blip r:embed="rId30"/>
                          <a:stretch>
                            <a:fillRect/>
                          </a:stretch>
                        </pic:blipFill>
                        <pic:spPr>
                          <a:xfrm>
                            <a:off x="0" y="0"/>
                            <a:ext cx="609600" cy="12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中央台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3000*1200*800</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台面：采用12.7mm实芯理化板，四边可视面加厚为25mm并倒圆边，经机械打磨，表面光滑平整，无缝隙。颜色：学校自选。</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柜体：全钢结构，采用1.2</w:t>
            </w:r>
            <w:r>
              <w:rPr>
                <w:rStyle w:val="52"/>
                <w:rFonts w:hint="default"/>
                <w:color w:val="000000" w:themeColor="text1"/>
                <w:highlight w:val="none"/>
                <w:lang w:bidi="ar"/>
                <w14:textFill>
                  <w14:solidFill>
                    <w14:schemeClr w14:val="tx1"/>
                  </w14:solidFill>
                </w14:textFill>
              </w:rPr>
              <w:t>㎜厚镀锌钢板裁剪折弯后满焊点焊接，表面经EPOXY喷涂处理。防水、耐潮，耐腐蚀。整体结构承重：台面承重不低于600kg不变形。4.背板：采用1.2㎜厚镀锌钢板裁剪折弯后满焊点焊接，表面经EPOXY喷涂处理。拆卸方便，并有利于管道及电线的安装和维护。防水、耐潮，耐腐蚀。</w:t>
            </w:r>
            <w:r>
              <w:rPr>
                <w:rStyle w:val="52"/>
                <w:rFonts w:hint="default"/>
                <w:color w:val="000000" w:themeColor="text1"/>
                <w:highlight w:val="none"/>
                <w:lang w:bidi="ar"/>
                <w14:textFill>
                  <w14:solidFill>
                    <w14:schemeClr w14:val="tx1"/>
                  </w14:solidFill>
                </w14:textFill>
              </w:rPr>
              <w:br w:type="textWrapping"/>
            </w:r>
            <w:r>
              <w:rPr>
                <w:rStyle w:val="52"/>
                <w:rFonts w:hint="default"/>
                <w:color w:val="000000" w:themeColor="text1"/>
                <w:highlight w:val="none"/>
                <w:lang w:bidi="ar"/>
                <w14:textFill>
                  <w14:solidFill>
                    <w14:schemeClr w14:val="tx1"/>
                  </w14:solidFill>
                </w14:textFill>
              </w:rPr>
              <w:t>5.层板/柜门/抽屉：采用1.2㎜厚镀锌钢板裁剪折弯后满焊点焊接，表面经EPOXY喷涂处理。6.拉手：一次性成型拉手。7.导轨：三节静音导轨。8.铰链：采用定位铰链或2mm不锈钢合页。</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83840"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48" name="图片_23"/>
                  <wp:cNvGraphicFramePr/>
                  <a:graphic xmlns:a="http://schemas.openxmlformats.org/drawingml/2006/main">
                    <a:graphicData uri="http://schemas.openxmlformats.org/drawingml/2006/picture">
                      <pic:pic xmlns:pic="http://schemas.openxmlformats.org/drawingml/2006/picture">
                        <pic:nvPicPr>
                          <pic:cNvPr id="48" name="图片_23"/>
                          <pic:cNvPicPr/>
                        </pic:nvPicPr>
                        <pic:blipFill>
                          <a:blip r:embed="rId31"/>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84864"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38" name="图片_21"/>
                  <wp:cNvGraphicFramePr/>
                  <a:graphic xmlns:a="http://schemas.openxmlformats.org/drawingml/2006/main">
                    <a:graphicData uri="http://schemas.openxmlformats.org/drawingml/2006/picture">
                      <pic:pic xmlns:pic="http://schemas.openxmlformats.org/drawingml/2006/picture">
                        <pic:nvPicPr>
                          <pic:cNvPr id="38" name="图片_21"/>
                          <pic:cNvPicPr/>
                        </pic:nvPicPr>
                        <pic:blipFill>
                          <a:blip r:embed="rId32"/>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85888"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50" name="图片_22"/>
                  <wp:cNvGraphicFramePr/>
                  <a:graphic xmlns:a="http://schemas.openxmlformats.org/drawingml/2006/main">
                    <a:graphicData uri="http://schemas.openxmlformats.org/drawingml/2006/picture">
                      <pic:pic xmlns:pic="http://schemas.openxmlformats.org/drawingml/2006/picture">
                        <pic:nvPicPr>
                          <pic:cNvPr id="50" name="图片_22"/>
                          <pic:cNvPicPr/>
                        </pic:nvPicPr>
                        <pic:blipFill>
                          <a:blip r:embed="rId33"/>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86912"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42" name="图片_20"/>
                  <wp:cNvGraphicFramePr/>
                  <a:graphic xmlns:a="http://schemas.openxmlformats.org/drawingml/2006/main">
                    <a:graphicData uri="http://schemas.openxmlformats.org/drawingml/2006/picture">
                      <pic:pic xmlns:pic="http://schemas.openxmlformats.org/drawingml/2006/picture">
                        <pic:nvPicPr>
                          <pic:cNvPr id="42" name="图片_20"/>
                          <pic:cNvPicPr/>
                        </pic:nvPicPr>
                        <pic:blipFill>
                          <a:blip r:embed="rId34"/>
                          <a:stretch>
                            <a:fillRect/>
                          </a:stretch>
                        </pic:blipFill>
                        <pic:spPr>
                          <a:xfrm>
                            <a:off x="0" y="0"/>
                            <a:ext cx="609600" cy="12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化学准备仪器室</w:t>
            </w:r>
          </w:p>
        </w:tc>
      </w:tr>
      <w:tr>
        <w:tblPrEx>
          <w:tblLayout w:type="fixed"/>
          <w:tblCellMar>
            <w:top w:w="0" w:type="dxa"/>
            <w:left w:w="0" w:type="dxa"/>
            <w:bottom w:w="0" w:type="dxa"/>
            <w:right w:w="0" w:type="dxa"/>
          </w:tblCellMar>
        </w:tblPrEx>
        <w:trPr>
          <w:trHeight w:val="57" w:hRule="atLeast"/>
        </w:trPr>
        <w:tc>
          <w:tcPr>
            <w:tcW w:w="45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Style w:val="52"/>
                <w:rFonts w:hint="default"/>
                <w:color w:val="000000" w:themeColor="text1"/>
                <w:highlight w:val="none"/>
                <w:lang w:bidi="ar"/>
                <w14:textFill>
                  <w14:solidFill>
                    <w14:schemeClr w14:val="tx1"/>
                  </w14:solidFill>
                </w14:textFill>
              </w:rPr>
              <w:t>PP通风药品柜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PP材质，上面可视双开玻璃门，共4层，每层净高度200 mm，每层高度可调，下面不可视双开门，2层，每层净高度不少于400 mm，每层高度可调，板厚不小于8mm </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化学药品仪器柜（带样）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Style w:val="52"/>
                <w:rFonts w:hint="default"/>
                <w:color w:val="000000" w:themeColor="text1"/>
                <w:highlight w:val="none"/>
                <w:lang w:bidi="ar"/>
                <w14:textFill>
                  <w14:solidFill>
                    <w14:schemeClr w14:val="tx1"/>
                  </w14:solidFill>
                </w14:textFill>
              </w:rPr>
              <w:t>尺寸：1000mm×500mm×2000mm，1、结构：全铝合金框架，32×32×1.2mm厚铝合金方管柜架，表面经酸砂处理后喷塑，基材采用E1级16mm三聚氰胺环保刨花板芯板，可见截面均采用全自动封边机，2mm厚PVC封边处理。</w:t>
            </w:r>
            <w:r>
              <w:rPr>
                <w:rStyle w:val="53"/>
                <w:rFonts w:hint="default"/>
                <w:color w:val="000000" w:themeColor="text1"/>
                <w:highlight w:val="none"/>
                <w:lang w:bidi="ar"/>
                <w14:textFill>
                  <w14:solidFill>
                    <w14:schemeClr w14:val="tx1"/>
                  </w14:solidFill>
                </w14:textFill>
              </w:rPr>
              <w:t>★2、柜门：上下柜门框架均采用32*18mm壁厚1.2mm厚的铝合金型材横料、26*18mm壁厚1.2mm厚的铝合金型材立柱，用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上下柜门的四个环形拉手组成一圆环造型。柜门采用PP旋转门轴对开门（避免试剂对合页的腐蚀生锈），</w:t>
            </w:r>
            <w:r>
              <w:rPr>
                <w:rStyle w:val="52"/>
                <w:rFonts w:hint="default"/>
                <w:color w:val="000000" w:themeColor="text1"/>
                <w:highlight w:val="none"/>
                <w:lang w:bidi="ar"/>
                <w14:textFill>
                  <w14:solidFill>
                    <w14:schemeClr w14:val="tx1"/>
                  </w14:solidFill>
                </w14:textFill>
              </w:rPr>
              <w:t xml:space="preserve"> 3、隔板：上层3块隔板，下层2块隔板，带升降条，隔板间距可调，16mm厚三聚氰胺刨花板（双贴面），铝合金加强条卡边加固，防止下弯变形。4、脚垫：采用ABS工程塑料模具成型制作而成，高度可调。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仪器柜</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Style w:val="51"/>
                <w:rFonts w:hint="default"/>
                <w:color w:val="000000" w:themeColor="text1"/>
                <w:highlight w:val="none"/>
                <w:lang w:bidi="ar"/>
                <w14:textFill>
                  <w14:solidFill>
                    <w14:schemeClr w14:val="tx1"/>
                  </w14:solidFill>
                </w14:textFill>
              </w:rPr>
              <w:t>寸：1000mm×500mm×2000mm，1、结构：全铝合金框架，32×32×1.2mm厚铝合金方管柜架，表面经酸砂处理后喷塑，基材采用E1级16mm三聚氰胺环保刨花板芯板，可见截面均采用全自动封边机，2mm厚PVC封边处理。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w:t>
            </w:r>
            <w:r>
              <w:rPr>
                <w:rStyle w:val="54"/>
                <w:rFonts w:hint="default"/>
                <w:color w:val="000000" w:themeColor="text1"/>
                <w:sz w:val="20"/>
                <w:szCs w:val="20"/>
                <w:highlight w:val="none"/>
                <w:lang w:bidi="ar"/>
                <w14:textFill>
                  <w14:solidFill>
                    <w14:schemeClr w14:val="tx1"/>
                  </w14:solidFill>
                </w14:textFill>
              </w:rPr>
              <w:t>上下柜门的四个环形拉手组成一圆环造型。柜门采用PP旋转门轴对开门（避免试剂对合页的腐蚀生锈）</w:t>
            </w:r>
            <w:r>
              <w:rPr>
                <w:rStyle w:val="50"/>
                <w:rFonts w:hint="default"/>
                <w:color w:val="000000" w:themeColor="text1"/>
                <w:highlight w:val="none"/>
                <w:lang w:bidi="ar"/>
                <w14:textFill>
                  <w14:solidFill>
                    <w14:schemeClr w14:val="tx1"/>
                  </w14:solidFill>
                </w14:textFill>
              </w:rPr>
              <w:t>，中间带三折导轨抽屉 3、隔板：上层3块隔</w:t>
            </w:r>
            <w:r>
              <w:rPr>
                <w:rStyle w:val="51"/>
                <w:rFonts w:hint="default"/>
                <w:color w:val="000000" w:themeColor="text1"/>
                <w:highlight w:val="none"/>
                <w:lang w:bidi="ar"/>
                <w14:textFill>
                  <w14:solidFill>
                    <w14:schemeClr w14:val="tx1"/>
                  </w14:solidFill>
                </w14:textFill>
              </w:rPr>
              <w:t>板，下层2块隔板，16mm厚三聚氰胺刨花板（双贴面），铝合金加强条卡边加固，防止下弯变形。4、脚垫：采用ABS工程塑料模具成型制作而成，高度可调。以上芯板均为E1级环保芯板，甲醛释放量（穿孔萃取法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87936"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46" name="图片_36"/>
                  <wp:cNvGraphicFramePr/>
                  <a:graphic xmlns:a="http://schemas.openxmlformats.org/drawingml/2006/main">
                    <a:graphicData uri="http://schemas.openxmlformats.org/drawingml/2006/picture">
                      <pic:pic xmlns:pic="http://schemas.openxmlformats.org/drawingml/2006/picture">
                        <pic:nvPicPr>
                          <pic:cNvPr id="46" name="图片_36"/>
                          <pic:cNvPicPr/>
                        </pic:nvPicPr>
                        <pic:blipFill>
                          <a:blip r:embed="rId35"/>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44" name="图片_34"/>
                  <wp:cNvGraphicFramePr/>
                  <a:graphic xmlns:a="http://schemas.openxmlformats.org/drawingml/2006/main">
                    <a:graphicData uri="http://schemas.openxmlformats.org/drawingml/2006/picture">
                      <pic:pic xmlns:pic="http://schemas.openxmlformats.org/drawingml/2006/picture">
                        <pic:nvPicPr>
                          <pic:cNvPr id="44" name="图片_34"/>
                          <pic:cNvPicPr/>
                        </pic:nvPicPr>
                        <pic:blipFill>
                          <a:blip r:embed="rId36"/>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89984"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49" name="图片_35"/>
                  <wp:cNvGraphicFramePr/>
                  <a:graphic xmlns:a="http://schemas.openxmlformats.org/drawingml/2006/main">
                    <a:graphicData uri="http://schemas.openxmlformats.org/drawingml/2006/picture">
                      <pic:pic xmlns:pic="http://schemas.openxmlformats.org/drawingml/2006/picture">
                        <pic:nvPicPr>
                          <pic:cNvPr id="49" name="图片_35"/>
                          <pic:cNvPicPr/>
                        </pic:nvPicPr>
                        <pic:blipFill>
                          <a:blip r:embed="rId37"/>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91008"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45" name="图片_33"/>
                  <wp:cNvGraphicFramePr/>
                  <a:graphic xmlns:a="http://schemas.openxmlformats.org/drawingml/2006/main">
                    <a:graphicData uri="http://schemas.openxmlformats.org/drawingml/2006/picture">
                      <pic:pic xmlns:pic="http://schemas.openxmlformats.org/drawingml/2006/picture">
                        <pic:nvPicPr>
                          <pic:cNvPr id="45" name="图片_33"/>
                          <pic:cNvPicPr/>
                        </pic:nvPicPr>
                        <pic:blipFill>
                          <a:blip r:embed="rId38"/>
                          <a:stretch>
                            <a:fillRect/>
                          </a:stretch>
                        </pic:blipFill>
                        <pic:spPr>
                          <a:xfrm>
                            <a:off x="0" y="0"/>
                            <a:ext cx="609600" cy="12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中央准备台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Style w:val="52"/>
                <w:rFonts w:hint="default"/>
                <w:color w:val="000000" w:themeColor="text1"/>
                <w:highlight w:val="none"/>
                <w:lang w:bidi="ar"/>
                <w14:textFill>
                  <w14:solidFill>
                    <w14:schemeClr w14:val="tx1"/>
                  </w14:solidFill>
                </w14:textFill>
              </w:rPr>
              <w:t>3000*1200*800</w:t>
            </w:r>
            <w:r>
              <w:rPr>
                <w:rStyle w:val="52"/>
                <w:rFonts w:hint="default"/>
                <w:color w:val="000000" w:themeColor="text1"/>
                <w:highlight w:val="none"/>
                <w:lang w:bidi="ar"/>
                <w14:textFill>
                  <w14:solidFill>
                    <w14:schemeClr w14:val="tx1"/>
                  </w14:solidFill>
                </w14:textFill>
              </w:rPr>
              <w:br w:type="textWrapping"/>
            </w:r>
            <w:r>
              <w:rPr>
                <w:rStyle w:val="52"/>
                <w:rFonts w:hint="default"/>
                <w:color w:val="000000" w:themeColor="text1"/>
                <w:highlight w:val="none"/>
                <w:lang w:bidi="ar"/>
                <w14:textFill>
                  <w14:solidFill>
                    <w14:schemeClr w14:val="tx1"/>
                  </w14:solidFill>
                </w14:textFill>
              </w:rPr>
              <w:t>台面：采用12.7mm实芯理化板，四边可视面加厚为25mm并倒圆边，经机械打磨，表面光滑平整，无缝隙。颜色：学校自选。</w:t>
            </w:r>
            <w:r>
              <w:rPr>
                <w:rStyle w:val="52"/>
                <w:rFonts w:hint="default"/>
                <w:color w:val="000000" w:themeColor="text1"/>
                <w:highlight w:val="none"/>
                <w:lang w:bidi="ar"/>
                <w14:textFill>
                  <w14:solidFill>
                    <w14:schemeClr w14:val="tx1"/>
                  </w14:solidFill>
                </w14:textFill>
              </w:rPr>
              <w:br w:type="textWrapping"/>
            </w:r>
            <w:r>
              <w:rPr>
                <w:rStyle w:val="52"/>
                <w:rFonts w:hint="default"/>
                <w:color w:val="000000" w:themeColor="text1"/>
                <w:highlight w:val="none"/>
                <w:lang w:bidi="ar"/>
                <w14:textFill>
                  <w14:solidFill>
                    <w14:schemeClr w14:val="tx1"/>
                  </w14:solidFill>
                </w14:textFill>
              </w:rPr>
              <w:t>柜体：全钢结构，采用1.2㎜厚镀锌钢板裁剪折弯后满焊点焊接，表面经EPOXY喷涂处理。防水、耐潮，耐腐蚀。整体结构承重：台面承重不低于600kg不变形。4.背板：采用1.2㎜厚镀锌钢板裁剪折弯后满焊点焊接，表面经EPOXY喷涂处理。拆卸方便，并有利于管道及电线的安装和维护。防水、耐潮，耐腐蚀。</w:t>
            </w:r>
            <w:r>
              <w:rPr>
                <w:rStyle w:val="52"/>
                <w:rFonts w:hint="default"/>
                <w:color w:val="000000" w:themeColor="text1"/>
                <w:highlight w:val="none"/>
                <w:lang w:bidi="ar"/>
                <w14:textFill>
                  <w14:solidFill>
                    <w14:schemeClr w14:val="tx1"/>
                  </w14:solidFill>
                </w14:textFill>
              </w:rPr>
              <w:br w:type="textWrapping"/>
            </w:r>
            <w:r>
              <w:rPr>
                <w:rStyle w:val="52"/>
                <w:rFonts w:hint="default"/>
                <w:color w:val="000000" w:themeColor="text1"/>
                <w:highlight w:val="none"/>
                <w:lang w:bidi="ar"/>
                <w14:textFill>
                  <w14:solidFill>
                    <w14:schemeClr w14:val="tx1"/>
                  </w14:solidFill>
                </w14:textFill>
              </w:rPr>
              <w:t>5.层板/柜门/抽屉：采用1.2㎜厚镀锌钢板裁剪折弯后满焊点焊接，表面经EPOXY喷涂处理。6.拉手：一次性成型拉手。7.导轨：三节静音导轨。8.铰链：采用定位铰链或2mm不锈钢合页。</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92032"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51" name="图片_30"/>
                  <wp:cNvGraphicFramePr/>
                  <a:graphic xmlns:a="http://schemas.openxmlformats.org/drawingml/2006/main">
                    <a:graphicData uri="http://schemas.openxmlformats.org/drawingml/2006/picture">
                      <pic:pic xmlns:pic="http://schemas.openxmlformats.org/drawingml/2006/picture">
                        <pic:nvPicPr>
                          <pic:cNvPr id="51" name="图片_30"/>
                          <pic:cNvPicPr/>
                        </pic:nvPicPr>
                        <pic:blipFill>
                          <a:blip r:embed="rId39"/>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93056"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52" name="图片_32"/>
                  <wp:cNvGraphicFramePr/>
                  <a:graphic xmlns:a="http://schemas.openxmlformats.org/drawingml/2006/main">
                    <a:graphicData uri="http://schemas.openxmlformats.org/drawingml/2006/picture">
                      <pic:pic xmlns:pic="http://schemas.openxmlformats.org/drawingml/2006/picture">
                        <pic:nvPicPr>
                          <pic:cNvPr id="52" name="图片_32"/>
                          <pic:cNvPicPr/>
                        </pic:nvPicPr>
                        <pic:blipFill>
                          <a:blip r:embed="rId40"/>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94080"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40" name="图片_40"/>
                  <wp:cNvGraphicFramePr/>
                  <a:graphic xmlns:a="http://schemas.openxmlformats.org/drawingml/2006/main">
                    <a:graphicData uri="http://schemas.openxmlformats.org/drawingml/2006/picture">
                      <pic:pic xmlns:pic="http://schemas.openxmlformats.org/drawingml/2006/picture">
                        <pic:nvPicPr>
                          <pic:cNvPr id="40" name="图片_40"/>
                          <pic:cNvPicPr/>
                        </pic:nvPicPr>
                        <pic:blipFill>
                          <a:blip r:embed="rId41"/>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95104"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35" name="图片_38"/>
                  <wp:cNvGraphicFramePr/>
                  <a:graphic xmlns:a="http://schemas.openxmlformats.org/drawingml/2006/main">
                    <a:graphicData uri="http://schemas.openxmlformats.org/drawingml/2006/picture">
                      <pic:pic xmlns:pic="http://schemas.openxmlformats.org/drawingml/2006/picture">
                        <pic:nvPicPr>
                          <pic:cNvPr id="35" name="图片_38"/>
                          <pic:cNvPicPr/>
                        </pic:nvPicPr>
                        <pic:blipFill>
                          <a:blip r:embed="rId42"/>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96128"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37" name="图片_31"/>
                  <wp:cNvGraphicFramePr/>
                  <a:graphic xmlns:a="http://schemas.openxmlformats.org/drawingml/2006/main">
                    <a:graphicData uri="http://schemas.openxmlformats.org/drawingml/2006/picture">
                      <pic:pic xmlns:pic="http://schemas.openxmlformats.org/drawingml/2006/picture">
                        <pic:nvPicPr>
                          <pic:cNvPr id="37" name="图片_31"/>
                          <pic:cNvPicPr/>
                        </pic:nvPicPr>
                        <pic:blipFill>
                          <a:blip r:embed="rId43"/>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97152"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41" name="图片_29"/>
                  <wp:cNvGraphicFramePr/>
                  <a:graphic xmlns:a="http://schemas.openxmlformats.org/drawingml/2006/main">
                    <a:graphicData uri="http://schemas.openxmlformats.org/drawingml/2006/picture">
                      <pic:pic xmlns:pic="http://schemas.openxmlformats.org/drawingml/2006/picture">
                        <pic:nvPicPr>
                          <pic:cNvPr id="41" name="图片_29"/>
                          <pic:cNvPicPr/>
                        </pic:nvPicPr>
                        <pic:blipFill>
                          <a:blip r:embed="rId44"/>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98176"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43" name="图片_39"/>
                  <wp:cNvGraphicFramePr/>
                  <a:graphic xmlns:a="http://schemas.openxmlformats.org/drawingml/2006/main">
                    <a:graphicData uri="http://schemas.openxmlformats.org/drawingml/2006/picture">
                      <pic:pic xmlns:pic="http://schemas.openxmlformats.org/drawingml/2006/picture">
                        <pic:nvPicPr>
                          <pic:cNvPr id="43" name="图片_39"/>
                          <pic:cNvPicPr/>
                        </pic:nvPicPr>
                        <pic:blipFill>
                          <a:blip r:embed="rId45"/>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99200"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61" name="图片_37"/>
                  <wp:cNvGraphicFramePr/>
                  <a:graphic xmlns:a="http://schemas.openxmlformats.org/drawingml/2006/main">
                    <a:graphicData uri="http://schemas.openxmlformats.org/drawingml/2006/picture">
                      <pic:pic xmlns:pic="http://schemas.openxmlformats.org/drawingml/2006/picture">
                        <pic:nvPicPr>
                          <pic:cNvPr id="61" name="图片_37"/>
                          <pic:cNvPicPr/>
                        </pic:nvPicPr>
                        <pic:blipFill>
                          <a:blip r:embed="rId46"/>
                          <a:stretch>
                            <a:fillRect/>
                          </a:stretch>
                        </pic:blipFill>
                        <pic:spPr>
                          <a:xfrm>
                            <a:off x="0" y="0"/>
                            <a:ext cx="609600" cy="12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三联水嘴</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采用实验室专用三联水嘴90度瓷质阀芯，出水嘴为铜质尖嘴，可拆卸，内有螺纹，可方便连接循环等特殊用水，水管管体部分为黄铜合金制品，铜质表面经过烤漆喷涂处理，增强耐酸碱防腐蚀以及防锈性能，可360度旋转。</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700224" behindDoc="0" locked="0" layoutInCell="1" allowOverlap="1">
                  <wp:simplePos x="0" y="0"/>
                  <wp:positionH relativeFrom="column">
                    <wp:posOffset>161925</wp:posOffset>
                  </wp:positionH>
                  <wp:positionV relativeFrom="paragraph">
                    <wp:posOffset>0</wp:posOffset>
                  </wp:positionV>
                  <wp:extent cx="523875" cy="0"/>
                  <wp:effectExtent l="0" t="0" r="0" b="0"/>
                  <wp:wrapNone/>
                  <wp:docPr id="60" name="Picture_725"/>
                  <wp:cNvGraphicFramePr/>
                  <a:graphic xmlns:a="http://schemas.openxmlformats.org/drawingml/2006/main">
                    <a:graphicData uri="http://schemas.openxmlformats.org/drawingml/2006/picture">
                      <pic:pic xmlns:pic="http://schemas.openxmlformats.org/drawingml/2006/picture">
                        <pic:nvPicPr>
                          <pic:cNvPr id="60" name="Picture_725"/>
                          <pic:cNvPicPr/>
                        </pic:nvPicPr>
                        <pic:blipFill>
                          <a:blip r:embed="rId47"/>
                          <a:stretch>
                            <a:fillRect/>
                          </a:stretch>
                        </pic:blipFill>
                        <pic:spPr>
                          <a:xfrm>
                            <a:off x="0" y="0"/>
                            <a:ext cx="523875" cy="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全室给排水系统改造</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PP-R，φ20、Φ25给排水管，φ50UPVC管。含原供排水管拆除</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化验水槽</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Style w:val="52"/>
                <w:rFonts w:hint="default"/>
                <w:color w:val="000000" w:themeColor="text1"/>
                <w:highlight w:val="none"/>
                <w:lang w:bidi="ar"/>
                <w14:textFill>
                  <w14:solidFill>
                    <w14:schemeClr w14:val="tx1"/>
                  </w14:solidFill>
                </w14:textFill>
              </w:rPr>
              <w:t>PP水槽（550*350*200），含有下水软管等配件。</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生物准备仪器室</w:t>
            </w:r>
          </w:p>
        </w:tc>
      </w:tr>
      <w:tr>
        <w:tblPrEx>
          <w:tblLayout w:type="fixed"/>
          <w:tblCellMar>
            <w:top w:w="0" w:type="dxa"/>
            <w:left w:w="0" w:type="dxa"/>
            <w:bottom w:w="0" w:type="dxa"/>
            <w:right w:w="0" w:type="dxa"/>
          </w:tblCellMar>
        </w:tblPrEx>
        <w:trPr>
          <w:trHeight w:val="57" w:hRule="atLeast"/>
        </w:trPr>
        <w:tc>
          <w:tcPr>
            <w:tcW w:w="45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PP通风药品柜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PP材质，上面可视双开玻璃门，共4层，每层净高度200 mm，每层高度可调，下面不可视双开门，2层，每层净高度不少于400 mm，每层高度可调，板厚不小于8mm </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仪器柜</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寸：1000mm×500mm×2000mm，1、结构：全铝合金框架，32×32×1.2mm厚铝合金方管柜架，表面经酸砂处理后喷塑，基材采用E1级16mm三聚氰胺环保刨花板芯板，可见截面均采用全自动封边机，2mm厚PVC封边处理。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w:t>
            </w:r>
            <w:r>
              <w:rPr>
                <w:rStyle w:val="49"/>
                <w:rFonts w:hint="default"/>
                <w:color w:val="000000" w:themeColor="text1"/>
                <w:highlight w:val="none"/>
                <w:lang w:bidi="ar"/>
                <w14:textFill>
                  <w14:solidFill>
                    <w14:schemeClr w14:val="tx1"/>
                  </w14:solidFill>
                </w14:textFill>
              </w:rPr>
              <w:t>上下柜门的四个环形拉手组成一圆环造型。柜门采用PP旋转门轴对开门（避免试剂对合页的腐蚀生锈）</w:t>
            </w:r>
            <w:r>
              <w:rPr>
                <w:rStyle w:val="50"/>
                <w:rFonts w:hint="default"/>
                <w:color w:val="000000" w:themeColor="text1"/>
                <w:highlight w:val="none"/>
                <w:lang w:bidi="ar"/>
                <w14:textFill>
                  <w14:solidFill>
                    <w14:schemeClr w14:val="tx1"/>
                  </w14:solidFill>
                </w14:textFill>
              </w:rPr>
              <w:t>，中间带三折导轨抽屉 3、隔板：上层3块隔</w:t>
            </w:r>
            <w:r>
              <w:rPr>
                <w:rStyle w:val="51"/>
                <w:rFonts w:hint="default"/>
                <w:color w:val="000000" w:themeColor="text1"/>
                <w:highlight w:val="none"/>
                <w:lang w:bidi="ar"/>
                <w14:textFill>
                  <w14:solidFill>
                    <w14:schemeClr w14:val="tx1"/>
                  </w14:solidFill>
                </w14:textFill>
              </w:rPr>
              <w:t>板，下层2块隔板，16mm厚三聚氰胺刨花板（双贴面），铝合金加强条卡边加固，防止下弯变形。4、脚垫：采用ABS工程塑料模具成型制作而成，高度可调。以上芯板均为E1级环保芯板，甲醛释放量（穿孔萃取法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701248"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56" name="图片_49"/>
                  <wp:cNvGraphicFramePr/>
                  <a:graphic xmlns:a="http://schemas.openxmlformats.org/drawingml/2006/main">
                    <a:graphicData uri="http://schemas.openxmlformats.org/drawingml/2006/picture">
                      <pic:pic xmlns:pic="http://schemas.openxmlformats.org/drawingml/2006/picture">
                        <pic:nvPicPr>
                          <pic:cNvPr id="56" name="图片_49"/>
                          <pic:cNvPicPr/>
                        </pic:nvPicPr>
                        <pic:blipFill>
                          <a:blip r:embed="rId48"/>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702272"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54" name="图片_47"/>
                  <wp:cNvGraphicFramePr/>
                  <a:graphic xmlns:a="http://schemas.openxmlformats.org/drawingml/2006/main">
                    <a:graphicData uri="http://schemas.openxmlformats.org/drawingml/2006/picture">
                      <pic:pic xmlns:pic="http://schemas.openxmlformats.org/drawingml/2006/picture">
                        <pic:nvPicPr>
                          <pic:cNvPr id="54" name="图片_47"/>
                          <pic:cNvPicPr/>
                        </pic:nvPicPr>
                        <pic:blipFill>
                          <a:blip r:embed="rId49"/>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703296"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65" name="图片_46"/>
                  <wp:cNvGraphicFramePr/>
                  <a:graphic xmlns:a="http://schemas.openxmlformats.org/drawingml/2006/main">
                    <a:graphicData uri="http://schemas.openxmlformats.org/drawingml/2006/picture">
                      <pic:pic xmlns:pic="http://schemas.openxmlformats.org/drawingml/2006/picture">
                        <pic:nvPicPr>
                          <pic:cNvPr id="65" name="图片_46"/>
                          <pic:cNvPicPr/>
                        </pic:nvPicPr>
                        <pic:blipFill>
                          <a:blip r:embed="rId50"/>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704320"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68" name="图片_48"/>
                  <wp:cNvGraphicFramePr/>
                  <a:graphic xmlns:a="http://schemas.openxmlformats.org/drawingml/2006/main">
                    <a:graphicData uri="http://schemas.openxmlformats.org/drawingml/2006/picture">
                      <pic:pic xmlns:pic="http://schemas.openxmlformats.org/drawingml/2006/picture">
                        <pic:nvPicPr>
                          <pic:cNvPr id="68" name="图片_48"/>
                          <pic:cNvPicPr/>
                        </pic:nvPicPr>
                        <pic:blipFill>
                          <a:blip r:embed="rId51"/>
                          <a:stretch>
                            <a:fillRect/>
                          </a:stretch>
                        </pic:blipFill>
                        <pic:spPr>
                          <a:xfrm>
                            <a:off x="0" y="0"/>
                            <a:ext cx="609600" cy="12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中央台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3000*1200*800</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台面：采用12.7mm实芯理化板，四边可视面加厚为25mm并倒圆边，经机械打磨，表面光滑平整，无缝隙。颜色：学校自选。</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柜体：全钢结构，采用1.2</w:t>
            </w:r>
            <w:r>
              <w:rPr>
                <w:rStyle w:val="52"/>
                <w:rFonts w:hint="default"/>
                <w:color w:val="000000" w:themeColor="text1"/>
                <w:highlight w:val="none"/>
                <w:lang w:bidi="ar"/>
                <w14:textFill>
                  <w14:solidFill>
                    <w14:schemeClr w14:val="tx1"/>
                  </w14:solidFill>
                </w14:textFill>
              </w:rPr>
              <w:t>㎜厚镀锌钢板裁剪折弯后满焊点焊接，表面经EPOXY喷涂处理。防水、耐潮，耐腐蚀。整体结构承重：台面承重不低于600kg不变形。4.背板：采用1.2㎜厚镀锌钢板裁剪折弯后满焊点焊接，表面经EPOXY喷涂处理。拆卸方便，并有利于管道及电线的安装和维护。防水、耐潮，耐腐蚀。</w:t>
            </w:r>
            <w:r>
              <w:rPr>
                <w:rStyle w:val="52"/>
                <w:rFonts w:hint="default"/>
                <w:color w:val="000000" w:themeColor="text1"/>
                <w:highlight w:val="none"/>
                <w:lang w:bidi="ar"/>
                <w14:textFill>
                  <w14:solidFill>
                    <w14:schemeClr w14:val="tx1"/>
                  </w14:solidFill>
                </w14:textFill>
              </w:rPr>
              <w:br w:type="textWrapping"/>
            </w:r>
            <w:r>
              <w:rPr>
                <w:rStyle w:val="52"/>
                <w:rFonts w:hint="default"/>
                <w:color w:val="000000" w:themeColor="text1"/>
                <w:highlight w:val="none"/>
                <w:lang w:bidi="ar"/>
                <w14:textFill>
                  <w14:solidFill>
                    <w14:schemeClr w14:val="tx1"/>
                  </w14:solidFill>
                </w14:textFill>
              </w:rPr>
              <w:t>5.层板/柜门/抽屉：采用1.2㎜厚镀锌钢板裁剪折弯后满焊点焊接，表面经EPOXY喷涂处理。6.拉手：一次性成型拉手。7.导轨：三节静音导轨。8.铰链：采用定位铰链或2mm不锈钢合页。</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705344"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55" name="图片_53"/>
                  <wp:cNvGraphicFramePr/>
                  <a:graphic xmlns:a="http://schemas.openxmlformats.org/drawingml/2006/main">
                    <a:graphicData uri="http://schemas.openxmlformats.org/drawingml/2006/picture">
                      <pic:pic xmlns:pic="http://schemas.openxmlformats.org/drawingml/2006/picture">
                        <pic:nvPicPr>
                          <pic:cNvPr id="55" name="图片_53"/>
                          <pic:cNvPicPr/>
                        </pic:nvPicPr>
                        <pic:blipFill>
                          <a:blip r:embed="rId52"/>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706368"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58" name="图片_45"/>
                  <wp:cNvGraphicFramePr/>
                  <a:graphic xmlns:a="http://schemas.openxmlformats.org/drawingml/2006/main">
                    <a:graphicData uri="http://schemas.openxmlformats.org/drawingml/2006/picture">
                      <pic:pic xmlns:pic="http://schemas.openxmlformats.org/drawingml/2006/picture">
                        <pic:nvPicPr>
                          <pic:cNvPr id="58" name="图片_45"/>
                          <pic:cNvPicPr/>
                        </pic:nvPicPr>
                        <pic:blipFill>
                          <a:blip r:embed="rId53"/>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707392"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57" name="图片_43"/>
                  <wp:cNvGraphicFramePr/>
                  <a:graphic xmlns:a="http://schemas.openxmlformats.org/drawingml/2006/main">
                    <a:graphicData uri="http://schemas.openxmlformats.org/drawingml/2006/picture">
                      <pic:pic xmlns:pic="http://schemas.openxmlformats.org/drawingml/2006/picture">
                        <pic:nvPicPr>
                          <pic:cNvPr id="57" name="图片_43"/>
                          <pic:cNvPicPr/>
                        </pic:nvPicPr>
                        <pic:blipFill>
                          <a:blip r:embed="rId54"/>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708416" behindDoc="0" locked="0" layoutInCell="1" allowOverlap="1">
                  <wp:simplePos x="0" y="0"/>
                  <wp:positionH relativeFrom="column">
                    <wp:posOffset>57150</wp:posOffset>
                  </wp:positionH>
                  <wp:positionV relativeFrom="paragraph">
                    <wp:posOffset>0</wp:posOffset>
                  </wp:positionV>
                  <wp:extent cx="631825" cy="2540"/>
                  <wp:effectExtent l="0" t="0" r="0" b="0"/>
                  <wp:wrapNone/>
                  <wp:docPr id="66" name="图片_51"/>
                  <wp:cNvGraphicFramePr/>
                  <a:graphic xmlns:a="http://schemas.openxmlformats.org/drawingml/2006/main">
                    <a:graphicData uri="http://schemas.openxmlformats.org/drawingml/2006/picture">
                      <pic:pic xmlns:pic="http://schemas.openxmlformats.org/drawingml/2006/picture">
                        <pic:nvPicPr>
                          <pic:cNvPr id="66" name="图片_51"/>
                          <pic:cNvPicPr/>
                        </pic:nvPicPr>
                        <pic:blipFill>
                          <a:blip r:embed="rId55"/>
                          <a:stretch>
                            <a:fillRect/>
                          </a:stretch>
                        </pic:blipFill>
                        <pic:spPr>
                          <a:xfrm>
                            <a:off x="0" y="0"/>
                            <a:ext cx="631825" cy="254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709440"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63" name="图片_50"/>
                  <wp:cNvGraphicFramePr/>
                  <a:graphic xmlns:a="http://schemas.openxmlformats.org/drawingml/2006/main">
                    <a:graphicData uri="http://schemas.openxmlformats.org/drawingml/2006/picture">
                      <pic:pic xmlns:pic="http://schemas.openxmlformats.org/drawingml/2006/picture">
                        <pic:nvPicPr>
                          <pic:cNvPr id="63" name="图片_50"/>
                          <pic:cNvPicPr/>
                        </pic:nvPicPr>
                        <pic:blipFill>
                          <a:blip r:embed="rId56"/>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710464"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59" name="图片_52"/>
                  <wp:cNvGraphicFramePr/>
                  <a:graphic xmlns:a="http://schemas.openxmlformats.org/drawingml/2006/main">
                    <a:graphicData uri="http://schemas.openxmlformats.org/drawingml/2006/picture">
                      <pic:pic xmlns:pic="http://schemas.openxmlformats.org/drawingml/2006/picture">
                        <pic:nvPicPr>
                          <pic:cNvPr id="59" name="图片_52"/>
                          <pic:cNvPicPr/>
                        </pic:nvPicPr>
                        <pic:blipFill>
                          <a:blip r:embed="rId57"/>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711488"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53" name="图片_42"/>
                  <wp:cNvGraphicFramePr/>
                  <a:graphic xmlns:a="http://schemas.openxmlformats.org/drawingml/2006/main">
                    <a:graphicData uri="http://schemas.openxmlformats.org/drawingml/2006/picture">
                      <pic:pic xmlns:pic="http://schemas.openxmlformats.org/drawingml/2006/picture">
                        <pic:nvPicPr>
                          <pic:cNvPr id="53" name="图片_42"/>
                          <pic:cNvPicPr/>
                        </pic:nvPicPr>
                        <pic:blipFill>
                          <a:blip r:embed="rId58"/>
                          <a:stretch>
                            <a:fillRect/>
                          </a:stretch>
                        </pic:blipFill>
                        <pic:spPr>
                          <a:xfrm>
                            <a:off x="0" y="0"/>
                            <a:ext cx="609600" cy="1270"/>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lang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76200</wp:posOffset>
                  </wp:positionH>
                  <wp:positionV relativeFrom="paragraph">
                    <wp:posOffset>0</wp:posOffset>
                  </wp:positionV>
                  <wp:extent cx="609600" cy="1270"/>
                  <wp:effectExtent l="0" t="0" r="0" b="0"/>
                  <wp:wrapNone/>
                  <wp:docPr id="62" name="图片_44"/>
                  <wp:cNvGraphicFramePr/>
                  <a:graphic xmlns:a="http://schemas.openxmlformats.org/drawingml/2006/main">
                    <a:graphicData uri="http://schemas.openxmlformats.org/drawingml/2006/picture">
                      <pic:pic xmlns:pic="http://schemas.openxmlformats.org/drawingml/2006/picture">
                        <pic:nvPicPr>
                          <pic:cNvPr id="62" name="图片_44"/>
                          <pic:cNvPicPr/>
                        </pic:nvPicPr>
                        <pic:blipFill>
                          <a:blip r:embed="rId59"/>
                          <a:stretch>
                            <a:fillRect/>
                          </a:stretch>
                        </pic:blipFill>
                        <pic:spPr>
                          <a:xfrm>
                            <a:off x="0" y="0"/>
                            <a:ext cx="609600" cy="12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三联水嘴</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采用实验室专用三联水嘴90度瓷质阀芯，出水嘴为铜质尖嘴，可拆卸，内有螺纹，可方便连接循环等特殊用水，水管管体部分为黄铜合金制品，铜质表面经过烤漆喷涂处理，增强耐酸碱防腐蚀以及防锈性能，可360度旋转。</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lang w:bidi="ar"/>
                <w14:textFill>
                  <w14:solidFill>
                    <w14:schemeClr w14:val="tx1"/>
                  </w14:solidFill>
                </w14:textFill>
              </w:rPr>
              <w:drawing>
                <wp:anchor distT="0" distB="0" distL="114300" distR="114300" simplePos="0" relativeHeight="251661312" behindDoc="0" locked="0" layoutInCell="1" allowOverlap="1">
                  <wp:simplePos x="0" y="0"/>
                  <wp:positionH relativeFrom="column">
                    <wp:posOffset>161925</wp:posOffset>
                  </wp:positionH>
                  <wp:positionV relativeFrom="paragraph">
                    <wp:posOffset>0</wp:posOffset>
                  </wp:positionV>
                  <wp:extent cx="523875" cy="0"/>
                  <wp:effectExtent l="0" t="0" r="0" b="0"/>
                  <wp:wrapNone/>
                  <wp:docPr id="67" name="Picture_725_SpCnt_1"/>
                  <wp:cNvGraphicFramePr/>
                  <a:graphic xmlns:a="http://schemas.openxmlformats.org/drawingml/2006/main">
                    <a:graphicData uri="http://schemas.openxmlformats.org/drawingml/2006/picture">
                      <pic:pic xmlns:pic="http://schemas.openxmlformats.org/drawingml/2006/picture">
                        <pic:nvPicPr>
                          <pic:cNvPr id="67" name="Picture_725_SpCnt_1"/>
                          <pic:cNvPicPr/>
                        </pic:nvPicPr>
                        <pic:blipFill>
                          <a:blip r:embed="rId60"/>
                          <a:stretch>
                            <a:fillRect/>
                          </a:stretch>
                        </pic:blipFill>
                        <pic:spPr>
                          <a:xfrm>
                            <a:off x="0" y="0"/>
                            <a:ext cx="523875" cy="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化验水槽</w:t>
            </w:r>
          </w:p>
        </w:tc>
        <w:tc>
          <w:tcPr>
            <w:tcW w:w="622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PP水槽（550*350*200），含有下水软管等配件。</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全室给排水系统改造</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PP-R，φ20、Φ25给排水管，φ50UPVC管。含原供排水管拆除</w:t>
            </w:r>
          </w:p>
        </w:tc>
        <w:tc>
          <w:tcPr>
            <w:tcW w:w="45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阅览室</w:t>
            </w:r>
          </w:p>
        </w:tc>
      </w:tr>
      <w:tr>
        <w:tblPrEx>
          <w:tblLayout w:type="fixed"/>
          <w:tblCellMar>
            <w:top w:w="0" w:type="dxa"/>
            <w:left w:w="0" w:type="dxa"/>
            <w:bottom w:w="0" w:type="dxa"/>
            <w:right w:w="0" w:type="dxa"/>
          </w:tblCellMar>
        </w:tblPrEx>
        <w:trPr>
          <w:trHeight w:val="57" w:hRule="atLeast"/>
        </w:trPr>
        <w:tc>
          <w:tcPr>
            <w:tcW w:w="45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中央阅览桌</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规格：1800*1000*750mm，材质：采用20mm实木橡胶木作为原材料。榫铆结构，造型美观，经久耐用；油漆处理：底层打磨刷底漆，6遍找平点涂处理，表面经过立邦环保漆仿古喷涂，亚光永不退色。  </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8 </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茶几</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木质材质: 橡木；风格: 简约现代；形状: 圆形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尺寸: 0.6m以下 0.8m(含)-1m(不含)；安装方式: 组装；直径：80cm；饰面材质: 木；结构工艺: 木质工艺</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 </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沙发1</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规格：740*700*740mm，实木框架，西皮组合沙发，高回弹海绵，不锈钢脚，颜色多种可选</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8 </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沙发2</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规格：3800*920*640*76mm，实木框架，西皮组合沙发，高回弹海绵，不锈钢脚，颜色多种可选</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 </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椅子</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规格450*450*900mm，采购实木橡胶木为原材，弯曲靠背，结实牢固，</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32 </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六层双面书架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规格：850W*W450D*2200H（mm）四周实木包边，钢架结构</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30 </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圆形书架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3450*3000*（450+200）*18001、基材：采用符合E0级标准的市场主流品牌环保型实木多层饰面板，厚度≥18mm，甲醛释放量≤0.5mg／L，顶板采用相同要求的多层板；采用双层制作。</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2、封边：优质PVC封边条；贴合紧密，修边美观。</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3、五金件：采用优质五金配件。</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 </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圆包坐凳（带样）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455（直径）*420-540mm（高），整体为圆柱造型，分为可升降上座盖，坐垫和下带弧形的底盘组成。上座盖采用优质改性PP注塑成型，坐垫表面由防渗透包裹软质聚氨酯一次成型。把手可控制气杆升降凳子高度。下底盘采用改性PP注塑，嵌套进上座盖内，通过升降机构使上座盖上升或下降。高度可调，坐垫柔软舒适，弧面底盘使得凳子可以轻松的调整角度，保证使用者的舒适性，有效防止长时间坐凳产生的疲劳。</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12 </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阶梯书架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1500*300*15001、基材：采用符合E0级标准的市场主流品牌环保型实木多层饰面板，厚度≥18mm，甲醛释放量≤0.5mg／L，顶板采用相同要求的多层板；</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2、封边：优质PVC封边条；贴合紧密，修边美观。</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3、骨架：内衬30*30矩形钢管，表面烤漆处理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4、连接件：书架和墙面之间缝隙采用铝合金型材收口条装饰，铝合金型材收口条规格为15*12，收口条带装饰条装饰件。装饰条方便安装、取下。表面环氧树脂喷涂处理。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5、五金件：采用优质五金配件。</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6、胶水：优质环保型胶水；提供主材，书架和墙面之间缝隙采用铝合金型材装饰型材的小样</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6 </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借阅台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规格：1400*700*750mm，材质：采用20mm实木橡胶木作为原材料。榫铆结构，</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 </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音乐教室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五线谱电教板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五线谱电教板一台、电教鞭两把、键盘显示（三组谱表）100种节拍40～208拍/分连续可调，100种GM音色，41首示范曲，4分钟录放，12种调式、任意手控音调升降MIDI输出/输入，双电教鞭，具有延音，颤音，自动和声，双声道等效果，三种学习效果。</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多功能音乐凳</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1.天然橡胶实木，带书本搁物层</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 功能：可自由组合成各种形状，激发学生们的动手能力和创造思维能力。</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合唱台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规格：1200*1200*750，天然橡胶实木，3层合唱台阶，扎实牢固耐用</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器材柜</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200"/>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 寸：1200*410*900mm；：采用16mm厚松木板制作，原木漆三底二面</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成套打击乐器</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响板，木鱼，双响筒</w:t>
            </w:r>
            <w:r>
              <w:rPr>
                <w:rStyle w:val="55"/>
                <w:color w:val="000000" w:themeColor="text1"/>
                <w:highlight w:val="none"/>
                <w:lang w:bidi="ar"/>
                <w14:textFill>
                  <w14:solidFill>
                    <w14:schemeClr w14:val="tx1"/>
                  </w14:solidFill>
                </w14:textFill>
              </w:rPr>
              <w:t> </w:t>
            </w:r>
            <w:r>
              <w:rPr>
                <w:rStyle w:val="51"/>
                <w:rFonts w:hint="default"/>
                <w:color w:val="000000" w:themeColor="text1"/>
                <w:highlight w:val="none"/>
                <w:lang w:bidi="ar"/>
                <w14:textFill>
                  <w14:solidFill>
                    <w14:schemeClr w14:val="tx1"/>
                  </w14:solidFill>
                </w14:textFill>
              </w:rPr>
              <w:t>铃鼓，沙锤，碰钟，串铃，</w:t>
            </w:r>
            <w:r>
              <w:rPr>
                <w:rStyle w:val="55"/>
                <w:color w:val="000000" w:themeColor="text1"/>
                <w:highlight w:val="none"/>
                <w:lang w:bidi="ar"/>
                <w14:textFill>
                  <w14:solidFill>
                    <w14:schemeClr w14:val="tx1"/>
                  </w14:solidFill>
                </w14:textFill>
              </w:rPr>
              <w:t> </w:t>
            </w:r>
            <w:r>
              <w:rPr>
                <w:rStyle w:val="51"/>
                <w:rFonts w:hint="default"/>
                <w:color w:val="000000" w:themeColor="text1"/>
                <w:highlight w:val="none"/>
                <w:lang w:bidi="ar"/>
                <w14:textFill>
                  <w14:solidFill>
                    <w14:schemeClr w14:val="tx1"/>
                  </w14:solidFill>
                </w14:textFill>
              </w:rPr>
              <w:t>三角铁等</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音叉</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小锣</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国标</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大锣</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国标</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小钹</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国标</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小军鼓</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国标</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大军鼓</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国标</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铝板琴</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国标</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木琴</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国标</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全频主音箱</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系统类型：12英寸，2分频，低频反射式</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频率范围(-10 dB)1：50 Hz - 20 KHz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频率响应(±3 dB)1：58 Hz - 20 KH</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灵敏度(1w/1m)1：95 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额定阻抗：8 Ohms</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声压级输出：124 dB(峰值:129 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额定输入功率2：350 W/700 W/1000 W (连续/音乐信号/峰值)</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覆盖角：70° x 90°(H x V)</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外型尺寸(H x W x D)：530 mm x 310 mm x 340 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21.0英寸 x 11.8英寸 x 13.4英寸</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净重：17 Kg(37.6磅)</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低音单元：1个10英寸低音喇叭，2.5英寸音圈，铁氧体磁钢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高音单元：1个压缩高音喇叭，1.35英寸音圈，</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输入连接器：2个Neutrik® Speakon® NL4MP</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箱体结构：梯形，15 mm厚夹板</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全频功放</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采用高性能环形变压器每声道各自独立供电，使失真和串音都减到最低，功率管和散热器直接紧固，降低热阻，功率管工作在更安全的区域，大大提高了机器可靠耐用。XLR输入插座，SPKON输出插座和接线柱，可方便选择三种工作模式：立体声、桥接、并接，可适应各种场合的应用.8欧立体声功率600W+600W,4欧立体声功率900W+900W.2U高度.</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调音台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话筒：6 频响：+0.5dB/-0.5dB（20Hz-20kHz） 总谐波失真：0.03%@+14dBu（20 Hz-20kHz） 输入通道：12通道：单声道：4；立体声：4 输出通道：STEREO OUT：2；PHONES：1 母线：立体声：1；编组：2，AUX 电平表：2x12 - 点距LED电平表[PEAK，+10，+6，+3，0，-3，-6，-10，-15，-20，-25，-30dB] 幻象电源电压：+48V 功率要求：AC 100-240V，50/60Hz 外观尺寸：308×118×422mm 功耗：22W 操作温度：0-40℃ 净重：2.1kg</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无线手持话筒</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1.PLL数字锁相环多信道频率合成技术，提供多达400个精选的工作通道，方便多套机器同时使用，轻松避开各类干扰。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2.采用红外线频率同步技术，发射器的工作频率通过红外线信号自动和接收机同步，信号稳定、抗干扰能力强。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3.会议咪发射器带绿色显示器,能直观有效显示工作状态。</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4.稳定的音频电路,使麦克风的声音传真度高,音质清晰。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5.底座设有静音设计,使用方便快捷。</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护套音箱线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外皮材质：高环保PVC  塑胶，环保防腐蚀 耐油 耐酸碱 耐用。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内缘绝：航天聚乙烯，防干扰提升传输率长度：采用精密喷码机，长度精确；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正负极：双向通道 双向传输 无需区分正负极，只需2边对应接。</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设备机柜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材料】：9MM夹板外贴PVC，全新重型五金件，铝合金包边，4个三寸工业轮（两个固定轮，两个万向轮）；拉手（4个）</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【规格】：50*50*83.5cm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【重量】：18KG</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【包装】：散包装（方便运输，降低成本），组装非常简单。</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【产品介绍】：可放置功放、话筒接收器、前级效果器、CD机、点歌机、调音台等多种专业音视频设备，适用于KTV包房、歌厅、会议室、舞台演出等场合使用，使您的音频工作室瞬间变得简单整洁。</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设备安装配件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联接件，信号线 音响托架等</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批</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音乐器材室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器材柜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尺寸：1000mm×500mm×2000mm，1、结构：全铝合金框架，32×32×1.2mm厚铝合金方管柜架，表面经酸砂处理后喷塑，基材采用E1级16mm三聚氰胺环保刨花板芯板，可见截面均采用全自动封边机，2mm厚PVC封边处理。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上下柜门的四个环形拉手组成一圆环造型。柜门采用PP旋转门轴对开门（避免试剂对合页的腐蚀生锈）， 3、隔板：上层3块隔板，下层2块隔板，带升降条，隔板间距可调，16mm厚三聚氰胺刨花板（双贴面），铝合金加强条卡边加固，防止下弯变形。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4、脚垫：采用ABS工程塑料模具成型制作而成，高度可调。</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计算机教室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教师演示台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尺寸：2400*600*850㎜ 台面：采用12.7mm实芯理化板，圆周加厚处理，总厚度为25.4mm,四角圆角,四边磨边。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采用16mm厚中密度三聚氰胺双饰面板，断面以优质2mmPVC封边条配合进口胶王热熔封边防水处理，专用连接件连接组合紧固。四角包边：采用PP改性材料，塑料注塑模一次性成型，曲面弧形造型，可以有效避免碰撞对人体产生的伤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层板：采用16mm以上厚的E1级中密度三聚氰胺饰面板，周边及断面采用厚2mm以上PVC热熔封边并作防水处理；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每个箱体配四个优质的实验室仪器专用地脚，具有防腐防锈减震等特点。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柜门，抽屉：采用厚16mm的中密度三聚氰胺饰面板，柜门和抽屉面板四周注塑模注塑包边成型，拉手与注塑包边一次性成型注塑。</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讲台配有键盘和中控抽屉，侧边配视频展示台抽屉。</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计算机桌</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规格：1200*600*780mm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台面：采用８mm实心湖蓝色理化板，防火阻燃、防腐蚀、耐酸碱、防静电、耐磨、抗污染，台前热弯加工后成型，使台面前端呈半圆弧形，圆润下滑、曲面优美，嵌入铝合金围栏卡槽内防变形，台面配置1.2mm厚透明橡胶防护垫.</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框架：主体采用铝合金型材和铝压铸件连接组合框架；立柱：采用100x50mm壁厚1.8mm优质铝合金型材，内附6条铝合金加强筋连接中心支点成网状，可承重、耐侧压、不晃动；前横梁：采用50x40mm壁厚1.8mm优质铝合金拉模，台前整体呈半圆弧形，配合台面圆弧更加美观、承重、严丝合缝； 后横梁：采用130x30壁厚1.8mm的优质铝型材材料一次性成型，配8mm台面卡槽及装饰条卡槽，装饰条颜色与台面颜色相匹配；支撑横梁：采用100mm宽、壁厚10mm的优质铝型材材料一次性成型，与立柱连接采用内六角螺丝，使整个铝合金桌体牢固、不晃动；整体铝合金框架表面经过防腐氧化处理和纯环氧树脂塑粉高温固化处理，具有较强的耐蚀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书包斗：整体PP工程塑料一次性注塑成型，耐压，韧性强。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★产品特点：零甲醛、零污染、易擦洗、耐老化、环保、防水、可回收。</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学生实验圆凳</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凳面300(直径）*420（高)mm，凳面采用5mm厚PP工程塑料注塑成型；支撑柱采用直径56mm圆钢管，顶端为165*165*2mm钢板，采用全周满焊焊接，用四颗直径10mm的六角螺丝连接凳面，结构牢固，长期使用也不会出现摇晃松散现象；下端满焊五根直径30mm的圆钢管钆扁折弯成虎爪状的凳脚，爪端焊造型螺母，配直径50mm高30mm的工程塑料脚盘，金属材料表面经过防腐氧化处理和纯环氧树脂塑粉高温固化处理，具有较强的耐蚀性及承重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布线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含教学电源国标4㎜*3电线与铺设人工费,超六类网络布线</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nil"/>
              <w:left w:val="nil"/>
              <w:bottom w:val="nil"/>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静电地板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600*600*35mm静电地板，</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平方</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95</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计算机语音教室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教师演示台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尺寸：2400*600*850㎜ 台面：采用12.7mm实芯理化板，圆周加厚处理，总厚度为25.4mm,四角圆角,四边磨边。</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采用16mm厚中密度三聚氰胺双饰面板，断面以优质2mmPVC封边条配合进口胶王热熔封边防水处理，专用连接件连接组合紧固。四角包边：采用PP改性材料，塑料注塑模一次性成型，曲面弧形造型，可以有效避免碰撞对人体产生的伤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层板：采用16mm以上厚的E1级中密度三聚氰胺饰面板，周边及断面采用厚2mm以上PVC热熔封边并作防水处理；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每个箱体配四个优质的实验室仪器专用地脚，具有防腐防锈减震等特点。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柜门，抽屉：采用厚16mm的中密度三聚氰胺饰面板，柜门和抽屉面板四周注塑模注塑包边成型，拉手与注塑包边一次性成型注塑。</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讲台配有键盘和中控抽屉，侧边配视频展示台抽屉。</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计算机桌</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规格：1400*600*750\1250mm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台面：采用20mm三聚氰胺板台面，防静电、耐磨、台前热弯加工后成型，使台面前端呈半圆弧形，圆润下滑、曲面优美，桌体带主机位，桌位带三块隔板，</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学生实验圆凳</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凳面300(直径）*420（高)mm，凳面采用5mm厚PP工程塑料注塑成型；支撑柱采用直径56mm圆钢管，顶端为165*165*2mm钢板，采用全周满焊焊接，用四颗直径10mm的六角螺丝连接凳面，结构牢固，长期使用也不会出现摇晃松散现象；下端满焊五根直径30mm的圆钢管钆扁折弯成虎爪状的凳脚，爪端焊造型螺母，配直径50mm高30mm的工程塑料脚盘，金属材料表面经过防腐氧化处理和纯环氧树脂塑粉高温固化处理，具有较强的耐蚀性及承重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布线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含教学电源国标4㎜*3电线与铺设人工费,超六类网络布线</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nil"/>
              <w:left w:val="nil"/>
              <w:bottom w:val="nil"/>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静电地板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600*600*35mm静电地板，</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平方</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95</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书法教室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教师桌</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尺寸：1500*700*850㎜，材质：采用实木榆木作为原材料。榫铆结构，造型美观，经久耐用；古案几设计，不设课桌抽屉。油漆处理：底层打磨刷底漆，6遍找平点涂处理，表面经过立邦环保漆仿古喷涂，亚光永不退色。  </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书法学生桌</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尺寸：1400*600*720㎜，材质：采用实木榆木作为原材料。榫铆结构，造型美观，经久耐用；古案几设计，不设课桌抽屉。油漆处理：底层打磨刷底漆，6遍找平点涂处理，表面经过立邦环保漆仿古喷涂，亚光永不退色。  </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书法学生凳</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1、规格：400*300*360㎜。</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材质：采用榆木作为原材料。榫铆结构，造型美观，经久耐用；古案几设计，不设课桌抽屉。油漆处理：底层打磨刷底漆，6遍找平点涂处理，表面经过立邦环保漆仿古喷涂，亚光永不退色。  </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器材柜</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200"/>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 寸：1200*410*900mm；：采用16mm厚松木板制作，原木漆三底二面</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水槽台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1500*600*750㎜，全钢结构，带双水，实芯理化板台面水槽内尺寸：430*360*270mm，壁厚5mm，耐强酸强碱耐＜80℃有机溶剂并耐150℃以下高温，带溢水口，配以铜质水嘴。</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笔架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红木</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压木条</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每盒两条</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盒</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砚</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常规</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盒</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纯棉衬布</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1400*600m纯棉</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全室给排水系统改造</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PP-R，φ20、Φ25给排水管，φ50、110、φ75UPVC管。</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书法器材室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器材柜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尺寸：1000mm×500mm×2000mm，1、结构：全铝合金框架，32×32×1.2mm厚铝合金方管柜架，表面经酸砂处理后喷塑，基材采用E1级16mm三聚氰胺环保刨花板芯板，可见截面均采用全自动封边机，2mm厚PVC封边处理。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上下柜门的四个环形拉手组成一圆环造型。柜门采用PP旋转门轴对开门（避免试剂对合页的腐蚀生锈）， 3、隔板：上层3块隔板，下层2块隔板，带升降条，隔板间距可调，16mm厚三聚氰胺刨花板（双贴面），铝合金加强条卡边加固，防止下弯变形。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4、脚垫：采用ABS工程塑料模具成型制作而成，高度可调。</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美术教室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教师演示台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尺寸：1400*600*850㎜，材质：全部采用进口橡胶木原木材料，传统榫卯结构组装，桌面20mm厚，桌脚50*50mm；表面经打磨抛细处理，木材所有表面做环保漆面。</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学生美术桌</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pPr>
              <w:widowControl/>
              <w:jc w:val="left"/>
              <w:textAlignment w:val="bottom"/>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尺寸：1200*600*720㎜，全部采用进口橡胶木原木材料，传统榫卯结构组装，桌面20mm厚，桌脚50*50mm；表面经打磨抛细处理，木材所有表面做环保漆面。</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实木学生凳</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350*250*400，实木方凳材质：全部采用进口橡胶木原木材料，传统榫卯结构组装，桌面20mm厚，桌脚50*50mm；表面经打磨抛细处理，木材所有表面做环保漆面。</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器材柜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 寸：1200*350*900mm；：采用16mm厚松木板制作，原木漆三底二面</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水槽台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1200*600*750㎜，全钢结构，带双水，大理石台面水槽内尺寸：430*360*270mm，壁厚5mm，耐强酸强碱耐＜80℃有机溶剂并耐150℃以下高温，带溢水口，配以铜质水嘴。</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展示功能墙</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尺寸：900×1200*18mm，采用软木板制作，配色活泼大方外边框采用优质橡木，坚固饱满，不断角连接工艺，安全不伤手，</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几何形体写生教具(2)</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材质:200目石膏粉,名称: 球体、四棱锥体、正方体、圆柱体、六棱柱体、长方体、圆锥带圆体、方带方体、多面体、八棱柱体、六棱锥体、圆切体、十二面体、方锥带方体、圆锥体等15种。</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写生静物品</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各类瓜果静物,陶瓷,器皿。</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静物灯</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光源类型:深口灯 光源功率:45 电压:220</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静物台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600*900mm升高度700mm采用優質柳木材料，歐洲款式，表面光滑平整，堅固結實，環保原木色渾水漆；可以根據需要升降調整高度和前傾斜度；滿足繪畫和美術類作業和設計的要求。是制作精良的精品，</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写生画板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60×45(cm)</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工艺制作工具</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符合DB51/T1425-2012要求</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磁钉</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符合DB51/T1425-2012要求</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丁字尺</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符合DB51/T1425-2012要求</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直尺</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符合DB51/T1425-2012要求</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曲线板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符合DB51/T1425-2012要求</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大圆规</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符合DB51/T1425-2012要求</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大三角板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符合DB51/T1425-2012要求</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付</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美术学具盒</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美术挂图</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尺寸：840×597，画纸采用正胶写真。</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层材质为5mm厚无色透明亚克力，四周倒角。背层材质为8mm厚PVC版。四角用不小于12mm*25mm的广告钉固定在墙上。每套挂图5副，内容应适合学生知识水平和理解能力，与学科教学内容相关或科学普及方面。每副挂图的选题适当，主题明确，无科学性错误，以图为主辅以文字。图片清晰美观，文字准确精炼，语句通顺易读，标点使用正确。共5副</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全室给排水系统改造</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PP-R，φ20、Φ25给排水管，φ50UPVC管。</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美术器材室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器材柜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尺寸：1000mm×500mm×2000mm，1、结构：全铝合金框架，32×32×1.2mm厚铝合金方管柜架，表面经酸砂处理后喷塑，基材采用E1级16mm三聚氰胺环保刨花板芯板，可见截面均采用全自动封边机，2mm厚PVC封边处理。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2、柜门：上下柜门框架均采用32*18mm壁厚1.2mm厚的铝合金型材横料、26*18mm壁厚1.2mm厚的铝合金型材立柱，用 ABS转接头进行连接，型材表面均经纯环氧树脂塑粉高温固化处理；上柜门内嵌4mm厚钢化玻璃，下柜门内嵌9mm中密度三聚氰胺饰面板，配以pp材料注塑一次成型的四分之一环形拉手；上下柜门的四个环形拉手组成一圆环造型。柜门采用PP旋转门轴对开门（避免试剂对合页的腐蚀生锈）， 3、隔板：上层3块隔板，下层2块隔板，带升降条，隔板间距可调，16mm厚三聚氰胺刨花板（双贴面），铝合金加强条卡边加固，防止下弯变形。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4、脚垫：采用ABS工程塑料模具成型制作而成，高度可调。</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以上芯板均为E1级环保芯板，甲醛释放量（穿孔萃取法 ）应不大于≤9mg/100g。</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劳技室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主要技术参数及性能</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学生操作台</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组合款式：6人款</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桌子规格：2200*1000*800mm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材质及特点：桌面：台面：采用40mm实松木板精细加工，并经防裂防翘处理,表面采用环保联邦PU全哑清漆烤制，颜色为原木色；搭配钢支架，时尚元素与精致美感的完美结合，看上去即温馨又能给您一种自然与现代的融合享受。桌身：采用30mm*60mm的方钢骨架,模具冲压配已优质的五金件连接,表面经纯环氧树脂塑粉高温固化处理，具防酸碱、防腐蚀、且承重的特点。</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实木学生凳</w:t>
            </w:r>
          </w:p>
        </w:tc>
        <w:tc>
          <w:tcPr>
            <w:tcW w:w="622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尺寸：350*250*400㎜，材质：台面采用板材20mm厚东北松实木板，面板机械打磨，颜色为原木色。台身40*30mm木腿框架樵卯结构。中间带100mm高抽屉</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仪器柜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1000*500*2000铝木结构，1、结构：全铝合金框架，32×32×1.2mm厚铝合金方管柜架，表面经酸砂处理后喷塑；基材采用E1级16mm三聚氰胺环保刨花板芯板，可见截面均采用全自动封边机，2mm厚PVC封边处理。 2、柜门：上部为铝合金门框，5mm厚钢化玻璃对开门，安装锁。下部为16mm厚三聚氰胺刨花板对开门（双贴面），四周PVC封边，圆弧拉手。 3、隔板：上层2块隔板，下层2块隔板，带钢质升降条，隔板间距可调，16mm厚三聚氰胺刨花板（双贴面），铝合金加强条卡边加固，防止下弯变形。 4、脚垫：采用ABS工程塑料模具成型制作而成，高度可调。以上芯板均为E1级环保芯板，甲醛释放量（穿孔萃取法 ）应不大于≤8mg/100g。配ABS塑料脚垫，高低可调。其他各项技术指标和质量要求应符合GB/T 21747-2008《教学实验室设备 实验台(桌)的安全要求及试验方法》</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边台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规格：长度*1200*850mm。2、台面采用18mm橡胶实木指接板，圆角圆边加工，清油喷涂处理。3、柜门及抽屉：采用E1级18mm厚中密度三聚氰胺双饰面板，柜门和抽屉板面三边以铝合金型材包边处理，正面配以铝合金一字拉手，其余断面以优质2mmPVC封边条配进口胶王热熔封边作防水处理。4、主框架和架边：采用60mm*40mm(壁厚2mm)双竖立柱方钢组成的C型,骨架,模具冲压标准化连接件,表面经纯环氧树脂塑粉高温固化处理，具防酸碱、防腐蚀的特点、且承重。5、前后梁：采用2.0mm厚优质冷轧钢板折弯成型为60*40 mm，表面喷涂纯环氧树脂塑粉高温固化处理，耐酸耐腐蚀。6、底柜托梁：采用40*25（壁厚2mm）优质方钢，表面喷涂纯环氧树脂塑粉高温固化处理，耐酸耐腐蚀。7、边柜箱体：采用18mm厚中密度三聚氰胺双饰面板，断面以优质2mmPVC封边条配合进口胶王热熔封边防水防潮处理，专用连接件连接组合紧固。8、以上芯板均为E1级环保芯板，甲醛释放量（穿孔萃取法 ）应不大于≤8mg/100g。配ABS塑料脚垫，高低可调。其他各项技术指标和质量要求应符合GB/T 21747-2008《教学实验室设备 实验台(桌)的安全要求及试验方法》</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15.6</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布线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含日光灯布线，教学电源国标2.5㎜*3电线与铺设人工费</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热风枪</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150*100*135mm，带有3个可替换喷嘴。用于收缩套成型和塑料焊接的焊接和电子元件的拆焊，去除油漆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和清除无腐蚀性化学物质，加速干燥，固化过程和去除薄膜，（标签）的应用。木材的烘干。机身材质由强化玻璃纤维的尼龙制成。舒适且容易抓紧的握把。一个强有力的发热组件确保持久，发热、风力约为120L/分钟。安装了保险电热丝以防止过热。主喷嘴和备用喷嘴使用耐热钢制造。</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额定电压：220 - 240V。功率：≤700W。 双屏led显示，温度：（1）100-480 °C。风力：约120L/分钟。重量：约2500g。</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手工制作</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fldChar w:fldCharType="begin"/>
            </w:r>
            <w:r>
              <w:rPr>
                <w:rFonts w:hint="eastAsia" w:ascii="宋体" w:hAnsi="宋体" w:cs="宋体"/>
                <w:color w:val="000000" w:themeColor="text1"/>
                <w:kern w:val="0"/>
                <w:sz w:val="20"/>
                <w:szCs w:val="20"/>
                <w:highlight w:val="none"/>
                <w:lang w:bidi="ar"/>
                <w14:textFill>
                  <w14:solidFill>
                    <w14:schemeClr w14:val="tx1"/>
                  </w14:solidFill>
                </w14:textFill>
              </w:rPr>
              <w:instrText xml:space="preserve"> HYPERLINK "http://www.prox-tech.cn/Show_Product.asp?Id=368" \o "http://www.prox-tech.cn/Show_Product.asp?Id=368" </w:instrText>
            </w:r>
            <w:r>
              <w:rPr>
                <w:rFonts w:hint="eastAsia" w:ascii="宋体" w:hAnsi="宋体" w:cs="宋体"/>
                <w:color w:val="000000" w:themeColor="text1"/>
                <w:kern w:val="0"/>
                <w:sz w:val="20"/>
                <w:szCs w:val="20"/>
                <w:highlight w:val="none"/>
                <w:lang w:bidi="ar"/>
                <w14:textFill>
                  <w14:solidFill>
                    <w14:schemeClr w14:val="tx1"/>
                  </w14:solidFill>
                </w14:textFill>
              </w:rPr>
              <w:fldChar w:fldCharType="separate"/>
            </w:r>
            <w:r>
              <w:rPr>
                <w:rFonts w:hint="eastAsia" w:ascii="宋体" w:hAnsi="宋体" w:cs="宋体"/>
                <w:color w:val="000000" w:themeColor="text1"/>
                <w:kern w:val="0"/>
                <w:sz w:val="20"/>
                <w:szCs w:val="20"/>
                <w:highlight w:val="none"/>
                <w:lang w:bidi="ar"/>
                <w14:textFill>
                  <w14:solidFill>
                    <w14:schemeClr w14:val="tx1"/>
                  </w14:solidFill>
                </w14:textFill>
              </w:rPr>
              <w:t>微型热熔胶枪</w:t>
            </w:r>
            <w:r>
              <w:rPr>
                <w:rFonts w:hint="eastAsia" w:ascii="宋体" w:hAnsi="宋体" w:cs="宋体"/>
                <w:color w:val="000000" w:themeColor="text1"/>
                <w:kern w:val="0"/>
                <w:sz w:val="20"/>
                <w:szCs w:val="20"/>
                <w:highlight w:val="none"/>
                <w:lang w:bidi="ar"/>
                <w14:textFill>
                  <w14:solidFill>
                    <w14:schemeClr w14:val="tx1"/>
                  </w14:solidFill>
                </w14:textFill>
              </w:rPr>
              <w:fldChar w:fldCharType="end"/>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NL220/快速和可靠的粘合金属，木材，塑料（包括有机玻璃），玻璃，陶瓷，陶器，纸板，皮革，聚苯乙烯泡沫和纺织品。胶合时间约为30秒。在这段时间内可以移动更改粘接位置 (这点不同于速干胶)。  7mm胶棒是用于建筑模型，玩具，珠宝加工，干花粘接等。 机械进给保证正确的出胶量。整体式设计放置架方便不使用时放在工作台面。加热时间短。/额定电压：220 - 240V。PTC温控器精确控制在200ºC。 标准套装中包括四根 7x100mm胶棒和3个可更换的金属胶嘴。</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电热丝切割器</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切割泡沫板</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收纳盒</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H26CM*B32CM *L46CM，透明塑料盒40L。</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剪刀</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钢正尺</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钢直角尺</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曲线锯</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内六方扳手</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圆规</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平锉</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圆锉</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台虎钳</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木工锯</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木工刨</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木工凿</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钢丝钳</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活扳手</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羊角锤</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尖嘴钳</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斜口钳</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烙铁支架</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数字万用表</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焊接支架</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直流电源</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0-30V/0-3A，</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钢锯架</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雕塑刀</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雕刻刀</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划线平台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件</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护目镜</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付</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128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安全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防护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应急药箱</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防护面罩</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128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防尘口罩</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128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防护手套</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128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200" w:firstLineChars="100"/>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灭火器</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28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电磁炉</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烹饪</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平底铁锅</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电饭煲</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碗</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盘子</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汤匙</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把</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筷子</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抹布、洗洁精</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批</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油烟机</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包安装</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液体试剂瓶</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5000毫升，瓶口内侧磨砂</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玻璃器材</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直筒型量筒</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1000毫升</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水银温度计</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支</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水浴恒温管</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养殖热带鱼使用</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支</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酒精灯</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常用</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盏</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打火机</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一次性</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玻璃管</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外径5-6毫米</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硅胶管</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内径4-5毫米</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橡皮塞</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22号</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链接器材</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打孔机</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橡皮圆锉刀</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把</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水槽</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洗涤用</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洗涤用器材</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塑料桶</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脸盆</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hint="eastAsia" w:ascii="宋体" w:hAnsi="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托盘天平</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200克、500克各25台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质量测量</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电子秤</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30千克</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小磅秤</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100-200千克</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花盆</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口径20-30厘米</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种花器材</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花棚铲子</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柄长30-40里面</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把</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28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柜式空调</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3匹柜式空调，能耗3级</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全室给排水系统改造</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PP-R，φ20、Φ25给排水管，φ50、110、φ75UPVC管。</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室</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舞蹈室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62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规格及技术参数</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鞋柜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1、900×25×850mm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2、材质：实木材质，五层，带一抽屉，可放25双左右</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舞蹈扶手</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尺寸：长2000*高800-1200，</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正宗水曲柳木内镶十二锰碳钢弹簧钢芯，外层聚酯清漆处理，漆面光而不滑，握杆恒温舒适，不易磨损皮肤，不易折断，结实耐用立柱直径50mm国标不锈钢，升降杆为镀锌钢管，底盘采用环保树脂ABS大底座</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五毫米厚度高清防水银镜，高2m，与采光墙垂直的一面墙满墙安装，压边采用实木条</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平方</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舞蹈地板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实木强化地板，EI级</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平方</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体操垫</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1850*900*100，优质PU+珍珠棉，防滑。</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全频主音箱</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系统类型：10英寸，2分频，低频反射式</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频率范围(-10 dB)1：50 Hz - 20 KHz</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频率响应(±3 dB)1：58 Hz - 20 KH</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灵敏度(1w/1m)1：95 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额定阻抗：8 Ohms</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声压级输出：124 dB(峰值:129 dB)</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额定输入功率2：350 W/700 W/1000 W (连续/音乐信号/峰值)</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覆盖角：70° x 90°(H x V)</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外型尺寸(H x W x D)：530 mm x 310 mm x 340 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21.0英寸 x 11.8英寸 x 13.4英寸</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净重：17 Kg(37.6磅)</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低音单元：1个10英寸低音喇叭，2.5英寸音圈，铁氧体磁钢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高音单元：1个压缩高音喇叭，1.35英寸音圈，</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输入连接器：2个Neutrik® Speakon® NL4MP</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箱体结构：梯形，15 mm厚夹板</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只</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全频功放</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采用高性能环形变压器每声道各自独立供电，使失真和串音都减到最低，功率管和散热器直接紧固，降低热阻，功率管工作在更安全的区域，大大提高了机器可靠耐用。XLR输入插座，SPKON输出插座和接线柱，可方便选择三种工作模式：立体声、桥接、并接，可适应各种场合的应用.8欧立体声功率600W+600W,4欧立体声功率900W+900W.2U高度.</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调音台</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话筒：6 频响：+0.5dB/-0.5dB（20Hz-20kHz） 总谐波失真：0.03%@+14dBu（20 Hz-20kHz） 输入通道：12通道：单声道：4；立体声：4 输出通道：STEREO OUT：2；PHONES：1 母线：立体声：1；编组：2，AUX 电平表：2x12 - 点距LED电平表[PEAK，+10，+6，+3，0，-3，-6，-10，-15，-20，-25，-30dB] 幻象电源电压：+48V 功率要求：AC 100-240V，50/60Hz 外观尺寸：308×118×422mm 功耗：22W 操作温度：0-40℃ 净重：2.1kg</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无线手持话筒</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1.PLL数字锁相环多信道频率合成技术，提供多达400个精选的工作通道，方便多套机器同时使用，轻松避开各类干扰。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2.采用红外线频率同步技术，发射器的工作频率通过红外线信号自动和接收机同步，信号稳定、抗干扰能力强。</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3.会议咪发射器带绿色显示器,能直观有效显示工作状态。</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4.稳定的音频电路,使麦克风的声音传真度高,音质清晰。</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5.底座设有静音设计,使用方便快捷。</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护套音箱线</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外皮材质：高环保PVC  塑胶，环保防腐蚀 耐油 耐酸碱 耐用。</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内缘绝：航天聚乙烯，防干扰提升传输率长度：采用精密喷码机，长度精确；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正负极：双向通道 双向传输 无需区分正负极，只需2边对应接。</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米</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50</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设备机柜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材料】：9MM夹板外贴PVC，全新重型五金件，铝合金包边，4个三寸工业轮（两个固定轮，两个万向轮）；拉手（4个）</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【规格】：50*50*83.5cm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【重量】：18KG</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【包装】：散包装（方便运输，降低成本），组装非常简单。</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【产品介绍】：可放置功放、话筒接收器、前级效果器、CD机、点歌机、调音台等多种专业音视频设备，适用于KTV包房、歌厅、会议室、舞台演出等场合使用，使您的音频工作室瞬间变得简单整洁。</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设备安装配件</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联接件，信号线 音响托架等</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批</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lang w:bidi="ar"/>
                <w14:textFill>
                  <w14:solidFill>
                    <w14:schemeClr w14:val="tx1"/>
                  </w14:solidFill>
                </w14:textFill>
              </w:rPr>
              <w:t>心理咨询室</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内  容</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技术参数</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Layout w:type="fixed"/>
          <w:tblCellMar>
            <w:top w:w="0" w:type="dxa"/>
            <w:left w:w="0" w:type="dxa"/>
            <w:bottom w:w="0" w:type="dxa"/>
            <w:right w:w="0" w:type="dxa"/>
          </w:tblCellMar>
        </w:tblPrEx>
        <w:trPr>
          <w:trHeight w:val="57" w:hRule="atLeast"/>
        </w:trPr>
        <w:tc>
          <w:tcPr>
            <w:tcW w:w="9776"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测量区</w:t>
            </w: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★MS心理测评系统V6.0(中学版)现场演示</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系统包含：量表清单、快速使用指南、量表指导手册、软件安装工具、软件加密工具。 2. 运行环境：采用B/S模式，即浏览器和服务器的结构方式运行，系统可满足于单机、局域网等多种环境。 3. 为符合心理测评的保密原则，系统须配备独立的专用硬件加密狗，避免隐私泄露风险。 4. 数据共享与安全：系统具有数据（账号数据及测评数据）备份、还原功能，确保数据的安全性。 5. 系统须包含信息管理中心、心理测评中心、咨询预约中心、数据管理中心等模块。 6. 系统可以智能分级管理，满足不同管理需要。管理员账号可根据实际需要，设置班级权限、学生信息权限、报告模板设置权限、心理量表设置权限、测评报告管理权限、心理预警权限、咨询预约权限、数据管理权限等。 7. 系统须提供入学测试、心理健康快速筛查、危机诊断、家庭关系等不同情境下的组合测量包。 8. 系统自动生成个体与团体测评报告，组合测量包须自动生成一份复合报告，可自定义团体并快速生成团体心理分析报告。报告内容包括文字描述及统计图表等，解读直观、具有参考性的指导建议。 9. 系统可以以年级、班级、性别等为关键词进行横向与纵向比较分析。 10. 系统提供原始测验数据导出。导出的数据可以导入Excel常规表格汇总和输出直观图形，也可导入SPSS等专业的心理统计软件中进行更深入的分析。 11. 系统具有自动筛选测验异常结果，并根据结果智能划分预警等级，及时发现识别危机因素，便于及时跟踪处理，制定相关干预措施，防止危机爆发。 12. 量表可导出为电子文档，直接进行打印，适应特殊环境的纸质测试需要。并支持纸笔问卷数据文件导入系统。 13. 系统提供自定义添加问卷功能，定制个性化问卷，并可根据需求添加评分方法及报告格式。 14. 支持在线预约咨询服务，方便快捷的同时，有效的确保用户隐私安全。 15. 系统可以批量导入学生信息，也可以手工添加学生信息，建立学生心理档案。 16. 由心理学知名院校提供量表专题培训，培训时间不少于16课时。 ★17. 系统包含64个国内外权威量表。涵盖智力类、学业类、职业类、人格类、人际关系类、环境适应类、心理健康类、情绪类、意志力类、婚姻与家庭类、幼儿类、能力类等十二大类。 ★18. 系统必须包含：卡特尔联合型测评(CCT)、学习适应性测验(AAT)（小学一年级~高中）、提高学习能力因素诊断测验(FAT)（小学一年级~高中）、学习动机测验(MAAT)、注意力测验(AT)、5种自我状态人格测验(5ESPT)、心理健康诊断测验（CAS）、心理健康诊断测验（GHQ）、中小学生心理健康诊断测验（MHT）、问题行为早期发现测验（PPCT）、亲子关系测验(PCRT)等量表 19、 产品资质： 1) 软件著作权登记证书； 2) 核心量表作品登记证书； 3) 省部级以上心理学会鉴定证书； 4) 省部级以上心理学会科学技术成果鉴定证书；（核心量表） 5) 心理学知名院校开具的提供培训证明文件； 6) 核心量表修订证明。</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智能型 逻辑思维仪</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 主要功能： 1） 该仪器是一种用来测量、训练思维能力的心理学仪器； 2） 了解个体掌握简单和复杂空间位置概念的能力，评估个体运用策略解决问题的能力；培养个体的动手能力和探索精神； 3） ★包含河内塔和叶克斯两种逻辑思维的测试项目。 2、 技术参数： 1） ★叶克斯选择器：由12个按键配以12盏相应指示灯对偶排列成两行；刺激光源：12；应答按键：12 2） 河内塔：包含组件为七个圆盘和三根立柱； a. 圆盘规格ф35-83；从大到小共7个，操作者可自主选择圆盘个数，设置测试难度； b. 立柱Φ8mm，高度：100mm； c. ★圆盘与立柱配套，运用电子传感器实时记录和显示被试的圆盘搬移位置及过程，磁性识别圆盘大小叠放次序；即时检测是否违规操作。 3）两项测试项目均可分为6个层次、等级的操作，自动检测操作者能够胜任的等级。 4）★配套专业指导教材《心理学仪器在中小学教育中的应用》（郭秀艳编著，华东师范大学出版社出版） 5）三大部分构成：左侧测试区、右侧控制区（包括液晶触摸显示屏、微型扬声器等）、底盘。测试区与控制区一体化设计，便于仪器存储与操作。 6）右侧控制区为彩色液晶触摸屏操作，具有学号输入、操作提示、结果呈现等功能；屏幕下方内置微型扬声器，与显示屏同步播放语音指导以及其他声音信号提示； a. 仪器具有存储功能，可存10000条信息（测试名单及测试数据），输入学号自动显示姓名； b. 文字提示结合语音指导，无需主试，个体可独立操作； c. 实时呈现结果数据，无需连接电脑，来访者即可看到自己的当前操作结果，直接快速了解自己的心理特点； 7）底盘右侧面装有耳机插孔，操作时可选择插入耳机避免相互影响； 8）★USB标准接口，可通过U盘，实现名单导入、数据导出等功能； 必须有以下资质证书： ISO9000国际质量标准认证 职业健康安全管理体系认证 环境管理体系认证 省部级及以上检测机构颁发的“检测报告” 省部级及以上检测机构颁发的“鉴定证书” 省部级及以上心理协会颁发的产品专业性鉴定证书 省部级及以上心理协会颁发的科学技术成果表 中国教育装备行业协会颁发的推荐产品证书 CPU软件著作权 软件著作权登记证书 国际发明展览会获奖证书 ★为演示项目</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团体心理辅导活动器材箱(2箱)</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内容：①产品活动包括认识自我、学会学习、人际交往、情绪调适、升学择业以及生活和社会适应六大主题；②活动数量：六个主题，每个主题不少于5个活动，总活动方案不少于60个。每个活动均详细说明活动的设计理念、活动目标、心理学依据、活动所需道具、活动过程及所需注意的事项；③活动道具：产品提供所有活动中至少38个的配套道具。道具包含模拟生活类、创意玩具类、心理文具类、辅助教案类、心理影音类、教育卡片类六大类，共提供道具不少于700件；④每个活动所提供的道具至少同时满足40人参与。</w:t>
            </w:r>
          </w:p>
          <w:p>
            <w:pPr>
              <w:widowControl/>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2.功能：团体情境下借助团体游戏活动促进团体成员的互动交流，帮助学生获得成长。</w:t>
            </w:r>
          </w:p>
          <w:p>
            <w:pPr>
              <w:widowControl/>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3.*资质要求：提供产品说明书；正式出版的配套指导书籍；配套教学视频指导光盘，不少于6课；不少于六大主题的相关活动材料清单。</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团体三角桌（乳白21张，瓷土黄21张）</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规格：700*610*600~780mm;高度可调,每档30mm，共6档。</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【1】台面：采用25mm厚中密度三聚氰胺饰面板，四周包边处理；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桌腿:采用3mm厚冲压成型的铁板和直径50mm壁厚1.5mm的钢管焊接而成，内置直径40mm壁厚1.5mm并钻了10对调节孔的钢管，配合可调节塑料片可以调节桌腿高度；表面环氧树脂高压静电粉末喷涂，具有较强的耐腐蚀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【3】可调节塑料片：采用两瓣合并上下移动的可调节结构方式，用高强度的ABS材料，塑料注塑模一次性成型，具有较强的耐蚀性及承重性。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【4】固定螺栓：内六角不锈钢螺栓</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【5】多功能可调地脚：高度螺旋调节，采用高强度的尼龙材料，塑料注塑模一次性成型，具有较强的耐蚀性及承重性。</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36</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12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团体学生实验圆凳</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凳面300(直径）*420（高)mm，凳面采用5mm厚PP工程塑料注塑成型；支撑柱采用直径56mm圆钢管，顶端为165*165*2mm钢板，采用全周满焊焊接，用四颗直径10mm的六角螺丝连接凳面，结构牢固，长期使用也不会出现摇晃松散现象；下端直径30mm的铝合金压铸成虎爪状的凳脚（不允许使用铁管焊接），爪端焊造型螺母，配直径50mm高30mm的工程塑料脚盘，金属材料表面经过防腐氧化处理和纯环氧树脂塑粉高温固化处理，具有较强的耐蚀性及承重性。凳面颜色瓷土黄</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36</w:t>
            </w:r>
          </w:p>
        </w:tc>
        <w:tc>
          <w:tcPr>
            <w:tcW w:w="4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沙盘</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 主要功能： 1) 开展沙盘游戏治疗工作，引导学生进行自我认知调节，引发学生的自愈之力； 2) 开发学生的创造潜能，训练学生的语言表达能力与想象力； 3) 通过非言语的交流与自由的游戏氛围，促进咨询效果，特别适用于内向、不善表达或者对咨询带有阻抗情绪的学生。 2、 技术参数：沙箱及放置架、沙子、沙具、沙盘管理软件、指导材料等六部分 1) 沙箱1个，内径尺寸720*570*70mm，外侧为木本色，内侧为蓝色 2) 沙箱放置架1个 3) 沙子：白色石英砂，颗粒光滑、大小均匀、高温消毒 4) 沙具：1000种，造型接近于现实之物。包括人形、动物、树木、花草、各种车船、飞行物、建筑物、桥、栏杆、石头、怪兽等 5) 沙盘档案管理软件：保存沙盘游戏过程的图片及视频资料，记录咨询师的分析评估文字，以便建立学生沙盘作业档案； 6) 指导材料：光盘资料，包括沙盘游戏治疗的意义、基本原理、操作说明、案例分析等文献资料，另配专业书籍1本（正式出版） 7) 附赠沙刷、沙耙、沙具篮各1个 8）意向词典1本 必须有以下资质证书： ISO9000国际质量标准认证 职业健康安全管理体系认证 环境管理体系认证 省部级以上心理学会颁发的专业认可鉴定证书 省部级以上心理学会颁发的科学技术成果表 沙盘板材检测报告 </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沙具柜</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存放沙具，1500*800*350mm，带遮尘帘。</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r>
        <w:tblPrEx>
          <w:tblLayout w:type="fixed"/>
          <w:tblCellMar>
            <w:top w:w="0" w:type="dxa"/>
            <w:left w:w="0" w:type="dxa"/>
            <w:bottom w:w="0" w:type="dxa"/>
            <w:right w:w="0" w:type="dxa"/>
          </w:tblCellMar>
        </w:tblPrEx>
        <w:trPr>
          <w:trHeight w:val="57" w:hRule="atLeast"/>
        </w:trPr>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音乐放松椅</w:t>
            </w:r>
          </w:p>
        </w:tc>
        <w:tc>
          <w:tcPr>
            <w:tcW w:w="6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1.▲产品资质：通过ISO9001国际质量标准认证、ISO4001环境管理体系认证及OHSAS职业健康安全管理体系认证。</w:t>
            </w:r>
          </w:p>
          <w:p>
            <w:pPr>
              <w:widowControl/>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产品定义：系统提供了丰富的放松资源，充分调用听觉、视觉、动觉和触觉等多种通道，通过音乐、图片、电影、视频等媒介影响人的心理和生理状况，借助音乐引导、自我暗示、放松训练等方法来调解人的情绪和行为，最终达到身心和谐统一的状态。</w:t>
            </w:r>
          </w:p>
          <w:p>
            <w:pPr>
              <w:widowControl/>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音乐放松椅1台：①放松椅椅背升起时105cm时起时供了丰富的放松资源；椅背平展时212cm时起时供了丰富的放松资。符合人体工程学设计的外观，内置独立电动、超静音电机，可分别调节背部和腿部升降，调节范围为90度到180度；外面料为皮革材质，内填充高质量的舒适海绵，杉木框架构造。</w:t>
            </w:r>
          </w:p>
          <w:p>
            <w:pPr>
              <w:widowControl/>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②内置式无线蓝牙音箱210*210*190mm，传输功率42W，频率响应45Hz～20KHz；采用9mm中密度纯木箱体，有效减少了谐振和箱声；采用A2DP传输音频信号，最大传输距离大于10米；配备两台4英寸全频喇叭，电能转化率高达93%；可直接连接电脑及手机、MP3/P4、LD、TV等具备音频传输的装备。</w:t>
            </w:r>
          </w:p>
          <w:p>
            <w:pPr>
              <w:widowControl/>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4.数字播放系统：①10.6英寸视网膜IPS屏，1920*1080分辨率，Windows10操作系统，支持音乐、图片、电影等格式文件，支持内存无限扩展；2G系统内存，3736F 64位处理器，最高睿频2.16GHz处理速度，支持蓝牙4.0；8.2mm轻薄的金属机身设计，8000MAh聚能锂电池，可实现8小时的综合使用续航。</w:t>
            </w:r>
          </w:p>
          <w:p>
            <w:pPr>
              <w:widowControl/>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②封闭式重低音立体声耳机，带麦克风。</w:t>
            </w:r>
          </w:p>
          <w:p>
            <w:pPr>
              <w:widowControl/>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③显示器借助支架与身心放松椅结合；显示器支架材质为高强度铝合金及高强度工程塑料；仿人体手臂结构，可360显调节。</w:t>
            </w:r>
          </w:p>
          <w:p>
            <w:pPr>
              <w:widowControl/>
              <w:textAlignment w:val="center"/>
              <w:rPr>
                <w:rFonts w:hint="eastAsia" w:ascii="宋体" w:hAnsi="宋体" w:cs="宋体"/>
                <w:color w:val="000000" w:themeColor="text1"/>
                <w:kern w:val="0"/>
                <w:sz w:val="20"/>
                <w:szCs w:val="20"/>
                <w:highlight w:val="none"/>
                <w:lang w:bidi="ar"/>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身心放松系统1套：系统包含专业、丰富的心理放松资源，可分为心理放松音乐、心理放松图片和心理电影三个模块。内置包含专业减压、放松、冥想催眠系列和其他健康音乐在内的音乐包，总时长达近600分钟；内置高山原野、寂静山林、蓝色天际、迷雾森林、日出日落、琉璃湖畔、日光海岸、可爱动物等八大系列的减压和放松图片包，每类不少于50张；内置各种心理类影片，共10部。</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4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128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cs="宋体"/>
                <w:color w:val="000000" w:themeColor="text1"/>
                <w:sz w:val="20"/>
                <w:szCs w:val="20"/>
                <w:highlight w:val="none"/>
                <w14:textFill>
                  <w14:solidFill>
                    <w14:schemeClr w14:val="tx1"/>
                  </w14:solidFill>
                </w14:textFill>
              </w:rPr>
            </w:pPr>
          </w:p>
        </w:tc>
      </w:tr>
    </w:tbl>
    <w:p>
      <w:pPr>
        <w:keepNext w:val="0"/>
        <w:keepLines w:val="0"/>
        <w:pageBreakBefore w:val="0"/>
        <w:kinsoku/>
        <w:wordWrap/>
        <w:overflowPunct/>
        <w:topLinePunct w:val="0"/>
        <w:bidi w:val="0"/>
        <w:snapToGrid w:val="0"/>
        <w:spacing w:line="400" w:lineRule="exact"/>
        <w:rPr>
          <w:rFonts w:hint="eastAsia" w:ascii="宋体" w:hAnsi="宋体" w:eastAsia="宋体" w:cs="宋体"/>
          <w:b/>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bidi w:val="0"/>
        <w:snapToGrid w:val="0"/>
        <w:spacing w:line="400" w:lineRule="exac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三、商务条款</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2" w:firstLineChars="200"/>
        <w:textAlignment w:val="bottom"/>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1、售后服务保障要求</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（1）、所有设备均提供</w:t>
      </w:r>
      <w:r>
        <w:rPr>
          <w:rFonts w:hint="eastAsia" w:ascii="宋体" w:hAnsi="宋体" w:cs="宋体"/>
          <w:color w:val="000000" w:themeColor="text1"/>
          <w:sz w:val="24"/>
          <w:szCs w:val="24"/>
          <w:highlight w:val="none"/>
          <w:lang w:val="en-US" w:eastAsia="zh-CN"/>
          <w14:textFill>
            <w14:solidFill>
              <w14:schemeClr w14:val="tx1"/>
            </w14:solidFill>
          </w14:textFill>
        </w:rPr>
        <w:t>不少于</w:t>
      </w:r>
      <w:r>
        <w:rPr>
          <w:rFonts w:hint="eastAsia" w:ascii="宋体" w:hAnsi="宋体" w:eastAsia="宋体" w:cs="宋体"/>
          <w:color w:val="000000" w:themeColor="text1"/>
          <w:sz w:val="24"/>
          <w:szCs w:val="24"/>
          <w:highlight w:val="none"/>
          <w14:textFill>
            <w14:solidFill>
              <w14:schemeClr w14:val="tx1"/>
            </w14:solidFill>
          </w14:textFill>
        </w:rPr>
        <w:t>二年免费质保。保质期内因不能排除的故障而影响工作的情况每发生一次，其质保期相应延长 60 天，保质期内因设备本身缺陷造成各种故障应由卖方免费技术服务和维修。提供 24 小时售后免费现场技术支持服务，包括故障排除、性能调优、技术咨询等。在设备出现故障的情况下，保证到现场服务响应时间小于1小时，若24小时内不能修复的，应及时提供相应备用设备并负责安装调试。按照上述要求，质保到期后，一次性退还质保押金。</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（2）、对本标项所含软件（和平台）提供终身使用及免费升级服务。</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（3）、项目硬件设备提供终身保修服务，保质期外只收取成本费。</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（4）、投标商有完善售后服务体系，有本地协作单位（如有需提供有效合作协议）。</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2" w:firstLineChars="200"/>
        <w:textAlignment w:val="bottom"/>
        <w:rPr>
          <w:rFonts w:hint="eastAsia" w:ascii="宋体" w:hAnsi="宋体" w:eastAsia="宋体" w:cs="宋体"/>
          <w:b/>
          <w:snapToGrid w:val="0"/>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sz w:val="24"/>
          <w:szCs w:val="24"/>
          <w:highlight w:val="none"/>
          <w14:textFill>
            <w14:solidFill>
              <w14:schemeClr w14:val="tx1"/>
            </w14:solidFill>
          </w14:textFill>
        </w:rPr>
        <w:t>2、本地化服务要求：</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0" w:firstLineChars="200"/>
        <w:textAlignment w:val="bottom"/>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（1）、配合安装、调试；</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0" w:firstLineChars="200"/>
        <w:textAlignment w:val="bottom"/>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（2）、负责本地服务响应、保管备品/备件、上门更换备品/备件；</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0" w:firstLineChars="200"/>
        <w:textAlignment w:val="bottom"/>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（3）、配合上门巡检、维护、保养。</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2" w:firstLineChars="200"/>
        <w:textAlignment w:val="bottom"/>
        <w:rPr>
          <w:rFonts w:hint="eastAsia" w:ascii="宋体" w:hAnsi="宋体" w:eastAsia="宋体" w:cs="宋体"/>
          <w:b/>
          <w:snapToGrid w:val="0"/>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sz w:val="24"/>
          <w:szCs w:val="24"/>
          <w:highlight w:val="none"/>
          <w14:textFill>
            <w14:solidFill>
              <w14:schemeClr w14:val="tx1"/>
            </w14:solidFill>
          </w14:textFill>
        </w:rPr>
        <w:t>3、备品备件及耗材等要求</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0" w:firstLineChars="200"/>
        <w:textAlignment w:val="bottom"/>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提供一年正常使用耗材和周期更换备品备件。</w:t>
      </w:r>
    </w:p>
    <w:p>
      <w:pPr>
        <w:pStyle w:val="6"/>
        <w:keepNext w:val="0"/>
        <w:keepLines w:val="0"/>
        <w:pageBreakBefore w:val="0"/>
        <w:kinsoku/>
        <w:wordWrap/>
        <w:overflowPunct/>
        <w:topLinePunct w:val="0"/>
        <w:bidi w:val="0"/>
        <w:adjustRightInd w:val="0"/>
        <w:snapToGrid w:val="0"/>
        <w:spacing w:line="400" w:lineRule="exact"/>
        <w:ind w:firstLine="44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交货时间、地点和方式</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（1）、完工期：按采购人要求30天内完成所有设备安装并完成验收。</w:t>
      </w:r>
    </w:p>
    <w:p>
      <w:pPr>
        <w:keepNext w:val="0"/>
        <w:keepLines w:val="0"/>
        <w:pageBreakBefore w:val="0"/>
        <w:widowControl/>
        <w:kinsoku/>
        <w:wordWrap/>
        <w:overflowPunct/>
        <w:topLinePunct w:val="0"/>
        <w:autoSpaceDE w:val="0"/>
        <w:autoSpaceDN w:val="0"/>
        <w:bidi w:val="0"/>
        <w:adjustRightInd w:val="0"/>
        <w:snapToGrid w:val="0"/>
        <w:spacing w:line="400" w:lineRule="exact"/>
        <w:ind w:firstLine="480" w:firstLineChars="200"/>
        <w:textAlignment w:val="bottom"/>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（2）、所有中标设备必须原包装运送到学校（详见附件），原包装内均需有生产厂商标识、装箱清单、使用说明书、质保卡、联系方式等。</w:t>
      </w:r>
    </w:p>
    <w:p>
      <w:pPr>
        <w:pStyle w:val="6"/>
        <w:keepNext w:val="0"/>
        <w:keepLines w:val="0"/>
        <w:pageBreakBefore w:val="0"/>
        <w:kinsoku/>
        <w:wordWrap/>
        <w:overflowPunct/>
        <w:topLinePunct w:val="0"/>
        <w:bidi w:val="0"/>
        <w:adjustRightInd w:val="0"/>
        <w:snapToGrid w:val="0"/>
        <w:spacing w:line="400" w:lineRule="exact"/>
        <w:ind w:firstLine="44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5、付款方式</w:t>
      </w:r>
    </w:p>
    <w:p>
      <w:pPr>
        <w:pStyle w:val="6"/>
        <w:keepNext w:val="0"/>
        <w:keepLines w:val="0"/>
        <w:pageBreakBefore w:val="0"/>
        <w:kinsoku/>
        <w:wordWrap/>
        <w:overflowPunct/>
        <w:topLinePunct w:val="0"/>
        <w:bidi w:val="0"/>
        <w:adjustRightInd w:val="0"/>
        <w:snapToGrid w:val="0"/>
        <w:spacing w:line="400" w:lineRule="exact"/>
        <w:ind w:firstLine="44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在合同签订前中标供应商应提供合同总金额5%的履约保证金，实验室安装调试完成并验收合格后15个工作日内一次性支付合同金额，履约保证金自动转为质量保证金，质保金待质保期</w:t>
      </w:r>
      <w:r>
        <w:rPr>
          <w:rFonts w:hint="eastAsia" w:ascii="宋体" w:hAnsi="宋体" w:cs="宋体"/>
          <w:b/>
          <w:color w:val="000000" w:themeColor="text1"/>
          <w:sz w:val="24"/>
          <w:szCs w:val="24"/>
          <w:highlight w:val="none"/>
          <w:lang w:val="en-US" w:eastAsia="zh-CN"/>
          <w14:textFill>
            <w14:solidFill>
              <w14:schemeClr w14:val="tx1"/>
            </w14:solidFill>
          </w14:textFill>
        </w:rPr>
        <w:t>两年</w:t>
      </w:r>
      <w:r>
        <w:rPr>
          <w:rFonts w:hint="eastAsia" w:ascii="宋体" w:hAnsi="宋体" w:eastAsia="宋体" w:cs="宋体"/>
          <w:b/>
          <w:color w:val="000000" w:themeColor="text1"/>
          <w:sz w:val="24"/>
          <w:szCs w:val="24"/>
          <w:highlight w:val="none"/>
          <w14:textFill>
            <w14:solidFill>
              <w14:schemeClr w14:val="tx1"/>
            </w14:solidFill>
          </w14:textFill>
        </w:rPr>
        <w:t>结束后无质量问题一次性退还。</w:t>
      </w:r>
    </w:p>
    <w:p>
      <w:pPr>
        <w:pStyle w:val="6"/>
        <w:keepNext w:val="0"/>
        <w:keepLines w:val="0"/>
        <w:pageBreakBefore w:val="0"/>
        <w:kinsoku/>
        <w:wordWrap/>
        <w:overflowPunct/>
        <w:topLinePunct w:val="0"/>
        <w:bidi w:val="0"/>
        <w:adjustRightInd w:val="0"/>
        <w:snapToGrid w:val="0"/>
        <w:spacing w:line="400" w:lineRule="exact"/>
        <w:ind w:firstLine="44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6.培训</w:t>
      </w:r>
    </w:p>
    <w:p>
      <w:pPr>
        <w:keepNext w:val="0"/>
        <w:keepLines w:val="0"/>
        <w:pageBreakBefore w:val="0"/>
        <w:tabs>
          <w:tab w:val="left" w:pos="1440"/>
        </w:tabs>
        <w:kinsoku/>
        <w:wordWrap/>
        <w:overflowPunct/>
        <w:topLinePunct w:val="0"/>
        <w:bidi w:val="0"/>
        <w:snapToGrid w:val="0"/>
        <w:spacing w:line="4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（1）、免费提供完成设备安装学校设备使用人员培训。</w:t>
      </w:r>
    </w:p>
    <w:p>
      <w:pPr>
        <w:keepNext w:val="0"/>
        <w:keepLines w:val="0"/>
        <w:pageBreakBefore w:val="0"/>
        <w:tabs>
          <w:tab w:val="left" w:pos="1440"/>
        </w:tabs>
        <w:kinsoku/>
        <w:wordWrap/>
        <w:overflowPunct/>
        <w:topLinePunct w:val="0"/>
        <w:bidi w:val="0"/>
        <w:snapToGrid w:val="0"/>
        <w:spacing w:line="4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（3）、投标方应提供相应的培训计划，详细说明培训方式、内容。</w:t>
      </w:r>
    </w:p>
    <w:p>
      <w:pPr>
        <w:keepNext w:val="0"/>
        <w:keepLines w:val="0"/>
        <w:pageBreakBefore w:val="0"/>
        <w:kinsoku/>
        <w:wordWrap/>
        <w:overflowPunct/>
        <w:topLinePunct w:val="0"/>
        <w:bidi w:val="0"/>
        <w:adjustRightInd w:val="0"/>
        <w:snapToGrid w:val="0"/>
        <w:spacing w:line="400" w:lineRule="exact"/>
        <w:ind w:firstLine="482" w:firstLineChars="200"/>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六、工作范围</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bidi w:val="0"/>
        <w:adjustRightInd w:val="0"/>
        <w:snapToGrid w:val="0"/>
        <w:spacing w:line="4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根据招标文件，各供应商须按国家有关标准及规范完成下列工作：</w:t>
      </w:r>
    </w:p>
    <w:p>
      <w:pPr>
        <w:keepNext w:val="0"/>
        <w:keepLines w:val="0"/>
        <w:pageBreakBefore w:val="0"/>
        <w:tabs>
          <w:tab w:val="left" w:pos="1740"/>
        </w:tabs>
        <w:kinsoku/>
        <w:wordWrap/>
        <w:overflowPunct/>
        <w:topLinePunct w:val="0"/>
        <w:bidi w:val="0"/>
        <w:adjustRightInd w:val="0"/>
        <w:snapToGrid w:val="0"/>
        <w:spacing w:line="4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1.提供完整的服务</w:t>
      </w:r>
    </w:p>
    <w:p>
      <w:pPr>
        <w:keepNext w:val="0"/>
        <w:keepLines w:val="0"/>
        <w:pageBreakBefore w:val="0"/>
        <w:kinsoku/>
        <w:wordWrap/>
        <w:overflowPunct/>
        <w:topLinePunct w:val="0"/>
        <w:bidi w:val="0"/>
        <w:adjustRightInd w:val="0"/>
        <w:snapToGrid w:val="0"/>
        <w:spacing w:line="4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2.成果通过验收；</w:t>
      </w:r>
    </w:p>
    <w:p>
      <w:pPr>
        <w:keepNext w:val="0"/>
        <w:keepLines w:val="0"/>
        <w:pageBreakBefore w:val="0"/>
        <w:tabs>
          <w:tab w:val="left" w:pos="1740"/>
        </w:tabs>
        <w:kinsoku/>
        <w:wordWrap/>
        <w:overflowPunct/>
        <w:topLinePunct w:val="0"/>
        <w:bidi w:val="0"/>
        <w:adjustRightInd w:val="0"/>
        <w:snapToGrid w:val="0"/>
        <w:spacing w:line="4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3.完成各项调试、检验、测试工作，并在采购人的配合下通过的验收；提供各种数据资料；直至通过验收。包括所涉及的软硬件系统调整、配置和调试、维护。</w:t>
      </w:r>
    </w:p>
    <w:p>
      <w:pPr>
        <w:keepNext w:val="0"/>
        <w:keepLines w:val="0"/>
        <w:pageBreakBefore w:val="0"/>
        <w:kinsoku/>
        <w:wordWrap/>
        <w:overflowPunct/>
        <w:topLinePunct w:val="0"/>
        <w:bidi w:val="0"/>
        <w:adjustRightInd w:val="0"/>
        <w:snapToGrid w:val="0"/>
        <w:spacing w:line="4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4.对最终使用单位的操作人员及维修人员进行技术培训；</w:t>
      </w:r>
    </w:p>
    <w:p>
      <w:pPr>
        <w:keepNext w:val="0"/>
        <w:keepLines w:val="0"/>
        <w:pageBreakBefore w:val="0"/>
        <w:kinsoku/>
        <w:wordWrap/>
        <w:overflowPunct/>
        <w:topLinePunct w:val="0"/>
        <w:bidi w:val="0"/>
        <w:adjustRightInd w:val="0"/>
        <w:snapToGrid w:val="0"/>
        <w:spacing w:line="4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5.质保期内系统的维保、维修及质保期后终身维修；</w:t>
      </w:r>
    </w:p>
    <w:p>
      <w:pPr>
        <w:keepNext w:val="0"/>
        <w:keepLines w:val="0"/>
        <w:pageBreakBefore w:val="0"/>
        <w:kinsoku/>
        <w:wordWrap/>
        <w:overflowPunct/>
        <w:topLinePunct w:val="0"/>
        <w:bidi w:val="0"/>
        <w:adjustRightInd w:val="0"/>
        <w:snapToGrid w:val="0"/>
        <w:spacing w:line="4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6.售后服务的措施及承诺。</w:t>
      </w:r>
    </w:p>
    <w:p>
      <w:pPr>
        <w:keepNext w:val="0"/>
        <w:keepLines w:val="0"/>
        <w:pageBreakBefore w:val="0"/>
        <w:tabs>
          <w:tab w:val="left" w:pos="400"/>
        </w:tabs>
        <w:kinsoku/>
        <w:wordWrap/>
        <w:overflowPunct/>
        <w:topLinePunct w:val="0"/>
        <w:bidi w:val="0"/>
        <w:adjustRightInd w:val="0"/>
        <w:snapToGrid w:val="0"/>
        <w:spacing w:line="4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以上工作内容的费用均包含在投标报价中。</w:t>
      </w:r>
    </w:p>
    <w:p>
      <w:pPr>
        <w:pStyle w:val="2"/>
        <w:keepNext w:val="0"/>
        <w:keepLines w:val="0"/>
        <w:pageBreakBefore w:val="0"/>
        <w:kinsoku/>
        <w:wordWrap/>
        <w:overflowPunct/>
        <w:topLinePunct w:val="0"/>
        <w:bidi w:val="0"/>
        <w:spacing w:line="400" w:lineRule="exact"/>
        <w:rPr>
          <w:rFonts w:hint="eastAsia" w:ascii="宋体" w:hAnsi="宋体" w:eastAsia="宋体" w:cs="宋体"/>
          <w:color w:val="000000" w:themeColor="text1"/>
          <w:sz w:val="24"/>
          <w:szCs w:val="24"/>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pStyle w:val="9"/>
        <w:snapToGrid w:val="0"/>
        <w:spacing w:line="360" w:lineRule="auto"/>
        <w:outlineLvl w:val="0"/>
        <w:rPr>
          <w:rFonts w:hAnsi="宋体" w:cs="Arial"/>
          <w:color w:val="000000" w:themeColor="text1"/>
          <w:sz w:val="22"/>
          <w:szCs w:val="22"/>
          <w:highlight w:val="none"/>
          <w14:textFill>
            <w14:solidFill>
              <w14:schemeClr w14:val="tx1"/>
            </w14:solidFill>
          </w14:textFill>
        </w:rPr>
      </w:pPr>
    </w:p>
    <w:p>
      <w:pPr>
        <w:numPr>
          <w:ilvl w:val="0"/>
          <w:numId w:val="3"/>
        </w:numPr>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政府采购合同主要条款指引</w:t>
      </w:r>
    </w:p>
    <w:p>
      <w:pPr>
        <w:widowControl/>
        <w:shd w:val="clear" w:color="auto" w:fill="FFFFFF"/>
        <w:spacing w:after="150" w:line="400" w:lineRule="exact"/>
        <w:ind w:firstLine="480"/>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以下为</w:t>
      </w:r>
      <w:r>
        <w:rPr>
          <w:rFonts w:hint="eastAsia" w:asciiTheme="minorEastAsia" w:hAnsiTheme="minorEastAsia" w:eastAsiaTheme="minorEastAsia"/>
          <w:color w:val="000000" w:themeColor="text1"/>
          <w:sz w:val="24"/>
          <w:highlight w:val="none"/>
          <w14:textFill>
            <w14:solidFill>
              <w14:schemeClr w14:val="tx1"/>
            </w14:solidFill>
          </w14:textFill>
        </w:rPr>
        <w:t>中标</w:t>
      </w:r>
      <w:r>
        <w:rPr>
          <w:rFonts w:asciiTheme="minorEastAsia" w:hAnsiTheme="minorEastAsia" w:eastAsiaTheme="minorEastAsia"/>
          <w:color w:val="000000" w:themeColor="text1"/>
          <w:sz w:val="24"/>
          <w:highlight w:val="none"/>
          <w14:textFill>
            <w14:solidFill>
              <w14:schemeClr w14:val="tx1"/>
            </w14:solidFill>
          </w14:textFill>
        </w:rPr>
        <w:t>后签定本项目合同的通用条款，</w:t>
      </w:r>
      <w:r>
        <w:rPr>
          <w:rFonts w:hint="eastAsia" w:asciiTheme="minorEastAsia" w:hAnsiTheme="minorEastAsia" w:eastAsiaTheme="minorEastAsia"/>
          <w:color w:val="000000" w:themeColor="text1"/>
          <w:sz w:val="24"/>
          <w:highlight w:val="none"/>
          <w14:textFill>
            <w14:solidFill>
              <w14:schemeClr w14:val="tx1"/>
            </w14:solidFill>
          </w14:textFill>
        </w:rPr>
        <w:t>中标供应商</w:t>
      </w:r>
      <w:r>
        <w:rPr>
          <w:rFonts w:asciiTheme="minorEastAsia" w:hAnsiTheme="minorEastAsia" w:eastAsiaTheme="minorEastAsia"/>
          <w:color w:val="000000" w:themeColor="text1"/>
          <w:sz w:val="24"/>
          <w:highlight w:val="none"/>
          <w14:textFill>
            <w14:solidFill>
              <w14:schemeClr w14:val="tx1"/>
            </w14:solidFill>
          </w14:textFill>
        </w:rPr>
        <w:t>不得提出实质性的修改，关于专用条款将由采购人与</w:t>
      </w:r>
      <w:r>
        <w:rPr>
          <w:rFonts w:hint="eastAsia" w:asciiTheme="minorEastAsia" w:hAnsiTheme="minorEastAsia" w:eastAsiaTheme="minorEastAsia"/>
          <w:color w:val="000000" w:themeColor="text1"/>
          <w:sz w:val="24"/>
          <w:highlight w:val="none"/>
          <w14:textFill>
            <w14:solidFill>
              <w14:schemeClr w14:val="tx1"/>
            </w14:solidFill>
          </w14:textFill>
        </w:rPr>
        <w:t>中标供应商</w:t>
      </w:r>
      <w:r>
        <w:rPr>
          <w:rFonts w:asciiTheme="minorEastAsia" w:hAnsiTheme="minorEastAsia" w:eastAsiaTheme="minorEastAsia"/>
          <w:color w:val="000000" w:themeColor="text1"/>
          <w:sz w:val="24"/>
          <w:highlight w:val="none"/>
          <w14:textFill>
            <w14:solidFill>
              <w14:schemeClr w14:val="tx1"/>
            </w14:solidFill>
          </w14:textFill>
        </w:rPr>
        <w:t>结合本项目具体情况协商后签订。</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项目名称：                                       项目编号：</w:t>
      </w:r>
    </w:p>
    <w:p>
      <w:pPr>
        <w:pStyle w:val="9"/>
        <w:snapToGrid w:val="0"/>
        <w:spacing w:before="120" w:after="120" w:line="400" w:lineRule="exact"/>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甲方：（</w:t>
      </w:r>
      <w:r>
        <w:rPr>
          <w:rFonts w:hint="eastAsia" w:hAnsi="宋体"/>
          <w:color w:val="000000" w:themeColor="text1"/>
          <w:sz w:val="24"/>
          <w:highlight w:val="none"/>
          <w14:textFill>
            <w14:solidFill>
              <w14:schemeClr w14:val="tx1"/>
            </w14:solidFill>
          </w14:textFill>
        </w:rPr>
        <w:t>采购单位</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 xml:space="preserve">                            所在地：                              </w:t>
      </w:r>
    </w:p>
    <w:p>
      <w:pPr>
        <w:pStyle w:val="9"/>
        <w:snapToGrid w:val="0"/>
        <w:spacing w:before="120" w:after="120" w:line="400" w:lineRule="exact"/>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乙方：（</w:t>
      </w:r>
      <w:r>
        <w:rPr>
          <w:rFonts w:hint="eastAsia" w:hAnsi="宋体"/>
          <w:color w:val="000000" w:themeColor="text1"/>
          <w:sz w:val="24"/>
          <w:highlight w:val="none"/>
          <w14:textFill>
            <w14:solidFill>
              <w14:schemeClr w14:val="tx1"/>
            </w14:solidFill>
          </w14:textFill>
        </w:rPr>
        <w:t>中标供应商</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 xml:space="preserve">                          所在地：</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甲、乙双方根据</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(采购组织机构名称）</w:t>
      </w:r>
      <w:r>
        <w:rPr>
          <w:rFonts w:asciiTheme="minorEastAsia" w:hAnsiTheme="minorEastAsia" w:eastAsiaTheme="minorEastAsia"/>
          <w:color w:val="000000" w:themeColor="text1"/>
          <w:sz w:val="24"/>
          <w:highlight w:val="none"/>
          <w14:textFill>
            <w14:solidFill>
              <w14:schemeClr w14:val="tx1"/>
            </w14:solidFill>
          </w14:textFill>
        </w:rPr>
        <w:t>关于</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单位</w:t>
      </w:r>
      <w:r>
        <w:rPr>
          <w:rFonts w:hint="eastAsia" w:cs="Arial"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项目公开招标的结果，签署本合同。</w:t>
      </w:r>
    </w:p>
    <w:p>
      <w:pPr>
        <w:spacing w:line="400" w:lineRule="exact"/>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 xml:space="preserve">一、合同文件： </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1.合同条款。</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2.中标通知书。</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3.更正补充文件。</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4.招标文件。</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5.中标供应商投标文件。</w:t>
      </w:r>
    </w:p>
    <w:p>
      <w:pPr>
        <w:spacing w:line="400" w:lineRule="exact"/>
        <w:ind w:firstLine="480" w:firstLineChars="200"/>
        <w:rPr>
          <w:rFonts w:ascii="宋体"/>
          <w:color w:val="000000" w:themeColor="text1"/>
          <w:sz w:val="24"/>
          <w:highlight w:val="none"/>
          <w:lang w:val="zh-CN"/>
          <w14:textFill>
            <w14:solidFill>
              <w14:schemeClr w14:val="tx1"/>
            </w14:solidFill>
          </w14:textFill>
        </w:rPr>
      </w:pPr>
      <w:r>
        <w:rPr>
          <w:rFonts w:hint="eastAsia" w:ascii="宋体"/>
          <w:color w:val="000000" w:themeColor="text1"/>
          <w:sz w:val="24"/>
          <w:highlight w:val="none"/>
          <w:lang w:val="zh-CN"/>
          <w14:textFill>
            <w14:solidFill>
              <w14:schemeClr w14:val="tx1"/>
            </w14:solidFill>
          </w14:textFill>
        </w:rPr>
        <w:t>6.其他。</w:t>
      </w:r>
    </w:p>
    <w:p>
      <w:pPr>
        <w:pStyle w:val="9"/>
        <w:snapToGrid w:val="0"/>
        <w:spacing w:line="400" w:lineRule="exact"/>
        <w:ind w:firstLine="480" w:firstLineChars="200"/>
        <w:rPr>
          <w:rFonts w:hAnsi="Times New Roman"/>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上述所指合同文件应认为是互相补充和解释的，但是有模棱两可或互相矛盾之处，以其所列内容顺序为准。</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二</w:t>
      </w:r>
      <w:r>
        <w:rPr>
          <w:rFonts w:asciiTheme="minorEastAsia" w:hAnsiTheme="minorEastAsia" w:eastAsiaTheme="minorEastAsia"/>
          <w:b/>
          <w:color w:val="000000" w:themeColor="text1"/>
          <w:sz w:val="24"/>
          <w:highlight w:val="none"/>
          <w14:textFill>
            <w14:solidFill>
              <w14:schemeClr w14:val="tx1"/>
            </w14:solidFill>
          </w14:textFill>
        </w:rPr>
        <w:t>、货物内容</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 货物名称：</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asciiTheme="minorEastAsia" w:hAnsiTheme="minorEastAsia" w:eastAsiaTheme="minorEastAsia"/>
          <w:color w:val="000000" w:themeColor="text1"/>
          <w:sz w:val="24"/>
          <w:highlight w:val="none"/>
          <w14:textFill>
            <w14:solidFill>
              <w14:schemeClr w14:val="tx1"/>
            </w14:solidFill>
          </w14:textFill>
        </w:rPr>
        <w:t>. 型号规格</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见投标文件</w:t>
      </w:r>
      <w:r>
        <w:rPr>
          <w:rFonts w:hint="eastAsia" w:asciiTheme="minorEastAsia" w:hAnsiTheme="minorEastAsia" w:eastAsiaTheme="minorEastAsia"/>
          <w:color w:val="000000" w:themeColor="text1"/>
          <w:sz w:val="24"/>
          <w:highlight w:val="none"/>
          <w14:textFill>
            <w14:solidFill>
              <w14:schemeClr w14:val="tx1"/>
            </w14:solidFill>
          </w14:textFill>
        </w:rPr>
        <w:t>）</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 技术参数：</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见投标文件</w:t>
      </w:r>
      <w:r>
        <w:rPr>
          <w:rFonts w:hint="eastAsia" w:asciiTheme="minorEastAsia" w:hAnsiTheme="minorEastAsia" w:eastAsiaTheme="minorEastAsia"/>
          <w:color w:val="000000" w:themeColor="text1"/>
          <w:sz w:val="24"/>
          <w:highlight w:val="none"/>
          <w14:textFill>
            <w14:solidFill>
              <w14:schemeClr w14:val="tx1"/>
            </w14:solidFill>
          </w14:textFill>
        </w:rPr>
        <w:t>）</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数量（单位）：</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三</w:t>
      </w:r>
      <w:r>
        <w:rPr>
          <w:rFonts w:asciiTheme="minorEastAsia" w:hAnsiTheme="minorEastAsia" w:eastAsiaTheme="minorEastAsia"/>
          <w:b/>
          <w:color w:val="000000" w:themeColor="text1"/>
          <w:sz w:val="24"/>
          <w:highlight w:val="none"/>
          <w14:textFill>
            <w14:solidFill>
              <w14:schemeClr w14:val="tx1"/>
            </w14:solidFill>
          </w14:textFill>
        </w:rPr>
        <w:t>、合同金额</w:t>
      </w:r>
    </w:p>
    <w:p>
      <w:pPr>
        <w:pStyle w:val="9"/>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 xml:space="preserve"> 本合同金额为（大写）：____________________________________元（￥_______________元）人民币。</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四</w:t>
      </w:r>
      <w:r>
        <w:rPr>
          <w:rFonts w:asciiTheme="minorEastAsia" w:hAnsiTheme="minorEastAsia" w:eastAsiaTheme="minorEastAsia"/>
          <w:b/>
          <w:color w:val="000000" w:themeColor="text1"/>
          <w:sz w:val="24"/>
          <w:highlight w:val="none"/>
          <w14:textFill>
            <w14:solidFill>
              <w14:schemeClr w14:val="tx1"/>
            </w14:solidFill>
          </w14:textFill>
        </w:rPr>
        <w:t>、技术资料</w:t>
      </w:r>
    </w:p>
    <w:p>
      <w:pPr>
        <w:pStyle w:val="9"/>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乙方应按招标文件规定的时间向甲方提供使用货物的有关技术资料。</w:t>
      </w:r>
    </w:p>
    <w:p>
      <w:pPr>
        <w:pStyle w:val="9"/>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9"/>
        <w:snapToGrid w:val="0"/>
        <w:spacing w:before="120" w:after="120" w:line="400" w:lineRule="exact"/>
        <w:ind w:left="412" w:hanging="412" w:hangingChars="17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五</w:t>
      </w:r>
      <w:r>
        <w:rPr>
          <w:rFonts w:asciiTheme="minorEastAsia" w:hAnsiTheme="minorEastAsia" w:eastAsiaTheme="minorEastAsia"/>
          <w:b/>
          <w:color w:val="000000" w:themeColor="text1"/>
          <w:sz w:val="24"/>
          <w:highlight w:val="none"/>
          <w14:textFill>
            <w14:solidFill>
              <w14:schemeClr w14:val="tx1"/>
            </w14:solidFill>
          </w14:textFill>
        </w:rPr>
        <w:t>、知识产权</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乙方应保证所提供的货物或其任何一部分均不会侵犯任何第三方的知识产权。</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2.若侵犯,由乙方赔偿甲方因此遭受的损失（包括但不限于应对及追偿过程中所支付的律师费、差旅费、诉讼费、保全费、鉴定费、评估费等）。</w:t>
      </w:r>
    </w:p>
    <w:p>
      <w:pPr>
        <w:pStyle w:val="9"/>
        <w:snapToGrid w:val="0"/>
        <w:spacing w:before="120" w:after="120" w:line="400" w:lineRule="exact"/>
        <w:rPr>
          <w:rFonts w:asciiTheme="minorEastAsia" w:hAnsiTheme="minorEastAsia" w:eastAsiaTheme="minorEastAsia"/>
          <w:color w:val="000000" w:themeColor="text1"/>
          <w:sz w:val="24"/>
          <w:highlight w:val="none"/>
          <w:u w:val="singl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六</w:t>
      </w:r>
      <w:r>
        <w:rPr>
          <w:rFonts w:asciiTheme="minorEastAsia" w:hAnsiTheme="minorEastAsia" w:eastAsiaTheme="minorEastAsia"/>
          <w:b/>
          <w:color w:val="000000" w:themeColor="text1"/>
          <w:sz w:val="24"/>
          <w:highlight w:val="none"/>
          <w14:textFill>
            <w14:solidFill>
              <w14:schemeClr w14:val="tx1"/>
            </w14:solidFill>
          </w14:textFill>
        </w:rPr>
        <w:t>、产权担保</w:t>
      </w:r>
    </w:p>
    <w:p>
      <w:pPr>
        <w:pStyle w:val="9"/>
        <w:snapToGrid w:val="0"/>
        <w:spacing w:before="120" w:after="120" w:line="400" w:lineRule="exact"/>
        <w:rPr>
          <w:rFonts w:asciiTheme="minorEastAsia" w:hAnsiTheme="minorEastAsia" w:eastAsiaTheme="minorEastAsia"/>
          <w:color w:val="000000" w:themeColor="text1"/>
          <w:sz w:val="24"/>
          <w:highlight w:val="none"/>
          <w:u w:val="singl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乙方保证所交付的货物的所有权完全属于乙方且无任何抵押、查封等产权瑕疵。</w:t>
      </w:r>
    </w:p>
    <w:p>
      <w:pPr>
        <w:pStyle w:val="9"/>
        <w:snapToGrid w:val="0"/>
        <w:spacing w:before="120" w:after="120" w:line="400" w:lineRule="exact"/>
        <w:ind w:left="410" w:hanging="410" w:hangingChars="17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七</w:t>
      </w:r>
      <w:r>
        <w:rPr>
          <w:rFonts w:asciiTheme="minorEastAsia" w:hAnsiTheme="minorEastAsia" w:eastAsiaTheme="minorEastAsia"/>
          <w:b/>
          <w:color w:val="000000" w:themeColor="text1"/>
          <w:sz w:val="24"/>
          <w:highlight w:val="none"/>
          <w14:textFill>
            <w14:solidFill>
              <w14:schemeClr w14:val="tx1"/>
            </w14:solidFill>
          </w14:textFill>
        </w:rPr>
        <w:t>、履约保证金</w:t>
      </w:r>
    </w:p>
    <w:p>
      <w:pPr>
        <w:tabs>
          <w:tab w:val="left" w:pos="1418"/>
        </w:tabs>
        <w:autoSpaceDE w:val="0"/>
        <w:autoSpaceDN w:val="0"/>
        <w:adjustRightInd w:val="0"/>
        <w:spacing w:line="400" w:lineRule="exact"/>
        <w:ind w:firstLine="480" w:firstLineChars="200"/>
        <w:rPr>
          <w:rFonts w:asciiTheme="minorEastAsia" w:hAnsiTheme="minorEastAsia" w:eastAsiaTheme="minorEastAsia" w:cstheme="minorBidi"/>
          <w:color w:val="000000" w:themeColor="text1"/>
          <w:sz w:val="24"/>
          <w:highlight w:val="none"/>
          <w14:textFill>
            <w14:solidFill>
              <w14:schemeClr w14:val="tx1"/>
            </w14:solidFill>
          </w14:textFill>
        </w:rPr>
      </w:pPr>
      <w:r>
        <w:rPr>
          <w:rFonts w:hint="eastAsia" w:asciiTheme="minorEastAsia" w:hAnsiTheme="minorEastAsia" w:eastAsiaTheme="minorEastAsia" w:cstheme="minorBidi"/>
          <w:color w:val="000000" w:themeColor="text1"/>
          <w:sz w:val="24"/>
          <w:highlight w:val="none"/>
          <w14:textFill>
            <w14:solidFill>
              <w14:schemeClr w14:val="tx1"/>
            </w14:solidFill>
          </w14:textFill>
        </w:rPr>
        <w:t>本项目履约保证金为合同金额的</w:t>
      </w:r>
      <w:r>
        <w:rPr>
          <w:rFonts w:asciiTheme="minorEastAsia" w:hAnsiTheme="minorEastAsia" w:eastAsiaTheme="minorEastAsia" w:cstheme="minorBidi"/>
          <w:color w:val="000000" w:themeColor="text1"/>
          <w:sz w:val="24"/>
          <w:highlight w:val="none"/>
          <w14:textFill>
            <w14:solidFill>
              <w14:schemeClr w14:val="tx1"/>
            </w14:solidFill>
          </w14:textFill>
        </w:rPr>
        <w:t>____</w:t>
      </w:r>
      <w:r>
        <w:rPr>
          <w:rFonts w:hint="eastAsia" w:asciiTheme="minorEastAsia" w:hAnsiTheme="minorEastAsia" w:eastAsiaTheme="minorEastAsia" w:cstheme="minorBidi"/>
          <w:color w:val="000000" w:themeColor="text1"/>
          <w:sz w:val="24"/>
          <w:highlight w:val="none"/>
          <w14:textFill>
            <w14:solidFill>
              <w14:schemeClr w14:val="tx1"/>
            </w14:solidFill>
          </w14:textFill>
        </w:rPr>
        <w:t>%，</w:t>
      </w:r>
      <w:r>
        <w:rPr>
          <w:rFonts w:asciiTheme="minorEastAsia" w:hAnsiTheme="minorEastAsia" w:eastAsiaTheme="minorEastAsia" w:cstheme="minorBidi"/>
          <w:color w:val="000000" w:themeColor="text1"/>
          <w:sz w:val="24"/>
          <w:highlight w:val="none"/>
          <w14:textFill>
            <w14:solidFill>
              <w14:schemeClr w14:val="tx1"/>
            </w14:solidFill>
          </w14:textFill>
        </w:rPr>
        <w:t>即</w:t>
      </w:r>
      <w:r>
        <w:rPr>
          <w:rFonts w:hint="eastAsia" w:asciiTheme="minorEastAsia" w:hAnsiTheme="minorEastAsia" w:eastAsiaTheme="minorEastAsia" w:cstheme="minorBidi"/>
          <w:color w:val="000000" w:themeColor="text1"/>
          <w:sz w:val="24"/>
          <w:highlight w:val="none"/>
          <w14:textFill>
            <w14:solidFill>
              <w14:schemeClr w14:val="tx1"/>
            </w14:solidFill>
          </w14:textFill>
        </w:rPr>
        <w:t>人</w:t>
      </w:r>
      <w:r>
        <w:rPr>
          <w:rFonts w:asciiTheme="minorEastAsia" w:hAnsiTheme="minorEastAsia" w:eastAsiaTheme="minorEastAsia" w:cstheme="minorBidi"/>
          <w:color w:val="000000" w:themeColor="text1"/>
          <w:sz w:val="24"/>
          <w:highlight w:val="none"/>
          <w14:textFill>
            <w14:solidFill>
              <w14:schemeClr w14:val="tx1"/>
            </w14:solidFill>
          </w14:textFill>
        </w:rPr>
        <w:t>民币______元</w:t>
      </w:r>
      <w:r>
        <w:rPr>
          <w:rFonts w:hint="eastAsia" w:asciiTheme="minorEastAsia" w:hAnsiTheme="minorEastAsia" w:eastAsiaTheme="minorEastAsia" w:cstheme="minorBidi"/>
          <w:color w:val="000000" w:themeColor="text1"/>
          <w:sz w:val="24"/>
          <w:highlight w:val="none"/>
          <w14:textFill>
            <w14:solidFill>
              <w14:schemeClr w14:val="tx1"/>
            </w14:solidFill>
          </w14:textFill>
        </w:rPr>
        <w:t>。</w:t>
      </w:r>
      <w:r>
        <w:rPr>
          <w:rFonts w:hint="eastAsia" w:asciiTheme="minorEastAsia" w:hAnsiTheme="minorEastAsia" w:eastAsiaTheme="minorEastAsia" w:cstheme="minorBidi"/>
          <w:color w:val="000000" w:themeColor="text1"/>
          <w:sz w:val="24"/>
          <w:highlight w:val="none"/>
          <w:lang w:val="zh-CN"/>
          <w14:textFill>
            <w14:solidFill>
              <w14:schemeClr w14:val="tx1"/>
            </w14:solidFill>
          </w14:textFill>
        </w:rPr>
        <w:t>[履约保证金交至采购人处，在合同约定交货验收合格满（</w:t>
      </w:r>
      <w:r>
        <w:rPr>
          <w:rFonts w:hint="eastAsia" w:asciiTheme="minorEastAsia" w:hAnsiTheme="minorEastAsia" w:eastAsiaTheme="minorEastAsia" w:cstheme="minorBidi"/>
          <w:color w:val="000000" w:themeColor="text1"/>
          <w:sz w:val="24"/>
          <w:highlight w:val="none"/>
          <w14:textFill>
            <w14:solidFill>
              <w14:schemeClr w14:val="tx1"/>
            </w14:solidFill>
          </w14:textFill>
        </w:rPr>
        <w:t xml:space="preserve"> </w:t>
      </w:r>
      <w:r>
        <w:rPr>
          <w:rFonts w:hint="eastAsia" w:asciiTheme="minorEastAsia" w:hAnsiTheme="minorEastAsia" w:eastAsiaTheme="minorEastAsia" w:cstheme="minorBidi"/>
          <w:color w:val="000000" w:themeColor="text1"/>
          <w:sz w:val="24"/>
          <w:highlight w:val="none"/>
          <w:lang w:val="zh-CN"/>
          <w14:textFill>
            <w14:solidFill>
              <w14:schemeClr w14:val="tx1"/>
            </w14:solidFill>
          </w14:textFill>
        </w:rPr>
        <w:t>）个月之日起5个工作日内无息退还]</w:t>
      </w:r>
    </w:p>
    <w:p>
      <w:pPr>
        <w:pStyle w:val="9"/>
        <w:snapToGrid w:val="0"/>
        <w:spacing w:before="120" w:after="120" w:line="400" w:lineRule="exact"/>
        <w:ind w:left="410" w:hanging="410" w:hangingChars="17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八、转包或分包</w:t>
      </w:r>
    </w:p>
    <w:p>
      <w:pPr>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.本合同范围的货物，应由</w:t>
      </w:r>
      <w:r>
        <w:rPr>
          <w:rFonts w:asciiTheme="minorEastAsia" w:hAnsiTheme="minorEastAsia" w:eastAsiaTheme="minorEastAsia"/>
          <w:color w:val="000000" w:themeColor="text1"/>
          <w:sz w:val="24"/>
          <w:highlight w:val="none"/>
          <w14:textFill>
            <w14:solidFill>
              <w14:schemeClr w14:val="tx1"/>
            </w14:solidFill>
          </w14:textFill>
        </w:rPr>
        <w:t>乙</w:t>
      </w:r>
      <w:r>
        <w:rPr>
          <w:rFonts w:hint="eastAsia" w:asciiTheme="minorEastAsia" w:hAnsiTheme="minorEastAsia" w:eastAsiaTheme="minorEastAsia"/>
          <w:color w:val="000000" w:themeColor="text1"/>
          <w:sz w:val="24"/>
          <w:highlight w:val="none"/>
          <w14:textFill>
            <w14:solidFill>
              <w14:schemeClr w14:val="tx1"/>
            </w14:solidFill>
          </w14:textFill>
        </w:rPr>
        <w:t>方直接供应，不得转让他人供应；</w:t>
      </w:r>
    </w:p>
    <w:p>
      <w:pPr>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.除非得到</w:t>
      </w:r>
      <w:r>
        <w:rPr>
          <w:rFonts w:asciiTheme="minorEastAsia" w:hAnsiTheme="minorEastAsia" w:eastAsiaTheme="minorEastAsia"/>
          <w:color w:val="000000" w:themeColor="text1"/>
          <w:sz w:val="24"/>
          <w:highlight w:val="none"/>
          <w14:textFill>
            <w14:solidFill>
              <w14:schemeClr w14:val="tx1"/>
            </w14:solidFill>
          </w14:textFill>
        </w:rPr>
        <w:t>甲</w:t>
      </w:r>
      <w:r>
        <w:rPr>
          <w:rFonts w:hint="eastAsia" w:asciiTheme="minorEastAsia" w:hAnsiTheme="minorEastAsia" w:eastAsiaTheme="minorEastAsia"/>
          <w:color w:val="000000" w:themeColor="text1"/>
          <w:sz w:val="24"/>
          <w:highlight w:val="none"/>
          <w14:textFill>
            <w14:solidFill>
              <w14:schemeClr w14:val="tx1"/>
            </w14:solidFill>
          </w14:textFill>
        </w:rPr>
        <w:t>方的书面同意，</w:t>
      </w:r>
      <w:r>
        <w:rPr>
          <w:rFonts w:asciiTheme="minorEastAsia" w:hAnsiTheme="minorEastAsia" w:eastAsiaTheme="minorEastAsia"/>
          <w:color w:val="000000" w:themeColor="text1"/>
          <w:sz w:val="24"/>
          <w:highlight w:val="none"/>
          <w14:textFill>
            <w14:solidFill>
              <w14:schemeClr w14:val="tx1"/>
            </w14:solidFill>
          </w14:textFill>
        </w:rPr>
        <w:t>乙</w:t>
      </w:r>
      <w:r>
        <w:rPr>
          <w:rFonts w:hint="eastAsia" w:asciiTheme="minorEastAsia" w:hAnsiTheme="minorEastAsia" w:eastAsiaTheme="minorEastAsia"/>
          <w:color w:val="000000" w:themeColor="text1"/>
          <w:sz w:val="24"/>
          <w:highlight w:val="none"/>
          <w14:textFill>
            <w14:solidFill>
              <w14:schemeClr w14:val="tx1"/>
            </w14:solidFill>
          </w14:textFill>
        </w:rPr>
        <w:t>方不得将本合同范围的货物全部或部分分包给他人供应；</w:t>
      </w:r>
    </w:p>
    <w:p>
      <w:pPr>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.如有转让和未经</w:t>
      </w:r>
      <w:r>
        <w:rPr>
          <w:rFonts w:asciiTheme="minorEastAsia" w:hAnsiTheme="minorEastAsia" w:eastAsiaTheme="minorEastAsia"/>
          <w:color w:val="000000" w:themeColor="text1"/>
          <w:sz w:val="24"/>
          <w:highlight w:val="none"/>
          <w14:textFill>
            <w14:solidFill>
              <w14:schemeClr w14:val="tx1"/>
            </w14:solidFill>
          </w14:textFill>
        </w:rPr>
        <w:t>甲</w:t>
      </w:r>
      <w:r>
        <w:rPr>
          <w:rFonts w:hint="eastAsia" w:asciiTheme="minorEastAsia" w:hAnsiTheme="minorEastAsia" w:eastAsiaTheme="minorEastAsia"/>
          <w:color w:val="000000" w:themeColor="text1"/>
          <w:sz w:val="24"/>
          <w:highlight w:val="none"/>
          <w14:textFill>
            <w14:solidFill>
              <w14:schemeClr w14:val="tx1"/>
            </w14:solidFill>
          </w14:textFill>
        </w:rPr>
        <w:t>方同意的分包行为，</w:t>
      </w:r>
      <w:r>
        <w:rPr>
          <w:rFonts w:asciiTheme="minorEastAsia" w:hAnsiTheme="minorEastAsia" w:eastAsiaTheme="minorEastAsia"/>
          <w:color w:val="000000" w:themeColor="text1"/>
          <w:sz w:val="24"/>
          <w:highlight w:val="none"/>
          <w14:textFill>
            <w14:solidFill>
              <w14:schemeClr w14:val="tx1"/>
            </w14:solidFill>
          </w14:textFill>
        </w:rPr>
        <w:t>甲</w:t>
      </w:r>
      <w:r>
        <w:rPr>
          <w:rFonts w:hint="eastAsia" w:asciiTheme="minorEastAsia" w:hAnsiTheme="minorEastAsia" w:eastAsiaTheme="minorEastAsia"/>
          <w:color w:val="000000" w:themeColor="text1"/>
          <w:sz w:val="24"/>
          <w:highlight w:val="none"/>
          <w14:textFill>
            <w14:solidFill>
              <w14:schemeClr w14:val="tx1"/>
            </w14:solidFill>
          </w14:textFill>
        </w:rPr>
        <w:t>方有权解除合同，没收履约保证金并追究乙方的违约责任。</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九</w:t>
      </w:r>
      <w:r>
        <w:rPr>
          <w:rFonts w:asciiTheme="minorEastAsia" w:hAnsiTheme="minorEastAsia" w:eastAsiaTheme="minorEastAsia"/>
          <w:b/>
          <w:color w:val="000000" w:themeColor="text1"/>
          <w:sz w:val="24"/>
          <w:highlight w:val="none"/>
          <w14:textFill>
            <w14:solidFill>
              <w14:schemeClr w14:val="tx1"/>
            </w14:solidFill>
          </w14:textFill>
        </w:rPr>
        <w:t>、质保期</w:t>
      </w:r>
    </w:p>
    <w:p>
      <w:pPr>
        <w:pStyle w:val="9"/>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质保期</w:t>
      </w:r>
      <w:r>
        <w:rPr>
          <w:rFonts w:hAnsi="宋体" w:cs="Times New Roman"/>
          <w:color w:val="000000" w:themeColor="text1"/>
          <w:sz w:val="24"/>
          <w:highlight w:val="none"/>
          <w14:textFill>
            <w14:solidFill>
              <w14:schemeClr w14:val="tx1"/>
            </w14:solidFill>
          </w14:textFill>
        </w:rPr>
        <w:t>___</w:t>
      </w:r>
      <w:r>
        <w:rPr>
          <w:rFonts w:asciiTheme="minorEastAsia" w:hAnsiTheme="minorEastAsia" w:eastAsiaTheme="minorEastAsia"/>
          <w:color w:val="000000" w:themeColor="text1"/>
          <w:sz w:val="24"/>
          <w:highlight w:val="none"/>
          <w14:textFill>
            <w14:solidFill>
              <w14:schemeClr w14:val="tx1"/>
            </w14:solidFill>
          </w14:textFill>
        </w:rPr>
        <w:t>年。（自交货验收合格之日起计）</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十</w:t>
      </w:r>
      <w:r>
        <w:rPr>
          <w:rFonts w:asciiTheme="minorEastAsia" w:hAnsiTheme="minorEastAsia" w:eastAsiaTheme="minorEastAsia"/>
          <w:b/>
          <w:color w:val="000000" w:themeColor="text1"/>
          <w:sz w:val="24"/>
          <w:highlight w:val="none"/>
          <w14:textFill>
            <w14:solidFill>
              <w14:schemeClr w14:val="tx1"/>
            </w14:solidFill>
          </w14:textFill>
        </w:rPr>
        <w:t>、交货期、交货方式及交货地点</w:t>
      </w:r>
    </w:p>
    <w:p>
      <w:pPr>
        <w:pStyle w:val="9"/>
        <w:snapToGrid w:val="0"/>
        <w:spacing w:before="120" w:after="120"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交货期：</w:t>
      </w:r>
    </w:p>
    <w:p>
      <w:pPr>
        <w:pStyle w:val="9"/>
        <w:snapToGrid w:val="0"/>
        <w:spacing w:before="120" w:after="120"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2</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交货方式：</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3</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交货地点：</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一</w:t>
      </w:r>
      <w:r>
        <w:rPr>
          <w:rFonts w:asciiTheme="minorEastAsia" w:hAnsiTheme="minorEastAsia" w:eastAsiaTheme="minorEastAsia"/>
          <w:b/>
          <w:color w:val="000000" w:themeColor="text1"/>
          <w:sz w:val="24"/>
          <w:highlight w:val="none"/>
          <w14:textFill>
            <w14:solidFill>
              <w14:schemeClr w14:val="tx1"/>
            </w14:solidFill>
          </w14:textFill>
        </w:rPr>
        <w:t>、货款支付</w:t>
      </w:r>
    </w:p>
    <w:p>
      <w:pPr>
        <w:pStyle w:val="9"/>
        <w:snapToGrid w:val="0"/>
        <w:spacing w:before="120" w:after="120"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 xml:space="preserve"> 付款方式：</w:t>
      </w:r>
      <w:r>
        <w:rPr>
          <w:rFonts w:hint="eastAsia" w:asciiTheme="minorEastAsia" w:hAnsiTheme="minorEastAsia" w:eastAsiaTheme="minorEastAsia"/>
          <w:bCs/>
          <w:color w:val="000000" w:themeColor="text1"/>
          <w:sz w:val="24"/>
          <w:highlight w:val="none"/>
          <w14:textFill>
            <w14:solidFill>
              <w14:schemeClr w14:val="tx1"/>
            </w14:solidFill>
          </w14:textFill>
        </w:rPr>
        <w:t>银</w:t>
      </w:r>
      <w:r>
        <w:rPr>
          <w:rFonts w:asciiTheme="minorEastAsia" w:hAnsiTheme="minorEastAsia" w:eastAsiaTheme="minorEastAsia"/>
          <w:bCs/>
          <w:color w:val="000000" w:themeColor="text1"/>
          <w:sz w:val="24"/>
          <w:highlight w:val="none"/>
          <w14:textFill>
            <w14:solidFill>
              <w14:schemeClr w14:val="tx1"/>
            </w14:solidFill>
          </w14:textFill>
        </w:rPr>
        <w:t>行</w:t>
      </w:r>
      <w:r>
        <w:rPr>
          <w:rFonts w:hint="eastAsia" w:asciiTheme="minorEastAsia" w:hAnsiTheme="minorEastAsia" w:eastAsiaTheme="minorEastAsia"/>
          <w:bCs/>
          <w:color w:val="000000" w:themeColor="text1"/>
          <w:sz w:val="24"/>
          <w:highlight w:val="none"/>
          <w14:textFill>
            <w14:solidFill>
              <w14:schemeClr w14:val="tx1"/>
            </w14:solidFill>
          </w14:textFill>
        </w:rPr>
        <w:t>转账</w:t>
      </w:r>
      <w:r>
        <w:rPr>
          <w:rFonts w:asciiTheme="minorEastAsia" w:hAnsiTheme="minorEastAsia" w:eastAsiaTheme="minorEastAsia"/>
          <w:bCs/>
          <w:color w:val="000000" w:themeColor="text1"/>
          <w:sz w:val="24"/>
          <w:highlight w:val="none"/>
          <w14:textFill>
            <w14:solidFill>
              <w14:schemeClr w14:val="tx1"/>
            </w14:solidFill>
          </w14:textFill>
        </w:rPr>
        <w:t>。</w:t>
      </w:r>
    </w:p>
    <w:p>
      <w:pPr>
        <w:pStyle w:val="9"/>
        <w:snapToGrid w:val="0"/>
        <w:spacing w:line="400" w:lineRule="exact"/>
        <w:rPr>
          <w:rFonts w:asciiTheme="minorEastAsia" w:hAnsiTheme="minorEastAsia" w:eastAsiaTheme="minorEastAsia"/>
          <w:bCs/>
          <w:color w:val="000000" w:themeColor="text1"/>
          <w:sz w:val="24"/>
          <w:highlight w:val="none"/>
          <w14:textFill>
            <w14:solidFill>
              <w14:schemeClr w14:val="tx1"/>
            </w14:solidFill>
          </w14:textFill>
        </w:rPr>
      </w:pPr>
      <w:r>
        <w:rPr>
          <w:rFonts w:hint="eastAsia" w:hAnsi="Times New Roman"/>
          <w:color w:val="000000" w:themeColor="text1"/>
          <w:sz w:val="24"/>
          <w:highlight w:val="none"/>
          <w:lang w:val="zh-CN"/>
          <w14:textFill>
            <w14:solidFill>
              <w14:schemeClr w14:val="tx1"/>
            </w14:solidFill>
          </w14:textFill>
        </w:rPr>
        <w:t>2.当采购数量与实际使用数量不一致时，如</w:t>
      </w:r>
      <w:r>
        <w:rPr>
          <w:rFonts w:hAnsi="Times New Roman"/>
          <w:color w:val="000000" w:themeColor="text1"/>
          <w:sz w:val="24"/>
          <w:highlight w:val="none"/>
          <w:lang w:val="zh-CN"/>
          <w14:textFill>
            <w14:solidFill>
              <w14:schemeClr w14:val="tx1"/>
            </w14:solidFill>
          </w14:textFill>
        </w:rPr>
        <w:t>增加</w:t>
      </w:r>
      <w:r>
        <w:rPr>
          <w:rFonts w:hint="eastAsia" w:hAnsi="Times New Roman"/>
          <w:color w:val="000000" w:themeColor="text1"/>
          <w:sz w:val="24"/>
          <w:highlight w:val="none"/>
          <w:lang w:val="zh-CN"/>
          <w14:textFill>
            <w14:solidFill>
              <w14:schemeClr w14:val="tx1"/>
            </w14:solidFill>
          </w14:textFill>
        </w:rPr>
        <w:t>采</w:t>
      </w:r>
      <w:r>
        <w:rPr>
          <w:rFonts w:hAnsi="Times New Roman"/>
          <w:color w:val="000000" w:themeColor="text1"/>
          <w:sz w:val="24"/>
          <w:highlight w:val="none"/>
          <w:lang w:val="zh-CN"/>
          <w14:textFill>
            <w14:solidFill>
              <w14:schemeClr w14:val="tx1"/>
            </w14:solidFill>
          </w14:textFill>
        </w:rPr>
        <w:t>购量</w:t>
      </w:r>
      <w:r>
        <w:rPr>
          <w:rFonts w:hint="eastAsia" w:hAnsi="Times New Roman"/>
          <w:color w:val="000000" w:themeColor="text1"/>
          <w:sz w:val="24"/>
          <w:highlight w:val="none"/>
          <w:lang w:val="zh-CN"/>
          <w14:textFill>
            <w14:solidFill>
              <w14:schemeClr w14:val="tx1"/>
            </w14:solidFill>
          </w14:textFill>
        </w:rPr>
        <w:t>（增加</w:t>
      </w:r>
      <w:r>
        <w:rPr>
          <w:rFonts w:hAnsi="Times New Roman"/>
          <w:color w:val="000000" w:themeColor="text1"/>
          <w:sz w:val="24"/>
          <w:highlight w:val="none"/>
          <w:lang w:val="zh-CN"/>
          <w14:textFill>
            <w14:solidFill>
              <w14:schemeClr w14:val="tx1"/>
            </w14:solidFill>
          </w14:textFill>
        </w:rPr>
        <w:t>量为10</w:t>
      </w:r>
      <w:r>
        <w:rPr>
          <w:rFonts w:hint="eastAsia" w:hAnsi="Times New Roman"/>
          <w:color w:val="000000" w:themeColor="text1"/>
          <w:sz w:val="24"/>
          <w:highlight w:val="none"/>
          <w:lang w:val="zh-CN"/>
          <w14:textFill>
            <w14:solidFill>
              <w14:schemeClr w14:val="tx1"/>
            </w14:solidFill>
          </w14:textFill>
        </w:rPr>
        <w:t>%以</w:t>
      </w:r>
      <w:r>
        <w:rPr>
          <w:rFonts w:hAnsi="Times New Roman"/>
          <w:color w:val="000000" w:themeColor="text1"/>
          <w:sz w:val="24"/>
          <w:highlight w:val="none"/>
          <w:lang w:val="zh-CN"/>
          <w14:textFill>
            <w14:solidFill>
              <w14:schemeClr w14:val="tx1"/>
            </w14:solidFill>
          </w14:textFill>
        </w:rPr>
        <w:t>内），</w:t>
      </w:r>
      <w:r>
        <w:rPr>
          <w:rFonts w:hint="eastAsia" w:hAnsi="Times New Roman"/>
          <w:color w:val="000000" w:themeColor="text1"/>
          <w:sz w:val="24"/>
          <w:highlight w:val="none"/>
          <w:lang w:val="zh-CN"/>
          <w14:textFill>
            <w14:solidFill>
              <w14:schemeClr w14:val="tx1"/>
            </w14:solidFill>
          </w14:textFill>
        </w:rPr>
        <w:t>由采购单位向同级财政部门申请并经批准后，可以由乙方根据实际使用量供货；如减少采</w:t>
      </w:r>
      <w:r>
        <w:rPr>
          <w:rFonts w:hAnsi="Times New Roman"/>
          <w:color w:val="000000" w:themeColor="text1"/>
          <w:sz w:val="24"/>
          <w:highlight w:val="none"/>
          <w:lang w:val="zh-CN"/>
          <w14:textFill>
            <w14:solidFill>
              <w14:schemeClr w14:val="tx1"/>
            </w14:solidFill>
          </w14:textFill>
        </w:rPr>
        <w:t>购量</w:t>
      </w:r>
      <w:r>
        <w:rPr>
          <w:rFonts w:hint="eastAsia" w:hAnsi="Times New Roman"/>
          <w:color w:val="000000" w:themeColor="text1"/>
          <w:sz w:val="24"/>
          <w:highlight w:val="none"/>
          <w:lang w:val="zh-CN"/>
          <w14:textFill>
            <w14:solidFill>
              <w14:schemeClr w14:val="tx1"/>
            </w14:solidFill>
          </w14:textFill>
        </w:rPr>
        <w:t>（</w:t>
      </w:r>
      <w:r>
        <w:rPr>
          <w:rFonts w:hAnsi="Times New Roman"/>
          <w:color w:val="000000" w:themeColor="text1"/>
          <w:sz w:val="24"/>
          <w:highlight w:val="none"/>
          <w:lang w:val="zh-CN"/>
          <w14:textFill>
            <w14:solidFill>
              <w14:schemeClr w14:val="tx1"/>
            </w14:solidFill>
          </w14:textFill>
        </w:rPr>
        <w:t>减少量为10</w:t>
      </w:r>
      <w:r>
        <w:rPr>
          <w:rFonts w:hint="eastAsia" w:hAnsi="Times New Roman"/>
          <w:color w:val="000000" w:themeColor="text1"/>
          <w:sz w:val="24"/>
          <w:highlight w:val="none"/>
          <w:lang w:val="zh-CN"/>
          <w14:textFill>
            <w14:solidFill>
              <w14:schemeClr w14:val="tx1"/>
            </w14:solidFill>
          </w14:textFill>
        </w:rPr>
        <w:t>%以</w:t>
      </w:r>
      <w:r>
        <w:rPr>
          <w:rFonts w:hAnsi="Times New Roman"/>
          <w:color w:val="000000" w:themeColor="text1"/>
          <w:sz w:val="24"/>
          <w:highlight w:val="none"/>
          <w:lang w:val="zh-CN"/>
          <w14:textFill>
            <w14:solidFill>
              <w14:schemeClr w14:val="tx1"/>
            </w14:solidFill>
          </w14:textFill>
        </w:rPr>
        <w:t>内），</w:t>
      </w:r>
      <w:r>
        <w:rPr>
          <w:rFonts w:hint="eastAsia" w:hAnsi="Times New Roman"/>
          <w:color w:val="000000" w:themeColor="text1"/>
          <w:sz w:val="24"/>
          <w:highlight w:val="none"/>
          <w:lang w:val="zh-CN"/>
          <w14:textFill>
            <w14:solidFill>
              <w14:schemeClr w14:val="tx1"/>
            </w14:solidFill>
          </w14:textFill>
        </w:rPr>
        <w:t>经教育</w:t>
      </w:r>
      <w:r>
        <w:rPr>
          <w:rFonts w:hAnsi="Times New Roman"/>
          <w:color w:val="000000" w:themeColor="text1"/>
          <w:sz w:val="24"/>
          <w:highlight w:val="none"/>
          <w:lang w:val="zh-CN"/>
          <w14:textFill>
            <w14:solidFill>
              <w14:schemeClr w14:val="tx1"/>
            </w14:solidFill>
          </w14:textFill>
        </w:rPr>
        <w:t>技术中心</w:t>
      </w:r>
      <w:r>
        <w:rPr>
          <w:rFonts w:hint="eastAsia" w:hAnsi="Times New Roman"/>
          <w:color w:val="000000" w:themeColor="text1"/>
          <w:sz w:val="24"/>
          <w:highlight w:val="none"/>
          <w:lang w:val="zh-CN"/>
          <w14:textFill>
            <w14:solidFill>
              <w14:schemeClr w14:val="tx1"/>
            </w14:solidFill>
          </w14:textFill>
        </w:rPr>
        <w:t>批准同</w:t>
      </w:r>
      <w:r>
        <w:rPr>
          <w:rFonts w:hAnsi="Times New Roman"/>
          <w:color w:val="000000" w:themeColor="text1"/>
          <w:sz w:val="24"/>
          <w:highlight w:val="none"/>
          <w:lang w:val="zh-CN"/>
          <w14:textFill>
            <w14:solidFill>
              <w14:schemeClr w14:val="tx1"/>
            </w14:solidFill>
          </w14:textFill>
        </w:rPr>
        <w:t>意</w:t>
      </w:r>
      <w:r>
        <w:rPr>
          <w:rFonts w:hint="eastAsia" w:hAnsi="Times New Roman"/>
          <w:color w:val="000000" w:themeColor="text1"/>
          <w:sz w:val="24"/>
          <w:highlight w:val="none"/>
          <w:lang w:val="zh-CN"/>
          <w14:textFill>
            <w14:solidFill>
              <w14:schemeClr w14:val="tx1"/>
            </w14:solidFill>
          </w14:textFill>
        </w:rPr>
        <w:t>后，可以由乙方根据实际使用量供货；合同的最终结算金额按实际使用量乘以中标单价进行计算。</w:t>
      </w:r>
    </w:p>
    <w:p>
      <w:pPr>
        <w:snapToGrid w:val="0"/>
        <w:spacing w:before="156" w:beforeLines="50" w:after="156" w:afterLines="5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十二、税费</w:t>
      </w:r>
    </w:p>
    <w:p>
      <w:pPr>
        <w:snapToGrid w:val="0"/>
        <w:spacing w:before="156" w:beforeLines="50" w:after="156" w:afterLines="5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本合同执行中相关的一切税费均由</w:t>
      </w:r>
      <w:r>
        <w:rPr>
          <w:rFonts w:asciiTheme="minorEastAsia" w:hAnsiTheme="minorEastAsia" w:eastAsiaTheme="minorEastAsia"/>
          <w:color w:val="000000" w:themeColor="text1"/>
          <w:sz w:val="24"/>
          <w:highlight w:val="none"/>
          <w14:textFill>
            <w14:solidFill>
              <w14:schemeClr w14:val="tx1"/>
            </w14:solidFill>
          </w14:textFill>
        </w:rPr>
        <w:t>乙</w:t>
      </w:r>
      <w:r>
        <w:rPr>
          <w:rFonts w:hint="eastAsia" w:asciiTheme="minorEastAsia" w:hAnsiTheme="minorEastAsia" w:eastAsiaTheme="minorEastAsia"/>
          <w:color w:val="000000" w:themeColor="text1"/>
          <w:sz w:val="24"/>
          <w:highlight w:val="none"/>
          <w14:textFill>
            <w14:solidFill>
              <w14:schemeClr w14:val="tx1"/>
            </w14:solidFill>
          </w14:textFill>
        </w:rPr>
        <w:t>方负担。</w:t>
      </w:r>
    </w:p>
    <w:p>
      <w:pPr>
        <w:pStyle w:val="9"/>
        <w:snapToGrid w:val="0"/>
        <w:spacing w:before="120" w:after="120" w:line="400" w:lineRule="exact"/>
        <w:ind w:left="412" w:hanging="412"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三</w:t>
      </w:r>
      <w:r>
        <w:rPr>
          <w:rFonts w:asciiTheme="minorEastAsia" w:hAnsiTheme="minorEastAsia" w:eastAsiaTheme="minorEastAsia"/>
          <w:b/>
          <w:color w:val="000000" w:themeColor="text1"/>
          <w:sz w:val="24"/>
          <w:highlight w:val="none"/>
          <w14:textFill>
            <w14:solidFill>
              <w14:schemeClr w14:val="tx1"/>
            </w14:solidFill>
          </w14:textFill>
        </w:rPr>
        <w:t>、质量保证及售后服务</w:t>
      </w:r>
    </w:p>
    <w:p>
      <w:pPr>
        <w:pStyle w:val="9"/>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乙方应按招标文件规定的货物性能、技术要求、质量标准向甲方提供未经使用的全新产品。</w:t>
      </w:r>
    </w:p>
    <w:p>
      <w:pPr>
        <w:pStyle w:val="9"/>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乙方提供的货物在质</w:t>
      </w:r>
      <w:r>
        <w:rPr>
          <w:rFonts w:hint="eastAsia" w:asciiTheme="minorEastAsia" w:hAnsiTheme="minorEastAsia" w:eastAsiaTheme="minorEastAsia"/>
          <w:color w:val="000000" w:themeColor="text1"/>
          <w:sz w:val="24"/>
          <w:highlight w:val="none"/>
          <w14:textFill>
            <w14:solidFill>
              <w14:schemeClr w14:val="tx1"/>
            </w14:solidFill>
          </w14:textFill>
        </w:rPr>
        <w:t>保</w:t>
      </w:r>
      <w:r>
        <w:rPr>
          <w:rFonts w:asciiTheme="minorEastAsia" w:hAnsiTheme="minorEastAsia" w:eastAsiaTheme="minorEastAsia"/>
          <w:color w:val="000000" w:themeColor="text1"/>
          <w:sz w:val="24"/>
          <w:highlight w:val="none"/>
          <w14:textFill>
            <w14:solidFill>
              <w14:schemeClr w14:val="tx1"/>
            </w14:solidFill>
          </w14:textFill>
        </w:rPr>
        <w:t>期内因货物本身的质量问题发生故障，乙方应负责免费更换。对达不到技术要求者，根据实际情况，经双方协商，可按以下办法处理：</w:t>
      </w:r>
    </w:p>
    <w:p>
      <w:pPr>
        <w:pStyle w:val="9"/>
        <w:snapToGrid w:val="0"/>
        <w:spacing w:before="120" w:after="120" w:line="400" w:lineRule="exact"/>
        <w:ind w:firstLine="42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⑴更换：由乙方承担所发生的全部费用。</w:t>
      </w:r>
    </w:p>
    <w:p>
      <w:pPr>
        <w:pStyle w:val="9"/>
        <w:snapToGrid w:val="0"/>
        <w:spacing w:before="120" w:after="120" w:line="400" w:lineRule="exact"/>
        <w:ind w:firstLine="42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⑵贬值处理：由甲乙双方合议定价。</w:t>
      </w:r>
    </w:p>
    <w:p>
      <w:pPr>
        <w:pStyle w:val="9"/>
        <w:snapToGrid w:val="0"/>
        <w:spacing w:before="120" w:after="120" w:line="400" w:lineRule="exact"/>
        <w:ind w:left="420" w:left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⑶退货处理：乙方应退还甲方支付的合同款，同时应承担该货物的直接费用（运输、保险、检验、货款利息及银行手续费等）。</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如在使用过程中发生质量问题，乙方在接到甲方通知后在</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asciiTheme="minorEastAsia" w:hAnsiTheme="minorEastAsia" w:eastAsiaTheme="minorEastAsia"/>
          <w:color w:val="000000" w:themeColor="text1"/>
          <w:sz w:val="24"/>
          <w:highlight w:val="none"/>
          <w14:textFill>
            <w14:solidFill>
              <w14:schemeClr w14:val="tx1"/>
            </w14:solidFill>
          </w14:textFill>
        </w:rPr>
        <w:t>小时内到达甲方</w:t>
      </w:r>
    </w:p>
    <w:p>
      <w:pPr>
        <w:pStyle w:val="9"/>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现场。</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在质保期内，乙方应对货物出现的质量及安全问题负责处理解决并承担一切</w:t>
      </w:r>
    </w:p>
    <w:p>
      <w:pPr>
        <w:pStyle w:val="9"/>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费用。</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上述的货物免费保修期为年，因人为因素出现的故障不在免费保修范围</w:t>
      </w:r>
    </w:p>
    <w:p>
      <w:pPr>
        <w:pStyle w:val="9"/>
        <w:snapToGrid w:val="0"/>
        <w:spacing w:before="120" w:after="120" w:line="400" w:lineRule="exact"/>
        <w:ind w:firstLine="240" w:firstLineChars="1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内。超过保修期的机器设备，终生维修，维修时只收部件成本费。</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四</w:t>
      </w:r>
      <w:r>
        <w:rPr>
          <w:rFonts w:asciiTheme="minorEastAsia" w:hAnsiTheme="minorEastAsia" w:eastAsiaTheme="minorEastAsia"/>
          <w:b/>
          <w:color w:val="000000" w:themeColor="text1"/>
          <w:sz w:val="24"/>
          <w:highlight w:val="none"/>
          <w14:textFill>
            <w14:solidFill>
              <w14:schemeClr w14:val="tx1"/>
            </w14:solidFill>
          </w14:textFill>
        </w:rPr>
        <w:t>、调试和验收</w:t>
      </w:r>
    </w:p>
    <w:p>
      <w:pPr>
        <w:pStyle w:val="9"/>
        <w:snapToGrid w:val="0"/>
        <w:spacing w:before="120" w:after="120" w:line="400" w:lineRule="exact"/>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甲方对乙方提交的货物依据招标文件上的技术规格要求和国家有关质量标准</w:t>
      </w:r>
    </w:p>
    <w:p>
      <w:pPr>
        <w:pStyle w:val="9"/>
        <w:snapToGrid w:val="0"/>
        <w:spacing w:before="120" w:after="120" w:line="400" w:lineRule="exact"/>
        <w:ind w:firstLine="360" w:firstLineChars="150"/>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进行现场初步验收，外观、说明书符合招标文件技术要求的，给予签收，初</w:t>
      </w:r>
    </w:p>
    <w:p>
      <w:pPr>
        <w:pStyle w:val="9"/>
        <w:snapToGrid w:val="0"/>
        <w:spacing w:before="120" w:after="120" w:line="400" w:lineRule="exact"/>
        <w:ind w:firstLine="360" w:firstLineChars="150"/>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步验收不合格的不予签收。货到后，甲方需在</w:t>
      </w:r>
      <w:r>
        <w:rPr>
          <w:rFonts w:hint="eastAsia" w:asciiTheme="minorEastAsia" w:hAnsiTheme="minorEastAsia" w:eastAsiaTheme="minorEastAsia"/>
          <w:color w:val="000000" w:themeColor="text1"/>
          <w:sz w:val="24"/>
          <w:highlight w:val="none"/>
          <w:u w:val="single"/>
          <w14:textFill>
            <w14:solidFill>
              <w14:schemeClr w14:val="tx1"/>
            </w14:solidFill>
          </w14:textFill>
        </w:rPr>
        <w:t>五</w:t>
      </w:r>
      <w:r>
        <w:rPr>
          <w:rFonts w:hint="eastAsia" w:asciiTheme="minorEastAsia" w:hAnsiTheme="minorEastAsia" w:eastAsiaTheme="minorEastAsia"/>
          <w:color w:val="000000" w:themeColor="text1"/>
          <w:sz w:val="24"/>
          <w:highlight w:val="none"/>
          <w14:textFill>
            <w14:solidFill>
              <w14:schemeClr w14:val="tx1"/>
            </w14:solidFill>
          </w14:textFill>
        </w:rPr>
        <w:t>个</w:t>
      </w:r>
      <w:r>
        <w:rPr>
          <w:rFonts w:asciiTheme="minorEastAsia" w:hAnsiTheme="minorEastAsia" w:eastAsiaTheme="minorEastAsia"/>
          <w:color w:val="000000" w:themeColor="text1"/>
          <w:sz w:val="24"/>
          <w:highlight w:val="none"/>
          <w14:textFill>
            <w14:solidFill>
              <w14:schemeClr w14:val="tx1"/>
            </w14:solidFill>
          </w14:textFill>
        </w:rPr>
        <w:t>工作日内验收。</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乙方交货前应对产品作出全面检查和对验收文件进行整理，并列出清单，作</w:t>
      </w:r>
    </w:p>
    <w:p>
      <w:pPr>
        <w:pStyle w:val="9"/>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为甲方收货验收和使用的技术条件依据，检验的结果应随货物交甲方。</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甲方对乙方提供的货物在使用前进行调试时，乙方需负责安装并培训甲方的</w:t>
      </w:r>
    </w:p>
    <w:p>
      <w:pPr>
        <w:pStyle w:val="9"/>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使用操作人员，并协助甲方一起调试，直到符合技术要求，甲方才做最终验</w:t>
      </w:r>
    </w:p>
    <w:p>
      <w:pPr>
        <w:pStyle w:val="9"/>
        <w:snapToGrid w:val="0"/>
        <w:spacing w:before="120" w:after="120" w:line="400" w:lineRule="exact"/>
        <w:ind w:firstLine="360" w:firstLineChars="150"/>
        <w:rPr>
          <w:rFonts w:asciiTheme="minorEastAsia" w:hAnsiTheme="minorEastAsia" w:eastAsiaTheme="minorEastAsia"/>
          <w:color w:val="000000" w:themeColor="text1"/>
          <w:sz w:val="24"/>
          <w:highlight w:val="none"/>
          <w:u w:val="singl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收。</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对技术复杂的货物，甲方应请国家认可的专业检测机构参与初步验收及最终</w:t>
      </w:r>
    </w:p>
    <w:p>
      <w:pPr>
        <w:pStyle w:val="9"/>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验收，并由其出具质量检测报告。</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验收时乙方必须在现场，验收完毕后作出验收结果报告；验收费用由</w:t>
      </w:r>
      <w:r>
        <w:rPr>
          <w:rFonts w:hint="eastAsia" w:asciiTheme="minorEastAsia" w:hAnsiTheme="minorEastAsia" w:eastAsiaTheme="minorEastAsia"/>
          <w:color w:val="000000" w:themeColor="text1"/>
          <w:sz w:val="24"/>
          <w:highlight w:val="none"/>
          <w14:textFill>
            <w14:solidFill>
              <w14:schemeClr w14:val="tx1"/>
            </w14:solidFill>
          </w14:textFill>
        </w:rPr>
        <w:t>甲</w:t>
      </w:r>
      <w:r>
        <w:rPr>
          <w:rFonts w:asciiTheme="minorEastAsia" w:hAnsiTheme="minorEastAsia" w:eastAsiaTheme="minorEastAsia"/>
          <w:color w:val="000000" w:themeColor="text1"/>
          <w:sz w:val="24"/>
          <w:highlight w:val="none"/>
          <w14:textFill>
            <w14:solidFill>
              <w14:schemeClr w14:val="tx1"/>
            </w14:solidFill>
          </w14:textFill>
        </w:rPr>
        <w:t>方负</w:t>
      </w:r>
    </w:p>
    <w:p>
      <w:pPr>
        <w:pStyle w:val="9"/>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责。</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五</w:t>
      </w:r>
      <w:r>
        <w:rPr>
          <w:rFonts w:asciiTheme="minorEastAsia" w:hAnsiTheme="minorEastAsia" w:eastAsiaTheme="minorEastAsia"/>
          <w:b/>
          <w:color w:val="000000" w:themeColor="text1"/>
          <w:sz w:val="24"/>
          <w:highlight w:val="none"/>
          <w14:textFill>
            <w14:solidFill>
              <w14:schemeClr w14:val="tx1"/>
            </w14:solidFill>
          </w14:textFill>
        </w:rPr>
        <w:t>、货物包装、发运及运输</w:t>
      </w:r>
    </w:p>
    <w:p>
      <w:pPr>
        <w:pStyle w:val="9"/>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乙方应在货物发运前对其进行满足运输距离、防潮、防震、防锈和防破损装卸等要求包装，以保证货物安全运达甲方指定地点。</w:t>
      </w:r>
    </w:p>
    <w:p>
      <w:pPr>
        <w:pStyle w:val="9"/>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使用说明书、质量检验证明书、随配附件和工具以及清单一并附于货物内。</w:t>
      </w:r>
    </w:p>
    <w:p>
      <w:pPr>
        <w:pStyle w:val="9"/>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乙方在货物发运手续办理完毕后24小时内或货到甲方48小时前通知甲方，以准备接货。</w:t>
      </w:r>
    </w:p>
    <w:p>
      <w:pPr>
        <w:pStyle w:val="9"/>
        <w:snapToGrid w:val="0"/>
        <w:spacing w:before="120" w:after="120" w:line="400" w:lineRule="exact"/>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货物在交付甲方前发生的风险均由乙方负责。</w:t>
      </w:r>
    </w:p>
    <w:p>
      <w:pPr>
        <w:pStyle w:val="9"/>
        <w:snapToGrid w:val="0"/>
        <w:spacing w:line="400" w:lineRule="exact"/>
        <w:ind w:left="480" w:right="26"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货物在规定的交付期限内由乙方送达甲方指定的地点视为交付，乙方同时需</w:t>
      </w:r>
    </w:p>
    <w:p>
      <w:pPr>
        <w:pStyle w:val="9"/>
        <w:snapToGrid w:val="0"/>
        <w:spacing w:line="400" w:lineRule="exact"/>
        <w:ind w:left="479" w:leftChars="171" w:right="26" w:hanging="120" w:hangingChars="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通知甲方货物已送达。</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六</w:t>
      </w:r>
      <w:r>
        <w:rPr>
          <w:rFonts w:asciiTheme="minorEastAsia" w:hAnsiTheme="minorEastAsia" w:eastAsiaTheme="minorEastAsia"/>
          <w:b/>
          <w:color w:val="000000" w:themeColor="text1"/>
          <w:sz w:val="24"/>
          <w:highlight w:val="none"/>
          <w14:textFill>
            <w14:solidFill>
              <w14:schemeClr w14:val="tx1"/>
            </w14:solidFill>
          </w14:textFill>
        </w:rPr>
        <w:t>、违约责任</w:t>
      </w:r>
    </w:p>
    <w:p>
      <w:pPr>
        <w:pStyle w:val="9"/>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甲方无正当理由拒收货物的，甲方向乙方偿付拒收货款总值的</w:t>
      </w:r>
      <w:r>
        <w:rPr>
          <w:rFonts w:asciiTheme="minorEastAsia" w:hAnsiTheme="minorEastAsia" w:eastAsiaTheme="minorEastAsia"/>
          <w:color w:val="000000" w:themeColor="text1"/>
          <w:sz w:val="24"/>
          <w:highlight w:val="none"/>
          <w:u w:val="single"/>
          <w14:textFill>
            <w14:solidFill>
              <w14:schemeClr w14:val="tx1"/>
            </w14:solidFill>
          </w14:textFill>
        </w:rPr>
        <w:t>百分之五</w:t>
      </w:r>
      <w:r>
        <w:rPr>
          <w:rFonts w:asciiTheme="minorEastAsia" w:hAnsiTheme="minorEastAsia" w:eastAsiaTheme="minorEastAsia"/>
          <w:color w:val="000000" w:themeColor="text1"/>
          <w:sz w:val="24"/>
          <w:highlight w:val="none"/>
          <w14:textFill>
            <w14:solidFill>
              <w14:schemeClr w14:val="tx1"/>
            </w14:solidFill>
          </w14:textFill>
        </w:rPr>
        <w:t>违约金。</w:t>
      </w:r>
    </w:p>
    <w:p>
      <w:pPr>
        <w:pStyle w:val="9"/>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甲方无故逾期验收和办理货款支付手续的,甲方应按逾期付款总额每日</w:t>
      </w:r>
      <w:r>
        <w:rPr>
          <w:rFonts w:asciiTheme="minorEastAsia" w:hAnsiTheme="minorEastAsia" w:eastAsiaTheme="minorEastAsia"/>
          <w:color w:val="000000" w:themeColor="text1"/>
          <w:sz w:val="24"/>
          <w:highlight w:val="none"/>
          <w:u w:val="single"/>
          <w14:textFill>
            <w14:solidFill>
              <w14:schemeClr w14:val="tx1"/>
            </w14:solidFill>
          </w14:textFill>
        </w:rPr>
        <w:t>万分之五</w:t>
      </w:r>
      <w:r>
        <w:rPr>
          <w:rFonts w:asciiTheme="minorEastAsia" w:hAnsiTheme="minorEastAsia" w:eastAsiaTheme="minorEastAsia"/>
          <w:color w:val="000000" w:themeColor="text1"/>
          <w:sz w:val="24"/>
          <w:highlight w:val="none"/>
          <w14:textFill>
            <w14:solidFill>
              <w14:schemeClr w14:val="tx1"/>
            </w14:solidFill>
          </w14:textFill>
        </w:rPr>
        <w:t>向乙方支付违约金。</w:t>
      </w:r>
    </w:p>
    <w:p>
      <w:pPr>
        <w:pStyle w:val="9"/>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乙方逾期交付货物的，乙方应按逾期交货总额每日</w:t>
      </w:r>
      <w:r>
        <w:rPr>
          <w:rFonts w:asciiTheme="minorEastAsia" w:hAnsiTheme="minorEastAsia" w:eastAsiaTheme="minorEastAsia"/>
          <w:color w:val="000000" w:themeColor="text1"/>
          <w:sz w:val="24"/>
          <w:highlight w:val="none"/>
          <w:u w:val="single"/>
          <w14:textFill>
            <w14:solidFill>
              <w14:schemeClr w14:val="tx1"/>
            </w14:solidFill>
          </w14:textFill>
        </w:rPr>
        <w:t>千分之六</w:t>
      </w:r>
      <w:r>
        <w:rPr>
          <w:rFonts w:asciiTheme="minorEastAsia" w:hAnsiTheme="minorEastAsia" w:eastAsiaTheme="minorEastAsia"/>
          <w:color w:val="000000" w:themeColor="text1"/>
          <w:sz w:val="24"/>
          <w:highlight w:val="none"/>
          <w14:textFill>
            <w14:solidFill>
              <w14:schemeClr w14:val="tx1"/>
            </w14:solidFill>
          </w14:textFill>
        </w:rPr>
        <w:t>向甲方支付违约金，由甲方从待付货款中扣除。逾期超过约定日期</w:t>
      </w:r>
      <w:r>
        <w:rPr>
          <w:rFonts w:asciiTheme="minorEastAsia" w:hAnsiTheme="minorEastAsia" w:eastAsiaTheme="minorEastAsia"/>
          <w:color w:val="000000" w:themeColor="text1"/>
          <w:sz w:val="24"/>
          <w:highlight w:val="none"/>
          <w:u w:val="single"/>
          <w14:textFill>
            <w14:solidFill>
              <w14:schemeClr w14:val="tx1"/>
            </w14:solidFill>
          </w14:textFill>
        </w:rPr>
        <w:t>10</w:t>
      </w:r>
      <w:r>
        <w:rPr>
          <w:rFonts w:asciiTheme="minorEastAsia" w:hAnsiTheme="minorEastAsia" w:eastAsiaTheme="minorEastAsia"/>
          <w:color w:val="000000" w:themeColor="text1"/>
          <w:sz w:val="24"/>
          <w:highlight w:val="none"/>
          <w14:textFill>
            <w14:solidFill>
              <w14:schemeClr w14:val="tx1"/>
            </w14:solidFill>
          </w14:textFill>
        </w:rPr>
        <w:t>个工作日不能交货的，甲方可解除本合同。乙方因逾期交货或因其他违约行为导致甲方解除合同的，乙方应向甲方支付合同总值</w:t>
      </w:r>
      <w:r>
        <w:rPr>
          <w:rFonts w:asciiTheme="minorEastAsia" w:hAnsiTheme="minorEastAsia" w:eastAsiaTheme="minorEastAsia"/>
          <w:color w:val="000000" w:themeColor="text1"/>
          <w:sz w:val="24"/>
          <w:highlight w:val="none"/>
          <w:u w:val="singl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 xml:space="preserve">的违约金，如造成甲方损失超过违约金的，超出部分由乙方继续承担赔偿责任。 </w:t>
      </w:r>
    </w:p>
    <w:p>
      <w:pPr>
        <w:pStyle w:val="9"/>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9"/>
        <w:snapToGrid w:val="0"/>
        <w:spacing w:before="120" w:after="120" w:line="400" w:lineRule="exact"/>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5.若发生纠纷，由违约方赔偿守约方因纠纷所支付的费用（包括但不限于律师费、差旅费、诉讼费、保全费、鉴定费、评估费等）</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七</w:t>
      </w:r>
      <w:r>
        <w:rPr>
          <w:rFonts w:asciiTheme="minorEastAsia" w:hAnsiTheme="minorEastAsia" w:eastAsiaTheme="minorEastAsia"/>
          <w:b/>
          <w:color w:val="000000" w:themeColor="text1"/>
          <w:sz w:val="24"/>
          <w:highlight w:val="none"/>
          <w14:textFill>
            <w14:solidFill>
              <w14:schemeClr w14:val="tx1"/>
            </w14:solidFill>
          </w14:textFill>
        </w:rPr>
        <w:t>、不可抗力事件处理</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在合同有效期内，任何一方因不可抗力事件导致不能履行合同，则合同履行</w:t>
      </w:r>
    </w:p>
    <w:p>
      <w:pPr>
        <w:pStyle w:val="9"/>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期可延长，其延长期与不可抗力影响期相同。</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不可抗力事件发生后，应立即通知对方，并寄送有关权威机构出具的证明。</w:t>
      </w:r>
    </w:p>
    <w:p>
      <w:pPr>
        <w:pStyle w:val="9"/>
        <w:snapToGrid w:val="0"/>
        <w:spacing w:before="120" w:after="120"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 xml:space="preserve"> 不可抗力事件延续120天以上，双方应通过友好协商，确定是否继续履行合</w:t>
      </w:r>
    </w:p>
    <w:p>
      <w:pPr>
        <w:pStyle w:val="9"/>
        <w:snapToGrid w:val="0"/>
        <w:spacing w:before="120" w:after="120" w:line="400" w:lineRule="exact"/>
        <w:ind w:firstLine="360" w:firstLineChars="15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同。</w:t>
      </w:r>
    </w:p>
    <w:p>
      <w:pPr>
        <w:pStyle w:val="9"/>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八</w:t>
      </w:r>
      <w:r>
        <w:rPr>
          <w:rFonts w:asciiTheme="minorEastAsia" w:hAnsiTheme="minorEastAsia" w:eastAsiaTheme="minorEastAsia"/>
          <w:b/>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解决争议的方法</w:t>
      </w:r>
    </w:p>
    <w:p>
      <w:pPr>
        <w:widowControl/>
        <w:spacing w:line="400" w:lineRule="exact"/>
        <w:jc w:val="left"/>
        <w:rPr>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1. </w:t>
      </w:r>
      <w:r>
        <w:rPr>
          <w:rFonts w:ascii="宋体" w:hAnsi="宋体" w:cs="宋体"/>
          <w:color w:val="000000" w:themeColor="text1"/>
          <w:kern w:val="0"/>
          <w:sz w:val="24"/>
          <w:highlight w:val="none"/>
          <w14:textFill>
            <w14:solidFill>
              <w14:schemeClr w14:val="tx1"/>
            </w14:solidFill>
          </w14:textFill>
        </w:rPr>
        <w:t>如双方在履行合同时发生纠纷，应协商解决；协商不成时，可提请政府采购管理部门调解；调解不成的</w:t>
      </w:r>
      <w:r>
        <w:rPr>
          <w:rFonts w:hint="eastAsia" w:ascii="宋体" w:hAnsi="宋体" w:cs="宋体"/>
          <w:color w:val="000000" w:themeColor="text1"/>
          <w:kern w:val="0"/>
          <w:sz w:val="24"/>
          <w:highlight w:val="none"/>
          <w14:textFill>
            <w14:solidFill>
              <w14:schemeClr w14:val="tx1"/>
            </w14:solidFill>
          </w14:textFill>
        </w:rPr>
        <w:t>，</w:t>
      </w:r>
      <w:r>
        <w:rPr>
          <w:rFonts w:ascii="宋体" w:hAnsi="宋体" w:cs="宋体"/>
          <w:color w:val="000000" w:themeColor="text1"/>
          <w:kern w:val="0"/>
          <w:sz w:val="24"/>
          <w:highlight w:val="none"/>
          <w14:textFill>
            <w14:solidFill>
              <w14:schemeClr w14:val="tx1"/>
            </w14:solidFill>
          </w14:textFill>
        </w:rPr>
        <w:t xml:space="preserve"> 依法向</w:t>
      </w:r>
      <w:r>
        <w:rPr>
          <w:rFonts w:hint="eastAsia" w:ascii="宋体" w:hAnsi="宋体" w:cs="宋体"/>
          <w:color w:val="000000" w:themeColor="text1"/>
          <w:kern w:val="0"/>
          <w:sz w:val="24"/>
          <w:highlight w:val="none"/>
          <w14:textFill>
            <w14:solidFill>
              <w14:schemeClr w14:val="tx1"/>
            </w14:solidFill>
          </w14:textFill>
        </w:rPr>
        <w:t>玉环市</w:t>
      </w:r>
      <w:r>
        <w:rPr>
          <w:rFonts w:ascii="宋体" w:hAnsi="宋体" w:cs="宋体"/>
          <w:color w:val="000000" w:themeColor="text1"/>
          <w:kern w:val="0"/>
          <w:sz w:val="24"/>
          <w:highlight w:val="none"/>
          <w14:textFill>
            <w14:solidFill>
              <w14:schemeClr w14:val="tx1"/>
            </w14:solidFill>
          </w14:textFill>
        </w:rPr>
        <w:t xml:space="preserve">人民法院提起诉讼。 </w:t>
      </w:r>
    </w:p>
    <w:p>
      <w:pPr>
        <w:pStyle w:val="9"/>
        <w:tabs>
          <w:tab w:val="left" w:pos="5790"/>
        </w:tabs>
        <w:snapToGrid w:val="0"/>
        <w:spacing w:before="120" w:after="120" w:line="400" w:lineRule="exact"/>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w:t>
      </w:r>
      <w:r>
        <w:rPr>
          <w:rFonts w:hint="eastAsia" w:asciiTheme="minorEastAsia" w:hAnsiTheme="minorEastAsia" w:eastAsiaTheme="minorEastAsia"/>
          <w:b/>
          <w:color w:val="000000" w:themeColor="text1"/>
          <w:sz w:val="24"/>
          <w:highlight w:val="none"/>
          <w14:textFill>
            <w14:solidFill>
              <w14:schemeClr w14:val="tx1"/>
            </w14:solidFill>
          </w14:textFill>
        </w:rPr>
        <w:t>九</w:t>
      </w:r>
      <w:r>
        <w:rPr>
          <w:rFonts w:asciiTheme="minorEastAsia" w:hAnsiTheme="minorEastAsia" w:eastAsiaTheme="minorEastAsia"/>
          <w:b/>
          <w:color w:val="000000" w:themeColor="text1"/>
          <w:sz w:val="24"/>
          <w:highlight w:val="none"/>
          <w14:textFill>
            <w14:solidFill>
              <w14:schemeClr w14:val="tx1"/>
            </w14:solidFill>
          </w14:textFill>
        </w:rPr>
        <w:t>、合同生效及其它</w:t>
      </w:r>
      <w:r>
        <w:rPr>
          <w:rFonts w:asciiTheme="minorEastAsia" w:hAnsiTheme="minorEastAsia" w:eastAsiaTheme="minorEastAsia"/>
          <w:b/>
          <w:color w:val="000000" w:themeColor="text1"/>
          <w:sz w:val="24"/>
          <w:highlight w:val="none"/>
          <w14:textFill>
            <w14:solidFill>
              <w14:schemeClr w14:val="tx1"/>
            </w14:solidFill>
          </w14:textFill>
        </w:rPr>
        <w:tab/>
      </w:r>
    </w:p>
    <w:p>
      <w:pPr>
        <w:pStyle w:val="2"/>
        <w:widowControl/>
        <w:spacing w:line="400" w:lineRule="exact"/>
        <w:ind w:right="-88"/>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t>1</w:t>
      </w:r>
      <w:r>
        <w:rPr>
          <w:rFonts w:hint="eastAsia" w:asciiTheme="minorEastAsia" w:hAnsiTheme="minorEastAsia" w:eastAsiaTheme="minorEastAsia"/>
          <w:color w:val="000000" w:themeColor="text1"/>
          <w:highlight w:val="none"/>
          <w14:textFill>
            <w14:solidFill>
              <w14:schemeClr w14:val="tx1"/>
            </w14:solidFill>
          </w14:textFill>
        </w:rPr>
        <w:t>.</w:t>
      </w:r>
      <w:r>
        <w:rPr>
          <w:rFonts w:asciiTheme="minorEastAsia" w:hAnsiTheme="minorEastAsia" w:eastAsiaTheme="minorEastAsia"/>
          <w:color w:val="000000" w:themeColor="text1"/>
          <w:highlight w:val="none"/>
          <w14:textFill>
            <w14:solidFill>
              <w14:schemeClr w14:val="tx1"/>
            </w14:solidFill>
          </w14:textFill>
        </w:rPr>
        <w:t xml:space="preserve"> 合同经双方法定代表人或授权代表</w:t>
      </w:r>
      <w:r>
        <w:rPr>
          <w:rFonts w:hint="eastAsia" w:asciiTheme="minorEastAsia" w:hAnsiTheme="minorEastAsia" w:eastAsiaTheme="minorEastAsia"/>
          <w:color w:val="000000" w:themeColor="text1"/>
          <w:highlight w:val="none"/>
          <w14:textFill>
            <w14:solidFill>
              <w14:schemeClr w14:val="tx1"/>
            </w14:solidFill>
          </w14:textFill>
        </w:rPr>
        <w:t>签字</w:t>
      </w:r>
      <w:r>
        <w:rPr>
          <w:rFonts w:asciiTheme="minorEastAsia" w:hAnsiTheme="minorEastAsia" w:eastAsiaTheme="minorEastAsia"/>
          <w:color w:val="000000" w:themeColor="text1"/>
          <w:highlight w:val="none"/>
          <w14:textFill>
            <w14:solidFill>
              <w14:schemeClr w14:val="tx1"/>
            </w14:solidFill>
          </w14:textFill>
        </w:rPr>
        <w:t>并加盖单位公章后生效。</w:t>
      </w:r>
    </w:p>
    <w:p>
      <w:pPr>
        <w:pStyle w:val="2"/>
        <w:widowControl/>
        <w:spacing w:line="400" w:lineRule="exact"/>
        <w:ind w:right="-88"/>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 xml:space="preserve">2. </w:t>
      </w:r>
      <w:r>
        <w:rPr>
          <w:rFonts w:asciiTheme="minorEastAsia" w:hAnsiTheme="minorEastAsia" w:eastAsiaTheme="minorEastAsia"/>
          <w:color w:val="000000" w:themeColor="text1"/>
          <w:highlight w:val="none"/>
          <w14:textFill>
            <w14:solidFill>
              <w14:schemeClr w14:val="tx1"/>
            </w14:solidFill>
          </w14:textFill>
        </w:rPr>
        <w:t>本合同未尽事宜，遵照《合同法》有关条文执行。</w:t>
      </w:r>
    </w:p>
    <w:p>
      <w:pPr>
        <w:pStyle w:val="2"/>
        <w:widowControl/>
        <w:spacing w:line="400" w:lineRule="exact"/>
        <w:ind w:right="-88"/>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 本合同一式四份。甲、乙双方各执一份，</w:t>
      </w:r>
      <w:r>
        <w:rPr>
          <w:rFonts w:hint="eastAsia" w:ascii="宋体" w:hAnsi="宋体"/>
          <w:color w:val="000000" w:themeColor="text1"/>
          <w:highlight w:val="none"/>
          <w14:textFill>
            <w14:solidFill>
              <w14:schemeClr w14:val="tx1"/>
            </w14:solidFill>
          </w14:textFill>
        </w:rPr>
        <w:t>采购组织机构及同级人民政府财政部门各执一份</w:t>
      </w:r>
      <w:r>
        <w:rPr>
          <w:rFonts w:hint="eastAsia" w:asciiTheme="minorEastAsia" w:hAnsiTheme="minorEastAsia" w:eastAsiaTheme="minorEastAsia"/>
          <w:color w:val="000000" w:themeColor="text1"/>
          <w:highlight w:val="none"/>
          <w14:textFill>
            <w14:solidFill>
              <w14:schemeClr w14:val="tx1"/>
            </w14:solidFill>
          </w14:textFill>
        </w:rPr>
        <w:t>。本项目未尽事宜以招标文件、投标文件及澄清文件等为准。</w:t>
      </w:r>
    </w:p>
    <w:p>
      <w:pPr>
        <w:widowControl/>
        <w:spacing w:line="400" w:lineRule="exact"/>
        <w:rPr>
          <w:rFonts w:asciiTheme="minorEastAsia" w:hAnsiTheme="minorEastAsia" w:eastAsiaTheme="minorEastAsia"/>
          <w:b/>
          <w:color w:val="000000" w:themeColor="text1"/>
          <w:sz w:val="24"/>
          <w:highlight w:val="none"/>
          <w14:textFill>
            <w14:solidFill>
              <w14:schemeClr w14:val="tx1"/>
            </w14:solidFill>
          </w14:textFill>
        </w:rPr>
      </w:pPr>
    </w:p>
    <w:p>
      <w:pPr>
        <w:widowControl/>
        <w:spacing w:line="400" w:lineRule="exact"/>
        <w:rPr>
          <w:rFonts w:asciiTheme="minorEastAsia" w:hAnsiTheme="minorEastAsia" w:eastAsiaTheme="minorEastAsia"/>
          <w:b/>
          <w:color w:val="000000" w:themeColor="text1"/>
          <w:sz w:val="24"/>
          <w:highlight w:val="none"/>
          <w14:textFill>
            <w14:solidFill>
              <w14:schemeClr w14:val="tx1"/>
            </w14:solidFill>
          </w14:textFill>
        </w:rPr>
      </w:pP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甲方（公章）                                     乙方（公章）</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法定代表人：                                     法定代表人：</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委托代理人：                                     委托代理人：</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联系电话：                                       联系电话：</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开户银行：                                       开户银行：</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帐号：                                           帐号：</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地址及邮编：                                     地址及邮编：</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p>
    <w:p>
      <w:pPr>
        <w:spacing w:line="400" w:lineRule="exact"/>
        <w:ind w:firstLine="4920" w:firstLineChars="205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签订时间：    年   月    日</w:t>
      </w:r>
    </w:p>
    <w:p>
      <w:pPr>
        <w:spacing w:line="360" w:lineRule="auto"/>
        <w:rPr>
          <w:rFonts w:asciiTheme="minorEastAsia" w:hAnsiTheme="minorEastAsia" w:eastAsiaTheme="minorEastAsia"/>
          <w:color w:val="000000" w:themeColor="text1"/>
          <w:sz w:val="24"/>
          <w:highlight w:val="none"/>
          <w14:textFill>
            <w14:solidFill>
              <w14:schemeClr w14:val="tx1"/>
            </w14:solidFill>
          </w14:textFill>
        </w:rPr>
      </w:pPr>
    </w:p>
    <w:p>
      <w:pPr>
        <w:spacing w:line="360" w:lineRule="auto"/>
        <w:rPr>
          <w:rFonts w:asciiTheme="minorEastAsia" w:hAnsiTheme="minorEastAsia" w:eastAsiaTheme="minorEastAsia"/>
          <w:color w:val="000000" w:themeColor="text1"/>
          <w:sz w:val="24"/>
          <w:highlight w:val="none"/>
          <w14:textFill>
            <w14:solidFill>
              <w14:schemeClr w14:val="tx1"/>
            </w14:solidFill>
          </w14:textFill>
        </w:rPr>
      </w:pPr>
    </w:p>
    <w:p>
      <w:pPr>
        <w:pStyle w:val="2"/>
        <w:rPr>
          <w:rFonts w:asciiTheme="minorEastAsia" w:hAnsiTheme="minorEastAsia" w:eastAsiaTheme="minorEastAsia"/>
          <w:color w:val="000000" w:themeColor="text1"/>
          <w:highlight w:val="none"/>
          <w14:textFill>
            <w14:solidFill>
              <w14:schemeClr w14:val="tx1"/>
            </w14:solidFill>
          </w14:textFill>
        </w:rPr>
      </w:pPr>
    </w:p>
    <w:p>
      <w:pPr>
        <w:pStyle w:val="2"/>
        <w:rPr>
          <w:rFonts w:asciiTheme="minorEastAsia" w:hAnsiTheme="minorEastAsia" w:eastAsiaTheme="minorEastAsia"/>
          <w:color w:val="000000" w:themeColor="text1"/>
          <w:highlight w:val="none"/>
          <w14:textFill>
            <w14:solidFill>
              <w14:schemeClr w14:val="tx1"/>
            </w14:solidFill>
          </w14:textFill>
        </w:rPr>
      </w:pPr>
    </w:p>
    <w:p>
      <w:pPr>
        <w:pStyle w:val="2"/>
        <w:rPr>
          <w:rFonts w:asciiTheme="minorEastAsia" w:hAnsiTheme="minorEastAsia" w:eastAsiaTheme="minorEastAsia"/>
          <w:color w:val="000000" w:themeColor="text1"/>
          <w:highlight w:val="none"/>
          <w14:textFill>
            <w14:solidFill>
              <w14:schemeClr w14:val="tx1"/>
            </w14:solidFill>
          </w14:textFill>
        </w:rPr>
      </w:pPr>
    </w:p>
    <w:p>
      <w:pPr>
        <w:pStyle w:val="2"/>
        <w:rPr>
          <w:rFonts w:asciiTheme="minorEastAsia" w:hAnsiTheme="minorEastAsia" w:eastAsiaTheme="minorEastAsia"/>
          <w:color w:val="000000" w:themeColor="text1"/>
          <w:highlight w:val="none"/>
          <w14:textFill>
            <w14:solidFill>
              <w14:schemeClr w14:val="tx1"/>
            </w14:solidFill>
          </w14:textFill>
        </w:rPr>
      </w:pPr>
    </w:p>
    <w:p>
      <w:pPr>
        <w:pStyle w:val="2"/>
        <w:rPr>
          <w:rFonts w:asciiTheme="minorEastAsia" w:hAnsiTheme="minorEastAsia" w:eastAsiaTheme="minorEastAsia"/>
          <w:color w:val="000000" w:themeColor="text1"/>
          <w:highlight w:val="none"/>
          <w14:textFill>
            <w14:solidFill>
              <w14:schemeClr w14:val="tx1"/>
            </w14:solidFill>
          </w14:textFill>
        </w:rPr>
      </w:pPr>
    </w:p>
    <w:p>
      <w:pPr>
        <w:pStyle w:val="2"/>
        <w:rPr>
          <w:rFonts w:asciiTheme="minorEastAsia" w:hAnsiTheme="minorEastAsia" w:eastAsiaTheme="minorEastAsia"/>
          <w:color w:val="000000" w:themeColor="text1"/>
          <w:highlight w:val="none"/>
          <w14:textFill>
            <w14:solidFill>
              <w14:schemeClr w14:val="tx1"/>
            </w14:solidFill>
          </w14:textFill>
        </w:rPr>
      </w:pPr>
    </w:p>
    <w:p>
      <w:pPr>
        <w:pStyle w:val="2"/>
        <w:rPr>
          <w:rFonts w:asciiTheme="minorEastAsia" w:hAnsiTheme="minorEastAsia" w:eastAsiaTheme="minorEastAsia"/>
          <w:color w:val="000000" w:themeColor="text1"/>
          <w:highlight w:val="none"/>
          <w14:textFill>
            <w14:solidFill>
              <w14:schemeClr w14:val="tx1"/>
            </w14:solidFill>
          </w14:textFill>
        </w:rPr>
      </w:pPr>
    </w:p>
    <w:p>
      <w:pPr>
        <w:pStyle w:val="2"/>
        <w:rPr>
          <w:rFonts w:asciiTheme="minorEastAsia" w:hAnsiTheme="minorEastAsia" w:eastAsiaTheme="minorEastAsia"/>
          <w:color w:val="000000" w:themeColor="text1"/>
          <w:highlight w:val="none"/>
          <w14:textFill>
            <w14:solidFill>
              <w14:schemeClr w14:val="tx1"/>
            </w14:solidFill>
          </w14:textFill>
        </w:rPr>
      </w:pPr>
    </w:p>
    <w:p>
      <w:pPr>
        <w:pStyle w:val="2"/>
        <w:rPr>
          <w:rFonts w:asciiTheme="minorEastAsia" w:hAnsiTheme="minorEastAsia" w:eastAsiaTheme="minorEastAsia"/>
          <w:color w:val="000000" w:themeColor="text1"/>
          <w:highlight w:val="none"/>
          <w14:textFill>
            <w14:solidFill>
              <w14:schemeClr w14:val="tx1"/>
            </w14:solidFill>
          </w14:textFill>
        </w:rPr>
      </w:pPr>
    </w:p>
    <w:p>
      <w:pPr>
        <w:spacing w:line="360" w:lineRule="auto"/>
        <w:rPr>
          <w:rFonts w:asciiTheme="minorEastAsia" w:hAnsiTheme="minorEastAsia" w:eastAsiaTheme="minorEastAsia"/>
          <w:color w:val="000000" w:themeColor="text1"/>
          <w:sz w:val="24"/>
          <w:highlight w:val="none"/>
          <w14:textFill>
            <w14:solidFill>
              <w14:schemeClr w14:val="tx1"/>
            </w14:solidFill>
          </w14:textFill>
        </w:rPr>
      </w:pPr>
    </w:p>
    <w:p>
      <w:pPr>
        <w:spacing w:line="360" w:lineRule="auto"/>
        <w:jc w:val="left"/>
        <w:rPr>
          <w:rFonts w:asciiTheme="majorEastAsia" w:hAnsiTheme="majorEastAsia" w:eastAsiaTheme="majorEastAsia"/>
          <w:color w:val="000000" w:themeColor="text1"/>
          <w:sz w:val="28"/>
          <w:szCs w:val="28"/>
          <w:highlight w:val="none"/>
          <w14:textFill>
            <w14:solidFill>
              <w14:schemeClr w14:val="tx1"/>
            </w14:solidFill>
          </w14:textFill>
        </w:rPr>
      </w:pPr>
    </w:p>
    <w:p>
      <w:pPr>
        <w:pStyle w:val="2"/>
        <w:rPr>
          <w:rFonts w:asciiTheme="majorEastAsia" w:hAnsiTheme="majorEastAsia" w:eastAsiaTheme="majorEastAsia"/>
          <w:color w:val="000000" w:themeColor="text1"/>
          <w:sz w:val="28"/>
          <w:szCs w:val="28"/>
          <w:highlight w:val="none"/>
          <w14:textFill>
            <w14:solidFill>
              <w14:schemeClr w14:val="tx1"/>
            </w14:solidFill>
          </w14:textFill>
        </w:rPr>
      </w:pPr>
    </w:p>
    <w:p>
      <w:pPr>
        <w:pStyle w:val="2"/>
        <w:rPr>
          <w:rFonts w:asciiTheme="majorEastAsia" w:hAnsiTheme="majorEastAsia" w:eastAsiaTheme="majorEastAsia"/>
          <w:color w:val="000000" w:themeColor="text1"/>
          <w:sz w:val="28"/>
          <w:szCs w:val="28"/>
          <w:highlight w:val="none"/>
          <w14:textFill>
            <w14:solidFill>
              <w14:schemeClr w14:val="tx1"/>
            </w14:solidFill>
          </w14:textFill>
        </w:rPr>
      </w:pPr>
    </w:p>
    <w:p>
      <w:pPr>
        <w:pStyle w:val="2"/>
        <w:rPr>
          <w:rFonts w:asciiTheme="majorEastAsia" w:hAnsiTheme="majorEastAsia" w:eastAsiaTheme="majorEastAsia"/>
          <w:color w:val="000000" w:themeColor="text1"/>
          <w:sz w:val="28"/>
          <w:szCs w:val="28"/>
          <w:highlight w:val="none"/>
          <w14:textFill>
            <w14:solidFill>
              <w14:schemeClr w14:val="tx1"/>
            </w14:solidFill>
          </w14:textFill>
        </w:rPr>
      </w:pPr>
    </w:p>
    <w:p>
      <w:pPr>
        <w:pStyle w:val="2"/>
        <w:rPr>
          <w:rFonts w:asciiTheme="majorEastAsia" w:hAnsiTheme="majorEastAsia" w:eastAsiaTheme="majorEastAsia"/>
          <w:color w:val="000000" w:themeColor="text1"/>
          <w:sz w:val="28"/>
          <w:szCs w:val="28"/>
          <w:highlight w:val="none"/>
          <w14:textFill>
            <w14:solidFill>
              <w14:schemeClr w14:val="tx1"/>
            </w14:solidFill>
          </w14:textFill>
        </w:rPr>
      </w:pPr>
    </w:p>
    <w:p>
      <w:pPr>
        <w:numPr>
          <w:ilvl w:val="0"/>
          <w:numId w:val="3"/>
        </w:numPr>
        <w:spacing w:line="360" w:lineRule="auto"/>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投标文件格式附件</w:t>
      </w:r>
    </w:p>
    <w:p>
      <w:pPr>
        <w:rPr>
          <w:rFonts w:ascii="宋体" w:hAnsi="宋体"/>
          <w:b/>
          <w:color w:val="000000" w:themeColor="text1"/>
          <w:kern w:val="0"/>
          <w:sz w:val="28"/>
          <w:szCs w:val="28"/>
          <w:highlight w:val="none"/>
          <w14:textFill>
            <w14:solidFill>
              <w14:schemeClr w14:val="tx1"/>
            </w14:solidFill>
          </w14:textFill>
        </w:rPr>
      </w:pPr>
      <w:r>
        <w:rPr>
          <w:rFonts w:hint="eastAsia" w:ascii="宋体" w:hAnsi="宋体"/>
          <w:b/>
          <w:color w:val="000000" w:themeColor="text1"/>
          <w:kern w:val="0"/>
          <w:sz w:val="28"/>
          <w:szCs w:val="28"/>
          <w:highlight w:val="none"/>
          <w14:textFill>
            <w14:solidFill>
              <w14:schemeClr w14:val="tx1"/>
            </w14:solidFill>
          </w14:textFill>
        </w:rPr>
        <w:t>附件1</w:t>
      </w:r>
      <w:r>
        <w:rPr>
          <w:rFonts w:hint="eastAsia" w:ascii="宋体" w:hAnsi="宋体"/>
          <w:b/>
          <w:color w:val="000000" w:themeColor="text1"/>
          <w:sz w:val="30"/>
          <w:szCs w:val="30"/>
          <w:highlight w:val="none"/>
          <w14:textFill>
            <w14:solidFill>
              <w14:schemeClr w14:val="tx1"/>
            </w14:solidFill>
          </w14:textFill>
        </w:rPr>
        <w:t xml:space="preserve">                             </w:t>
      </w:r>
      <w:r>
        <w:rPr>
          <w:rFonts w:hint="eastAsia" w:ascii="宋体" w:hAnsi="宋体"/>
          <w:color w:val="000000" w:themeColor="text1"/>
          <w:sz w:val="30"/>
          <w:szCs w:val="30"/>
          <w:highlight w:val="none"/>
          <w14:textFill>
            <w14:solidFill>
              <w14:schemeClr w14:val="tx1"/>
            </w14:solidFill>
          </w14:textFill>
        </w:rPr>
        <w:t xml:space="preserve"> 　　　</w:t>
      </w:r>
      <w:r>
        <w:rPr>
          <w:rFonts w:hint="eastAsia" w:ascii="宋体" w:hAnsi="宋体"/>
          <w:b/>
          <w:color w:val="000000" w:themeColor="text1"/>
          <w:sz w:val="28"/>
          <w:highlight w:val="none"/>
          <w14:textFill>
            <w14:solidFill>
              <w14:schemeClr w14:val="tx1"/>
            </w14:solidFill>
          </w14:textFill>
        </w:rPr>
        <w:t xml:space="preserve">        </w:t>
      </w:r>
      <w:r>
        <w:rPr>
          <w:rFonts w:hint="eastAsia" w:ascii="宋体" w:hAnsi="宋体"/>
          <w:b/>
          <w:color w:val="000000" w:themeColor="text1"/>
          <w:sz w:val="28"/>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本</w:t>
      </w:r>
    </w:p>
    <w:p>
      <w:pPr>
        <w:spacing w:line="360" w:lineRule="auto"/>
        <w:rPr>
          <w:rFonts w:asciiTheme="minorEastAsia" w:hAnsiTheme="minorEastAsia" w:eastAsiaTheme="minorEastAsia"/>
          <w:b/>
          <w:color w:val="000000" w:themeColor="text1"/>
          <w:sz w:val="30"/>
          <w:szCs w:val="30"/>
          <w:highlight w:val="none"/>
          <w14:textFill>
            <w14:solidFill>
              <w14:schemeClr w14:val="tx1"/>
            </w14:solidFill>
          </w14:textFill>
        </w:rPr>
      </w:pPr>
    </w:p>
    <w:p>
      <w:pPr>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玉环市中小学</w:t>
      </w:r>
    </w:p>
    <w:p>
      <w:pPr>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教学触控一体机项目</w:t>
      </w:r>
    </w:p>
    <w:p>
      <w:pPr>
        <w:spacing w:before="312" w:beforeLines="100" w:line="360" w:lineRule="auto"/>
        <w:ind w:right="-108"/>
        <w:jc w:val="center"/>
        <w:rPr>
          <w:rFonts w:hint="eastAsia" w:ascii="宋体" w:hAnsi="宋体" w:eastAsia="宋体"/>
          <w:color w:val="000000" w:themeColor="text1"/>
          <w:sz w:val="36"/>
          <w:szCs w:val="36"/>
          <w:highlight w:val="none"/>
          <w:lang w:eastAsia="zh-CN"/>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项目编号：</w:t>
      </w:r>
      <w:r>
        <w:rPr>
          <w:rFonts w:hint="eastAsia" w:ascii="宋体" w:hAnsi="宋体"/>
          <w:color w:val="000000" w:themeColor="text1"/>
          <w:sz w:val="36"/>
          <w:szCs w:val="36"/>
          <w:highlight w:val="none"/>
          <w:u w:val="single"/>
          <w:lang w:eastAsia="zh-CN"/>
          <w14:textFill>
            <w14:solidFill>
              <w14:schemeClr w14:val="tx1"/>
            </w14:solidFill>
          </w14:textFill>
        </w:rPr>
        <w:t>HQ-YHZFCG-2019-57</w:t>
      </w: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投</w:t>
      </w: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标</w:t>
      </w:r>
    </w:p>
    <w:p>
      <w:pPr>
        <w:autoSpaceDE w:val="0"/>
        <w:autoSpaceDN w:val="0"/>
        <w:adjustRightInd w:val="0"/>
        <w:spacing w:line="360" w:lineRule="auto"/>
        <w:jc w:val="center"/>
        <w:rPr>
          <w:rFonts w:ascii="宋体" w:hAnsi="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文</w:t>
      </w:r>
    </w:p>
    <w:p>
      <w:pPr>
        <w:spacing w:after="100" w:afterAutospacing="1" w:line="360" w:lineRule="auto"/>
        <w:ind w:right="-108"/>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件</w:t>
      </w:r>
    </w:p>
    <w:p>
      <w:pPr>
        <w:spacing w:after="100" w:afterAutospacing="1" w:line="360" w:lineRule="auto"/>
        <w:ind w:right="-108"/>
        <w:jc w:val="center"/>
        <w:rPr>
          <w:rFonts w:ascii="宋体" w:hAnsi="宋体"/>
          <w:b/>
          <w:color w:val="000000" w:themeColor="text1"/>
          <w:spacing w:val="40"/>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w:t>
      </w:r>
      <w:r>
        <w:rPr>
          <w:rFonts w:hint="eastAsia" w:ascii="宋体" w:hAnsi="宋体"/>
          <w:b/>
          <w:color w:val="000000" w:themeColor="text1"/>
          <w:spacing w:val="40"/>
          <w:sz w:val="28"/>
          <w:szCs w:val="28"/>
          <w:highlight w:val="none"/>
          <w14:textFill>
            <w14:solidFill>
              <w14:schemeClr w14:val="tx1"/>
            </w14:solidFill>
          </w14:textFill>
        </w:rPr>
        <w:t>资格证明文件）</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投标人全称（公章）：</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地    址：</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时    间：</w:t>
      </w:r>
    </w:p>
    <w:p>
      <w:pPr>
        <w:snapToGrid w:val="0"/>
        <w:spacing w:before="50" w:after="50" w:line="360" w:lineRule="auto"/>
        <w:jc w:val="center"/>
        <w:rPr>
          <w:rFonts w:ascii="宋体" w:hAnsi="宋体"/>
          <w:b/>
          <w:bCs/>
          <w:color w:val="000000" w:themeColor="text1"/>
          <w:sz w:val="36"/>
          <w:szCs w:val="36"/>
          <w:highlight w:val="none"/>
          <w14:textFill>
            <w14:solidFill>
              <w14:schemeClr w14:val="tx1"/>
            </w14:solidFill>
          </w14:textFill>
        </w:rPr>
      </w:pPr>
      <w:r>
        <w:rPr>
          <w:rFonts w:hint="eastAsia" w:ascii="宋体" w:hAnsi="宋体"/>
          <w:b/>
          <w:bCs/>
          <w:color w:val="000000" w:themeColor="text1"/>
          <w:sz w:val="36"/>
          <w:szCs w:val="36"/>
          <w:highlight w:val="none"/>
          <w14:textFill>
            <w14:solidFill>
              <w14:schemeClr w14:val="tx1"/>
            </w14:solidFill>
          </w14:textFill>
        </w:rPr>
        <w:t>资格证明文件目录</w:t>
      </w:r>
    </w:p>
    <w:p>
      <w:pPr>
        <w:snapToGrid w:val="0"/>
        <w:spacing w:before="50" w:after="50" w:line="360" w:lineRule="auto"/>
        <w:jc w:val="center"/>
        <w:rPr>
          <w:rFonts w:ascii="仿宋_GB2312" w:hAnsi="宋体" w:eastAsia="仿宋_GB2312"/>
          <w:b/>
          <w:bCs/>
          <w:color w:val="000000" w:themeColor="text1"/>
          <w:sz w:val="36"/>
          <w:szCs w:val="36"/>
          <w:highlight w:val="none"/>
          <w14:textFill>
            <w14:solidFill>
              <w14:schemeClr w14:val="tx1"/>
            </w14:solidFill>
          </w14:textFill>
        </w:rPr>
      </w:pPr>
    </w:p>
    <w:p>
      <w:pPr>
        <w:numPr>
          <w:ilvl w:val="0"/>
          <w:numId w:val="7"/>
        </w:numPr>
        <w:snapToGrid w:val="0"/>
        <w:spacing w:line="360" w:lineRule="auto"/>
        <w:ind w:firstLine="548" w:firstLineChars="196"/>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声明书（附件2）</w:t>
      </w:r>
    </w:p>
    <w:p>
      <w:pPr>
        <w:numPr>
          <w:ilvl w:val="0"/>
          <w:numId w:val="7"/>
        </w:num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bCs/>
          <w:color w:val="000000" w:themeColor="text1"/>
          <w:sz w:val="28"/>
          <w:szCs w:val="28"/>
          <w:highlight w:val="none"/>
          <w14:textFill>
            <w14:solidFill>
              <w14:schemeClr w14:val="tx1"/>
            </w14:solidFill>
          </w14:textFill>
        </w:rPr>
        <w:t>授权</w:t>
      </w:r>
      <w:r>
        <w:rPr>
          <w:rFonts w:hint="eastAsia"/>
          <w:bCs/>
          <w:color w:val="000000" w:themeColor="text1"/>
          <w:sz w:val="28"/>
          <w:szCs w:val="28"/>
          <w:highlight w:val="none"/>
          <w14:textFill>
            <w14:solidFill>
              <w14:schemeClr w14:val="tx1"/>
            </w14:solidFill>
          </w14:textFill>
        </w:rPr>
        <w:t>委托</w:t>
      </w:r>
      <w:r>
        <w:rPr>
          <w:bCs/>
          <w:color w:val="000000" w:themeColor="text1"/>
          <w:sz w:val="28"/>
          <w:szCs w:val="28"/>
          <w:highlight w:val="none"/>
          <w14:textFill>
            <w14:solidFill>
              <w14:schemeClr w14:val="tx1"/>
            </w14:solidFill>
          </w14:textFill>
        </w:rPr>
        <w:t>书</w:t>
      </w:r>
      <w:r>
        <w:rPr>
          <w:rFonts w:hint="eastAsia" w:ascii="宋体" w:hAnsi="宋体"/>
          <w:bCs/>
          <w:color w:val="000000" w:themeColor="text1"/>
          <w:sz w:val="28"/>
          <w:szCs w:val="28"/>
          <w:highlight w:val="none"/>
          <w14:textFill>
            <w14:solidFill>
              <w14:schemeClr w14:val="tx1"/>
            </w14:solidFill>
          </w14:textFill>
        </w:rPr>
        <w:t>（附件3）</w:t>
      </w:r>
    </w:p>
    <w:p>
      <w:pPr>
        <w:numPr>
          <w:ilvl w:val="0"/>
          <w:numId w:val="7"/>
        </w:numPr>
        <w:snapToGrid w:val="0"/>
        <w:spacing w:line="360" w:lineRule="auto"/>
        <w:ind w:left="1050" w:leftChars="259" w:hanging="506" w:hangingChars="181"/>
        <w:rPr>
          <w:rFonts w:ascii="宋体" w:hAnsi="宋体"/>
          <w:color w:val="000000" w:themeColor="text1"/>
          <w:kern w:val="0"/>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法人或者其他组织的营业执照等证明文件，自然人的身份证明</w:t>
      </w:r>
    </w:p>
    <w:p>
      <w:pPr>
        <w:snapToGrid w:val="0"/>
        <w:spacing w:line="360" w:lineRule="auto"/>
        <w:ind w:firstLine="560" w:firstLineChars="200"/>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4、</w:t>
      </w:r>
      <w:r>
        <w:rPr>
          <w:color w:val="000000" w:themeColor="text1"/>
          <w:sz w:val="28"/>
          <w:szCs w:val="28"/>
          <w:highlight w:val="none"/>
          <w14:textFill>
            <w14:solidFill>
              <w14:schemeClr w14:val="tx1"/>
            </w14:solidFill>
          </w14:textFill>
        </w:rPr>
        <w:t>财务状况报告，依法缴纳税收和社会保障资金的相关材料</w:t>
      </w:r>
    </w:p>
    <w:p>
      <w:pPr>
        <w:snapToGrid w:val="0"/>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5、</w:t>
      </w:r>
      <w:r>
        <w:rPr>
          <w:color w:val="000000" w:themeColor="text1"/>
          <w:sz w:val="28"/>
          <w:szCs w:val="28"/>
          <w:highlight w:val="none"/>
          <w14:textFill>
            <w14:solidFill>
              <w14:schemeClr w14:val="tx1"/>
            </w14:solidFill>
          </w14:textFill>
        </w:rPr>
        <w:t>具备履行合同所必需的设备和专业技术能力的证明材料</w:t>
      </w:r>
    </w:p>
    <w:p>
      <w:p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6、</w:t>
      </w:r>
      <w:r>
        <w:rPr>
          <w:rFonts w:hint="eastAsia" w:ascii="宋体" w:hAnsi="宋体"/>
          <w:color w:val="000000" w:themeColor="text1"/>
          <w:kern w:val="0"/>
          <w:sz w:val="28"/>
          <w:szCs w:val="28"/>
          <w:highlight w:val="none"/>
          <w14:textFill>
            <w14:solidFill>
              <w14:schemeClr w14:val="tx1"/>
            </w14:solidFill>
          </w14:textFill>
        </w:rPr>
        <w:t>本项目要求的特定资质证书</w:t>
      </w: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ind w:left="420"/>
        <w:rPr>
          <w:rFonts w:ascii="宋体" w:hAnsi="宋体"/>
          <w:b/>
          <w:color w:val="000000" w:themeColor="text1"/>
          <w:sz w:val="28"/>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p>
    <w:p>
      <w:pPr>
        <w:spacing w:line="380" w:lineRule="exact"/>
        <w:ind w:left="420"/>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附件2</w:t>
      </w:r>
    </w:p>
    <w:p>
      <w:pPr>
        <w:adjustRightInd w:val="0"/>
        <w:snapToGrid w:val="0"/>
        <w:spacing w:line="380" w:lineRule="exact"/>
        <w:ind w:right="480"/>
        <w:jc w:val="center"/>
        <w:rPr>
          <w:rFonts w:ascii="宋体" w:hAnsi="宋体"/>
          <w:b/>
          <w:color w:val="000000" w:themeColor="text1"/>
          <w:kern w:val="0"/>
          <w:sz w:val="32"/>
          <w:szCs w:val="32"/>
          <w:highlight w:val="none"/>
          <w:lang w:val="zh-CN"/>
          <w14:textFill>
            <w14:solidFill>
              <w14:schemeClr w14:val="tx1"/>
            </w14:solidFill>
          </w14:textFill>
        </w:rPr>
      </w:pPr>
      <w:r>
        <w:rPr>
          <w:rFonts w:hint="eastAsia" w:ascii="宋体" w:hAnsi="宋体"/>
          <w:b/>
          <w:color w:val="000000" w:themeColor="text1"/>
          <w:kern w:val="0"/>
          <w:sz w:val="32"/>
          <w:szCs w:val="32"/>
          <w:highlight w:val="none"/>
          <w:lang w:val="zh-CN"/>
          <w14:textFill>
            <w14:solidFill>
              <w14:schemeClr w14:val="tx1"/>
            </w14:solidFill>
          </w14:textFill>
        </w:rPr>
        <w:t>投标声明书</w:t>
      </w:r>
    </w:p>
    <w:p>
      <w:pPr>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杭州华旗招标代理有限公司：</w:t>
      </w:r>
    </w:p>
    <w:p>
      <w:pPr>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（投标人名称）系中华人民共和国合法企业，经营地址。</w:t>
      </w:r>
    </w:p>
    <w:p>
      <w:pPr>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我（</w:t>
      </w:r>
      <w:r>
        <w:rPr>
          <w:rFonts w:hint="eastAsia" w:ascii="宋体" w:hAnsi="宋体" w:cs="宋体"/>
          <w:color w:val="000000" w:themeColor="text1"/>
          <w:kern w:val="0"/>
          <w:sz w:val="24"/>
          <w:highlight w:val="none"/>
          <w:u w:val="single"/>
          <w14:textFill>
            <w14:solidFill>
              <w14:schemeClr w14:val="tx1"/>
            </w14:solidFill>
          </w14:textFill>
        </w:rPr>
        <w:t xml:space="preserve"> 姓名 </w:t>
      </w:r>
      <w:r>
        <w:rPr>
          <w:rFonts w:hint="eastAsia" w:ascii="宋体" w:hAnsi="宋体" w:cs="宋体"/>
          <w:color w:val="000000" w:themeColor="text1"/>
          <w:kern w:val="0"/>
          <w:sz w:val="24"/>
          <w:highlight w:val="none"/>
          <w14:textFill>
            <w14:solidFill>
              <w14:schemeClr w14:val="tx1"/>
            </w14:solidFill>
          </w14:textFill>
        </w:rPr>
        <w:t>）系（</w:t>
      </w:r>
      <w:r>
        <w:rPr>
          <w:rFonts w:hint="eastAsia" w:ascii="宋体" w:hAnsi="宋体" w:cs="宋体"/>
          <w:color w:val="000000" w:themeColor="text1"/>
          <w:kern w:val="0"/>
          <w:sz w:val="24"/>
          <w:highlight w:val="none"/>
          <w:u w:val="single"/>
          <w14:textFill>
            <w14:solidFill>
              <w14:schemeClr w14:val="tx1"/>
            </w14:solidFill>
          </w14:textFill>
        </w:rPr>
        <w:t xml:space="preserve"> 投标人名称 </w:t>
      </w:r>
      <w:r>
        <w:rPr>
          <w:rFonts w:hint="eastAsia" w:ascii="宋体" w:hAnsi="宋体" w:cs="宋体"/>
          <w:color w:val="000000" w:themeColor="text1"/>
          <w:kern w:val="0"/>
          <w:sz w:val="24"/>
          <w:highlight w:val="none"/>
          <w14:textFill>
            <w14:solidFill>
              <w14:schemeClr w14:val="tx1"/>
            </w14:solidFill>
          </w14:textFill>
        </w:rPr>
        <w:t>）的法定代表人，我公司自愿参加贵方组织的</w:t>
      </w:r>
      <w:r>
        <w:rPr>
          <w:rFonts w:hint="eastAsia" w:ascii="宋体" w:hAnsi="宋体" w:cs="宋体"/>
          <w:color w:val="000000" w:themeColor="text1"/>
          <w:kern w:val="0"/>
          <w:sz w:val="24"/>
          <w:highlight w:val="none"/>
          <w:lang w:eastAsia="zh-CN"/>
          <w14:textFill>
            <w14:solidFill>
              <w14:schemeClr w14:val="tx1"/>
            </w14:solidFill>
          </w14:textFill>
        </w:rPr>
        <w:t>玉环市干江初级中学学科实验室功能室建设</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eastAsia="zh-CN"/>
          <w14:textFill>
            <w14:solidFill>
              <w14:schemeClr w14:val="tx1"/>
            </w14:solidFill>
          </w14:textFill>
        </w:rPr>
        <w:t>HQ-YHZFCG-2019-57</w:t>
      </w:r>
      <w:r>
        <w:rPr>
          <w:rFonts w:hint="eastAsia" w:ascii="宋体" w:hAnsi="宋体" w:cs="宋体"/>
          <w:color w:val="000000" w:themeColor="text1"/>
          <w:kern w:val="0"/>
          <w:sz w:val="24"/>
          <w:highlight w:val="none"/>
          <w14:textFill>
            <w14:solidFill>
              <w14:schemeClr w14:val="tx1"/>
            </w14:solidFill>
          </w14:textFill>
        </w:rPr>
        <w:t>）的投标，为此，我公司就本次投标有关事项郑重声明如下：</w:t>
      </w:r>
    </w:p>
    <w:p>
      <w:pPr>
        <w:snapToGrid w:val="0"/>
        <w:spacing w:before="156" w:beforeLines="50" w:after="50" w:line="380" w:lineRule="exact"/>
        <w:ind w:firstLine="480" w:firstLineChars="200"/>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r>
        <w:rPr>
          <w:rFonts w:hint="eastAsia" w:ascii="Arial" w:hAnsi="Arial" w:cs="Arial"/>
          <w:color w:val="000000" w:themeColor="text1"/>
          <w:sz w:val="24"/>
          <w:highlight w:val="none"/>
          <w14:textFill>
            <w14:solidFill>
              <w14:schemeClr w14:val="tx1"/>
            </w14:solidFill>
          </w14:textFill>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before="156" w:beforeLines="50" w:after="50" w:line="38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2、我公司</w:t>
      </w:r>
      <w:r>
        <w:rPr>
          <w:rFonts w:ascii="宋体" w:hAnsi="宋体" w:cs="宋体"/>
          <w:color w:val="000000" w:themeColor="text1"/>
          <w:kern w:val="0"/>
          <w:sz w:val="24"/>
          <w:highlight w:val="none"/>
          <w14:textFill>
            <w14:solidFill>
              <w14:schemeClr w14:val="tx1"/>
            </w14:solidFill>
          </w14:textFill>
        </w:rPr>
        <w:t>在参与投标前已</w:t>
      </w:r>
      <w:r>
        <w:rPr>
          <w:rFonts w:hint="eastAsia" w:ascii="宋体" w:hAnsi="宋体" w:cs="宋体"/>
          <w:color w:val="000000" w:themeColor="text1"/>
          <w:kern w:val="0"/>
          <w:sz w:val="24"/>
          <w:highlight w:val="none"/>
          <w14:textFill>
            <w14:solidFill>
              <w14:schemeClr w14:val="tx1"/>
            </w14:solidFill>
          </w14:textFill>
        </w:rPr>
        <w:t>详细审查</w:t>
      </w:r>
      <w:r>
        <w:rPr>
          <w:rFonts w:ascii="宋体" w:hAnsi="宋体" w:cs="宋体"/>
          <w:color w:val="000000" w:themeColor="text1"/>
          <w:kern w:val="0"/>
          <w:sz w:val="24"/>
          <w:highlight w:val="none"/>
          <w14:textFill>
            <w14:solidFill>
              <w14:schemeClr w14:val="tx1"/>
            </w14:solidFill>
          </w14:textFill>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000000" w:themeColor="text1"/>
          <w:kern w:val="0"/>
          <w:sz w:val="24"/>
          <w:highlight w:val="none"/>
          <w14:textFill>
            <w14:solidFill>
              <w14:schemeClr w14:val="tx1"/>
            </w14:solidFill>
          </w14:textFill>
        </w:rPr>
        <w:t>利。</w:t>
      </w:r>
    </w:p>
    <w:p>
      <w:pPr>
        <w:numPr>
          <w:ilvl w:val="255"/>
          <w:numId w:val="0"/>
        </w:numPr>
        <w:snapToGrid w:val="0"/>
        <w:spacing w:before="156" w:beforeLines="50" w:after="50" w:line="38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olor w:val="000000" w:themeColor="text1"/>
          <w:sz w:val="24"/>
          <w:highlight w:val="none"/>
          <w14:textFill>
            <w14:solidFill>
              <w14:schemeClr w14:val="tx1"/>
            </w14:solidFill>
          </w14:textFill>
        </w:rPr>
        <w:t>不是采购人的附属机构；在获知本项目采购信息后，与采购人聘请的为此项目提供咨询服务的公司及其附属机构没有任何联系。</w:t>
      </w:r>
    </w:p>
    <w:p>
      <w:pPr>
        <w:snapToGrid w:val="0"/>
        <w:spacing w:before="156" w:beforeLines="50" w:after="50" w:line="380" w:lineRule="exact"/>
        <w:ind w:firstLine="480" w:firstLineChars="200"/>
        <w:rPr>
          <w:rFonts w:ascii="宋体" w:hAnsi="宋体"/>
          <w:color w:val="000000" w:themeColor="text1"/>
          <w:kern w:val="0"/>
          <w:sz w:val="24"/>
          <w:highlight w:val="none"/>
          <w:lang w:val="af-ZA"/>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hint="eastAsia" w:ascii="宋体" w:hAnsi="宋体" w:cs="宋体"/>
          <w:color w:val="000000" w:themeColor="text1"/>
          <w:kern w:val="0"/>
          <w:sz w:val="24"/>
          <w:highlight w:val="none"/>
          <w14:textFill>
            <w14:solidFill>
              <w14:schemeClr w14:val="tx1"/>
            </w14:solidFill>
          </w14:textFill>
        </w:rPr>
        <w:t>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s="宋体"/>
          <w:color w:val="000000" w:themeColor="text1"/>
          <w:kern w:val="0"/>
          <w:sz w:val="24"/>
          <w:highlight w:val="none"/>
          <w14:textFill>
            <w14:solidFill>
              <w14:schemeClr w14:val="tx1"/>
            </w14:solidFill>
          </w14:textFill>
        </w:rPr>
        <w:t>保证，</w:t>
      </w:r>
      <w:r>
        <w:rPr>
          <w:rFonts w:hint="eastAsia" w:ascii="宋体" w:hAnsi="宋体"/>
          <w:color w:val="000000" w:themeColor="text1"/>
          <w:kern w:val="0"/>
          <w:sz w:val="24"/>
          <w:highlight w:val="none"/>
          <w:lang w:val="af-ZA"/>
          <w14:textFill>
            <w14:solidFill>
              <w14:schemeClr w14:val="tx1"/>
            </w14:solidFill>
          </w14:textFill>
        </w:rPr>
        <w:t>采购人在中华人民共和国境内使用</w:t>
      </w:r>
      <w:r>
        <w:rPr>
          <w:rFonts w:hint="eastAsia" w:ascii="宋体" w:hAnsi="宋体" w:cs="宋体"/>
          <w:color w:val="000000" w:themeColor="text1"/>
          <w:kern w:val="0"/>
          <w:sz w:val="24"/>
          <w:highlight w:val="none"/>
          <w14:textFill>
            <w14:solidFill>
              <w14:schemeClr w14:val="tx1"/>
            </w14:solidFill>
          </w14:textFill>
        </w:rPr>
        <w:t>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olor w:val="000000" w:themeColor="text1"/>
          <w:kern w:val="0"/>
          <w:sz w:val="24"/>
          <w:highlight w:val="none"/>
          <w:lang w:val="af-ZA"/>
          <w14:textFill>
            <w14:solidFill>
              <w14:schemeClr w14:val="tx1"/>
            </w14:solidFill>
          </w14:textFill>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000000" w:themeColor="text1"/>
          <w:kern w:val="0"/>
          <w:sz w:val="24"/>
          <w:highlight w:val="none"/>
          <w:lang w:val="af-ZA"/>
          <w14:textFill>
            <w14:solidFill>
              <w14:schemeClr w14:val="tx1"/>
            </w14:solidFill>
          </w14:textFill>
        </w:rPr>
        <w:t>我方</w:t>
      </w:r>
      <w:r>
        <w:rPr>
          <w:rFonts w:hint="eastAsia" w:ascii="宋体" w:hAnsi="宋体"/>
          <w:color w:val="000000" w:themeColor="text1"/>
          <w:kern w:val="0"/>
          <w:sz w:val="24"/>
          <w:highlight w:val="none"/>
          <w:lang w:val="af-ZA"/>
          <w14:textFill>
            <w14:solidFill>
              <w14:schemeClr w14:val="tx1"/>
            </w14:solidFill>
          </w14:textFill>
        </w:rPr>
        <w:t>承担。</w:t>
      </w:r>
      <w:r>
        <w:rPr>
          <w:rFonts w:hint="eastAsia" w:ascii="宋体" w:hAnsi="宋体" w:cs="宋体"/>
          <w:color w:val="000000" w:themeColor="text1"/>
          <w:kern w:val="0"/>
          <w:sz w:val="24"/>
          <w:highlight w:val="none"/>
          <w:lang w:val="af-ZA"/>
          <w14:textFill>
            <w14:solidFill>
              <w14:schemeClr w14:val="tx1"/>
            </w14:solidFill>
          </w14:textFill>
        </w:rPr>
        <w:t>我方的</w:t>
      </w:r>
      <w:r>
        <w:rPr>
          <w:rFonts w:hint="eastAsia" w:ascii="宋体" w:hAnsi="宋体"/>
          <w:color w:val="000000" w:themeColor="text1"/>
          <w:kern w:val="0"/>
          <w:sz w:val="24"/>
          <w:highlight w:val="none"/>
          <w:lang w:val="af-ZA"/>
          <w14:textFill>
            <w14:solidFill>
              <w14:schemeClr w14:val="tx1"/>
            </w14:solidFill>
          </w14:textFill>
        </w:rPr>
        <w:t>投标报价</w:t>
      </w:r>
      <w:r>
        <w:rPr>
          <w:rFonts w:hint="eastAsia" w:ascii="宋体" w:hAnsi="宋体" w:cs="宋体"/>
          <w:color w:val="000000" w:themeColor="text1"/>
          <w:kern w:val="0"/>
          <w:sz w:val="24"/>
          <w:highlight w:val="none"/>
          <w:lang w:val="af-ZA"/>
          <w14:textFill>
            <w14:solidFill>
              <w14:schemeClr w14:val="tx1"/>
            </w14:solidFill>
          </w14:textFill>
        </w:rPr>
        <w:t>已</w:t>
      </w:r>
      <w:r>
        <w:rPr>
          <w:rFonts w:hint="eastAsia" w:ascii="宋体" w:hAnsi="宋体"/>
          <w:color w:val="000000" w:themeColor="text1"/>
          <w:kern w:val="0"/>
          <w:sz w:val="24"/>
          <w:highlight w:val="none"/>
          <w:lang w:val="af-ZA"/>
          <w14:textFill>
            <w14:solidFill>
              <w14:schemeClr w14:val="tx1"/>
            </w14:solidFill>
          </w14:textFill>
        </w:rPr>
        <w:t>包含所有应向所有权人支付的专利权、商标权或其它知识产权的一切相关费用。</w:t>
      </w:r>
    </w:p>
    <w:p>
      <w:pPr>
        <w:snapToGrid w:val="0"/>
        <w:spacing w:before="156" w:beforeLines="50" w:after="50" w:line="380" w:lineRule="exact"/>
        <w:ind w:firstLine="480" w:firstLineChars="20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val="af-ZA"/>
          <w14:textFill>
            <w14:solidFill>
              <w14:schemeClr w14:val="tx1"/>
            </w14:solidFill>
          </w14:textFill>
        </w:rPr>
        <w:t>5、我</w:t>
      </w:r>
      <w:r>
        <w:rPr>
          <w:rFonts w:hint="eastAsia" w:ascii="宋体" w:hAnsi="宋体" w:cs="宋体"/>
          <w:color w:val="000000" w:themeColor="text1"/>
          <w:kern w:val="0"/>
          <w:sz w:val="24"/>
          <w:highlight w:val="none"/>
          <w:lang w:val="zh-CN"/>
          <w14:textFill>
            <w14:solidFill>
              <w14:schemeClr w14:val="tx1"/>
            </w14:solidFill>
          </w14:textFill>
        </w:rPr>
        <w:t>公司</w:t>
      </w:r>
      <w:r>
        <w:rPr>
          <w:rFonts w:hint="eastAsia" w:ascii="宋体" w:hAnsi="宋体" w:cs="宋体"/>
          <w:color w:val="000000" w:themeColor="text1"/>
          <w:kern w:val="0"/>
          <w:sz w:val="24"/>
          <w:highlight w:val="none"/>
          <w:lang w:val="af-ZA"/>
          <w14:textFill>
            <w14:solidFill>
              <w14:schemeClr w14:val="tx1"/>
            </w14:solidFill>
          </w14:textFill>
        </w:rPr>
        <w:t>严格履行政府采购合同，不降低合同约定的产品质量和服务，不擅自变更、中止、终止合同，或拒绝履行合同义务；</w:t>
      </w:r>
    </w:p>
    <w:p>
      <w:pPr>
        <w:snapToGrid w:val="0"/>
        <w:spacing w:before="156" w:beforeLines="50" w:after="50" w:line="38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6、以上事项如有虚假或隐瞒，我</w:t>
      </w:r>
      <w:r>
        <w:rPr>
          <w:rFonts w:hint="eastAsia" w:ascii="宋体" w:hAnsi="宋体" w:cs="仿宋_GB2312"/>
          <w:color w:val="000000" w:themeColor="text1"/>
          <w:kern w:val="0"/>
          <w:sz w:val="24"/>
          <w:highlight w:val="none"/>
          <w:lang w:val="zh-CN"/>
          <w14:textFill>
            <w14:solidFill>
              <w14:schemeClr w14:val="tx1"/>
            </w14:solidFill>
          </w14:textFill>
        </w:rPr>
        <w:t>公司</w:t>
      </w:r>
      <w:r>
        <w:rPr>
          <w:rFonts w:hint="eastAsia" w:ascii="宋体" w:hAnsi="宋体"/>
          <w:color w:val="000000" w:themeColor="text1"/>
          <w:sz w:val="24"/>
          <w:highlight w:val="none"/>
          <w14:textFill>
            <w14:solidFill>
              <w14:schemeClr w14:val="tx1"/>
            </w14:solidFill>
          </w14:textFill>
        </w:rPr>
        <w:t>愿意承担一切后果，并不再寻求任何旨在减轻或免除法律责任的辩解。</w:t>
      </w:r>
    </w:p>
    <w:p>
      <w:pPr>
        <w:adjustRightInd w:val="0"/>
        <w:snapToGrid w:val="0"/>
        <w:spacing w:line="380" w:lineRule="exact"/>
        <w:ind w:firstLine="480"/>
        <w:rPr>
          <w:rFonts w:ascii="宋体" w:hAnsi="宋体" w:cs="仿宋_GB2312"/>
          <w:color w:val="000000" w:themeColor="text1"/>
          <w:kern w:val="0"/>
          <w:sz w:val="24"/>
          <w:highlight w:val="none"/>
          <w14:textFill>
            <w14:solidFill>
              <w14:schemeClr w14:val="tx1"/>
            </w14:solidFill>
          </w14:textFill>
        </w:rPr>
      </w:pPr>
    </w:p>
    <w:p>
      <w:pPr>
        <w:adjustRightInd w:val="0"/>
        <w:snapToGrid w:val="0"/>
        <w:spacing w:line="380" w:lineRule="exact"/>
        <w:ind w:firstLine="4680" w:firstLineChars="1950"/>
        <w:rPr>
          <w:rFonts w:ascii="宋体" w:hAnsi="宋体" w:cs="仿宋_GB2312"/>
          <w:color w:val="000000" w:themeColor="text1"/>
          <w:kern w:val="0"/>
          <w:sz w:val="24"/>
          <w:highlight w:val="none"/>
          <w:lang w:val="zh-CN"/>
          <w14:textFill>
            <w14:solidFill>
              <w14:schemeClr w14:val="tx1"/>
            </w14:solidFill>
          </w14:textFill>
        </w:rPr>
      </w:pPr>
      <w:r>
        <w:rPr>
          <w:rFonts w:hint="eastAsia" w:ascii="宋体" w:hAnsi="宋体" w:cs="仿宋_GB2312"/>
          <w:color w:val="000000" w:themeColor="text1"/>
          <w:kern w:val="0"/>
          <w:sz w:val="24"/>
          <w:highlight w:val="none"/>
          <w:lang w:val="zh-CN"/>
          <w14:textFill>
            <w14:solidFill>
              <w14:schemeClr w14:val="tx1"/>
            </w14:solidFill>
          </w14:textFill>
        </w:rPr>
        <w:t xml:space="preserve">    投标人名称(公章)：</w:t>
      </w:r>
    </w:p>
    <w:p>
      <w:pPr>
        <w:adjustRightInd w:val="0"/>
        <w:snapToGrid w:val="0"/>
        <w:spacing w:line="380" w:lineRule="exact"/>
        <w:rPr>
          <w:rFonts w:ascii="宋体" w:hAnsi="宋体" w:cs="仿宋_GB2312"/>
          <w:color w:val="000000" w:themeColor="text1"/>
          <w:kern w:val="0"/>
          <w:sz w:val="24"/>
          <w:highlight w:val="none"/>
          <w:lang w:val="zh-CN"/>
          <w14:textFill>
            <w14:solidFill>
              <w14:schemeClr w14:val="tx1"/>
            </w14:solidFill>
          </w14:textFill>
        </w:rPr>
      </w:pPr>
      <w:r>
        <w:rPr>
          <w:rFonts w:hint="eastAsia" w:ascii="宋体" w:hAnsi="宋体" w:cs="仿宋_GB2312"/>
          <w:color w:val="000000" w:themeColor="text1"/>
          <w:kern w:val="0"/>
          <w:sz w:val="24"/>
          <w:highlight w:val="none"/>
          <w:lang w:val="zh-CN"/>
          <w14:textFill>
            <w14:solidFill>
              <w14:schemeClr w14:val="tx1"/>
            </w14:solidFill>
          </w14:textFill>
        </w:rPr>
        <w:t xml:space="preserve">                                       法定代表人或授权委托人(签字)：</w:t>
      </w:r>
    </w:p>
    <w:p>
      <w:pPr>
        <w:adjustRightInd w:val="0"/>
        <w:snapToGrid w:val="0"/>
        <w:spacing w:line="380" w:lineRule="exact"/>
        <w:ind w:right="480"/>
        <w:jc w:val="center"/>
        <w:rPr>
          <w:rFonts w:ascii="宋体" w:hAnsi="宋体" w:cs="仿宋_GB2312"/>
          <w:color w:val="000000" w:themeColor="text1"/>
          <w:kern w:val="0"/>
          <w:sz w:val="24"/>
          <w:highlight w:val="none"/>
          <w:lang w:val="zh-CN"/>
          <w14:textFill>
            <w14:solidFill>
              <w14:schemeClr w14:val="tx1"/>
            </w14:solidFill>
          </w14:textFill>
        </w:rPr>
      </w:pPr>
      <w:r>
        <w:rPr>
          <w:rFonts w:hint="eastAsia" w:ascii="宋体" w:hAnsi="宋体" w:cs="仿宋_GB2312"/>
          <w:color w:val="000000" w:themeColor="text1"/>
          <w:kern w:val="0"/>
          <w:sz w:val="24"/>
          <w:highlight w:val="none"/>
          <w:lang w:val="zh-CN"/>
          <w14:textFill>
            <w14:solidFill>
              <w14:schemeClr w14:val="tx1"/>
            </w14:solidFill>
          </w14:textFill>
        </w:rPr>
        <w:t xml:space="preserve">                                  日期：</w:t>
      </w:r>
      <w:r>
        <w:rPr>
          <w:rFonts w:hint="eastAsia" w:ascii="宋体" w:hAnsi="宋体" w:cstheme="minorBidi"/>
          <w:color w:val="000000" w:themeColor="text1"/>
          <w:sz w:val="24"/>
          <w:highlight w:val="none"/>
          <w14:textFill>
            <w14:solidFill>
              <w14:schemeClr w14:val="tx1"/>
            </w14:solidFill>
          </w14:textFill>
        </w:rPr>
        <w:t xml:space="preserve">    </w:t>
      </w:r>
      <w:r>
        <w:rPr>
          <w:rFonts w:hint="eastAsia" w:ascii="宋体" w:hAnsi="宋体" w:cs="仿宋_GB2312"/>
          <w:color w:val="000000" w:themeColor="text1"/>
          <w:kern w:val="0"/>
          <w:sz w:val="24"/>
          <w:highlight w:val="none"/>
          <w:lang w:val="zh-CN"/>
          <w14:textFill>
            <w14:solidFill>
              <w14:schemeClr w14:val="tx1"/>
            </w14:solidFill>
          </w14:textFill>
        </w:rPr>
        <w:t xml:space="preserve">年 </w:t>
      </w:r>
      <w:r>
        <w:rPr>
          <w:rFonts w:hint="eastAsia" w:ascii="宋体" w:hAnsi="宋体" w:cstheme="minorBidi"/>
          <w:color w:val="000000" w:themeColor="text1"/>
          <w:sz w:val="24"/>
          <w:highlight w:val="none"/>
          <w14:textFill>
            <w14:solidFill>
              <w14:schemeClr w14:val="tx1"/>
            </w14:solidFill>
          </w14:textFill>
        </w:rPr>
        <w:t xml:space="preserve">   </w:t>
      </w:r>
      <w:r>
        <w:rPr>
          <w:rFonts w:hint="eastAsia" w:ascii="宋体" w:hAnsi="宋体" w:cs="仿宋_GB2312"/>
          <w:color w:val="000000" w:themeColor="text1"/>
          <w:kern w:val="0"/>
          <w:sz w:val="24"/>
          <w:highlight w:val="none"/>
          <w:lang w:val="zh-CN"/>
          <w14:textFill>
            <w14:solidFill>
              <w14:schemeClr w14:val="tx1"/>
            </w14:solidFill>
          </w14:textFill>
        </w:rPr>
        <w:t xml:space="preserve">月 </w:t>
      </w:r>
      <w:r>
        <w:rPr>
          <w:rFonts w:hint="eastAsia" w:ascii="宋体" w:hAnsi="宋体" w:cstheme="minorBidi"/>
          <w:color w:val="000000" w:themeColor="text1"/>
          <w:sz w:val="24"/>
          <w:highlight w:val="none"/>
          <w14:textFill>
            <w14:solidFill>
              <w14:schemeClr w14:val="tx1"/>
            </w14:solidFill>
          </w14:textFill>
        </w:rPr>
        <w:t xml:space="preserve">   </w:t>
      </w:r>
      <w:r>
        <w:rPr>
          <w:rFonts w:hint="eastAsia" w:ascii="宋体" w:hAnsi="宋体" w:cs="仿宋_GB2312"/>
          <w:color w:val="000000" w:themeColor="text1"/>
          <w:kern w:val="0"/>
          <w:sz w:val="24"/>
          <w:highlight w:val="none"/>
          <w:lang w:val="zh-CN"/>
          <w14:textFill>
            <w14:solidFill>
              <w14:schemeClr w14:val="tx1"/>
            </w14:solidFill>
          </w14:textFill>
        </w:rPr>
        <w:t xml:space="preserve"> 日</w:t>
      </w:r>
    </w:p>
    <w:p>
      <w:pPr>
        <w:adjustRightInd w:val="0"/>
        <w:snapToGrid w:val="0"/>
        <w:spacing w:line="380" w:lineRule="exact"/>
        <w:ind w:right="480"/>
        <w:rPr>
          <w:rFonts w:ascii="宋体" w:hAnsi="宋体"/>
          <w:b/>
          <w:color w:val="000000" w:themeColor="text1"/>
          <w:sz w:val="28"/>
          <w:highlight w:val="none"/>
          <w14:textFill>
            <w14:solidFill>
              <w14:schemeClr w14:val="tx1"/>
            </w14:solidFill>
          </w14:textFill>
        </w:rPr>
      </w:pPr>
    </w:p>
    <w:p>
      <w:pPr>
        <w:adjustRightInd w:val="0"/>
        <w:snapToGrid w:val="0"/>
        <w:spacing w:line="360" w:lineRule="auto"/>
        <w:ind w:right="480"/>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adjustRightInd w:val="0"/>
        <w:snapToGrid w:val="0"/>
        <w:spacing w:line="360" w:lineRule="auto"/>
        <w:ind w:right="480"/>
        <w:rPr>
          <w:rFonts w:ascii="宋体" w:hAnsi="宋体"/>
          <w:b/>
          <w:color w:val="000000" w:themeColor="text1"/>
          <w:sz w:val="28"/>
          <w:highlight w:val="none"/>
          <w14:textFill>
            <w14:solidFill>
              <w14:schemeClr w14:val="tx1"/>
            </w14:solidFill>
          </w14:textFill>
        </w:rPr>
      </w:pPr>
    </w:p>
    <w:p>
      <w:pPr>
        <w:adjustRightInd w:val="0"/>
        <w:snapToGrid w:val="0"/>
        <w:spacing w:line="400" w:lineRule="atLeast"/>
        <w:ind w:right="480"/>
        <w:rPr>
          <w:rFonts w:ascii="宋体"/>
          <w:b/>
          <w:color w:val="000000" w:themeColor="text1"/>
          <w:sz w:val="30"/>
          <w:szCs w:val="30"/>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附件3</w:t>
      </w:r>
    </w:p>
    <w:p>
      <w:pPr>
        <w:spacing w:line="400" w:lineRule="atLeast"/>
        <w:ind w:firstLine="321" w:firstLineChars="100"/>
        <w:jc w:val="center"/>
        <w:rPr>
          <w:rFonts w:hAnsi="宋体"/>
          <w:b/>
          <w:color w:val="000000" w:themeColor="text1"/>
          <w:sz w:val="32"/>
          <w:szCs w:val="32"/>
          <w:highlight w:val="none"/>
          <w:u w:val="single"/>
          <w14:textFill>
            <w14:solidFill>
              <w14:schemeClr w14:val="tx1"/>
            </w14:solidFill>
          </w14:textFill>
        </w:rPr>
      </w:pPr>
      <w:r>
        <w:rPr>
          <w:b/>
          <w:color w:val="000000" w:themeColor="text1"/>
          <w:sz w:val="32"/>
          <w:szCs w:val="32"/>
          <w:highlight w:val="none"/>
          <w14:textFill>
            <w14:solidFill>
              <w14:schemeClr w14:val="tx1"/>
            </w14:solidFill>
          </w14:textFill>
        </w:rPr>
        <w:t>授权</w:t>
      </w:r>
      <w:r>
        <w:rPr>
          <w:rFonts w:hint="eastAsia"/>
          <w:b/>
          <w:color w:val="000000" w:themeColor="text1"/>
          <w:sz w:val="32"/>
          <w:szCs w:val="32"/>
          <w:highlight w:val="none"/>
          <w14:textFill>
            <w14:solidFill>
              <w14:schemeClr w14:val="tx1"/>
            </w14:solidFill>
          </w14:textFill>
        </w:rPr>
        <w:t>委托</w:t>
      </w:r>
      <w:r>
        <w:rPr>
          <w:b/>
          <w:color w:val="000000" w:themeColor="text1"/>
          <w:sz w:val="32"/>
          <w:szCs w:val="32"/>
          <w:highlight w:val="none"/>
          <w14:textFill>
            <w14:solidFill>
              <w14:schemeClr w14:val="tx1"/>
            </w14:solidFill>
          </w14:textFill>
        </w:rPr>
        <w:t>书</w:t>
      </w:r>
    </w:p>
    <w:p>
      <w:pPr>
        <w:snapToGrid w:val="0"/>
        <w:spacing w:before="156" w:beforeLines="50" w:after="50" w:line="400" w:lineRule="atLeas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杭州华旗招标代理有限公司：</w:t>
      </w:r>
    </w:p>
    <w:p>
      <w:pPr>
        <w:pStyle w:val="9"/>
        <w:spacing w:line="400" w:lineRule="atLeast"/>
        <w:ind w:left="240" w:hanging="240" w:hangingChars="1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 xml:space="preserve">    </w:t>
      </w:r>
      <w:r>
        <w:rPr>
          <w:rFonts w:hAnsi="宋体"/>
          <w:color w:val="000000" w:themeColor="text1"/>
          <w:sz w:val="24"/>
          <w:highlight w:val="none"/>
          <w:u w:val="single"/>
          <w14:textFill>
            <w14:solidFill>
              <w14:schemeClr w14:val="tx1"/>
            </w14:solidFill>
          </w14:textFill>
        </w:rPr>
        <w:t xml:space="preserve">  （投标人全称）  </w:t>
      </w:r>
      <w:r>
        <w:rPr>
          <w:rFonts w:hAnsi="宋体"/>
          <w:color w:val="000000" w:themeColor="text1"/>
          <w:sz w:val="24"/>
          <w:highlight w:val="none"/>
          <w14:textFill>
            <w14:solidFill>
              <w14:schemeClr w14:val="tx1"/>
            </w14:solidFill>
          </w14:textFill>
        </w:rPr>
        <w:t>法定代表人</w:t>
      </w:r>
      <w:r>
        <w:rPr>
          <w:rFonts w:hint="eastAsia" w:ascii="Arial" w:hAnsi="Arial" w:cs="Arial"/>
          <w:color w:val="000000" w:themeColor="text1"/>
          <w:sz w:val="24"/>
          <w:highlight w:val="none"/>
          <w14:textFill>
            <w14:solidFill>
              <w14:schemeClr w14:val="tx1"/>
            </w14:solidFill>
          </w14:textFill>
        </w:rPr>
        <w:t>（或营业执照中单位负责人）</w:t>
      </w:r>
      <w:r>
        <w:rPr>
          <w:rFonts w:hAnsi="宋体"/>
          <w:color w:val="000000" w:themeColor="text1"/>
          <w:sz w:val="24"/>
          <w:highlight w:val="none"/>
          <w:u w:val="single"/>
          <w14:textFill>
            <w14:solidFill>
              <w14:schemeClr w14:val="tx1"/>
            </w14:solidFill>
          </w14:textFill>
        </w:rPr>
        <w:tab/>
      </w:r>
      <w:r>
        <w:rPr>
          <w:rFonts w:hAnsi="宋体"/>
          <w:color w:val="000000" w:themeColor="text1"/>
          <w:sz w:val="24"/>
          <w:highlight w:val="none"/>
          <w:u w:val="single"/>
          <w14:textFill>
            <w14:solidFill>
              <w14:schemeClr w14:val="tx1"/>
            </w14:solidFill>
          </w14:textFill>
        </w:rPr>
        <w:t>（法定代表</w:t>
      </w:r>
      <w:r>
        <w:rPr>
          <w:rFonts w:hint="eastAsia" w:hAnsi="宋体"/>
          <w:color w:val="000000" w:themeColor="text1"/>
          <w:sz w:val="24"/>
          <w:highlight w:val="none"/>
          <w:u w:val="single"/>
          <w14:textFill>
            <w14:solidFill>
              <w14:schemeClr w14:val="tx1"/>
            </w14:solidFill>
          </w14:textFill>
        </w:rPr>
        <w:t>人</w:t>
      </w:r>
      <w:r>
        <w:rPr>
          <w:rFonts w:hint="eastAsia" w:ascii="Arial" w:hAnsi="Arial" w:cs="Arial"/>
          <w:color w:val="000000" w:themeColor="text1"/>
          <w:sz w:val="24"/>
          <w:highlight w:val="none"/>
          <w:u w:val="single"/>
          <w14:textFill>
            <w14:solidFill>
              <w14:schemeClr w14:val="tx1"/>
            </w14:solidFill>
          </w14:textFill>
        </w:rPr>
        <w:t>或营业执照中单位负责人</w:t>
      </w:r>
      <w:r>
        <w:rPr>
          <w:rFonts w:hAnsi="宋体"/>
          <w:color w:val="000000" w:themeColor="text1"/>
          <w:sz w:val="24"/>
          <w:highlight w:val="none"/>
          <w:u w:val="single"/>
          <w14:textFill>
            <w14:solidFill>
              <w14:schemeClr w14:val="tx1"/>
            </w14:solidFill>
          </w14:textFill>
        </w:rPr>
        <w:t xml:space="preserve">姓名） </w:t>
      </w:r>
      <w:r>
        <w:rPr>
          <w:rFonts w:hAnsi="宋体"/>
          <w:color w:val="000000" w:themeColor="text1"/>
          <w:sz w:val="24"/>
          <w:highlight w:val="none"/>
          <w14:textFill>
            <w14:solidFill>
              <w14:schemeClr w14:val="tx1"/>
            </w14:solidFill>
          </w14:textFill>
        </w:rPr>
        <w:t>授权</w:t>
      </w:r>
      <w:r>
        <w:rPr>
          <w:rFonts w:hint="eastAsia" w:hAnsi="宋体"/>
          <w:color w:val="000000" w:themeColor="text1"/>
          <w:sz w:val="24"/>
          <w:highlight w:val="none"/>
          <w:u w:val="single"/>
          <w14:textFill>
            <w14:solidFill>
              <w14:schemeClr w14:val="tx1"/>
            </w14:solidFill>
          </w14:textFill>
        </w:rPr>
        <w:t xml:space="preserve">   （全权代表</w:t>
      </w:r>
      <w:r>
        <w:rPr>
          <w:rFonts w:hAnsi="宋体"/>
          <w:color w:val="000000" w:themeColor="text1"/>
          <w:sz w:val="24"/>
          <w:highlight w:val="none"/>
          <w:u w:val="single"/>
          <w14:textFill>
            <w14:solidFill>
              <w14:schemeClr w14:val="tx1"/>
            </w14:solidFill>
          </w14:textFill>
        </w:rPr>
        <w:t>姓名</w:t>
      </w:r>
      <w:r>
        <w:rPr>
          <w:rFonts w:hint="eastAsia"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为</w:t>
      </w:r>
      <w:r>
        <w:rPr>
          <w:rFonts w:hint="eastAsia" w:hAnsi="宋体"/>
          <w:color w:val="000000" w:themeColor="text1"/>
          <w:sz w:val="24"/>
          <w:highlight w:val="none"/>
          <w14:textFill>
            <w14:solidFill>
              <w14:schemeClr w14:val="tx1"/>
            </w14:solidFill>
          </w14:textFill>
        </w:rPr>
        <w:t>全权代表</w:t>
      </w:r>
      <w:r>
        <w:rPr>
          <w:rFonts w:hAnsi="宋体"/>
          <w:color w:val="000000" w:themeColor="text1"/>
          <w:sz w:val="24"/>
          <w:highlight w:val="none"/>
          <w14:textFill>
            <w14:solidFill>
              <w14:schemeClr w14:val="tx1"/>
            </w14:solidFill>
          </w14:textFill>
        </w:rPr>
        <w:t>，参加贵单位组织的</w:t>
      </w:r>
      <w:r>
        <w:rPr>
          <w:rFonts w:hAnsi="宋体"/>
          <w:color w:val="000000" w:themeColor="text1"/>
          <w:sz w:val="24"/>
          <w:highlight w:val="none"/>
          <w:u w:val="single"/>
          <w14:textFill>
            <w14:solidFill>
              <w14:schemeClr w14:val="tx1"/>
            </w14:solidFill>
          </w14:textFill>
        </w:rPr>
        <w:tab/>
      </w:r>
      <w:r>
        <w:rPr>
          <w:rFonts w:hint="eastAsia" w:hAnsi="宋体"/>
          <w:color w:val="000000" w:themeColor="text1"/>
          <w:sz w:val="24"/>
          <w:highlight w:val="none"/>
          <w:u w:val="single"/>
          <w14:textFill>
            <w14:solidFill>
              <w14:schemeClr w14:val="tx1"/>
            </w14:solidFill>
          </w14:textFill>
        </w:rPr>
        <w:t xml:space="preserve">    </w:t>
      </w:r>
      <w:r>
        <w:rPr>
          <w:rFonts w:hAnsi="宋体"/>
          <w:color w:val="000000" w:themeColor="text1"/>
          <w:sz w:val="24"/>
          <w:highlight w:val="none"/>
          <w14:textFill>
            <w14:solidFill>
              <w14:schemeClr w14:val="tx1"/>
            </w14:solidFill>
          </w14:textFill>
        </w:rPr>
        <w:t>项目的采购活动，并代表我方全权办理针对上述项目的投标、开标、评标、签约等具体事务和签署相关文件。</w:t>
      </w:r>
      <w:r>
        <w:rPr>
          <w:rFonts w:hint="eastAsia" w:hAnsi="宋体"/>
          <w:color w:val="000000" w:themeColor="text1"/>
          <w:sz w:val="24"/>
          <w:highlight w:val="none"/>
          <w14:textFill>
            <w14:solidFill>
              <w14:schemeClr w14:val="tx1"/>
            </w14:solidFill>
          </w14:textFill>
        </w:rPr>
        <w:t>我方对全权代表的签字事项负全部责任。</w:t>
      </w:r>
    </w:p>
    <w:p>
      <w:pPr>
        <w:pStyle w:val="9"/>
        <w:spacing w:line="400" w:lineRule="atLeast"/>
        <w:ind w:left="139" w:leftChars="66"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在撤销授权的书面通知以前，本授权书一直有效。全权代表在授权委托书有效期内签署的所有文件不因授权的撤销而失效。</w:t>
      </w:r>
    </w:p>
    <w:p>
      <w:pPr>
        <w:pStyle w:val="9"/>
        <w:spacing w:line="400" w:lineRule="atLeast"/>
        <w:ind w:left="139" w:leftChars="66"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全权代表无转委托权，特此委托。</w:t>
      </w:r>
    </w:p>
    <w:p>
      <w:pPr>
        <w:spacing w:line="400" w:lineRule="atLeast"/>
        <w:rPr>
          <w:color w:val="000000" w:themeColor="text1"/>
          <w:sz w:val="24"/>
          <w:highlight w:val="none"/>
          <w14:textFill>
            <w14:solidFill>
              <w14:schemeClr w14:val="tx1"/>
            </w14:solidFill>
          </w14:textFill>
        </w:rPr>
      </w:pP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法定代表人签字或盖章：</w:t>
      </w:r>
    </w:p>
    <w:p>
      <w:pPr>
        <w:spacing w:line="400" w:lineRule="atLeast"/>
        <w:rPr>
          <w:color w:val="000000" w:themeColor="text1"/>
          <w:sz w:val="24"/>
          <w:highlight w:val="none"/>
          <w14:textFill>
            <w14:solidFill>
              <w14:schemeClr w14:val="tx1"/>
            </w14:solidFill>
          </w14:textFill>
        </w:rPr>
      </w:pP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投标人全称（公章）：                              日期：</w:t>
      </w:r>
    </w:p>
    <w:p>
      <w:pPr>
        <w:spacing w:line="400" w:lineRule="atLeast"/>
        <w:rPr>
          <w:color w:val="000000" w:themeColor="text1"/>
          <w:sz w:val="24"/>
          <w:highlight w:val="none"/>
          <w14:textFill>
            <w14:solidFill>
              <w14:schemeClr w14:val="tx1"/>
            </w14:solidFill>
          </w14:textFill>
        </w:rPr>
      </w:pPr>
    </w:p>
    <w:p>
      <w:pPr>
        <w:spacing w:line="400" w:lineRule="atLeast"/>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w:t>
      </w:r>
    </w:p>
    <w:tbl>
      <w:tblPr>
        <w:tblStyle w:val="1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400" w:lineRule="atLeast"/>
              <w:rPr>
                <w:rFonts w:ascii="宋体"/>
                <w:b/>
                <w:color w:val="000000" w:themeColor="text1"/>
                <w:sz w:val="24"/>
                <w:highlight w:val="none"/>
                <w14:textFill>
                  <w14:solidFill>
                    <w14:schemeClr w14:val="tx1"/>
                  </w14:solidFill>
                </w14:textFill>
              </w:rPr>
            </w:pPr>
          </w:p>
          <w:p>
            <w:pPr>
              <w:spacing w:line="400" w:lineRule="atLeast"/>
              <w:ind w:firstLine="361" w:firstLineChars="150"/>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法定代表身份证复印件粘帖处</w:t>
            </w:r>
          </w:p>
        </w:tc>
      </w:tr>
    </w:tbl>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法定代表人姓名：                                 </w:t>
      </w: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传真：</w:t>
      </w:r>
    </w:p>
    <w:p>
      <w:pPr>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电话：</w:t>
      </w: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详细通讯地址：</w:t>
      </w:r>
    </w:p>
    <w:p>
      <w:pPr>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邮政编码：</w:t>
      </w:r>
    </w:p>
    <w:p>
      <w:pPr>
        <w:spacing w:line="400" w:lineRule="atLeast"/>
        <w:rPr>
          <w:b/>
          <w:color w:val="000000" w:themeColor="text1"/>
          <w:sz w:val="24"/>
          <w:highlight w:val="none"/>
          <w14:textFill>
            <w14:solidFill>
              <w14:schemeClr w14:val="tx1"/>
            </w14:solidFill>
          </w14:textFill>
        </w:rPr>
      </w:pPr>
    </w:p>
    <w:tbl>
      <w:tblPr>
        <w:tblStyle w:val="1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trPr>
        <w:tc>
          <w:tcPr>
            <w:tcW w:w="4080" w:type="dxa"/>
          </w:tcPr>
          <w:p>
            <w:pPr>
              <w:spacing w:line="400" w:lineRule="atLeast"/>
              <w:rPr>
                <w:rFonts w:ascii="宋体"/>
                <w:b/>
                <w:color w:val="000000" w:themeColor="text1"/>
                <w:sz w:val="24"/>
                <w:highlight w:val="none"/>
                <w14:textFill>
                  <w14:solidFill>
                    <w14:schemeClr w14:val="tx1"/>
                  </w14:solidFill>
                </w14:textFill>
              </w:rPr>
            </w:pPr>
          </w:p>
          <w:p>
            <w:pPr>
              <w:spacing w:line="400" w:lineRule="atLeast"/>
              <w:ind w:firstLine="361" w:firstLineChars="150"/>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全权代表身份证复印件粘帖处</w:t>
            </w:r>
          </w:p>
        </w:tc>
      </w:tr>
    </w:tbl>
    <w:p>
      <w:pPr>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全权代表姓名：       </w:t>
      </w: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 xml:space="preserve">职务：                           </w:t>
      </w: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传真：</w:t>
      </w:r>
    </w:p>
    <w:p>
      <w:pPr>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电话：</w:t>
      </w:r>
    </w:p>
    <w:p>
      <w:pPr>
        <w:spacing w:line="400" w:lineRule="atLeast"/>
        <w:rPr>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详细通讯地址：</w:t>
      </w:r>
    </w:p>
    <w:p>
      <w:pPr>
        <w:spacing w:line="400" w:lineRule="atLeas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邮政编码：</w:t>
      </w:r>
    </w:p>
    <w:p>
      <w:pPr>
        <w:snapToGrid w:val="0"/>
        <w:spacing w:before="156" w:beforeLines="50" w:after="50" w:line="380" w:lineRule="atLeast"/>
        <w:rPr>
          <w:rFonts w:ascii="宋体" w:hAnsi="宋体"/>
          <w:b/>
          <w:color w:val="000000" w:themeColor="text1"/>
          <w:sz w:val="28"/>
          <w:highlight w:val="none"/>
          <w14:textFill>
            <w14:solidFill>
              <w14:schemeClr w14:val="tx1"/>
            </w14:solidFill>
          </w14:textFill>
        </w:rPr>
      </w:pPr>
    </w:p>
    <w:p>
      <w:pPr>
        <w:snapToGrid w:val="0"/>
        <w:spacing w:before="156" w:beforeLines="50" w:after="50" w:line="380" w:lineRule="atLeast"/>
        <w:rPr>
          <w:rFonts w:ascii="宋体" w:hAnsi="宋体"/>
          <w:b/>
          <w:color w:val="000000" w:themeColor="text1"/>
          <w:sz w:val="28"/>
          <w:highlight w:val="none"/>
          <w14:textFill>
            <w14:solidFill>
              <w14:schemeClr w14:val="tx1"/>
            </w14:solidFill>
          </w14:textFill>
        </w:rPr>
      </w:pPr>
    </w:p>
    <w:p>
      <w:pPr>
        <w:snapToGrid w:val="0"/>
        <w:spacing w:before="156" w:beforeLines="50" w:after="50" w:line="380" w:lineRule="atLeast"/>
        <w:rPr>
          <w:rFonts w:ascii="宋体" w:hAnsi="宋体"/>
          <w:b/>
          <w:color w:val="000000" w:themeColor="text1"/>
          <w:sz w:val="28"/>
          <w:highlight w:val="none"/>
          <w14:textFill>
            <w14:solidFill>
              <w14:schemeClr w14:val="tx1"/>
            </w14:solidFill>
          </w14:textFill>
        </w:rPr>
      </w:pPr>
    </w:p>
    <w:p>
      <w:pPr>
        <w:pStyle w:val="21"/>
        <w:rPr>
          <w:rFonts w:ascii="宋体" w:hAnsi="宋体"/>
          <w:b/>
          <w:color w:val="000000" w:themeColor="text1"/>
          <w:sz w:val="28"/>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napToGrid w:val="0"/>
        <w:spacing w:before="156" w:beforeLines="50" w:after="50" w:line="380" w:lineRule="atLeast"/>
        <w:rPr>
          <w:rFonts w:ascii="仿宋_GB2312" w:hAnsi="宋体" w:eastAsia="仿宋_GB2312"/>
          <w:b/>
          <w:color w:val="000000" w:themeColor="text1"/>
          <w:sz w:val="30"/>
          <w:szCs w:val="30"/>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附件4：</w:t>
      </w:r>
    </w:p>
    <w:p>
      <w:pPr>
        <w:snapToGrid w:val="0"/>
        <w:spacing w:before="156" w:beforeLines="50" w:after="50" w:line="360" w:lineRule="auto"/>
        <w:jc w:val="right"/>
        <w:rPr>
          <w:rFonts w:ascii="仿宋_GB2312" w:hAnsi="宋体" w:eastAsia="仿宋_GB2312"/>
          <w:bCs/>
          <w:color w:val="000000" w:themeColor="text1"/>
          <w:sz w:val="30"/>
          <w:szCs w:val="30"/>
          <w:highlight w:val="none"/>
          <w14:textFill>
            <w14:solidFill>
              <w14:schemeClr w14:val="tx1"/>
            </w14:solidFill>
          </w14:textFill>
        </w:rPr>
      </w:pPr>
    </w:p>
    <w:p>
      <w:pPr>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玉环市中小学</w:t>
      </w:r>
    </w:p>
    <w:p>
      <w:pPr>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教学触控一体机项目</w:t>
      </w:r>
    </w:p>
    <w:p>
      <w:pPr>
        <w:spacing w:before="312" w:beforeLines="100" w:line="360" w:lineRule="auto"/>
        <w:ind w:right="-108"/>
        <w:jc w:val="center"/>
        <w:rPr>
          <w:rFonts w:hint="eastAsia" w:ascii="宋体" w:hAnsi="宋体" w:eastAsia="宋体"/>
          <w:color w:val="000000" w:themeColor="text1"/>
          <w:sz w:val="36"/>
          <w:szCs w:val="36"/>
          <w:highlight w:val="none"/>
          <w:lang w:eastAsia="zh-CN"/>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项目编号：</w:t>
      </w:r>
      <w:r>
        <w:rPr>
          <w:rFonts w:hint="eastAsia" w:ascii="宋体" w:hAnsi="宋体"/>
          <w:color w:val="000000" w:themeColor="text1"/>
          <w:sz w:val="36"/>
          <w:szCs w:val="36"/>
          <w:highlight w:val="none"/>
          <w:lang w:eastAsia="zh-CN"/>
          <w14:textFill>
            <w14:solidFill>
              <w14:schemeClr w14:val="tx1"/>
            </w14:solidFill>
          </w14:textFill>
        </w:rPr>
        <w:t>HQ-YHZFCG-2019-57</w:t>
      </w:r>
    </w:p>
    <w:p>
      <w:pPr>
        <w:spacing w:before="312" w:beforeLines="100" w:line="360" w:lineRule="auto"/>
        <w:ind w:right="-108"/>
        <w:jc w:val="center"/>
        <w:rPr>
          <w:rFonts w:ascii="宋体" w:hAnsi="宋体"/>
          <w:color w:val="000000" w:themeColor="text1"/>
          <w:sz w:val="36"/>
          <w:szCs w:val="36"/>
          <w:highlight w:val="none"/>
          <w14:textFill>
            <w14:solidFill>
              <w14:schemeClr w14:val="tx1"/>
            </w14:solidFill>
          </w14:textFill>
        </w:rPr>
      </w:pP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投</w:t>
      </w:r>
    </w:p>
    <w:p>
      <w:pPr>
        <w:autoSpaceDE w:val="0"/>
        <w:autoSpaceDN w:val="0"/>
        <w:adjustRightInd w:val="0"/>
        <w:spacing w:line="360" w:lineRule="auto"/>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标</w:t>
      </w:r>
    </w:p>
    <w:p>
      <w:pPr>
        <w:autoSpaceDE w:val="0"/>
        <w:autoSpaceDN w:val="0"/>
        <w:adjustRightInd w:val="0"/>
        <w:spacing w:line="360" w:lineRule="auto"/>
        <w:jc w:val="center"/>
        <w:rPr>
          <w:rFonts w:ascii="宋体" w:hAnsi="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文</w:t>
      </w:r>
    </w:p>
    <w:p>
      <w:pPr>
        <w:spacing w:after="100" w:afterAutospacing="1" w:line="360" w:lineRule="auto"/>
        <w:ind w:right="-108"/>
        <w:jc w:val="center"/>
        <w:rPr>
          <w:rFonts w:ascii="宋体" w:hAnsi="宋体" w:cs="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件</w:t>
      </w:r>
    </w:p>
    <w:p>
      <w:pPr>
        <w:spacing w:after="100" w:afterAutospacing="1" w:line="360" w:lineRule="auto"/>
        <w:ind w:right="-108"/>
        <w:jc w:val="center"/>
        <w:rPr>
          <w:rFonts w:ascii="宋体" w:hAnsi="宋体"/>
          <w:b/>
          <w:color w:val="000000" w:themeColor="text1"/>
          <w:spacing w:val="40"/>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zh-CN"/>
          <w14:textFill>
            <w14:solidFill>
              <w14:schemeClr w14:val="tx1"/>
            </w14:solidFill>
          </w14:textFill>
        </w:rPr>
        <w:t>（</w:t>
      </w:r>
      <w:r>
        <w:rPr>
          <w:rFonts w:hint="eastAsia" w:ascii="宋体" w:hAnsi="宋体"/>
          <w:bCs/>
          <w:color w:val="000000" w:themeColor="text1"/>
          <w:sz w:val="24"/>
          <w:highlight w:val="none"/>
          <w:lang w:val="zh-CN"/>
          <w14:textFill>
            <w14:solidFill>
              <w14:schemeClr w14:val="tx1"/>
            </w14:solidFill>
          </w14:textFill>
        </w:rPr>
        <w:t>商务与技术文件</w:t>
      </w:r>
      <w:r>
        <w:rPr>
          <w:rFonts w:hint="eastAsia" w:ascii="宋体" w:hAnsi="宋体"/>
          <w:b/>
          <w:color w:val="000000" w:themeColor="text1"/>
          <w:spacing w:val="40"/>
          <w:sz w:val="28"/>
          <w:szCs w:val="28"/>
          <w:highlight w:val="none"/>
          <w14:textFill>
            <w14:solidFill>
              <w14:schemeClr w14:val="tx1"/>
            </w14:solidFill>
          </w14:textFill>
        </w:rPr>
        <w:t>）</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投标人全称（公章）：</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地    址：</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时    间：</w:t>
      </w: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napToGrid w:val="0"/>
        <w:spacing w:before="50" w:after="50" w:line="360" w:lineRule="auto"/>
        <w:jc w:val="center"/>
        <w:rPr>
          <w:rFonts w:ascii="宋体" w:hAnsi="宋体"/>
          <w:b/>
          <w:bCs/>
          <w:color w:val="000000" w:themeColor="text1"/>
          <w:sz w:val="32"/>
          <w:szCs w:val="32"/>
          <w:highlight w:val="none"/>
          <w:lang w:val="zh-CN"/>
          <w14:textFill>
            <w14:solidFill>
              <w14:schemeClr w14:val="tx1"/>
            </w14:solidFill>
          </w14:textFill>
        </w:rPr>
      </w:pPr>
    </w:p>
    <w:p>
      <w:pPr>
        <w:snapToGrid w:val="0"/>
        <w:spacing w:before="50" w:after="50"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lang w:val="zh-CN"/>
          <w14:textFill>
            <w14:solidFill>
              <w14:schemeClr w14:val="tx1"/>
            </w14:solidFill>
          </w14:textFill>
        </w:rPr>
        <w:t>商务与技术文件</w:t>
      </w:r>
      <w:r>
        <w:rPr>
          <w:rFonts w:hint="eastAsia" w:ascii="宋体" w:hAnsi="宋体"/>
          <w:b/>
          <w:bCs/>
          <w:color w:val="000000" w:themeColor="text1"/>
          <w:sz w:val="32"/>
          <w:szCs w:val="32"/>
          <w:highlight w:val="none"/>
          <w14:textFill>
            <w14:solidFill>
              <w14:schemeClr w14:val="tx1"/>
            </w14:solidFill>
          </w14:textFill>
        </w:rPr>
        <w:t>目录</w:t>
      </w:r>
    </w:p>
    <w:p>
      <w:pPr>
        <w:snapToGrid w:val="0"/>
        <w:spacing w:line="360" w:lineRule="auto"/>
        <w:rPr>
          <w:rFonts w:ascii="宋体" w:hAnsi="宋体"/>
          <w:color w:val="000000" w:themeColor="text1"/>
          <w:sz w:val="24"/>
          <w:highlight w:val="none"/>
          <w14:textFill>
            <w14:solidFill>
              <w14:schemeClr w14:val="tx1"/>
            </w14:solidFill>
          </w14:textFill>
        </w:rPr>
      </w:pPr>
    </w:p>
    <w:p>
      <w:pPr>
        <w:snapToGrid w:val="0"/>
        <w:spacing w:line="360" w:lineRule="auto"/>
        <w:ind w:firstLine="562" w:firstLineChars="200"/>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第一部分  技术方案描述部分</w:t>
      </w:r>
    </w:p>
    <w:p>
      <w:pPr>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14:textFill>
            <w14:solidFill>
              <w14:schemeClr w14:val="tx1"/>
            </w14:solidFill>
          </w14:textFill>
        </w:rPr>
        <w:t>投标人情况介绍</w:t>
      </w:r>
      <w:r>
        <w:rPr>
          <w:rFonts w:hint="eastAsia" w:ascii="宋体" w:hAnsi="宋体"/>
          <w:color w:val="000000" w:themeColor="text1"/>
          <w:sz w:val="28"/>
          <w:szCs w:val="28"/>
          <w:highlight w:val="none"/>
          <w14:textFill>
            <w14:solidFill>
              <w14:schemeClr w14:val="tx1"/>
            </w14:solidFill>
          </w14:textFill>
        </w:rPr>
        <w:t>（附件5）；</w:t>
      </w:r>
    </w:p>
    <w:p>
      <w:pPr>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t>项目需求的理解与分析</w:t>
      </w:r>
      <w:r>
        <w:rPr>
          <w:rFonts w:hint="eastAsia" w:ascii="宋体" w:hAnsi="宋体"/>
          <w:color w:val="000000" w:themeColor="text1"/>
          <w:sz w:val="28"/>
          <w:szCs w:val="28"/>
          <w:highlight w:val="none"/>
          <w14:textFill>
            <w14:solidFill>
              <w14:schemeClr w14:val="tx1"/>
            </w14:solidFill>
          </w14:textFill>
        </w:rPr>
        <w:t>；</w:t>
      </w:r>
    </w:p>
    <w:p>
      <w:pPr>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3、</w:t>
      </w:r>
      <w:r>
        <w:rPr>
          <w:rFonts w:hint="eastAsia" w:ascii="宋体" w:hAnsi="宋体" w:cs="宋体"/>
          <w:color w:val="000000" w:themeColor="text1"/>
          <w:sz w:val="28"/>
          <w:szCs w:val="28"/>
          <w:highlight w:val="none"/>
          <w14:textFill>
            <w14:solidFill>
              <w14:schemeClr w14:val="tx1"/>
            </w14:solidFill>
          </w14:textFill>
        </w:rPr>
        <w:t>项目组织实施方案(附件6、附件7)</w:t>
      </w:r>
      <w:r>
        <w:rPr>
          <w:rFonts w:ascii="宋体" w:hAnsi="宋体"/>
          <w:color w:val="000000" w:themeColor="text1"/>
          <w:sz w:val="28"/>
          <w:szCs w:val="28"/>
          <w:highlight w:val="none"/>
          <w14:textFill>
            <w14:solidFill>
              <w14:schemeClr w14:val="tx1"/>
            </w14:solidFill>
          </w14:textFill>
        </w:rPr>
        <w:t xml:space="preserve">； </w:t>
      </w:r>
    </w:p>
    <w:p>
      <w:pPr>
        <w:snapToGrid w:val="0"/>
        <w:spacing w:line="360" w:lineRule="auto"/>
        <w:ind w:firstLine="560" w:firstLineChars="200"/>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4、</w:t>
      </w:r>
      <w:r>
        <w:rPr>
          <w:rFonts w:asciiTheme="minorEastAsia" w:hAnsiTheme="minorEastAsia" w:eastAsiaTheme="minorEastAsia"/>
          <w:color w:val="000000" w:themeColor="text1"/>
          <w:kern w:val="0"/>
          <w:sz w:val="28"/>
          <w:szCs w:val="28"/>
          <w:highlight w:val="none"/>
          <w14:textFill>
            <w14:solidFill>
              <w14:schemeClr w14:val="tx1"/>
            </w14:solidFill>
          </w14:textFill>
        </w:rPr>
        <w:t>安装、调试及验收方案</w:t>
      </w:r>
      <w:r>
        <w:rPr>
          <w:rFonts w:hint="eastAsia" w:ascii="宋体" w:hAnsi="宋体"/>
          <w:color w:val="000000" w:themeColor="text1"/>
          <w:sz w:val="28"/>
          <w:szCs w:val="28"/>
          <w:highlight w:val="none"/>
          <w14:textFill>
            <w14:solidFill>
              <w14:schemeClr w14:val="tx1"/>
            </w14:solidFill>
          </w14:textFill>
        </w:rPr>
        <w:t>；</w:t>
      </w:r>
    </w:p>
    <w:p>
      <w:pPr>
        <w:snapToGrid w:val="0"/>
        <w:spacing w:line="360" w:lineRule="auto"/>
        <w:ind w:firstLine="562" w:firstLineChars="200"/>
        <w:jc w:val="left"/>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第二部分  投标产品描述部分</w:t>
      </w:r>
    </w:p>
    <w:p>
      <w:p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1、</w:t>
      </w:r>
      <w:r>
        <w:rPr>
          <w:rFonts w:hint="eastAsia" w:ascii="宋体" w:hAnsi="宋体"/>
          <w:color w:val="000000" w:themeColor="text1"/>
          <w:kern w:val="0"/>
          <w:sz w:val="28"/>
          <w:szCs w:val="28"/>
          <w:highlight w:val="none"/>
          <w14:textFill>
            <w14:solidFill>
              <w14:schemeClr w14:val="tx1"/>
            </w14:solidFill>
          </w14:textFill>
        </w:rPr>
        <w:t>投标产品描述及相关资料（</w:t>
      </w:r>
      <w:r>
        <w:rPr>
          <w:rFonts w:hint="eastAsia" w:ascii="宋体" w:hAnsi="宋体" w:cs="宋体"/>
          <w:color w:val="000000" w:themeColor="text1"/>
          <w:sz w:val="28"/>
          <w:szCs w:val="28"/>
          <w:highlight w:val="none"/>
          <w14:textFill>
            <w14:solidFill>
              <w14:schemeClr w14:val="tx1"/>
            </w14:solidFill>
          </w14:textFill>
        </w:rPr>
        <w:t>附件8、附件9</w:t>
      </w:r>
      <w:r>
        <w:rPr>
          <w:rFonts w:hint="eastAsia" w:ascii="宋体" w:hAnsi="宋体"/>
          <w:color w:val="000000" w:themeColor="text1"/>
          <w:kern w:val="0"/>
          <w:sz w:val="28"/>
          <w:szCs w:val="28"/>
          <w:highlight w:val="none"/>
          <w14:textFill>
            <w14:solidFill>
              <w14:schemeClr w14:val="tx1"/>
            </w14:solidFill>
          </w14:textFill>
        </w:rPr>
        <w:t>）；</w:t>
      </w:r>
    </w:p>
    <w:p>
      <w:pPr>
        <w:snapToGrid w:val="0"/>
        <w:spacing w:line="360" w:lineRule="auto"/>
        <w:ind w:left="837" w:leftChars="260" w:hanging="291" w:hangingChars="104"/>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w:t>
      </w:r>
      <w:r>
        <w:rPr>
          <w:rFonts w:hint="eastAsia" w:ascii="宋体" w:hAnsi="宋体"/>
          <w:color w:val="000000" w:themeColor="text1"/>
          <w:sz w:val="28"/>
          <w:szCs w:val="28"/>
          <w:highlight w:val="none"/>
          <w14:textFill>
            <w14:solidFill>
              <w14:schemeClr w14:val="tx1"/>
            </w14:solidFill>
          </w14:textFill>
        </w:rPr>
        <w:t>投标人</w:t>
      </w:r>
      <w:r>
        <w:rPr>
          <w:rFonts w:ascii="宋体" w:hAnsi="宋体"/>
          <w:color w:val="000000" w:themeColor="text1"/>
          <w:sz w:val="28"/>
          <w:szCs w:val="28"/>
          <w:highlight w:val="none"/>
          <w14:textFill>
            <w14:solidFill>
              <w14:schemeClr w14:val="tx1"/>
            </w14:solidFill>
          </w14:textFill>
        </w:rPr>
        <w:t>需要说明的其他</w:t>
      </w:r>
      <w:r>
        <w:rPr>
          <w:rFonts w:hint="eastAsia" w:ascii="宋体" w:hAnsi="宋体"/>
          <w:color w:val="000000" w:themeColor="text1"/>
          <w:sz w:val="28"/>
          <w:szCs w:val="28"/>
          <w:highlight w:val="none"/>
          <w14:textFill>
            <w14:solidFill>
              <w14:schemeClr w14:val="tx1"/>
            </w14:solidFill>
          </w14:textFill>
        </w:rPr>
        <w:t>内容；（</w:t>
      </w:r>
      <w:r>
        <w:rPr>
          <w:rFonts w:hint="eastAsia" w:ascii="宋体" w:hAnsi="宋体" w:cs="宋体"/>
          <w:color w:val="000000" w:themeColor="text1"/>
          <w:sz w:val="28"/>
          <w:szCs w:val="28"/>
          <w:highlight w:val="none"/>
          <w14:textFill>
            <w14:solidFill>
              <w14:schemeClr w14:val="tx1"/>
            </w14:solidFill>
          </w14:textFill>
        </w:rPr>
        <w:t>包括可能影响投标人技术性能评分项的各类证明材料）</w:t>
      </w:r>
    </w:p>
    <w:p>
      <w:pPr>
        <w:snapToGrid w:val="0"/>
        <w:spacing w:line="360" w:lineRule="auto"/>
        <w:ind w:firstLine="551" w:firstLineChars="196"/>
        <w:rPr>
          <w:rFonts w:ascii="宋体" w:hAnsi="宋体"/>
          <w:b/>
          <w:bCs/>
          <w:color w:val="000000" w:themeColor="text1"/>
          <w:kern w:val="0"/>
          <w:sz w:val="28"/>
          <w:szCs w:val="28"/>
          <w:highlight w:val="none"/>
          <w14:textFill>
            <w14:solidFill>
              <w14:schemeClr w14:val="tx1"/>
            </w14:solidFill>
          </w14:textFill>
        </w:rPr>
      </w:pPr>
      <w:r>
        <w:rPr>
          <w:rFonts w:hint="eastAsia" w:ascii="宋体" w:hAnsi="宋体"/>
          <w:b/>
          <w:bCs/>
          <w:color w:val="000000" w:themeColor="text1"/>
          <w:kern w:val="0"/>
          <w:sz w:val="28"/>
          <w:szCs w:val="28"/>
          <w:highlight w:val="none"/>
          <w14:textFill>
            <w14:solidFill>
              <w14:schemeClr w14:val="tx1"/>
            </w14:solidFill>
          </w14:textFill>
        </w:rPr>
        <w:t>第三部分  商务响应部分</w:t>
      </w:r>
    </w:p>
    <w:p>
      <w:p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1、证书一览表（附件10）；</w:t>
      </w:r>
    </w:p>
    <w:p>
      <w:p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2、近</w:t>
      </w:r>
      <w:r>
        <w:rPr>
          <w:rFonts w:ascii="宋体" w:hAnsi="宋体"/>
          <w:color w:val="000000" w:themeColor="text1"/>
          <w:kern w:val="0"/>
          <w:sz w:val="28"/>
          <w:szCs w:val="28"/>
          <w:highlight w:val="none"/>
          <w14:textFill>
            <w14:solidFill>
              <w14:schemeClr w14:val="tx1"/>
            </w14:solidFill>
          </w14:textFill>
        </w:rPr>
        <w:t>三年</w:t>
      </w:r>
      <w:r>
        <w:rPr>
          <w:rFonts w:hint="eastAsia" w:ascii="宋体" w:hAnsi="宋体"/>
          <w:color w:val="000000" w:themeColor="text1"/>
          <w:kern w:val="0"/>
          <w:sz w:val="28"/>
          <w:szCs w:val="28"/>
          <w:highlight w:val="none"/>
          <w14:textFill>
            <w14:solidFill>
              <w14:schemeClr w14:val="tx1"/>
            </w14:solidFill>
          </w14:textFill>
        </w:rPr>
        <w:t>以来类似项目的成功案例（附件11）</w:t>
      </w:r>
    </w:p>
    <w:p>
      <w:pPr>
        <w:snapToGrid w:val="0"/>
        <w:spacing w:line="360" w:lineRule="auto"/>
        <w:ind w:firstLine="548" w:firstLineChars="196"/>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3、售后服务描述及承诺（附件12，附件13）；</w:t>
      </w:r>
    </w:p>
    <w:p>
      <w:pPr>
        <w:snapToGrid w:val="0"/>
        <w:spacing w:line="360" w:lineRule="auto"/>
        <w:ind w:left="837" w:leftChars="260" w:hanging="291" w:hangingChars="104"/>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4、投标人需要说明的其他内容。（包括可能影响投标人企业实力及信誉评分项以及售后服务评分项的各类证明材料）</w:t>
      </w:r>
    </w:p>
    <w:p>
      <w:pPr>
        <w:snapToGrid w:val="0"/>
        <w:spacing w:line="360" w:lineRule="auto"/>
        <w:ind w:firstLine="562" w:firstLineChars="200"/>
        <w:jc w:val="left"/>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第四部分  其他参考表格（此部分视情况选用）</w:t>
      </w:r>
    </w:p>
    <w:p>
      <w:pPr>
        <w:snapToGrid w:val="0"/>
        <w:spacing w:line="360" w:lineRule="auto"/>
        <w:ind w:firstLine="560" w:firstLineChars="200"/>
        <w:jc w:val="left"/>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1、主要货物用材响应表(附件14)</w:t>
      </w:r>
    </w:p>
    <w:p>
      <w:pPr>
        <w:snapToGrid w:val="0"/>
        <w:spacing w:line="360" w:lineRule="auto"/>
        <w:ind w:left="837" w:leftChars="260" w:hanging="291" w:hangingChars="104"/>
        <w:rPr>
          <w:rFonts w:ascii="宋体" w:hAnsi="宋体"/>
          <w:color w:val="000000" w:themeColor="text1"/>
          <w:kern w:val="0"/>
          <w:sz w:val="28"/>
          <w:szCs w:val="28"/>
          <w:highlight w:val="none"/>
          <w14:textFill>
            <w14:solidFill>
              <w14:schemeClr w14:val="tx1"/>
            </w14:solidFill>
          </w14:textFill>
        </w:rPr>
      </w:pPr>
      <w:r>
        <w:rPr>
          <w:rFonts w:hint="eastAsia" w:ascii="宋体" w:hAnsi="宋体"/>
          <w:color w:val="000000" w:themeColor="text1"/>
          <w:kern w:val="0"/>
          <w:sz w:val="28"/>
          <w:szCs w:val="28"/>
          <w:highlight w:val="none"/>
          <w14:textFill>
            <w14:solidFill>
              <w14:schemeClr w14:val="tx1"/>
            </w14:solidFill>
          </w14:textFill>
        </w:rPr>
        <w:t>（以上内容具体描述详见“第三部分投标人须知”中“三、投标文件”的组成说明）</w:t>
      </w:r>
    </w:p>
    <w:p>
      <w:pPr>
        <w:pStyle w:val="27"/>
        <w:shd w:val="clear" w:color="auto" w:fill="FFFFFF"/>
        <w:spacing w:before="0" w:beforeAutospacing="0" w:after="0" w:afterAutospacing="0" w:line="360" w:lineRule="auto"/>
        <w:rPr>
          <w:b/>
          <w:color w:val="000000" w:themeColor="text1"/>
          <w:sz w:val="28"/>
          <w:highlight w:val="none"/>
          <w14:textFill>
            <w14:solidFill>
              <w14:schemeClr w14:val="tx1"/>
            </w14:solidFill>
          </w14:textFill>
        </w:rPr>
      </w:pPr>
    </w:p>
    <w:p>
      <w:pPr>
        <w:pStyle w:val="27"/>
        <w:shd w:val="clear" w:color="auto" w:fill="FFFFFF"/>
        <w:spacing w:before="0" w:beforeAutospacing="0" w:after="0" w:afterAutospacing="0" w:line="360" w:lineRule="auto"/>
        <w:rPr>
          <w:b/>
          <w:color w:val="000000" w:themeColor="text1"/>
          <w:sz w:val="28"/>
          <w:highlight w:val="none"/>
          <w14:textFill>
            <w14:solidFill>
              <w14:schemeClr w14:val="tx1"/>
            </w14:solidFill>
          </w14:textFill>
        </w:rPr>
      </w:pPr>
      <w:r>
        <w:rPr>
          <w:rFonts w:hint="eastAsia"/>
          <w:b/>
          <w:color w:val="000000" w:themeColor="text1"/>
          <w:sz w:val="28"/>
          <w:highlight w:val="none"/>
          <w14:textFill>
            <w14:solidFill>
              <w14:schemeClr w14:val="tx1"/>
            </w14:solidFill>
          </w14:textFill>
        </w:rPr>
        <w:t>附件5</w:t>
      </w:r>
    </w:p>
    <w:p>
      <w:pPr>
        <w:pStyle w:val="27"/>
        <w:shd w:val="clear" w:color="auto" w:fill="FFFFFF"/>
        <w:spacing w:before="0" w:beforeAutospacing="0" w:after="0" w:afterAutospacing="0" w:line="360" w:lineRule="auto"/>
        <w:jc w:val="center"/>
        <w:rPr>
          <w:b/>
          <w:bCs/>
          <w:color w:val="000000" w:themeColor="text1"/>
          <w:spacing w:val="2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 xml:space="preserve">  投标</w:t>
      </w:r>
      <w:r>
        <w:rPr>
          <w:rFonts w:hint="eastAsia"/>
          <w:b/>
          <w:bCs/>
          <w:color w:val="000000" w:themeColor="text1"/>
          <w:spacing w:val="21"/>
          <w:sz w:val="32"/>
          <w:szCs w:val="32"/>
          <w:highlight w:val="none"/>
          <w14:textFill>
            <w14:solidFill>
              <w14:schemeClr w14:val="tx1"/>
            </w14:solidFill>
          </w14:textFill>
        </w:rPr>
        <w:t>人基本情况表</w:t>
      </w:r>
    </w:p>
    <w:tbl>
      <w:tblPr>
        <w:tblStyle w:val="16"/>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704" w:type="dxa"/>
          </w:tcPr>
          <w:p>
            <w:pPr>
              <w:pStyle w:val="27"/>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企业名称</w:t>
            </w:r>
          </w:p>
        </w:tc>
        <w:tc>
          <w:tcPr>
            <w:tcW w:w="3979" w:type="dxa"/>
            <w:gridSpan w:val="6"/>
          </w:tcPr>
          <w:p>
            <w:pPr>
              <w:pStyle w:val="27"/>
              <w:shd w:val="clear" w:color="auto" w:fill="FFFFFF"/>
              <w:spacing w:line="360" w:lineRule="auto"/>
              <w:rPr>
                <w:bCs/>
                <w:color w:val="000000" w:themeColor="text1"/>
                <w:highlight w:val="none"/>
                <w14:textFill>
                  <w14:solidFill>
                    <w14:schemeClr w14:val="tx1"/>
                  </w14:solidFill>
                </w14:textFill>
              </w:rPr>
            </w:pPr>
          </w:p>
        </w:tc>
        <w:tc>
          <w:tcPr>
            <w:tcW w:w="2001" w:type="dxa"/>
            <w:gridSpan w:val="3"/>
          </w:tcPr>
          <w:p>
            <w:pPr>
              <w:pStyle w:val="27"/>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法人代表</w:t>
            </w:r>
          </w:p>
        </w:tc>
        <w:tc>
          <w:tcPr>
            <w:tcW w:w="2151" w:type="dxa"/>
            <w:gridSpan w:val="2"/>
          </w:tcPr>
          <w:p>
            <w:pPr>
              <w:pStyle w:val="27"/>
              <w:shd w:val="clear" w:color="auto" w:fill="FFFFFF"/>
              <w:spacing w:line="360" w:lineRule="auto"/>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704" w:type="dxa"/>
          </w:tcPr>
          <w:p>
            <w:pPr>
              <w:pStyle w:val="27"/>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地址</w:t>
            </w:r>
          </w:p>
        </w:tc>
        <w:tc>
          <w:tcPr>
            <w:tcW w:w="3979" w:type="dxa"/>
            <w:gridSpan w:val="6"/>
            <w:tcBorders>
              <w:bottom w:val="single" w:color="auto" w:sz="4" w:space="0"/>
            </w:tcBorders>
          </w:tcPr>
          <w:p>
            <w:pPr>
              <w:pStyle w:val="27"/>
              <w:shd w:val="clear" w:color="auto" w:fill="FFFFFF"/>
              <w:spacing w:line="360" w:lineRule="auto"/>
              <w:rPr>
                <w:bCs/>
                <w:color w:val="000000" w:themeColor="text1"/>
                <w:spacing w:val="16"/>
                <w:highlight w:val="none"/>
                <w14:textFill>
                  <w14:solidFill>
                    <w14:schemeClr w14:val="tx1"/>
                  </w14:solidFill>
                </w14:textFill>
              </w:rPr>
            </w:pPr>
          </w:p>
        </w:tc>
        <w:tc>
          <w:tcPr>
            <w:tcW w:w="2001" w:type="dxa"/>
            <w:gridSpan w:val="3"/>
          </w:tcPr>
          <w:p>
            <w:pPr>
              <w:pStyle w:val="27"/>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企业性质</w:t>
            </w:r>
          </w:p>
        </w:tc>
        <w:tc>
          <w:tcPr>
            <w:tcW w:w="2151" w:type="dxa"/>
            <w:gridSpan w:val="2"/>
          </w:tcPr>
          <w:p>
            <w:pPr>
              <w:pStyle w:val="27"/>
              <w:shd w:val="clear" w:color="auto" w:fill="FFFFFF"/>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04" w:type="dxa"/>
            <w:tcBorders>
              <w:bottom w:val="single" w:color="auto" w:sz="4" w:space="0"/>
            </w:tcBorders>
          </w:tcPr>
          <w:p>
            <w:pPr>
              <w:pStyle w:val="27"/>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股东姓名</w:t>
            </w:r>
          </w:p>
        </w:tc>
        <w:tc>
          <w:tcPr>
            <w:tcW w:w="701" w:type="dxa"/>
            <w:tcBorders>
              <w:bottom w:val="single" w:color="auto" w:sz="4" w:space="0"/>
            </w:tcBorders>
          </w:tcPr>
          <w:p>
            <w:pPr>
              <w:pStyle w:val="27"/>
              <w:shd w:val="clear" w:color="auto" w:fill="FFFFFF"/>
              <w:spacing w:before="0" w:beforeAutospacing="0" w:after="0" w:afterAutospacing="0" w:line="360" w:lineRule="auto"/>
              <w:rPr>
                <w:bCs/>
                <w:color w:val="000000" w:themeColor="text1"/>
                <w:spacing w:val="16"/>
                <w:highlight w:val="none"/>
                <w14:textFill>
                  <w14:solidFill>
                    <w14:schemeClr w14:val="tx1"/>
                  </w14:solidFill>
                </w14:textFill>
              </w:rPr>
            </w:pPr>
          </w:p>
        </w:tc>
        <w:tc>
          <w:tcPr>
            <w:tcW w:w="910" w:type="dxa"/>
            <w:gridSpan w:val="2"/>
            <w:tcBorders>
              <w:bottom w:val="single" w:color="auto" w:sz="4" w:space="0"/>
            </w:tcBorders>
          </w:tcPr>
          <w:p>
            <w:pPr>
              <w:pStyle w:val="27"/>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股权结构（%）</w:t>
            </w:r>
          </w:p>
        </w:tc>
        <w:tc>
          <w:tcPr>
            <w:tcW w:w="2368" w:type="dxa"/>
            <w:gridSpan w:val="3"/>
            <w:tcBorders>
              <w:bottom w:val="single" w:color="auto" w:sz="4" w:space="0"/>
            </w:tcBorders>
          </w:tcPr>
          <w:p>
            <w:pPr>
              <w:widowControl/>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27"/>
              <w:shd w:val="clear" w:color="auto" w:fill="FFFFFF"/>
              <w:spacing w:line="360" w:lineRule="auto"/>
              <w:rPr>
                <w:bCs/>
                <w:color w:val="000000" w:themeColor="text1"/>
                <w:spacing w:val="16"/>
                <w:highlight w:val="none"/>
                <w14:textFill>
                  <w14:solidFill>
                    <w14:schemeClr w14:val="tx1"/>
                  </w14:solidFill>
                </w14:textFill>
              </w:rPr>
            </w:pPr>
          </w:p>
        </w:tc>
        <w:tc>
          <w:tcPr>
            <w:tcW w:w="2001" w:type="dxa"/>
            <w:gridSpan w:val="3"/>
          </w:tcPr>
          <w:p>
            <w:pPr>
              <w:pStyle w:val="27"/>
              <w:shd w:val="clear" w:color="auto" w:fill="FFFFFF"/>
              <w:spacing w:line="360" w:lineRule="auto"/>
              <w:ind w:left="107"/>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股东关系</w:t>
            </w:r>
          </w:p>
        </w:tc>
        <w:tc>
          <w:tcPr>
            <w:tcW w:w="2151" w:type="dxa"/>
            <w:gridSpan w:val="2"/>
          </w:tcPr>
          <w:p>
            <w:pPr>
              <w:pStyle w:val="27"/>
              <w:shd w:val="clear" w:color="auto" w:fill="FFFFFF"/>
              <w:spacing w:line="360" w:lineRule="auto"/>
              <w:ind w:left="107"/>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704" w:type="dxa"/>
            <w:vMerge w:val="restart"/>
          </w:tcPr>
          <w:p>
            <w:pPr>
              <w:pStyle w:val="27"/>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2"/>
                <w:highlight w:val="none"/>
                <w14:textFill>
                  <w14:solidFill>
                    <w14:schemeClr w14:val="tx1"/>
                  </w14:solidFill>
                </w14:textFill>
              </w:rPr>
              <w:t>联系人</w:t>
            </w:r>
            <w:r>
              <w:rPr>
                <w:rFonts w:hint="eastAsia"/>
                <w:bCs/>
                <w:color w:val="000000" w:themeColor="text1"/>
                <w:spacing w:val="27"/>
                <w:highlight w:val="none"/>
                <w14:textFill>
                  <w14:solidFill>
                    <w14:schemeClr w14:val="tx1"/>
                  </w14:solidFill>
                </w14:textFill>
              </w:rPr>
              <w:t>姓名</w:t>
            </w:r>
          </w:p>
        </w:tc>
        <w:tc>
          <w:tcPr>
            <w:tcW w:w="701" w:type="dxa"/>
            <w:vMerge w:val="restart"/>
            <w:tcBorders>
              <w:top w:val="nil"/>
            </w:tcBorders>
          </w:tcPr>
          <w:p>
            <w:pPr>
              <w:pStyle w:val="27"/>
              <w:shd w:val="clear" w:color="auto" w:fill="FFFFFF"/>
              <w:spacing w:line="360" w:lineRule="auto"/>
              <w:rPr>
                <w:bCs/>
                <w:color w:val="000000" w:themeColor="text1"/>
                <w:spacing w:val="16"/>
                <w:highlight w:val="none"/>
                <w14:textFill>
                  <w14:solidFill>
                    <w14:schemeClr w14:val="tx1"/>
                  </w14:solidFill>
                </w14:textFill>
              </w:rPr>
            </w:pPr>
          </w:p>
        </w:tc>
        <w:tc>
          <w:tcPr>
            <w:tcW w:w="910" w:type="dxa"/>
            <w:gridSpan w:val="2"/>
            <w:tcBorders>
              <w:top w:val="nil"/>
              <w:bottom w:val="single" w:color="auto" w:sz="4" w:space="0"/>
            </w:tcBorders>
          </w:tcPr>
          <w:p>
            <w:pPr>
              <w:pStyle w:val="27"/>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固定电话</w:t>
            </w:r>
          </w:p>
        </w:tc>
        <w:tc>
          <w:tcPr>
            <w:tcW w:w="2368" w:type="dxa"/>
            <w:gridSpan w:val="3"/>
            <w:tcBorders>
              <w:top w:val="nil"/>
              <w:bottom w:val="single" w:color="auto" w:sz="4" w:space="0"/>
            </w:tcBorders>
          </w:tcPr>
          <w:p>
            <w:pPr>
              <w:widowControl/>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27"/>
              <w:shd w:val="clear" w:color="auto" w:fill="FFFFFF"/>
              <w:spacing w:line="360" w:lineRule="auto"/>
              <w:rPr>
                <w:bCs/>
                <w:color w:val="000000" w:themeColor="text1"/>
                <w:spacing w:val="16"/>
                <w:highlight w:val="none"/>
                <w14:textFill>
                  <w14:solidFill>
                    <w14:schemeClr w14:val="tx1"/>
                  </w14:solidFill>
                </w14:textFill>
              </w:rPr>
            </w:pPr>
          </w:p>
        </w:tc>
        <w:tc>
          <w:tcPr>
            <w:tcW w:w="2001" w:type="dxa"/>
            <w:gridSpan w:val="3"/>
            <w:vMerge w:val="restart"/>
          </w:tcPr>
          <w:p>
            <w:pPr>
              <w:pStyle w:val="27"/>
              <w:shd w:val="clear" w:color="auto" w:fill="FFFFFF"/>
              <w:spacing w:before="0" w:beforeAutospacing="0" w:after="0" w:afterAutospacing="0"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传真</w:t>
            </w:r>
          </w:p>
        </w:tc>
        <w:tc>
          <w:tcPr>
            <w:tcW w:w="2151" w:type="dxa"/>
            <w:gridSpan w:val="2"/>
            <w:vMerge w:val="restart"/>
          </w:tcPr>
          <w:p>
            <w:pPr>
              <w:pStyle w:val="27"/>
              <w:shd w:val="clear" w:color="auto" w:fill="FFFFFF"/>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704" w:type="dxa"/>
            <w:vMerge w:val="continue"/>
            <w:tcBorders>
              <w:bottom w:val="single" w:color="auto" w:sz="4" w:space="0"/>
            </w:tcBorders>
          </w:tcPr>
          <w:p>
            <w:pPr>
              <w:pStyle w:val="27"/>
              <w:shd w:val="clear" w:color="auto" w:fill="FFFFFF"/>
              <w:spacing w:line="360" w:lineRule="auto"/>
              <w:ind w:left="107"/>
              <w:rPr>
                <w:bCs/>
                <w:color w:val="000000" w:themeColor="text1"/>
                <w:highlight w:val="none"/>
                <w14:textFill>
                  <w14:solidFill>
                    <w14:schemeClr w14:val="tx1"/>
                  </w14:solidFill>
                </w14:textFill>
              </w:rPr>
            </w:pPr>
          </w:p>
        </w:tc>
        <w:tc>
          <w:tcPr>
            <w:tcW w:w="701" w:type="dxa"/>
            <w:vMerge w:val="continue"/>
            <w:tcBorders>
              <w:bottom w:val="single" w:color="auto" w:sz="4" w:space="0"/>
            </w:tcBorders>
          </w:tcPr>
          <w:p>
            <w:pPr>
              <w:pStyle w:val="27"/>
              <w:shd w:val="clear" w:color="auto" w:fill="FFFFFF"/>
              <w:spacing w:line="360" w:lineRule="auto"/>
              <w:rPr>
                <w:bCs/>
                <w:color w:val="000000" w:themeColor="text1"/>
                <w:spacing w:val="16"/>
                <w:highlight w:val="none"/>
                <w14:textFill>
                  <w14:solidFill>
                    <w14:schemeClr w14:val="tx1"/>
                  </w14:solidFill>
                </w14:textFill>
              </w:rPr>
            </w:pPr>
          </w:p>
        </w:tc>
        <w:tc>
          <w:tcPr>
            <w:tcW w:w="910" w:type="dxa"/>
            <w:gridSpan w:val="2"/>
            <w:tcBorders>
              <w:bottom w:val="single" w:color="auto" w:sz="4" w:space="0"/>
            </w:tcBorders>
          </w:tcPr>
          <w:p>
            <w:pPr>
              <w:pStyle w:val="27"/>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手机</w:t>
            </w:r>
          </w:p>
        </w:tc>
        <w:tc>
          <w:tcPr>
            <w:tcW w:w="2368" w:type="dxa"/>
            <w:gridSpan w:val="3"/>
            <w:tcBorders>
              <w:bottom w:val="single" w:color="auto" w:sz="4" w:space="0"/>
            </w:tcBorders>
          </w:tcPr>
          <w:p>
            <w:pPr>
              <w:pStyle w:val="27"/>
              <w:shd w:val="clear" w:color="auto" w:fill="FFFFFF"/>
              <w:spacing w:line="360" w:lineRule="auto"/>
              <w:rPr>
                <w:bCs/>
                <w:color w:val="000000" w:themeColor="text1"/>
                <w:spacing w:val="16"/>
                <w:highlight w:val="none"/>
                <w14:textFill>
                  <w14:solidFill>
                    <w14:schemeClr w14:val="tx1"/>
                  </w14:solidFill>
                </w14:textFill>
              </w:rPr>
            </w:pPr>
          </w:p>
        </w:tc>
        <w:tc>
          <w:tcPr>
            <w:tcW w:w="2001" w:type="dxa"/>
            <w:gridSpan w:val="3"/>
            <w:vMerge w:val="continue"/>
          </w:tcPr>
          <w:p>
            <w:pPr>
              <w:pStyle w:val="27"/>
              <w:shd w:val="clear" w:color="auto" w:fill="FFFFFF"/>
              <w:spacing w:line="360" w:lineRule="auto"/>
              <w:rPr>
                <w:bCs/>
                <w:color w:val="000000" w:themeColor="text1"/>
                <w:spacing w:val="16"/>
                <w:highlight w:val="none"/>
                <w14:textFill>
                  <w14:solidFill>
                    <w14:schemeClr w14:val="tx1"/>
                  </w14:solidFill>
                </w14:textFill>
              </w:rPr>
            </w:pPr>
          </w:p>
        </w:tc>
        <w:tc>
          <w:tcPr>
            <w:tcW w:w="2151" w:type="dxa"/>
            <w:gridSpan w:val="2"/>
            <w:vMerge w:val="continue"/>
          </w:tcPr>
          <w:p>
            <w:pPr>
              <w:pStyle w:val="27"/>
              <w:shd w:val="clear" w:color="auto" w:fill="FFFFFF"/>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04" w:type="dxa"/>
            <w:vMerge w:val="restart"/>
          </w:tcPr>
          <w:p>
            <w:pPr>
              <w:pStyle w:val="27"/>
              <w:shd w:val="clear" w:color="auto" w:fill="FFFFFF"/>
              <w:spacing w:line="360" w:lineRule="auto"/>
              <w:ind w:left="107"/>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1</w:t>
            </w:r>
            <w:r>
              <w:rPr>
                <w:rFonts w:hint="eastAsia"/>
                <w:bCs/>
                <w:color w:val="000000" w:themeColor="text1"/>
                <w:highlight w:val="none"/>
                <w14:textFill>
                  <w14:solidFill>
                    <w14:schemeClr w14:val="tx1"/>
                  </w14:solidFill>
                </w14:textFill>
              </w:rPr>
              <w:t>.</w:t>
            </w:r>
          </w:p>
          <w:p>
            <w:pPr>
              <w:pStyle w:val="27"/>
              <w:shd w:val="clear" w:color="auto" w:fill="FFFFFF"/>
              <w:spacing w:line="360" w:lineRule="auto"/>
              <w:ind w:left="107"/>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企</w:t>
            </w:r>
          </w:p>
          <w:p>
            <w:pPr>
              <w:pStyle w:val="27"/>
              <w:shd w:val="clear" w:color="auto" w:fill="FFFFFF"/>
              <w:spacing w:line="360" w:lineRule="auto"/>
              <w:ind w:left="107"/>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业</w:t>
            </w:r>
          </w:p>
          <w:p>
            <w:pPr>
              <w:pStyle w:val="27"/>
              <w:shd w:val="clear" w:color="auto" w:fill="FFFFFF"/>
              <w:spacing w:line="360" w:lineRule="auto"/>
              <w:ind w:left="107"/>
              <w:rPr>
                <w:bCs/>
                <w:color w:val="000000" w:themeColor="text1"/>
                <w:spacing w:val="27"/>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概</w:t>
            </w:r>
          </w:p>
          <w:p>
            <w:pPr>
              <w:pStyle w:val="27"/>
              <w:shd w:val="clear" w:color="auto" w:fill="FFFFFF"/>
              <w:spacing w:line="360" w:lineRule="auto"/>
              <w:ind w:left="107"/>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况</w:t>
            </w:r>
          </w:p>
        </w:tc>
        <w:tc>
          <w:tcPr>
            <w:tcW w:w="701" w:type="dxa"/>
            <w:tcBorders>
              <w:top w:val="nil"/>
            </w:tcBorders>
          </w:tcPr>
          <w:p>
            <w:pPr>
              <w:pStyle w:val="27"/>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职工人数</w:t>
            </w:r>
          </w:p>
        </w:tc>
        <w:tc>
          <w:tcPr>
            <w:tcW w:w="910" w:type="dxa"/>
            <w:gridSpan w:val="2"/>
            <w:tcBorders>
              <w:top w:val="nil"/>
            </w:tcBorders>
          </w:tcPr>
          <w:p>
            <w:pPr>
              <w:pStyle w:val="27"/>
              <w:shd w:val="clear" w:color="auto" w:fill="FFFFFF"/>
              <w:spacing w:line="360" w:lineRule="auto"/>
              <w:rPr>
                <w:bCs/>
                <w:color w:val="000000" w:themeColor="text1"/>
                <w:spacing w:val="16"/>
                <w:highlight w:val="none"/>
                <w14:textFill>
                  <w14:solidFill>
                    <w14:schemeClr w14:val="tx1"/>
                  </w14:solidFill>
                </w14:textFill>
              </w:rPr>
            </w:pPr>
          </w:p>
        </w:tc>
        <w:tc>
          <w:tcPr>
            <w:tcW w:w="1163" w:type="dxa"/>
            <w:tcBorders>
              <w:top w:val="nil"/>
            </w:tcBorders>
          </w:tcPr>
          <w:p>
            <w:pPr>
              <w:pStyle w:val="27"/>
              <w:shd w:val="clear" w:color="auto" w:fill="FFFFFF"/>
              <w:spacing w:before="0" w:beforeAutospacing="0" w:after="0" w:afterAutospacing="0" w:line="360" w:lineRule="auto"/>
              <w:rPr>
                <w:bCs/>
                <w:color w:val="000000" w:themeColor="text1"/>
                <w:highlight w:val="none"/>
                <w14:textFill>
                  <w14:solidFill>
                    <w14:schemeClr w14:val="tx1"/>
                  </w14:solidFill>
                </w14:textFill>
              </w:rPr>
            </w:pPr>
            <w:r>
              <w:rPr>
                <w:rFonts w:hint="eastAsia"/>
                <w:bCs/>
                <w:color w:val="000000" w:themeColor="text1"/>
                <w:spacing w:val="18"/>
                <w:highlight w:val="none"/>
                <w14:textFill>
                  <w14:solidFill>
                    <w14:schemeClr w14:val="tx1"/>
                  </w14:solidFill>
                </w14:textFill>
              </w:rPr>
              <w:t>具备大专以</w:t>
            </w:r>
            <w:r>
              <w:rPr>
                <w:rFonts w:hint="eastAsia"/>
                <w:bCs/>
                <w:color w:val="000000" w:themeColor="text1"/>
                <w:spacing w:val="12"/>
                <w:highlight w:val="none"/>
                <w14:textFill>
                  <w14:solidFill>
                    <w14:schemeClr w14:val="tx1"/>
                  </w14:solidFill>
                </w14:textFill>
              </w:rPr>
              <w:t>上学历人数</w:t>
            </w:r>
          </w:p>
        </w:tc>
        <w:tc>
          <w:tcPr>
            <w:tcW w:w="1205" w:type="dxa"/>
            <w:gridSpan w:val="2"/>
            <w:tcBorders>
              <w:top w:val="nil"/>
            </w:tcBorders>
          </w:tcPr>
          <w:p>
            <w:pPr>
              <w:widowControl/>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widowControl/>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27"/>
              <w:shd w:val="clear" w:color="auto" w:fill="FFFFFF"/>
              <w:spacing w:line="360" w:lineRule="auto"/>
              <w:rPr>
                <w:bCs/>
                <w:color w:val="000000" w:themeColor="text1"/>
                <w:spacing w:val="16"/>
                <w:highlight w:val="none"/>
                <w14:textFill>
                  <w14:solidFill>
                    <w14:schemeClr w14:val="tx1"/>
                  </w14:solidFill>
                </w14:textFill>
              </w:rPr>
            </w:pPr>
          </w:p>
        </w:tc>
        <w:tc>
          <w:tcPr>
            <w:tcW w:w="2001" w:type="dxa"/>
            <w:gridSpan w:val="3"/>
          </w:tcPr>
          <w:p>
            <w:pPr>
              <w:pStyle w:val="27"/>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65"/>
                <w:highlight w:val="none"/>
                <w14:textFill>
                  <w14:solidFill>
                    <w14:schemeClr w14:val="tx1"/>
                  </w14:solidFill>
                </w14:textFill>
              </w:rPr>
              <w:t>国家授予技</w:t>
            </w:r>
            <w:r>
              <w:rPr>
                <w:rFonts w:hint="eastAsia"/>
                <w:bCs/>
                <w:color w:val="000000" w:themeColor="text1"/>
                <w:spacing w:val="12"/>
                <w:highlight w:val="none"/>
                <w14:textFill>
                  <w14:solidFill>
                    <w14:schemeClr w14:val="tx1"/>
                  </w14:solidFill>
                </w14:textFill>
              </w:rPr>
              <w:t>术职称人数</w:t>
            </w:r>
          </w:p>
        </w:tc>
        <w:tc>
          <w:tcPr>
            <w:tcW w:w="2151" w:type="dxa"/>
            <w:gridSpan w:val="2"/>
          </w:tcPr>
          <w:p>
            <w:pPr>
              <w:widowControl/>
              <w:spacing w:line="360" w:lineRule="auto"/>
              <w:jc w:val="left"/>
              <w:rPr>
                <w:rFonts w:ascii="宋体" w:hAnsi="宋体" w:cs="宋体"/>
                <w:bCs/>
                <w:color w:val="000000" w:themeColor="text1"/>
                <w:spacing w:val="16"/>
                <w:kern w:val="0"/>
                <w:sz w:val="24"/>
                <w:highlight w:val="none"/>
                <w14:textFill>
                  <w14:solidFill>
                    <w14:schemeClr w14:val="tx1"/>
                  </w14:solidFill>
                </w14:textFill>
              </w:rPr>
            </w:pPr>
          </w:p>
          <w:p>
            <w:pPr>
              <w:pStyle w:val="27"/>
              <w:shd w:val="clear" w:color="auto" w:fill="FFFFFF"/>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trPr>
        <w:tc>
          <w:tcPr>
            <w:tcW w:w="704" w:type="dxa"/>
            <w:vMerge w:val="continue"/>
          </w:tcPr>
          <w:p>
            <w:pPr>
              <w:pStyle w:val="27"/>
              <w:shd w:val="clear" w:color="auto" w:fill="FFFFFF"/>
              <w:spacing w:line="360" w:lineRule="auto"/>
              <w:ind w:left="107"/>
              <w:rPr>
                <w:bCs/>
                <w:color w:val="000000" w:themeColor="text1"/>
                <w:highlight w:val="none"/>
                <w14:textFill>
                  <w14:solidFill>
                    <w14:schemeClr w14:val="tx1"/>
                  </w14:solidFill>
                </w14:textFill>
              </w:rPr>
            </w:pPr>
          </w:p>
        </w:tc>
        <w:tc>
          <w:tcPr>
            <w:tcW w:w="701" w:type="dxa"/>
          </w:tcPr>
          <w:p>
            <w:pPr>
              <w:pStyle w:val="27"/>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占地面积</w:t>
            </w:r>
          </w:p>
        </w:tc>
        <w:tc>
          <w:tcPr>
            <w:tcW w:w="910" w:type="dxa"/>
            <w:gridSpan w:val="2"/>
          </w:tcPr>
          <w:p>
            <w:pPr>
              <w:pStyle w:val="27"/>
              <w:shd w:val="clear" w:color="auto" w:fill="FFFFFF"/>
              <w:spacing w:line="360" w:lineRule="auto"/>
              <w:rPr>
                <w:bCs/>
                <w:color w:val="000000" w:themeColor="text1"/>
                <w:highlight w:val="none"/>
                <w14:textFill>
                  <w14:solidFill>
                    <w14:schemeClr w14:val="tx1"/>
                  </w14:solidFill>
                </w14:textFill>
              </w:rPr>
            </w:pPr>
          </w:p>
        </w:tc>
        <w:tc>
          <w:tcPr>
            <w:tcW w:w="1163" w:type="dxa"/>
          </w:tcPr>
          <w:p>
            <w:pPr>
              <w:pStyle w:val="27"/>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建筑面积</w:t>
            </w:r>
          </w:p>
        </w:tc>
        <w:tc>
          <w:tcPr>
            <w:tcW w:w="1205" w:type="dxa"/>
            <w:gridSpan w:val="2"/>
          </w:tcPr>
          <w:p>
            <w:pPr>
              <w:pStyle w:val="27"/>
              <w:shd w:val="clear" w:color="auto" w:fill="FFFFFF"/>
              <w:spacing w:line="360" w:lineRule="auto"/>
              <w:ind w:firstLine="480" w:firstLineChars="20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 xml:space="preserve">平方米 </w:t>
            </w:r>
          </w:p>
          <w:p>
            <w:pPr>
              <w:pStyle w:val="27"/>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□自有□租賃</w:t>
            </w:r>
          </w:p>
        </w:tc>
        <w:tc>
          <w:tcPr>
            <w:tcW w:w="2001" w:type="dxa"/>
            <w:gridSpan w:val="3"/>
          </w:tcPr>
          <w:p>
            <w:pPr>
              <w:pStyle w:val="27"/>
              <w:shd w:val="clear" w:color="auto" w:fill="FFFFFF"/>
              <w:spacing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生产经营场所及场所的设施与设备</w:t>
            </w:r>
          </w:p>
        </w:tc>
        <w:tc>
          <w:tcPr>
            <w:tcW w:w="2151" w:type="dxa"/>
            <w:gridSpan w:val="2"/>
          </w:tcPr>
          <w:p>
            <w:pPr>
              <w:pStyle w:val="27"/>
              <w:shd w:val="clear" w:color="auto" w:fill="FFFFFF"/>
              <w:spacing w:before="0" w:beforeAutospacing="0" w:after="0" w:afterAutospacing="0"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04" w:type="dxa"/>
            <w:vMerge w:val="continue"/>
          </w:tcPr>
          <w:p>
            <w:pPr>
              <w:pStyle w:val="27"/>
              <w:shd w:val="clear" w:color="auto" w:fill="FFFFFF"/>
              <w:spacing w:line="360" w:lineRule="auto"/>
              <w:ind w:left="107"/>
              <w:rPr>
                <w:bCs/>
                <w:color w:val="000000" w:themeColor="text1"/>
                <w:highlight w:val="none"/>
                <w14:textFill>
                  <w14:solidFill>
                    <w14:schemeClr w14:val="tx1"/>
                  </w14:solidFill>
                </w14:textFill>
              </w:rPr>
            </w:pPr>
          </w:p>
        </w:tc>
        <w:tc>
          <w:tcPr>
            <w:tcW w:w="701" w:type="dxa"/>
          </w:tcPr>
          <w:p>
            <w:pPr>
              <w:pStyle w:val="27"/>
              <w:shd w:val="clear" w:color="auto" w:fill="FFFFFF"/>
              <w:spacing w:line="360" w:lineRule="auto"/>
              <w:ind w:left="2"/>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注册资金</w:t>
            </w:r>
          </w:p>
        </w:tc>
        <w:tc>
          <w:tcPr>
            <w:tcW w:w="910" w:type="dxa"/>
            <w:gridSpan w:val="2"/>
          </w:tcPr>
          <w:p>
            <w:pPr>
              <w:pStyle w:val="27"/>
              <w:shd w:val="clear" w:color="auto" w:fill="FFFFFF"/>
              <w:spacing w:line="360" w:lineRule="auto"/>
              <w:ind w:left="2"/>
              <w:rPr>
                <w:bCs/>
                <w:color w:val="000000" w:themeColor="text1"/>
                <w:highlight w:val="none"/>
                <w14:textFill>
                  <w14:solidFill>
                    <w14:schemeClr w14:val="tx1"/>
                  </w14:solidFill>
                </w14:textFill>
              </w:rPr>
            </w:pPr>
          </w:p>
        </w:tc>
        <w:tc>
          <w:tcPr>
            <w:tcW w:w="1163" w:type="dxa"/>
          </w:tcPr>
          <w:p>
            <w:pPr>
              <w:pStyle w:val="27"/>
              <w:shd w:val="clear" w:color="auto" w:fill="FFFFFF"/>
              <w:spacing w:line="360" w:lineRule="auto"/>
              <w:ind w:left="107"/>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注册发证</w:t>
            </w:r>
            <w:r>
              <w:rPr>
                <w:rFonts w:hint="eastAsia"/>
                <w:bCs/>
                <w:color w:val="000000" w:themeColor="text1"/>
                <w:spacing w:val="27"/>
                <w:highlight w:val="none"/>
                <w14:textFill>
                  <w14:solidFill>
                    <w14:schemeClr w14:val="tx1"/>
                  </w14:solidFill>
                </w14:textFill>
              </w:rPr>
              <w:t>机关</w:t>
            </w:r>
          </w:p>
        </w:tc>
        <w:tc>
          <w:tcPr>
            <w:tcW w:w="3206" w:type="dxa"/>
            <w:gridSpan w:val="5"/>
          </w:tcPr>
          <w:p>
            <w:pPr>
              <w:widowControl/>
              <w:spacing w:line="360" w:lineRule="auto"/>
              <w:jc w:val="left"/>
              <w:rPr>
                <w:rFonts w:ascii="宋体" w:hAnsi="宋体" w:cs="宋体"/>
                <w:bCs/>
                <w:color w:val="000000" w:themeColor="text1"/>
                <w:kern w:val="0"/>
                <w:sz w:val="24"/>
                <w:highlight w:val="none"/>
                <w14:textFill>
                  <w14:solidFill>
                    <w14:schemeClr w14:val="tx1"/>
                  </w14:solidFill>
                </w14:textFill>
              </w:rPr>
            </w:pPr>
          </w:p>
          <w:p>
            <w:pPr>
              <w:pStyle w:val="27"/>
              <w:shd w:val="clear" w:color="auto" w:fill="FFFFFF"/>
              <w:spacing w:line="360" w:lineRule="auto"/>
              <w:ind w:left="107"/>
              <w:rPr>
                <w:bCs/>
                <w:color w:val="000000" w:themeColor="text1"/>
                <w:highlight w:val="none"/>
                <w14:textFill>
                  <w14:solidFill>
                    <w14:schemeClr w14:val="tx1"/>
                  </w14:solidFill>
                </w14:textFill>
              </w:rPr>
            </w:pPr>
          </w:p>
        </w:tc>
        <w:tc>
          <w:tcPr>
            <w:tcW w:w="1218" w:type="dxa"/>
          </w:tcPr>
          <w:p>
            <w:pPr>
              <w:pStyle w:val="27"/>
              <w:shd w:val="clear" w:color="auto" w:fill="FFFFFF"/>
              <w:spacing w:line="360" w:lineRule="auto"/>
              <w:ind w:left="107"/>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公司成</w:t>
            </w:r>
            <w:r>
              <w:rPr>
                <w:rFonts w:hint="eastAsia"/>
                <w:bCs/>
                <w:color w:val="000000" w:themeColor="text1"/>
                <w:spacing w:val="12"/>
                <w:highlight w:val="none"/>
                <w14:textFill>
                  <w14:solidFill>
                    <w14:schemeClr w14:val="tx1"/>
                  </w14:solidFill>
                </w14:textFill>
              </w:rPr>
              <w:t>立时间</w:t>
            </w:r>
          </w:p>
        </w:tc>
        <w:tc>
          <w:tcPr>
            <w:tcW w:w="933" w:type="dxa"/>
          </w:tcPr>
          <w:p>
            <w:pPr>
              <w:pStyle w:val="27"/>
              <w:shd w:val="clear" w:color="auto" w:fill="FFFFFF"/>
              <w:spacing w:line="360" w:lineRule="auto"/>
              <w:ind w:left="107"/>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704" w:type="dxa"/>
            <w:vMerge w:val="continue"/>
          </w:tcPr>
          <w:p>
            <w:pPr>
              <w:pStyle w:val="27"/>
              <w:shd w:val="clear" w:color="auto" w:fill="FFFFFF"/>
              <w:spacing w:line="360" w:lineRule="auto"/>
              <w:ind w:left="107"/>
              <w:rPr>
                <w:bCs/>
                <w:color w:val="000000" w:themeColor="text1"/>
                <w:highlight w:val="none"/>
                <w14:textFill>
                  <w14:solidFill>
                    <w14:schemeClr w14:val="tx1"/>
                  </w14:solidFill>
                </w14:textFill>
              </w:rPr>
            </w:pPr>
          </w:p>
        </w:tc>
        <w:tc>
          <w:tcPr>
            <w:tcW w:w="701" w:type="dxa"/>
          </w:tcPr>
          <w:p>
            <w:pPr>
              <w:pStyle w:val="27"/>
              <w:shd w:val="clear" w:color="auto" w:fill="FFFFFF"/>
              <w:spacing w:line="360" w:lineRule="auto"/>
              <w:ind w:left="2"/>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核准经营范围</w:t>
            </w:r>
          </w:p>
        </w:tc>
        <w:tc>
          <w:tcPr>
            <w:tcW w:w="7430" w:type="dxa"/>
            <w:gridSpan w:val="10"/>
          </w:tcPr>
          <w:p>
            <w:pPr>
              <w:pStyle w:val="27"/>
              <w:shd w:val="clear" w:color="auto" w:fill="FFFFFF"/>
              <w:spacing w:line="360" w:lineRule="auto"/>
              <w:ind w:left="107"/>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704" w:type="dxa"/>
            <w:vMerge w:val="continue"/>
          </w:tcPr>
          <w:p>
            <w:pPr>
              <w:pStyle w:val="27"/>
              <w:shd w:val="clear" w:color="auto" w:fill="FFFFFF"/>
              <w:spacing w:line="360" w:lineRule="auto"/>
              <w:ind w:left="107"/>
              <w:rPr>
                <w:bCs/>
                <w:color w:val="000000" w:themeColor="text1"/>
                <w:highlight w:val="none"/>
                <w14:textFill>
                  <w14:solidFill>
                    <w14:schemeClr w14:val="tx1"/>
                  </w14:solidFill>
                </w14:textFill>
              </w:rPr>
            </w:pPr>
          </w:p>
        </w:tc>
        <w:tc>
          <w:tcPr>
            <w:tcW w:w="8131" w:type="dxa"/>
            <w:gridSpan w:val="11"/>
          </w:tcPr>
          <w:p>
            <w:pPr>
              <w:pStyle w:val="27"/>
              <w:shd w:val="clear" w:color="auto" w:fill="FFFFFF"/>
              <w:spacing w:line="360" w:lineRule="auto"/>
              <w:rPr>
                <w:bCs/>
                <w:color w:val="000000" w:themeColor="text1"/>
                <w:spacing w:val="13"/>
                <w:highlight w:val="none"/>
                <w14:textFill>
                  <w14:solidFill>
                    <w14:schemeClr w14:val="tx1"/>
                  </w14:solidFill>
                </w14:textFill>
              </w:rPr>
            </w:pPr>
            <w:r>
              <w:rPr>
                <w:rFonts w:hint="eastAsia"/>
                <w:bCs/>
                <w:color w:val="000000" w:themeColor="text1"/>
                <w:spacing w:val="13"/>
                <w:highlight w:val="none"/>
                <w14:textFill>
                  <w14:solidFill>
                    <w14:schemeClr w14:val="tx1"/>
                  </w14:solidFill>
                </w14:textFill>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04" w:type="dxa"/>
            <w:vMerge w:val="restart"/>
          </w:tcPr>
          <w:p>
            <w:pPr>
              <w:pStyle w:val="27"/>
              <w:shd w:val="clear" w:color="auto" w:fill="FFFFFF"/>
              <w:spacing w:line="360" w:lineRule="auto"/>
              <w:ind w:left="107"/>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2</w:t>
            </w:r>
            <w:r>
              <w:rPr>
                <w:rFonts w:hint="eastAsia"/>
                <w:bCs/>
                <w:color w:val="000000" w:themeColor="text1"/>
                <w:highlight w:val="none"/>
                <w14:textFill>
                  <w14:solidFill>
                    <w14:schemeClr w14:val="tx1"/>
                  </w14:solidFill>
                </w14:textFill>
              </w:rPr>
              <w:t>．</w:t>
            </w:r>
          </w:p>
          <w:p>
            <w:pPr>
              <w:pStyle w:val="27"/>
              <w:shd w:val="clear" w:color="auto" w:fill="FFFFFF"/>
              <w:spacing w:line="360" w:lineRule="auto"/>
              <w:ind w:left="107"/>
              <w:rPr>
                <w:bCs/>
                <w:color w:val="000000" w:themeColor="text1"/>
                <w:spacing w:val="16"/>
                <w:highlight w:val="none"/>
                <w14:textFill>
                  <w14:solidFill>
                    <w14:schemeClr w14:val="tx1"/>
                  </w14:solidFill>
                </w14:textFill>
              </w:rPr>
            </w:pPr>
            <w:r>
              <w:rPr>
                <w:rFonts w:hint="eastAsia"/>
                <w:bCs/>
                <w:color w:val="000000" w:themeColor="text1"/>
                <w:highlight w:val="none"/>
                <w14:textFill>
                  <w14:solidFill>
                    <w14:schemeClr w14:val="tx1"/>
                  </w14:solidFill>
                </w14:textFill>
              </w:rPr>
              <w:t>企</w:t>
            </w:r>
            <w:r>
              <w:rPr>
                <w:rFonts w:hint="eastAsia"/>
                <w:bCs/>
                <w:color w:val="000000" w:themeColor="text1"/>
                <w:spacing w:val="12"/>
                <w:highlight w:val="none"/>
                <w14:textFill>
                  <w14:solidFill>
                    <w14:schemeClr w14:val="tx1"/>
                  </w14:solidFill>
                </w14:textFill>
              </w:rPr>
              <w:t>业有关资质获证情况</w:t>
            </w:r>
          </w:p>
        </w:tc>
        <w:tc>
          <w:tcPr>
            <w:tcW w:w="1553" w:type="dxa"/>
            <w:gridSpan w:val="2"/>
            <w:vMerge w:val="restart"/>
          </w:tcPr>
          <w:p>
            <w:pPr>
              <w:pStyle w:val="27"/>
              <w:shd w:val="clear" w:color="auto" w:fill="FFFFFF"/>
              <w:spacing w:before="0" w:beforeAutospacing="0" w:after="0" w:afterAutospacing="0" w:line="360" w:lineRule="auto"/>
              <w:rPr>
                <w:bCs/>
                <w:color w:val="000000" w:themeColor="text1"/>
                <w:spacing w:val="16"/>
                <w:highlight w:val="none"/>
                <w14:textFill>
                  <w14:solidFill>
                    <w14:schemeClr w14:val="tx1"/>
                  </w14:solidFill>
                </w14:textFill>
              </w:rPr>
            </w:pPr>
            <w:r>
              <w:rPr>
                <w:rFonts w:hint="eastAsia"/>
                <w:bCs/>
                <w:color w:val="000000" w:themeColor="text1"/>
                <w:spacing w:val="12"/>
                <w:highlight w:val="none"/>
                <w14:textFill>
                  <w14:solidFill>
                    <w14:schemeClr w14:val="tx1"/>
                  </w14:solidFill>
                </w14:textFill>
              </w:rPr>
              <w:t>产品生产许可证情况</w:t>
            </w:r>
            <w:r>
              <w:rPr>
                <w:rFonts w:hint="eastAsia"/>
                <w:bCs/>
                <w:color w:val="000000" w:themeColor="text1"/>
                <w:spacing w:val="41"/>
                <w:highlight w:val="none"/>
                <w14:textFill>
                  <w14:solidFill>
                    <w14:schemeClr w14:val="tx1"/>
                  </w14:solidFill>
                </w14:textFill>
              </w:rPr>
              <w:t>（对需获得生产许可证的</w:t>
            </w:r>
            <w:r>
              <w:rPr>
                <w:rFonts w:hint="eastAsia"/>
                <w:bCs/>
                <w:color w:val="000000" w:themeColor="text1"/>
                <w:spacing w:val="11"/>
                <w:highlight w:val="none"/>
                <w14:textFill>
                  <w14:solidFill>
                    <w14:schemeClr w14:val="tx1"/>
                  </w14:solidFill>
                </w14:textFill>
              </w:rPr>
              <w:t>产品要填写此栏）</w:t>
            </w:r>
          </w:p>
        </w:tc>
        <w:tc>
          <w:tcPr>
            <w:tcW w:w="1333" w:type="dxa"/>
            <w:gridSpan w:val="3"/>
          </w:tcPr>
          <w:p>
            <w:pPr>
              <w:pStyle w:val="27"/>
              <w:shd w:val="clear" w:color="auto" w:fill="FFFFFF"/>
              <w:spacing w:line="360" w:lineRule="auto"/>
              <w:ind w:right="-78" w:rightChars="-37"/>
              <w:rPr>
                <w:bCs/>
                <w:color w:val="000000" w:themeColor="text1"/>
                <w:spacing w:val="16"/>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产品名称</w:t>
            </w:r>
          </w:p>
        </w:tc>
        <w:tc>
          <w:tcPr>
            <w:tcW w:w="1418" w:type="dxa"/>
            <w:gridSpan w:val="2"/>
          </w:tcPr>
          <w:p>
            <w:pPr>
              <w:pStyle w:val="27"/>
              <w:shd w:val="clear" w:color="auto" w:fill="FFFFFF"/>
              <w:spacing w:before="0" w:beforeAutospacing="0" w:after="0" w:afterAutospacing="0" w:line="360" w:lineRule="auto"/>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发证机关</w:t>
            </w:r>
          </w:p>
        </w:tc>
        <w:tc>
          <w:tcPr>
            <w:tcW w:w="1276" w:type="dxa"/>
          </w:tcPr>
          <w:p>
            <w:pPr>
              <w:pStyle w:val="27"/>
              <w:shd w:val="clear" w:color="auto" w:fill="FFFFFF"/>
              <w:spacing w:line="360" w:lineRule="auto"/>
              <w:jc w:val="center"/>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编号</w:t>
            </w:r>
          </w:p>
        </w:tc>
        <w:tc>
          <w:tcPr>
            <w:tcW w:w="1618" w:type="dxa"/>
            <w:gridSpan w:val="2"/>
          </w:tcPr>
          <w:p>
            <w:pPr>
              <w:pStyle w:val="27"/>
              <w:shd w:val="clear" w:color="auto" w:fill="FFFFFF"/>
              <w:spacing w:line="360" w:lineRule="auto"/>
              <w:jc w:val="center"/>
              <w:rPr>
                <w:bCs/>
                <w:color w:val="000000" w:themeColor="text1"/>
                <w:highlight w:val="none"/>
                <w14:textFill>
                  <w14:solidFill>
                    <w14:schemeClr w14:val="tx1"/>
                  </w14:solidFill>
                </w14:textFill>
              </w:rPr>
            </w:pPr>
            <w:r>
              <w:rPr>
                <w:rFonts w:hint="eastAsia"/>
                <w:bCs/>
                <w:color w:val="000000" w:themeColor="text1"/>
                <w:spacing w:val="16"/>
                <w:highlight w:val="none"/>
                <w14:textFill>
                  <w14:solidFill>
                    <w14:schemeClr w14:val="tx1"/>
                  </w14:solidFill>
                </w14:textFill>
              </w:rPr>
              <w:t>发证时间</w:t>
            </w:r>
          </w:p>
        </w:tc>
        <w:tc>
          <w:tcPr>
            <w:tcW w:w="933" w:type="dxa"/>
          </w:tcPr>
          <w:p>
            <w:pPr>
              <w:pStyle w:val="27"/>
              <w:shd w:val="clear" w:color="auto" w:fill="FFFFFF"/>
              <w:spacing w:before="0" w:beforeAutospacing="0" w:after="0" w:afterAutospacing="0" w:line="360" w:lineRule="auto"/>
              <w:jc w:val="center"/>
              <w:rPr>
                <w:bCs/>
                <w:color w:val="000000" w:themeColor="text1"/>
                <w:highlight w:val="none"/>
                <w14:textFill>
                  <w14:solidFill>
                    <w14:schemeClr w14:val="tx1"/>
                  </w14:solidFill>
                </w14:textFill>
              </w:rPr>
            </w:pPr>
            <w:r>
              <w:rPr>
                <w:rFonts w:hint="eastAsia"/>
                <w:bCs/>
                <w:color w:val="000000" w:themeColor="text1"/>
                <w:spacing w:val="27"/>
                <w:highlight w:val="none"/>
                <w14:textFill>
                  <w14:solidFill>
                    <w14:schemeClr w14:val="tx1"/>
                  </w14:solidFill>
                </w14:textFill>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704" w:type="dxa"/>
            <w:vMerge w:val="continue"/>
          </w:tcPr>
          <w:p>
            <w:pPr>
              <w:pStyle w:val="27"/>
              <w:shd w:val="clear" w:color="auto" w:fill="FFFFFF"/>
              <w:spacing w:line="360" w:lineRule="auto"/>
              <w:ind w:left="107"/>
              <w:rPr>
                <w:bCs/>
                <w:color w:val="000000" w:themeColor="text1"/>
                <w:highlight w:val="none"/>
                <w14:textFill>
                  <w14:solidFill>
                    <w14:schemeClr w14:val="tx1"/>
                  </w14:solidFill>
                </w14:textFill>
              </w:rPr>
            </w:pPr>
          </w:p>
        </w:tc>
        <w:tc>
          <w:tcPr>
            <w:tcW w:w="1553" w:type="dxa"/>
            <w:gridSpan w:val="2"/>
            <w:vMerge w:val="continue"/>
          </w:tcPr>
          <w:p>
            <w:pPr>
              <w:pStyle w:val="27"/>
              <w:shd w:val="clear" w:color="auto" w:fill="FFFFFF"/>
              <w:spacing w:line="360" w:lineRule="auto"/>
              <w:rPr>
                <w:bCs/>
                <w:color w:val="000000" w:themeColor="text1"/>
                <w:highlight w:val="none"/>
                <w14:textFill>
                  <w14:solidFill>
                    <w14:schemeClr w14:val="tx1"/>
                  </w14:solidFill>
                </w14:textFill>
              </w:rPr>
            </w:pPr>
          </w:p>
        </w:tc>
        <w:tc>
          <w:tcPr>
            <w:tcW w:w="1333" w:type="dxa"/>
            <w:gridSpan w:val="3"/>
          </w:tcPr>
          <w:p>
            <w:pPr>
              <w:pStyle w:val="27"/>
              <w:shd w:val="clear" w:color="auto" w:fill="FFFFFF"/>
              <w:spacing w:line="360" w:lineRule="auto"/>
              <w:rPr>
                <w:bCs/>
                <w:color w:val="000000" w:themeColor="text1"/>
                <w:highlight w:val="none"/>
                <w14:textFill>
                  <w14:solidFill>
                    <w14:schemeClr w14:val="tx1"/>
                  </w14:solidFill>
                </w14:textFill>
              </w:rPr>
            </w:pPr>
          </w:p>
        </w:tc>
        <w:tc>
          <w:tcPr>
            <w:tcW w:w="1418" w:type="dxa"/>
            <w:gridSpan w:val="2"/>
          </w:tcPr>
          <w:p>
            <w:pPr>
              <w:pStyle w:val="27"/>
              <w:shd w:val="clear" w:color="auto" w:fill="FFFFFF"/>
              <w:spacing w:line="360" w:lineRule="auto"/>
              <w:rPr>
                <w:bCs/>
                <w:color w:val="000000" w:themeColor="text1"/>
                <w:highlight w:val="none"/>
                <w14:textFill>
                  <w14:solidFill>
                    <w14:schemeClr w14:val="tx1"/>
                  </w14:solidFill>
                </w14:textFill>
              </w:rPr>
            </w:pPr>
          </w:p>
        </w:tc>
        <w:tc>
          <w:tcPr>
            <w:tcW w:w="1276" w:type="dxa"/>
          </w:tcPr>
          <w:p>
            <w:pPr>
              <w:pStyle w:val="27"/>
              <w:shd w:val="clear" w:color="auto" w:fill="FFFFFF"/>
              <w:spacing w:line="360" w:lineRule="auto"/>
              <w:rPr>
                <w:bCs/>
                <w:color w:val="000000" w:themeColor="text1"/>
                <w:highlight w:val="none"/>
                <w14:textFill>
                  <w14:solidFill>
                    <w14:schemeClr w14:val="tx1"/>
                  </w14:solidFill>
                </w14:textFill>
              </w:rPr>
            </w:pPr>
          </w:p>
        </w:tc>
        <w:tc>
          <w:tcPr>
            <w:tcW w:w="2551" w:type="dxa"/>
            <w:gridSpan w:val="3"/>
          </w:tcPr>
          <w:p>
            <w:pPr>
              <w:pStyle w:val="27"/>
              <w:shd w:val="clear" w:color="auto" w:fill="FFFFFF"/>
              <w:spacing w:line="360" w:lineRule="auto"/>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trPr>
        <w:tc>
          <w:tcPr>
            <w:tcW w:w="704" w:type="dxa"/>
            <w:vMerge w:val="continue"/>
          </w:tcPr>
          <w:p>
            <w:pPr>
              <w:pStyle w:val="27"/>
              <w:shd w:val="clear" w:color="auto" w:fill="FFFFFF"/>
              <w:spacing w:line="360" w:lineRule="auto"/>
              <w:ind w:left="107"/>
              <w:rPr>
                <w:bCs/>
                <w:color w:val="000000" w:themeColor="text1"/>
                <w:spacing w:val="16"/>
                <w:highlight w:val="none"/>
                <w14:textFill>
                  <w14:solidFill>
                    <w14:schemeClr w14:val="tx1"/>
                  </w14:solidFill>
                </w14:textFill>
              </w:rPr>
            </w:pPr>
          </w:p>
        </w:tc>
        <w:tc>
          <w:tcPr>
            <w:tcW w:w="1553" w:type="dxa"/>
            <w:gridSpan w:val="2"/>
          </w:tcPr>
          <w:p>
            <w:pPr>
              <w:pStyle w:val="27"/>
              <w:shd w:val="clear" w:color="auto" w:fill="FFFFFF"/>
              <w:spacing w:before="0" w:beforeAutospacing="0" w:after="0" w:afterAutospacing="0" w:line="360" w:lineRule="auto"/>
              <w:ind w:right="-107" w:rightChars="-51"/>
              <w:rPr>
                <w:bCs/>
                <w:color w:val="000000" w:themeColor="text1"/>
                <w:spacing w:val="41"/>
                <w:highlight w:val="none"/>
                <w14:textFill>
                  <w14:solidFill>
                    <w14:schemeClr w14:val="tx1"/>
                  </w14:solidFill>
                </w14:textFill>
              </w:rPr>
            </w:pPr>
            <w:r>
              <w:rPr>
                <w:rFonts w:hint="eastAsia"/>
                <w:bCs/>
                <w:color w:val="000000" w:themeColor="text1"/>
                <w:spacing w:val="41"/>
                <w:highlight w:val="none"/>
                <w14:textFill>
                  <w14:solidFill>
                    <w14:schemeClr w14:val="tx1"/>
                  </w14:solidFill>
                </w14:textFill>
              </w:rPr>
              <w:t>企业通过质量体系、环保</w:t>
            </w:r>
            <w:r>
              <w:rPr>
                <w:rFonts w:hint="eastAsia"/>
                <w:bCs/>
                <w:color w:val="000000" w:themeColor="text1"/>
                <w:spacing w:val="11"/>
                <w:highlight w:val="none"/>
                <w14:textFill>
                  <w14:solidFill>
                    <w14:schemeClr w14:val="tx1"/>
                  </w14:solidFill>
                </w14:textFill>
              </w:rPr>
              <w:t>体系、计量等认证情况</w:t>
            </w:r>
          </w:p>
        </w:tc>
        <w:tc>
          <w:tcPr>
            <w:tcW w:w="6578" w:type="dxa"/>
            <w:gridSpan w:val="9"/>
          </w:tcPr>
          <w:p>
            <w:pPr>
              <w:pStyle w:val="27"/>
              <w:shd w:val="clear" w:color="auto" w:fill="FFFFFF"/>
              <w:spacing w:line="360" w:lineRule="auto"/>
              <w:rPr>
                <w:bCs/>
                <w:color w:val="000000" w:themeColor="text1"/>
                <w:spacing w:val="16"/>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704" w:type="dxa"/>
            <w:vMerge w:val="continue"/>
          </w:tcPr>
          <w:p>
            <w:pPr>
              <w:pStyle w:val="27"/>
              <w:shd w:val="clear" w:color="auto" w:fill="FFFFFF"/>
              <w:spacing w:line="360" w:lineRule="auto"/>
              <w:ind w:left="107"/>
              <w:rPr>
                <w:bCs/>
                <w:color w:val="000000" w:themeColor="text1"/>
                <w:spacing w:val="27"/>
                <w:highlight w:val="none"/>
                <w14:textFill>
                  <w14:solidFill>
                    <w14:schemeClr w14:val="tx1"/>
                  </w14:solidFill>
                </w14:textFill>
              </w:rPr>
            </w:pPr>
          </w:p>
        </w:tc>
        <w:tc>
          <w:tcPr>
            <w:tcW w:w="1553" w:type="dxa"/>
            <w:gridSpan w:val="2"/>
          </w:tcPr>
          <w:p>
            <w:pPr>
              <w:pStyle w:val="27"/>
              <w:shd w:val="clear" w:color="auto" w:fill="FFFFFF"/>
              <w:spacing w:line="360" w:lineRule="auto"/>
              <w:rPr>
                <w:bCs/>
                <w:color w:val="000000" w:themeColor="text1"/>
                <w:spacing w:val="16"/>
                <w:highlight w:val="none"/>
                <w14:textFill>
                  <w14:solidFill>
                    <w14:schemeClr w14:val="tx1"/>
                  </w14:solidFill>
                </w14:textFill>
              </w:rPr>
            </w:pPr>
            <w:r>
              <w:rPr>
                <w:rFonts w:hint="eastAsia"/>
                <w:bCs/>
                <w:color w:val="000000" w:themeColor="text1"/>
                <w:spacing w:val="10"/>
                <w:highlight w:val="none"/>
                <w14:textFill>
                  <w14:solidFill>
                    <w14:schemeClr w14:val="tx1"/>
                  </w14:solidFill>
                </w14:textFill>
              </w:rPr>
              <w:t>企业获得专利情况</w:t>
            </w:r>
          </w:p>
        </w:tc>
        <w:tc>
          <w:tcPr>
            <w:tcW w:w="6578" w:type="dxa"/>
            <w:gridSpan w:val="9"/>
          </w:tcPr>
          <w:p>
            <w:pPr>
              <w:pStyle w:val="27"/>
              <w:shd w:val="clear" w:color="auto" w:fill="FFFFFF"/>
              <w:spacing w:line="360" w:lineRule="auto"/>
              <w:rPr>
                <w:bCs/>
                <w:color w:val="000000" w:themeColor="text1"/>
                <w:spacing w:val="16"/>
                <w:highlight w:val="none"/>
                <w14:textFill>
                  <w14:solidFill>
                    <w14:schemeClr w14:val="tx1"/>
                  </w14:solidFill>
                </w14:textFill>
              </w:rPr>
            </w:pPr>
          </w:p>
        </w:tc>
      </w:tr>
    </w:tbl>
    <w:p>
      <w:pPr>
        <w:pStyle w:val="27"/>
        <w:shd w:val="clear" w:color="auto" w:fill="FFFFFF"/>
        <w:spacing w:before="0" w:beforeAutospacing="0" w:after="0" w:afterAutospacing="0" w:line="360" w:lineRule="auto"/>
        <w:rPr>
          <w:rFonts w:ascii="仿宋_GB2312" w:eastAsia="仿宋_GB2312"/>
          <w:color w:val="000000" w:themeColor="text1"/>
          <w:highlight w:val="none"/>
          <w14:textFill>
            <w14:solidFill>
              <w14:schemeClr w14:val="tx1"/>
            </w14:solidFill>
          </w14:textFill>
        </w:rPr>
      </w:pPr>
    </w:p>
    <w:p>
      <w:pPr>
        <w:pStyle w:val="27"/>
        <w:shd w:val="clear" w:color="auto" w:fill="FFFFFF"/>
        <w:spacing w:before="0" w:beforeAutospacing="0" w:after="0" w:afterAutospacing="0" w:line="360" w:lineRule="auto"/>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要求：</w:t>
      </w:r>
    </w:p>
    <w:p>
      <w:pPr>
        <w:pStyle w:val="27"/>
        <w:shd w:val="clear" w:color="auto" w:fill="FFFFFF"/>
        <w:spacing w:before="0" w:beforeAutospacing="0" w:after="0" w:afterAutospacing="0" w:line="360" w:lineRule="auto"/>
        <w:ind w:firstLine="424" w:firstLineChars="202"/>
        <w:rPr>
          <w:color w:val="000000" w:themeColor="text1"/>
          <w:sz w:val="21"/>
          <w:szCs w:val="21"/>
          <w:highlight w:val="none"/>
          <w14:textFill>
            <w14:solidFill>
              <w14:schemeClr w14:val="tx1"/>
            </w14:solidFill>
          </w14:textFill>
        </w:rPr>
      </w:pPr>
      <w:r>
        <w:rPr>
          <w:rFonts w:hint="eastAsia" w:ascii="仿宋_GB2312" w:eastAsia="仿宋_GB2312"/>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姓名栏必须将所有股东都统计在内，若非股份公司此行（第三行）无需填写；</w:t>
      </w:r>
    </w:p>
    <w:p>
      <w:pPr>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pStyle w:val="27"/>
        <w:shd w:val="clear" w:color="auto" w:fill="FFFFFF"/>
        <w:spacing w:before="0" w:beforeAutospacing="0" w:after="0" w:afterAutospacing="0" w:line="360" w:lineRule="auto"/>
        <w:ind w:firstLine="424" w:firstLineChars="177"/>
        <w:rPr>
          <w:b/>
          <w:bCs/>
          <w:color w:val="000000" w:themeColor="text1"/>
          <w:spacing w:val="11"/>
          <w:highlight w:val="none"/>
          <w14:textFill>
            <w14:solidFill>
              <w14:schemeClr w14:val="tx1"/>
            </w14:solidFill>
          </w14:textFill>
        </w:rPr>
      </w:pPr>
      <w:r>
        <w:rPr>
          <w:rFonts w:hint="eastAsia"/>
          <w:color w:val="000000" w:themeColor="text1"/>
          <w:highlight w:val="none"/>
          <w14:textFill>
            <w14:solidFill>
              <w14:schemeClr w14:val="tx1"/>
            </w14:solidFill>
          </w14:textFill>
        </w:rPr>
        <w:t>日        期：：</w:t>
      </w:r>
    </w:p>
    <w:p>
      <w:pPr>
        <w:spacing w:line="360" w:lineRule="auto"/>
        <w:rPr>
          <w:rFonts w:ascii="宋体" w:hAnsi="宋体"/>
          <w:b/>
          <w:color w:val="000000" w:themeColor="text1"/>
          <w:sz w:val="24"/>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pacing w:line="360" w:lineRule="auto"/>
        <w:ind w:firstLine="435"/>
        <w:rPr>
          <w:rFonts w:hint="eastAsia" w:ascii="宋体" w:hAnsi="宋体"/>
          <w:b/>
          <w:color w:val="000000" w:themeColor="text1"/>
          <w:sz w:val="28"/>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附件6</w:t>
      </w:r>
    </w:p>
    <w:p>
      <w:pPr>
        <w:snapToGrid w:val="0"/>
        <w:spacing w:before="156" w:beforeLines="50" w:after="50"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项目实施人员一览表</w:t>
      </w:r>
    </w:p>
    <w:p>
      <w:pPr>
        <w:snapToGrid w:val="0"/>
        <w:spacing w:before="156" w:beforeLines="50" w:after="50" w:line="360" w:lineRule="auto"/>
        <w:ind w:firstLine="3120" w:firstLineChars="13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（主要从业人员及其技术资格）</w:t>
      </w:r>
    </w:p>
    <w:tbl>
      <w:tblPr>
        <w:tblStyle w:val="16"/>
        <w:tblW w:w="889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bCs/>
                <w:color w:val="000000" w:themeColor="text1"/>
                <w:sz w:val="24"/>
                <w:szCs w:val="20"/>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参加本单位工作时间</w:t>
            </w: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hAnsi="宋体"/>
                <w:b/>
                <w:bCs/>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pStyle w:val="10"/>
              <w:snapToGrid w:val="0"/>
              <w:spacing w:before="156" w:beforeLines="50" w:after="50" w:line="360" w:lineRule="auto"/>
              <w:ind w:left="5250"/>
              <w:rPr>
                <w:rFonts w:ascii="宋体" w:hAnsi="宋体" w:eastAsia="宋体"/>
                <w:b/>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pStyle w:val="10"/>
              <w:snapToGrid w:val="0"/>
              <w:spacing w:before="156" w:beforeLines="50" w:after="50" w:line="360" w:lineRule="auto"/>
              <w:ind w:left="5250"/>
              <w:rPr>
                <w:rFonts w:ascii="宋体" w:hAnsi="宋体" w:eastAsia="宋体"/>
                <w:b/>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pStyle w:val="10"/>
              <w:spacing w:line="360" w:lineRule="auto"/>
              <w:ind w:left="5250"/>
              <w:rPr>
                <w:rFonts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61"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color w:val="000000" w:themeColor="text1"/>
                <w:sz w:val="24"/>
                <w:szCs w:val="20"/>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c>
          <w:tcPr>
            <w:tcW w:w="212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hAnsi="宋体"/>
                <w:b/>
                <w:color w:val="000000" w:themeColor="text1"/>
                <w:kern w:val="44"/>
                <w:sz w:val="24"/>
                <w:szCs w:val="20"/>
                <w:highlight w:val="none"/>
                <w14:textFill>
                  <w14:solidFill>
                    <w14:schemeClr w14:val="tx1"/>
                  </w14:solidFill>
                </w14:textFill>
              </w:rPr>
            </w:pPr>
          </w:p>
        </w:tc>
      </w:tr>
    </w:tbl>
    <w:p>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pacing w:line="360" w:lineRule="auto"/>
        <w:ind w:left="437"/>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在填写时，如本表格不适合投标单位的实际情况，可根据本表格式自行划表填写。</w:t>
      </w:r>
    </w:p>
    <w:p>
      <w:pPr>
        <w:pStyle w:val="28"/>
        <w:spacing w:line="360" w:lineRule="auto"/>
        <w:ind w:left="424" w:left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2.附人员证书复印件；</w:t>
      </w:r>
    </w:p>
    <w:p>
      <w:pPr>
        <w:pStyle w:val="28"/>
        <w:spacing w:line="360" w:lineRule="auto"/>
        <w:ind w:left="424" w:hanging="424" w:hanging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3.出具上述人员在本单位服务的外部证明，如：</w:t>
      </w:r>
      <w:r>
        <w:rPr>
          <w:rFonts w:ascii="宋体" w:hAnsi="宋体"/>
          <w:color w:val="000000" w:themeColor="text1"/>
          <w:szCs w:val="21"/>
          <w:highlight w:val="none"/>
          <w14:textFill>
            <w14:solidFill>
              <w14:schemeClr w14:val="tx1"/>
            </w14:solidFill>
          </w14:textFill>
        </w:rPr>
        <w:t>投标截止日之前六个月以内的</w:t>
      </w:r>
      <w:r>
        <w:rPr>
          <w:rFonts w:hint="eastAsia" w:ascii="宋体" w:hAnsi="宋体"/>
          <w:color w:val="000000" w:themeColor="text1"/>
          <w:szCs w:val="21"/>
          <w:highlight w:val="none"/>
          <w14:textFill>
            <w14:solidFill>
              <w14:schemeClr w14:val="tx1"/>
            </w14:solidFill>
          </w14:textFill>
        </w:rPr>
        <w:t>代缴个税税单、参加社会保险的《投保单》或《社会保险参保人员证明》等。</w:t>
      </w: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pacing w:line="360" w:lineRule="auto"/>
        <w:ind w:firstLine="435"/>
        <w:rPr>
          <w:rFonts w:ascii="宋体" w:hAnsi="宋体"/>
          <w:b/>
          <w:color w:val="000000" w:themeColor="text1"/>
          <w:sz w:val="28"/>
          <w:highlight w:val="none"/>
          <w14:textFill>
            <w14:solidFill>
              <w14:schemeClr w14:val="tx1"/>
            </w14:solidFill>
          </w14:textFill>
        </w:rPr>
      </w:pPr>
    </w:p>
    <w:p>
      <w:pPr>
        <w:spacing w:line="360" w:lineRule="auto"/>
        <w:ind w:firstLine="435"/>
        <w:rPr>
          <w:rFonts w:hint="eastAsia" w:ascii="宋体" w:hAnsi="宋体"/>
          <w:b/>
          <w:color w:val="000000" w:themeColor="text1"/>
          <w:sz w:val="28"/>
          <w:highlight w:val="none"/>
          <w14:textFill>
            <w14:solidFill>
              <w14:schemeClr w14:val="tx1"/>
            </w14:solidFill>
          </w14:textFill>
        </w:rPr>
      </w:pPr>
    </w:p>
    <w:p>
      <w:pPr>
        <w:spacing w:line="360" w:lineRule="auto"/>
        <w:ind w:firstLine="435"/>
        <w:rPr>
          <w:rFonts w:ascii="宋体" w:hAnsi="宋体"/>
          <w:color w:val="000000" w:themeColor="text1"/>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附件7</w:t>
      </w:r>
    </w:p>
    <w:p>
      <w:pPr>
        <w:spacing w:before="156" w:beforeLines="50" w:after="156" w:afterLines="50" w:line="360" w:lineRule="auto"/>
        <w:ind w:right="-10"/>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项目负责人资格情况表</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采购项目：                                            采购编号：</w:t>
      </w:r>
    </w:p>
    <w:tbl>
      <w:tblPr>
        <w:tblStyle w:val="16"/>
        <w:tblW w:w="86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注：业绩证明应提供旁证材料</w:t>
            </w:r>
          </w:p>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14:textFill>
                  <w14:solidFill>
                    <w14:schemeClr w14:val="tx1"/>
                  </w14:solidFill>
                </w14:textFill>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3" w:hRule="atLeast"/>
          <w:jc w:val="center"/>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197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spacing w:line="360" w:lineRule="auto"/>
              <w:jc w:val="center"/>
              <w:rPr>
                <w:rFonts w:ascii="宋体" w:hAnsi="宋体"/>
                <w:b/>
                <w:bCs/>
                <w:color w:val="000000" w:themeColor="text1"/>
                <w:highlight w:val="none"/>
                <w:lang w:val="zh-CN"/>
                <w14:textFill>
                  <w14:solidFill>
                    <w14:schemeClr w14:val="tx1"/>
                  </w14:solidFill>
                </w14:textFill>
              </w:rPr>
            </w:pPr>
            <w:r>
              <w:rPr>
                <w:rFonts w:hint="eastAsia" w:ascii="宋体" w:hAnsi="宋体"/>
                <w:b/>
                <w:bCs/>
                <w:color w:val="000000" w:themeColor="text1"/>
                <w:highlight w:val="none"/>
                <w:lang w:val="zh-CN"/>
                <w14:textFill>
                  <w14:solidFill>
                    <w14:schemeClr w14:val="tx1"/>
                  </w14:solidFill>
                </w14:textFill>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snapToGrid w:val="0"/>
              <w:spacing w:line="360" w:lineRule="auto"/>
              <w:jc w:val="center"/>
              <w:rPr>
                <w:rFonts w:ascii="宋体" w:hAnsi="宋体"/>
                <w:color w:val="000000" w:themeColor="text1"/>
                <w:highlight w:val="none"/>
                <w:lang w:val="zh-CN"/>
                <w14:textFill>
                  <w14:solidFill>
                    <w14:schemeClr w14:val="tx1"/>
                  </w14:solidFill>
                </w14:textFill>
              </w:rPr>
            </w:pPr>
          </w:p>
        </w:tc>
      </w:tr>
    </w:tbl>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80" w:firstLineChars="20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napToGrid w:val="0"/>
        <w:spacing w:before="50" w:after="50" w:line="360" w:lineRule="auto"/>
        <w:rPr>
          <w:rFonts w:ascii="宋体" w:hAnsi="宋体"/>
          <w:b/>
          <w:color w:val="000000" w:themeColor="text1"/>
          <w:sz w:val="28"/>
          <w:highlight w:val="none"/>
          <w14:textFill>
            <w14:solidFill>
              <w14:schemeClr w14:val="tx1"/>
            </w14:solidFill>
          </w14:textFill>
        </w:rPr>
      </w:pPr>
    </w:p>
    <w:p>
      <w:pPr>
        <w:snapToGrid w:val="0"/>
        <w:spacing w:before="50" w:after="50"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附件8</w:t>
      </w:r>
    </w:p>
    <w:p>
      <w:pPr>
        <w:spacing w:line="360" w:lineRule="auto"/>
        <w:ind w:left="48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供货</w:t>
      </w:r>
      <w:r>
        <w:rPr>
          <w:rFonts w:ascii="宋体" w:hAnsi="宋体"/>
          <w:b/>
          <w:color w:val="000000" w:themeColor="text1"/>
          <w:sz w:val="32"/>
          <w:szCs w:val="32"/>
          <w:highlight w:val="none"/>
          <w14:textFill>
            <w14:solidFill>
              <w14:schemeClr w14:val="tx1"/>
            </w14:solidFill>
          </w14:textFill>
        </w:rPr>
        <w:t>清单</w:t>
      </w:r>
    </w:p>
    <w:p>
      <w:pPr>
        <w:spacing w:line="360" w:lineRule="auto"/>
        <w:ind w:left="480"/>
        <w:rPr>
          <w:rFonts w:ascii="宋体" w:hAnsi="宋体"/>
          <w:color w:val="000000" w:themeColor="text1"/>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项目编号：</w:t>
      </w:r>
    </w:p>
    <w:p>
      <w:pPr>
        <w:spacing w:line="360" w:lineRule="auto"/>
        <w:ind w:left="420"/>
        <w:rPr>
          <w:rFonts w:ascii="宋体" w:hAnsi="宋体"/>
          <w:color w:val="000000" w:themeColor="text1"/>
          <w:sz w:val="24"/>
          <w:highlight w:val="none"/>
          <w14:textFill>
            <w14:solidFill>
              <w14:schemeClr w14:val="tx1"/>
            </w14:solidFill>
          </w14:textFill>
        </w:rPr>
      </w:pPr>
    </w:p>
    <w:tbl>
      <w:tblPr>
        <w:tblStyle w:val="16"/>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2169"/>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2169" w:type="dxa"/>
            <w:vAlign w:val="center"/>
          </w:tcPr>
          <w:p>
            <w:pPr>
              <w:tabs>
                <w:tab w:val="left" w:pos="8280"/>
              </w:tabs>
              <w:autoSpaceDE w:val="0"/>
              <w:autoSpaceDN w:val="0"/>
              <w:adjustRightInd w:val="0"/>
              <w:spacing w:line="360" w:lineRule="auto"/>
              <w:ind w:right="25" w:firstLine="361" w:firstLineChars="150"/>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名称</w:t>
            </w:r>
          </w:p>
        </w:tc>
        <w:tc>
          <w:tcPr>
            <w:tcW w:w="1134"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品牌</w:t>
            </w:r>
          </w:p>
        </w:tc>
        <w:tc>
          <w:tcPr>
            <w:tcW w:w="1842"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规格型号</w:t>
            </w:r>
          </w:p>
        </w:tc>
        <w:tc>
          <w:tcPr>
            <w:tcW w:w="993" w:type="dxa"/>
            <w:vAlign w:val="center"/>
          </w:tcPr>
          <w:p>
            <w:pPr>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产地</w:t>
            </w:r>
          </w:p>
        </w:tc>
        <w:tc>
          <w:tcPr>
            <w:tcW w:w="1559" w:type="dxa"/>
            <w:vAlign w:val="center"/>
          </w:tcPr>
          <w:p>
            <w:pPr>
              <w:spacing w:line="360" w:lineRule="auto"/>
              <w:ind w:left="1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6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13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84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r>
    </w:tbl>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35"/>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pacing w:line="360" w:lineRule="auto"/>
        <w:ind w:left="435" w:firstLine="559" w:firstLineChars="265"/>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本表中的名称、数量应与报价明细表中相对应的报价名称、数量一致</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firstLine="571" w:firstLineChars="238"/>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99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99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993"/>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napToGrid w:val="0"/>
        <w:spacing w:before="50" w:after="50" w:line="360" w:lineRule="auto"/>
        <w:rPr>
          <w:rFonts w:ascii="宋体" w:hAnsi="宋体"/>
          <w:b/>
          <w:color w:val="000000" w:themeColor="text1"/>
          <w:sz w:val="28"/>
          <w:highlight w:val="none"/>
          <w14:textFill>
            <w14:solidFill>
              <w14:schemeClr w14:val="tx1"/>
            </w14:solidFill>
          </w14:textFill>
        </w:rPr>
      </w:pPr>
    </w:p>
    <w:p>
      <w:pPr>
        <w:snapToGrid w:val="0"/>
        <w:spacing w:before="50" w:after="50" w:line="360" w:lineRule="auto"/>
        <w:rPr>
          <w:rFonts w:ascii="宋体" w:hAnsi="宋体"/>
          <w:b/>
          <w:color w:val="000000" w:themeColor="text1"/>
          <w:sz w:val="28"/>
          <w:highlight w:val="none"/>
          <w14:textFill>
            <w14:solidFill>
              <w14:schemeClr w14:val="tx1"/>
            </w14:solidFill>
          </w14:textFill>
        </w:rPr>
      </w:pPr>
    </w:p>
    <w:p>
      <w:pPr>
        <w:snapToGrid w:val="0"/>
        <w:spacing w:before="50" w:after="50"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附件9</w:t>
      </w:r>
    </w:p>
    <w:p>
      <w:pPr>
        <w:spacing w:line="360" w:lineRule="auto"/>
        <w:ind w:left="480"/>
        <w:jc w:val="center"/>
        <w:rPr>
          <w:rFonts w:ascii="宋体" w:hAnsi="宋体"/>
          <w:b/>
          <w:color w:val="000000" w:themeColor="text1"/>
          <w:sz w:val="32"/>
          <w:szCs w:val="32"/>
          <w:highlight w:val="none"/>
          <w14:textFill>
            <w14:solidFill>
              <w14:schemeClr w14:val="tx1"/>
            </w14:solidFill>
          </w14:textFill>
        </w:rPr>
      </w:pPr>
      <w:r>
        <w:rPr>
          <w:rFonts w:ascii="宋体" w:hAnsi="宋体"/>
          <w:color w:val="000000" w:themeColor="text1"/>
          <w:kern w:val="0"/>
          <w:sz w:val="32"/>
          <w:szCs w:val="32"/>
          <w:highlight w:val="none"/>
          <w14:textFill>
            <w14:solidFill>
              <w14:schemeClr w14:val="tx1"/>
            </w14:solidFill>
          </w14:textFill>
        </w:rPr>
        <w:t>技术</w:t>
      </w:r>
      <w:r>
        <w:rPr>
          <w:rFonts w:hint="eastAsia" w:ascii="宋体" w:hAnsi="宋体"/>
          <w:color w:val="000000" w:themeColor="text1"/>
          <w:kern w:val="0"/>
          <w:sz w:val="32"/>
          <w:szCs w:val="32"/>
          <w:highlight w:val="none"/>
          <w14:textFill>
            <w14:solidFill>
              <w14:schemeClr w14:val="tx1"/>
            </w14:solidFill>
          </w14:textFill>
        </w:rPr>
        <w:t>需求</w:t>
      </w:r>
      <w:r>
        <w:rPr>
          <w:rFonts w:ascii="宋体" w:hAnsi="宋体"/>
          <w:color w:val="000000" w:themeColor="text1"/>
          <w:kern w:val="0"/>
          <w:sz w:val="32"/>
          <w:szCs w:val="32"/>
          <w:highlight w:val="none"/>
          <w14:textFill>
            <w14:solidFill>
              <w14:schemeClr w14:val="tx1"/>
            </w14:solidFill>
          </w14:textFill>
        </w:rPr>
        <w:t>响应表</w:t>
      </w:r>
    </w:p>
    <w:p>
      <w:pPr>
        <w:spacing w:line="360" w:lineRule="auto"/>
        <w:rPr>
          <w:rFonts w:ascii="宋体" w:hAnsi="宋体"/>
          <w:color w:val="000000" w:themeColor="text1"/>
          <w:sz w:val="24"/>
          <w:highlight w:val="none"/>
          <w14:textFill>
            <w14:solidFill>
              <w14:schemeClr w14:val="tx1"/>
            </w14:solidFill>
          </w14:textFill>
        </w:rPr>
      </w:pPr>
    </w:p>
    <w:tbl>
      <w:tblPr>
        <w:tblStyle w:val="16"/>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35"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785" w:type="dxa"/>
            <w:vAlign w:val="center"/>
          </w:tcPr>
          <w:p>
            <w:pPr>
              <w:spacing w:line="360" w:lineRule="auto"/>
              <w:ind w:left="13" w:leftChars="6"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名称</w:t>
            </w:r>
          </w:p>
        </w:tc>
        <w:tc>
          <w:tcPr>
            <w:tcW w:w="1449" w:type="dxa"/>
            <w:vAlign w:val="center"/>
          </w:tcPr>
          <w:p>
            <w:pPr>
              <w:spacing w:line="360" w:lineRule="auto"/>
              <w:ind w:left="5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规格型号</w:t>
            </w:r>
          </w:p>
        </w:tc>
        <w:tc>
          <w:tcPr>
            <w:tcW w:w="1560" w:type="dxa"/>
            <w:vAlign w:val="center"/>
          </w:tcPr>
          <w:p>
            <w:pPr>
              <w:spacing w:line="360" w:lineRule="auto"/>
              <w:ind w:left="15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招标参数</w:t>
            </w:r>
          </w:p>
        </w:tc>
        <w:tc>
          <w:tcPr>
            <w:tcW w:w="1401"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投标参数</w:t>
            </w:r>
          </w:p>
        </w:tc>
        <w:tc>
          <w:tcPr>
            <w:tcW w:w="1365"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hAnsi="宋体"/>
                <w:color w:val="000000" w:themeColor="text1"/>
                <w:sz w:val="24"/>
                <w:highlight w:val="none"/>
                <w14:textFill>
                  <w14:solidFill>
                    <w14:schemeClr w14:val="tx1"/>
                  </w14:solidFill>
                </w14:textFill>
              </w:rPr>
            </w:pPr>
          </w:p>
        </w:tc>
      </w:tr>
    </w:tbl>
    <w:p>
      <w:pPr>
        <w:pStyle w:val="29"/>
        <w:tabs>
          <w:tab w:val="left" w:pos="360"/>
        </w:tabs>
        <w:spacing w:line="360" w:lineRule="auto"/>
        <w:ind w:right="84" w:rightChars="40"/>
        <w:rPr>
          <w:rFonts w:ascii="宋体"/>
          <w:b/>
          <w:color w:val="000000" w:themeColor="text1"/>
          <w:szCs w:val="21"/>
          <w:highlight w:val="none"/>
          <w14:textFill>
            <w14:solidFill>
              <w14:schemeClr w14:val="tx1"/>
            </w14:solidFill>
          </w14:textFill>
        </w:rPr>
      </w:pPr>
      <w:r>
        <w:rPr>
          <w:rFonts w:hint="eastAsia" w:ascii="宋体"/>
          <w:b/>
          <w:color w:val="000000" w:themeColor="text1"/>
          <w:szCs w:val="21"/>
          <w:highlight w:val="none"/>
          <w14:textFill>
            <w14:solidFill>
              <w14:schemeClr w14:val="tx1"/>
            </w14:solidFill>
          </w14:textFill>
        </w:rPr>
        <w:t>要求：</w:t>
      </w:r>
    </w:p>
    <w:p>
      <w:pPr>
        <w:pStyle w:val="29"/>
        <w:tabs>
          <w:tab w:val="left" w:pos="360"/>
        </w:tabs>
        <w:spacing w:line="360" w:lineRule="auto"/>
        <w:ind w:right="84" w:rightChars="40" w:firstLine="420" w:firstLineChars="20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1. 本表的名称须与《报价明细表》一致。</w:t>
      </w:r>
    </w:p>
    <w:p>
      <w:pPr>
        <w:pStyle w:val="29"/>
        <w:spacing w:line="360" w:lineRule="auto"/>
        <w:ind w:right="84" w:rightChars="40" w:firstLine="420" w:firstLineChars="20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2.本表参照本招标文件第二部分“招标需求”内第二条“具体技术需求”填制，投标人应根据投标设备的性能指标、服务指标，对照招标文件要求在“偏离情况”栏注明“正偏离”、“负偏离”或“无偏离”。</w:t>
      </w:r>
    </w:p>
    <w:p>
      <w:pPr>
        <w:pStyle w:val="29"/>
        <w:spacing w:line="360" w:lineRule="auto"/>
        <w:ind w:right="84" w:rightChars="40" w:firstLine="420" w:firstLineChars="200"/>
        <w:rPr>
          <w:rFonts w:ascii="宋体"/>
          <w:color w:val="000000" w:themeColor="text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pStyle w:val="30"/>
        <w:spacing w:line="360" w:lineRule="auto"/>
        <w:jc w:val="left"/>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附件10</w:t>
      </w:r>
    </w:p>
    <w:p>
      <w:pPr>
        <w:pStyle w:val="31"/>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证书一览表</w:t>
      </w:r>
    </w:p>
    <w:p>
      <w:pPr>
        <w:pStyle w:val="31"/>
        <w:spacing w:line="360" w:lineRule="auto"/>
        <w:jc w:val="center"/>
        <w:rPr>
          <w:rFonts w:ascii="宋体" w:hAnsi="宋体" w:cs="Arial"/>
          <w:color w:val="000000" w:themeColor="text1"/>
          <w:sz w:val="28"/>
          <w:szCs w:val="28"/>
          <w:highlight w:val="none"/>
          <w14:textFill>
            <w14:solidFill>
              <w14:schemeClr w14:val="tx1"/>
            </w14:solidFill>
          </w14:textFill>
        </w:rPr>
      </w:pPr>
    </w:p>
    <w:tbl>
      <w:tblPr>
        <w:tblStyle w:val="16"/>
        <w:tblW w:w="8432"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867" w:type="dxa"/>
            <w:tcBorders>
              <w:top w:val="single" w:color="auto" w:sz="4" w:space="0"/>
              <w:left w:val="single" w:color="auto" w:sz="4" w:space="0"/>
              <w:bottom w:val="single" w:color="auto" w:sz="4" w:space="0"/>
            </w:tcBorders>
          </w:tcPr>
          <w:p>
            <w:pPr>
              <w:pStyle w:val="3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证书名称</w:t>
            </w:r>
          </w:p>
        </w:tc>
        <w:tc>
          <w:tcPr>
            <w:tcW w:w="2258" w:type="dxa"/>
            <w:tcBorders>
              <w:top w:val="single" w:color="auto" w:sz="4" w:space="0"/>
              <w:bottom w:val="single" w:color="auto" w:sz="4" w:space="0"/>
            </w:tcBorders>
          </w:tcPr>
          <w:p>
            <w:pPr>
              <w:pStyle w:val="3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发证单位</w:t>
            </w:r>
          </w:p>
        </w:tc>
        <w:tc>
          <w:tcPr>
            <w:tcW w:w="2260" w:type="dxa"/>
            <w:tcBorders>
              <w:top w:val="single" w:color="auto" w:sz="4" w:space="0"/>
              <w:bottom w:val="single" w:color="auto" w:sz="4" w:space="0"/>
            </w:tcBorders>
          </w:tcPr>
          <w:p>
            <w:pPr>
              <w:pStyle w:val="3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证书等级</w:t>
            </w:r>
          </w:p>
        </w:tc>
        <w:tc>
          <w:tcPr>
            <w:tcW w:w="2047" w:type="dxa"/>
            <w:tcBorders>
              <w:top w:val="single" w:color="auto" w:sz="4" w:space="0"/>
              <w:bottom w:val="single" w:color="auto" w:sz="4" w:space="0"/>
              <w:right w:val="single" w:color="auto" w:sz="4" w:space="0"/>
            </w:tcBorders>
          </w:tcPr>
          <w:p>
            <w:pPr>
              <w:pStyle w:val="31"/>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7" w:type="dxa"/>
            <w:tcBorders>
              <w:top w:val="single" w:color="auto" w:sz="4" w:space="0"/>
              <w:lef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Borders>
              <w:top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Borders>
              <w:top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top w:val="single" w:color="auto" w:sz="4" w:space="0"/>
              <w:righ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7" w:type="dxa"/>
            <w:tcBorders>
              <w:lef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7" w:type="dxa"/>
            <w:tcBorders>
              <w:lef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7" w:type="dxa"/>
            <w:tcBorders>
              <w:lef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7" w:type="dxa"/>
            <w:tcBorders>
              <w:lef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7" w:type="dxa"/>
            <w:tcBorders>
              <w:lef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righ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7" w:type="dxa"/>
            <w:tcBorders>
              <w:left w:val="single" w:color="auto" w:sz="4" w:space="0"/>
              <w:bottom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58" w:type="dxa"/>
            <w:tcBorders>
              <w:bottom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260" w:type="dxa"/>
            <w:tcBorders>
              <w:bottom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c>
          <w:tcPr>
            <w:tcW w:w="2047" w:type="dxa"/>
            <w:tcBorders>
              <w:bottom w:val="single" w:color="auto" w:sz="4" w:space="0"/>
              <w:right w:val="single" w:color="auto" w:sz="4" w:space="0"/>
            </w:tcBorders>
          </w:tcPr>
          <w:p>
            <w:pPr>
              <w:pStyle w:val="31"/>
              <w:spacing w:line="360" w:lineRule="auto"/>
              <w:jc w:val="center"/>
              <w:rPr>
                <w:rFonts w:ascii="宋体" w:hAnsi="宋体" w:cs="Arial"/>
                <w:color w:val="000000" w:themeColor="text1"/>
                <w:szCs w:val="21"/>
                <w:highlight w:val="none"/>
                <w14:textFill>
                  <w14:solidFill>
                    <w14:schemeClr w14:val="tx1"/>
                  </w14:solidFill>
                </w14:textFill>
              </w:rPr>
            </w:pPr>
          </w:p>
        </w:tc>
      </w:tr>
    </w:tbl>
    <w:p>
      <w:pPr>
        <w:pStyle w:val="31"/>
        <w:tabs>
          <w:tab w:val="left" w:pos="1050"/>
        </w:tabs>
        <w:spacing w:line="360" w:lineRule="auto"/>
        <w:rPr>
          <w:rFonts w:ascii="仿宋_GB2312" w:hAnsi="宋体" w:eastAsia="仿宋_GB2312"/>
          <w:color w:val="000000" w:themeColor="text1"/>
          <w:sz w:val="24"/>
          <w:highlight w:val="none"/>
          <w14:textFill>
            <w14:solidFill>
              <w14:schemeClr w14:val="tx1"/>
            </w14:solidFill>
          </w14:textFill>
        </w:rPr>
      </w:pPr>
    </w:p>
    <w:p>
      <w:pPr>
        <w:pStyle w:val="31"/>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pStyle w:val="31"/>
        <w:tabs>
          <w:tab w:val="left" w:pos="1050"/>
        </w:tabs>
        <w:spacing w:line="360" w:lineRule="auto"/>
        <w:ind w:firstLine="424" w:firstLine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1.填写投标人获得资质、认证或企业信誉证书；</w:t>
      </w:r>
    </w:p>
    <w:p>
      <w:pPr>
        <w:pStyle w:val="31"/>
        <w:tabs>
          <w:tab w:val="left" w:pos="1050"/>
        </w:tabs>
        <w:spacing w:line="360" w:lineRule="auto"/>
        <w:ind w:firstLine="424" w:firstLineChars="202"/>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2.附所列证书复印件或其他证明材料。</w:t>
      </w:r>
    </w:p>
    <w:p>
      <w:pPr>
        <w:pStyle w:val="31"/>
        <w:tabs>
          <w:tab w:val="left" w:pos="1050"/>
        </w:tabs>
        <w:spacing w:line="360" w:lineRule="auto"/>
        <w:ind w:firstLine="720" w:firstLineChars="300"/>
        <w:rPr>
          <w:rFonts w:ascii="仿宋_GB2312" w:hAnsi="宋体" w:eastAsia="仿宋_GB2312"/>
          <w:color w:val="000000" w:themeColor="text1"/>
          <w:sz w:val="24"/>
          <w:highlight w:val="none"/>
          <w14:textFill>
            <w14:solidFill>
              <w14:schemeClr w14:val="tx1"/>
            </w14:solidFill>
          </w14:textFill>
        </w:rPr>
      </w:pPr>
    </w:p>
    <w:p>
      <w:pPr>
        <w:pStyle w:val="31"/>
        <w:tabs>
          <w:tab w:val="left" w:pos="1050"/>
        </w:tabs>
        <w:spacing w:line="360" w:lineRule="auto"/>
        <w:ind w:firstLine="720" w:firstLineChars="300"/>
        <w:rPr>
          <w:rFonts w:ascii="仿宋_GB2312" w:hAnsi="宋体" w:eastAsia="仿宋_GB2312"/>
          <w:color w:val="000000" w:themeColor="text1"/>
          <w:sz w:val="24"/>
          <w:highlight w:val="none"/>
          <w14:textFill>
            <w14:solidFill>
              <w14:schemeClr w14:val="tx1"/>
            </w14:solidFill>
          </w14:textFill>
        </w:rPr>
      </w:pPr>
    </w:p>
    <w:p>
      <w:pPr>
        <w:pStyle w:val="31"/>
        <w:tabs>
          <w:tab w:val="left" w:pos="1050"/>
        </w:tabs>
        <w:spacing w:line="360" w:lineRule="auto"/>
        <w:ind w:firstLine="720" w:firstLineChars="300"/>
        <w:rPr>
          <w:rFonts w:ascii="仿宋_GB2312" w:hAnsi="宋体" w:eastAsia="仿宋_GB2312"/>
          <w:color w:val="000000" w:themeColor="text1"/>
          <w:sz w:val="24"/>
          <w:highlight w:val="none"/>
          <w14:textFill>
            <w14:solidFill>
              <w14:schemeClr w14:val="tx1"/>
            </w14:solidFill>
          </w14:textFill>
        </w:rPr>
      </w:pPr>
    </w:p>
    <w:p>
      <w:pPr>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24" w:firstLineChars="177"/>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24" w:firstLineChars="177"/>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rPr>
          <w:rFonts w:ascii="宋体" w:hAnsi="宋体"/>
          <w:color w:val="000000" w:themeColor="text1"/>
          <w:sz w:val="24"/>
          <w:highlight w:val="none"/>
          <w14:textFill>
            <w14:solidFill>
              <w14:schemeClr w14:val="tx1"/>
            </w14:solidFill>
          </w14:textFill>
        </w:rPr>
      </w:pPr>
    </w:p>
    <w:p>
      <w:pPr>
        <w:pStyle w:val="27"/>
        <w:shd w:val="clear" w:color="auto" w:fill="FFFFFF"/>
        <w:spacing w:before="0" w:beforeAutospacing="0" w:after="0" w:afterAutospacing="0" w:line="360" w:lineRule="auto"/>
        <w:ind w:firstLine="424" w:firstLineChars="177"/>
        <w:rPr>
          <w:b/>
          <w:bCs/>
          <w:color w:val="000000" w:themeColor="text1"/>
          <w:spacing w:val="11"/>
          <w:highlight w:val="none"/>
          <w14:textFill>
            <w14:solidFill>
              <w14:schemeClr w14:val="tx1"/>
            </w14:solidFill>
          </w14:textFill>
        </w:rPr>
      </w:pPr>
      <w:r>
        <w:rPr>
          <w:rFonts w:hint="eastAsia"/>
          <w:color w:val="000000" w:themeColor="text1"/>
          <w:highlight w:val="none"/>
          <w14:textFill>
            <w14:solidFill>
              <w14:schemeClr w14:val="tx1"/>
            </w14:solidFill>
          </w14:textFill>
        </w:rPr>
        <w:t>日        期：：</w:t>
      </w: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附件11</w:t>
      </w:r>
    </w:p>
    <w:p>
      <w:pPr>
        <w:pStyle w:val="30"/>
        <w:spacing w:line="36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投标人类似项目实施情况一览表</w:t>
      </w:r>
    </w:p>
    <w:p>
      <w:pPr>
        <w:pStyle w:val="30"/>
        <w:spacing w:line="360" w:lineRule="auto"/>
        <w:jc w:val="center"/>
        <w:rPr>
          <w:rFonts w:ascii="仿宋_GB2312" w:eastAsia="仿宋_GB2312"/>
          <w:b/>
          <w:color w:val="000000" w:themeColor="text1"/>
          <w:sz w:val="28"/>
          <w:szCs w:val="28"/>
          <w:highlight w:val="none"/>
          <w14:textFill>
            <w14:solidFill>
              <w14:schemeClr w14:val="tx1"/>
            </w14:solidFill>
          </w14:textFill>
        </w:rPr>
      </w:pPr>
    </w:p>
    <w:tbl>
      <w:tblPr>
        <w:tblStyle w:val="16"/>
        <w:tblW w:w="95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30"/>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30"/>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30"/>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30"/>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30"/>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30"/>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30"/>
              <w:spacing w:line="360" w:lineRule="auto"/>
              <w:jc w:val="center"/>
              <w:rPr>
                <w:rFonts w:ascii="宋体" w:hAnsi="宋体" w:cs="Arial"/>
                <w:b/>
                <w:bCs/>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0"/>
              <w:spacing w:line="360" w:lineRule="auto"/>
              <w:jc w:val="center"/>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1</w:t>
            </w:r>
          </w:p>
        </w:tc>
        <w:tc>
          <w:tcPr>
            <w:tcW w:w="129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0"/>
              <w:spacing w:line="360" w:lineRule="auto"/>
              <w:jc w:val="center"/>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2</w:t>
            </w:r>
          </w:p>
        </w:tc>
        <w:tc>
          <w:tcPr>
            <w:tcW w:w="129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0"/>
              <w:spacing w:line="360" w:lineRule="auto"/>
              <w:jc w:val="center"/>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3</w:t>
            </w:r>
          </w:p>
        </w:tc>
        <w:tc>
          <w:tcPr>
            <w:tcW w:w="129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r>
              <w:rPr>
                <w:rFonts w:hint="eastAsia" w:ascii="宋体" w:hAnsi="宋体" w:cs="Arial"/>
                <w:color w:val="000000" w:themeColor="text1"/>
                <w:sz w:val="24"/>
                <w:highlight w:val="none"/>
                <w14:textFill>
                  <w14:solidFill>
                    <w14:schemeClr w14:val="tx1"/>
                  </w14:solidFill>
                </w14:textFill>
              </w:rPr>
              <w:t>…</w:t>
            </w:r>
          </w:p>
        </w:tc>
        <w:tc>
          <w:tcPr>
            <w:tcW w:w="129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tcPr>
          <w:p>
            <w:pPr>
              <w:pStyle w:val="30"/>
              <w:spacing w:line="360" w:lineRule="auto"/>
              <w:rPr>
                <w:rFonts w:ascii="宋体" w:hAnsi="宋体" w:cs="Arial"/>
                <w:color w:val="000000" w:themeColor="text1"/>
                <w:sz w:val="24"/>
                <w:highlight w:val="none"/>
                <w14:textFill>
                  <w14:solidFill>
                    <w14:schemeClr w14:val="tx1"/>
                  </w14:solidFill>
                </w14:textFill>
              </w:rPr>
            </w:pPr>
          </w:p>
        </w:tc>
      </w:tr>
    </w:tbl>
    <w:p>
      <w:pPr>
        <w:autoSpaceDE w:val="0"/>
        <w:autoSpaceDN w:val="0"/>
        <w:adjustRightInd w:val="0"/>
        <w:spacing w:before="156" w:beforeLines="50" w:line="360" w:lineRule="auto"/>
        <w:rPr>
          <w:rFonts w:ascii="宋体" w:hAnsi="宋体" w:cs="Arial"/>
          <w:b/>
          <w:color w:val="000000" w:themeColor="text1"/>
          <w:szCs w:val="21"/>
          <w:highlight w:val="none"/>
          <w14:textFill>
            <w14:solidFill>
              <w14:schemeClr w14:val="tx1"/>
            </w14:solidFill>
          </w14:textFill>
        </w:rPr>
      </w:pPr>
      <w:r>
        <w:rPr>
          <w:rFonts w:hint="eastAsia" w:ascii="宋体" w:hAnsi="宋体" w:cs="Arial"/>
          <w:b/>
          <w:color w:val="000000" w:themeColor="text1"/>
          <w:szCs w:val="21"/>
          <w:highlight w:val="none"/>
          <w14:textFill>
            <w14:solidFill>
              <w14:schemeClr w14:val="tx1"/>
            </w14:solidFill>
          </w14:textFill>
        </w:rPr>
        <w:t>要求</w:t>
      </w:r>
      <w:r>
        <w:rPr>
          <w:rFonts w:ascii="宋体" w:hAnsi="宋体" w:cs="Arial"/>
          <w:b/>
          <w:color w:val="000000" w:themeColor="text1"/>
          <w:szCs w:val="21"/>
          <w:highlight w:val="none"/>
          <w14:textFill>
            <w14:solidFill>
              <w14:schemeClr w14:val="tx1"/>
            </w14:solidFill>
          </w14:textFill>
        </w:rPr>
        <w:t>：</w:t>
      </w:r>
    </w:p>
    <w:p>
      <w:pPr>
        <w:autoSpaceDE w:val="0"/>
        <w:autoSpaceDN w:val="0"/>
        <w:adjustRightInd w:val="0"/>
        <w:spacing w:before="156" w:beforeLines="50" w:line="360" w:lineRule="auto"/>
        <w:ind w:firstLine="424" w:firstLineChars="202"/>
        <w:rPr>
          <w:rFonts w:ascii="宋体" w:hAnsi="宋体" w:cs="Arial"/>
          <w:b/>
          <w:color w:val="000000" w:themeColor="text1"/>
          <w:szCs w:val="21"/>
          <w:highlight w:val="none"/>
          <w14:textFill>
            <w14:solidFill>
              <w14:schemeClr w14:val="tx1"/>
            </w14:solidFill>
          </w14:textFill>
        </w:rPr>
      </w:pPr>
      <w:r>
        <w:rPr>
          <w:rFonts w:ascii="宋体" w:hAnsi="宋体" w:cs="Arial"/>
          <w:color w:val="000000" w:themeColor="text1"/>
          <w:szCs w:val="21"/>
          <w:highlight w:val="none"/>
          <w14:textFill>
            <w14:solidFill>
              <w14:schemeClr w14:val="tx1"/>
            </w14:solidFill>
          </w14:textFill>
        </w:rPr>
        <w:t>1</w:t>
      </w:r>
      <w:r>
        <w:rPr>
          <w:rFonts w:hint="eastAsia" w:ascii="宋体" w:hAnsi="宋体" w:cs="Arial"/>
          <w:color w:val="000000" w:themeColor="text1"/>
          <w:szCs w:val="21"/>
          <w:highlight w:val="none"/>
          <w14:textFill>
            <w14:solidFill>
              <w14:schemeClr w14:val="tx1"/>
            </w14:solidFill>
          </w14:textFill>
        </w:rPr>
        <w:t>.</w:t>
      </w:r>
      <w:r>
        <w:rPr>
          <w:rFonts w:ascii="宋体" w:hAnsi="宋体" w:cs="Arial"/>
          <w:color w:val="000000" w:themeColor="text1"/>
          <w:szCs w:val="21"/>
          <w:highlight w:val="none"/>
          <w14:textFill>
            <w14:solidFill>
              <w14:schemeClr w14:val="tx1"/>
            </w14:solidFill>
          </w14:textFill>
        </w:rPr>
        <w:t>业绩证明应提供证明材料（合同</w:t>
      </w:r>
      <w:r>
        <w:rPr>
          <w:rFonts w:hint="eastAsia" w:ascii="宋体" w:hAnsi="宋体" w:cs="Arial"/>
          <w:color w:val="000000" w:themeColor="text1"/>
          <w:szCs w:val="21"/>
          <w:highlight w:val="none"/>
          <w14:textFill>
            <w14:solidFill>
              <w14:schemeClr w14:val="tx1"/>
            </w14:solidFill>
          </w14:textFill>
        </w:rPr>
        <w:t>复印件可只提供首页、含金额页、盖章页并加盖投标人公章</w:t>
      </w:r>
      <w:r>
        <w:rPr>
          <w:rFonts w:ascii="宋体" w:hAnsi="宋体" w:cs="Arial"/>
          <w:color w:val="000000" w:themeColor="text1"/>
          <w:szCs w:val="21"/>
          <w:highlight w:val="none"/>
          <w14:textFill>
            <w14:solidFill>
              <w14:schemeClr w14:val="tx1"/>
            </w14:solidFill>
          </w14:textFill>
        </w:rPr>
        <w:t>）；</w:t>
      </w:r>
    </w:p>
    <w:p>
      <w:pPr>
        <w:spacing w:line="360" w:lineRule="auto"/>
        <w:ind w:firstLine="424" w:firstLineChars="202"/>
        <w:jc w:val="left"/>
        <w:rPr>
          <w:rFonts w:ascii="宋体" w:hAnsi="宋体" w:cs="Arial"/>
          <w:color w:val="000000" w:themeColor="text1"/>
          <w:szCs w:val="21"/>
          <w:highlight w:val="none"/>
          <w14:textFill>
            <w14:solidFill>
              <w14:schemeClr w14:val="tx1"/>
            </w14:solidFill>
          </w14:textFill>
        </w:rPr>
      </w:pPr>
      <w:r>
        <w:rPr>
          <w:rFonts w:ascii="宋体" w:hAnsi="宋体" w:cs="Arial"/>
          <w:color w:val="000000" w:themeColor="text1"/>
          <w:szCs w:val="21"/>
          <w:highlight w:val="none"/>
          <w14:textFill>
            <w14:solidFill>
              <w14:schemeClr w14:val="tx1"/>
            </w14:solidFill>
          </w14:textFill>
        </w:rPr>
        <w:t>2</w:t>
      </w:r>
      <w:r>
        <w:rPr>
          <w:rFonts w:hint="eastAsia" w:ascii="宋体" w:hAnsi="宋体" w:cs="Arial"/>
          <w:color w:val="000000" w:themeColor="text1"/>
          <w:szCs w:val="21"/>
          <w:highlight w:val="none"/>
          <w14:textFill>
            <w14:solidFill>
              <w14:schemeClr w14:val="tx1"/>
            </w14:solidFill>
          </w14:textFill>
        </w:rPr>
        <w:t>.报价供应商</w:t>
      </w:r>
      <w:r>
        <w:rPr>
          <w:rFonts w:ascii="宋体" w:hAnsi="宋体" w:cs="Arial"/>
          <w:color w:val="000000" w:themeColor="text1"/>
          <w:szCs w:val="21"/>
          <w:highlight w:val="none"/>
          <w14:textFill>
            <w14:solidFill>
              <w14:schemeClr w14:val="tx1"/>
            </w14:solidFill>
          </w14:textFill>
        </w:rPr>
        <w:t>可按此表格式复制</w:t>
      </w:r>
      <w:r>
        <w:rPr>
          <w:rFonts w:hint="eastAsia" w:ascii="宋体" w:hAnsi="宋体" w:cs="Arial"/>
          <w:color w:val="000000" w:themeColor="text1"/>
          <w:szCs w:val="21"/>
          <w:highlight w:val="none"/>
          <w14:textFill>
            <w14:solidFill>
              <w14:schemeClr w14:val="tx1"/>
            </w14:solidFill>
          </w14:textFill>
        </w:rPr>
        <w:t>。</w:t>
      </w:r>
    </w:p>
    <w:p>
      <w:pPr>
        <w:spacing w:line="360" w:lineRule="auto"/>
        <w:rPr>
          <w:rFonts w:ascii="宋体" w:hAnsi="宋体"/>
          <w:color w:val="000000" w:themeColor="text1"/>
          <w:sz w:val="22"/>
          <w:szCs w:val="22"/>
          <w:highlight w:val="none"/>
          <w14:textFill>
            <w14:solidFill>
              <w14:schemeClr w14:val="tx1"/>
            </w14:solidFill>
          </w14:textFill>
        </w:rPr>
      </w:pPr>
    </w:p>
    <w:p>
      <w:pPr>
        <w:spacing w:line="360" w:lineRule="auto"/>
        <w:rPr>
          <w:rFonts w:ascii="宋体" w:hAnsi="宋体"/>
          <w:color w:val="000000" w:themeColor="text1"/>
          <w:sz w:val="22"/>
          <w:szCs w:val="22"/>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jc w:val="center"/>
        <w:rPr>
          <w:rFonts w:ascii="仿宋" w:hAnsi="仿宋" w:eastAsia="仿宋"/>
          <w:snapToGrid w:val="0"/>
          <w:color w:val="000000" w:themeColor="text1"/>
          <w:kern w:val="0"/>
          <w:sz w:val="24"/>
          <w:highlight w:val="none"/>
          <w14:textFill>
            <w14:solidFill>
              <w14:schemeClr w14:val="tx1"/>
            </w14:solidFill>
          </w14:textFill>
        </w:rPr>
      </w:pPr>
    </w:p>
    <w:p>
      <w:pPr>
        <w:pStyle w:val="31"/>
        <w:tabs>
          <w:tab w:val="left" w:pos="1050"/>
        </w:tabs>
        <w:spacing w:line="360" w:lineRule="auto"/>
        <w:rPr>
          <w:rFonts w:ascii="宋体" w:hAnsi="宋体"/>
          <w:b/>
          <w:color w:val="000000" w:themeColor="text1"/>
          <w:sz w:val="28"/>
          <w:highlight w:val="none"/>
          <w14:textFill>
            <w14:solidFill>
              <w14:schemeClr w14:val="tx1"/>
            </w14:solidFill>
          </w14:textFill>
        </w:rPr>
      </w:pPr>
    </w:p>
    <w:p>
      <w:pPr>
        <w:pStyle w:val="31"/>
        <w:tabs>
          <w:tab w:val="left" w:pos="1050"/>
        </w:tabs>
        <w:spacing w:line="360" w:lineRule="auto"/>
        <w:rPr>
          <w:rFonts w:ascii="宋体" w:hAnsi="宋体"/>
          <w:b/>
          <w:color w:val="000000" w:themeColor="text1"/>
          <w:sz w:val="28"/>
          <w:highlight w:val="none"/>
          <w14:textFill>
            <w14:solidFill>
              <w14:schemeClr w14:val="tx1"/>
            </w14:solidFill>
          </w14:textFill>
        </w:rPr>
      </w:pPr>
    </w:p>
    <w:p>
      <w:pPr>
        <w:pStyle w:val="31"/>
        <w:tabs>
          <w:tab w:val="left" w:pos="1050"/>
        </w:tabs>
        <w:spacing w:line="360" w:lineRule="auto"/>
        <w:rPr>
          <w:rFonts w:ascii="仿宋_GB2312" w:hAnsi="宋体" w:eastAsia="仿宋_GB2312"/>
          <w:color w:val="000000" w:themeColor="text1"/>
          <w:sz w:val="24"/>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附件12</w:t>
      </w:r>
    </w:p>
    <w:p>
      <w:pPr>
        <w:spacing w:line="360" w:lineRule="auto"/>
        <w:ind w:left="549" w:hanging="549" w:hangingChars="171"/>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资信及商务需求响应表(第 标)</w:t>
      </w:r>
    </w:p>
    <w:p>
      <w:pPr>
        <w:spacing w:line="360" w:lineRule="auto"/>
        <w:ind w:left="481" w:leftChars="229" w:firstLine="813" w:firstLineChars="450"/>
        <w:rPr>
          <w:rFonts w:ascii="宋体" w:hAnsi="宋体"/>
          <w:b/>
          <w:color w:val="000000" w:themeColor="text1"/>
          <w:sz w:val="18"/>
          <w:szCs w:val="18"/>
          <w:highlight w:val="none"/>
          <w14:textFill>
            <w14:solidFill>
              <w14:schemeClr w14:val="tx1"/>
            </w14:solidFill>
          </w14:textFill>
        </w:rPr>
      </w:pPr>
    </w:p>
    <w:tbl>
      <w:tblPr>
        <w:tblStyle w:val="16"/>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6" w:hRule="atLeast"/>
        </w:trPr>
        <w:tc>
          <w:tcPr>
            <w:tcW w:w="735" w:type="dxa"/>
            <w:vAlign w:val="center"/>
          </w:tcPr>
          <w:p>
            <w:pP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785" w:type="dxa"/>
            <w:vAlign w:val="center"/>
          </w:tcPr>
          <w:p>
            <w:pP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   内容</w:t>
            </w:r>
          </w:p>
        </w:tc>
        <w:tc>
          <w:tcPr>
            <w:tcW w:w="1785" w:type="dxa"/>
            <w:vAlign w:val="center"/>
          </w:tcPr>
          <w:p>
            <w:pPr>
              <w:ind w:left="53" w:leftChars="25" w:firstLine="241" w:firstLineChars="1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招标需求</w:t>
            </w:r>
          </w:p>
        </w:tc>
        <w:tc>
          <w:tcPr>
            <w:tcW w:w="1365" w:type="dxa"/>
            <w:vAlign w:val="center"/>
          </w:tcPr>
          <w:p>
            <w:pPr>
              <w:ind w:left="152"/>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是否响应</w:t>
            </w:r>
          </w:p>
        </w:tc>
        <w:tc>
          <w:tcPr>
            <w:tcW w:w="2625" w:type="dxa"/>
            <w:vAlign w:val="center"/>
          </w:tcPr>
          <w:p>
            <w:pPr>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售后服务保障要求</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备品备件及耗材等要求</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质保期</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交货和服务</w:t>
            </w:r>
          </w:p>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时间及地点</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付款条件</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735" w:type="dxa"/>
            <w:vAlign w:val="center"/>
          </w:tcPr>
          <w:p>
            <w:pPr>
              <w:rPr>
                <w:rFonts w:ascii="宋体" w:hAnsi="宋体"/>
                <w:color w:val="000000" w:themeColor="text1"/>
                <w:sz w:val="24"/>
                <w:highlight w:val="none"/>
                <w14:textFill>
                  <w14:solidFill>
                    <w14:schemeClr w14:val="tx1"/>
                  </w14:solidFill>
                </w14:textFill>
              </w:rPr>
            </w:pPr>
          </w:p>
        </w:tc>
        <w:tc>
          <w:tcPr>
            <w:tcW w:w="1785" w:type="dxa"/>
          </w:tcPr>
          <w:p>
            <w:pPr>
              <w:snapToGrid w:val="0"/>
              <w:rPr>
                <w:rFonts w:ascii="宋体" w:hAnsi="宋体"/>
                <w:color w:val="000000" w:themeColor="text1"/>
                <w:sz w:val="24"/>
                <w:highlight w:val="none"/>
                <w14:textFill>
                  <w14:solidFill>
                    <w14:schemeClr w14:val="tx1"/>
                  </w14:solidFill>
                </w14:textFill>
              </w:rPr>
            </w:pPr>
          </w:p>
        </w:tc>
        <w:tc>
          <w:tcPr>
            <w:tcW w:w="1785" w:type="dxa"/>
            <w:vAlign w:val="center"/>
          </w:tcPr>
          <w:p>
            <w:pPr>
              <w:rPr>
                <w:rFonts w:ascii="宋体" w:hAnsi="宋体"/>
                <w:color w:val="000000" w:themeColor="text1"/>
                <w:sz w:val="24"/>
                <w:highlight w:val="none"/>
                <w14:textFill>
                  <w14:solidFill>
                    <w14:schemeClr w14:val="tx1"/>
                  </w14:solidFill>
                </w14:textFill>
              </w:rPr>
            </w:pPr>
          </w:p>
        </w:tc>
        <w:tc>
          <w:tcPr>
            <w:tcW w:w="1365" w:type="dxa"/>
            <w:vAlign w:val="center"/>
          </w:tcPr>
          <w:p>
            <w:pPr>
              <w:rPr>
                <w:rFonts w:ascii="宋体" w:hAnsi="宋体"/>
                <w:color w:val="000000" w:themeColor="text1"/>
                <w:sz w:val="24"/>
                <w:highlight w:val="none"/>
                <w14:textFill>
                  <w14:solidFill>
                    <w14:schemeClr w14:val="tx1"/>
                  </w14:solidFill>
                </w14:textFill>
              </w:rPr>
            </w:pPr>
          </w:p>
        </w:tc>
        <w:tc>
          <w:tcPr>
            <w:tcW w:w="2625" w:type="dxa"/>
            <w:vAlign w:val="center"/>
          </w:tcPr>
          <w:p>
            <w:pPr>
              <w:rPr>
                <w:rFonts w:ascii="宋体" w:hAnsi="宋体"/>
                <w:color w:val="000000" w:themeColor="text1"/>
                <w:sz w:val="24"/>
                <w:highlight w:val="none"/>
                <w14:textFill>
                  <w14:solidFill>
                    <w14:schemeClr w14:val="tx1"/>
                  </w14:solidFill>
                </w14:textFill>
              </w:rPr>
            </w:pPr>
          </w:p>
        </w:tc>
      </w:tr>
    </w:tbl>
    <w:p>
      <w:pPr>
        <w:spacing w:line="360" w:lineRule="auto"/>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tabs>
          <w:tab w:val="left" w:pos="2460"/>
        </w:tabs>
        <w:spacing w:line="360" w:lineRule="auto"/>
        <w:ind w:firstLine="435"/>
        <w:rPr>
          <w:rFonts w:ascii="宋体" w:hAnsi="宋体"/>
          <w:b/>
          <w:color w:val="000000" w:themeColor="text1"/>
          <w:sz w:val="28"/>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tabs>
          <w:tab w:val="left" w:pos="2460"/>
        </w:tabs>
        <w:spacing w:line="360" w:lineRule="auto"/>
        <w:ind w:firstLine="435"/>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附件13</w:t>
      </w:r>
      <w:r>
        <w:rPr>
          <w:rFonts w:ascii="宋体" w:hAnsi="宋体"/>
          <w:b/>
          <w:color w:val="000000" w:themeColor="text1"/>
          <w:sz w:val="28"/>
          <w:highlight w:val="none"/>
          <w14:textFill>
            <w14:solidFill>
              <w14:schemeClr w14:val="tx1"/>
            </w14:solidFill>
          </w14:textFill>
        </w:rPr>
        <w:tab/>
      </w:r>
    </w:p>
    <w:p>
      <w:pPr>
        <w:spacing w:line="360" w:lineRule="auto"/>
        <w:ind w:firstLine="435"/>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售后服务情况表</w:t>
      </w:r>
    </w:p>
    <w:p>
      <w:pPr>
        <w:spacing w:line="360" w:lineRule="auto"/>
        <w:ind w:firstLine="435"/>
        <w:jc w:val="center"/>
        <w:rPr>
          <w:rFonts w:ascii="宋体" w:hAnsi="宋体"/>
          <w:b/>
          <w:color w:val="000000" w:themeColor="text1"/>
          <w:sz w:val="36"/>
          <w:szCs w:val="36"/>
          <w:highlight w:val="none"/>
          <w14:textFill>
            <w14:solidFill>
              <w14:schemeClr w14:val="tx1"/>
            </w14:solidFill>
          </w14:textFill>
        </w:rPr>
      </w:pP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18" w:hRule="atLeast"/>
        </w:trPr>
        <w:tc>
          <w:tcPr>
            <w:tcW w:w="739" w:type="dxa"/>
            <w:vAlign w:val="center"/>
          </w:tcPr>
          <w:p>
            <w:pPr>
              <w:pStyle w:val="32"/>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序号</w:t>
            </w:r>
          </w:p>
        </w:tc>
        <w:tc>
          <w:tcPr>
            <w:tcW w:w="2355" w:type="dxa"/>
            <w:vAlign w:val="center"/>
          </w:tcPr>
          <w:p>
            <w:pPr>
              <w:pStyle w:val="32"/>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项目</w:t>
            </w:r>
          </w:p>
        </w:tc>
        <w:tc>
          <w:tcPr>
            <w:tcW w:w="4061" w:type="dxa"/>
            <w:vAlign w:val="center"/>
          </w:tcPr>
          <w:p>
            <w:pPr>
              <w:pStyle w:val="32"/>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投标人情况</w:t>
            </w:r>
          </w:p>
        </w:tc>
        <w:tc>
          <w:tcPr>
            <w:tcW w:w="1373" w:type="dxa"/>
            <w:vAlign w:val="center"/>
          </w:tcPr>
          <w:p>
            <w:pPr>
              <w:pStyle w:val="32"/>
              <w:spacing w:line="360" w:lineRule="auto"/>
              <w:jc w:val="center"/>
              <w:rPr>
                <w:rFonts w:ascii="宋体" w:hAns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258" w:hRule="atLeast"/>
        </w:trPr>
        <w:tc>
          <w:tcPr>
            <w:tcW w:w="739" w:type="dxa"/>
            <w:vMerge w:val="restart"/>
            <w:vAlign w:val="center"/>
          </w:tcPr>
          <w:p>
            <w:pPr>
              <w:pStyle w:val="32"/>
              <w:spacing w:line="360" w:lineRule="auto"/>
              <w:jc w:val="center"/>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1</w:t>
            </w:r>
          </w:p>
        </w:tc>
        <w:tc>
          <w:tcPr>
            <w:tcW w:w="2355" w:type="dxa"/>
            <w:vMerge w:val="restart"/>
            <w:vAlign w:val="center"/>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保修期内售后服务情况(</w:t>
            </w:r>
            <w:r>
              <w:rPr>
                <w:rFonts w:ascii="宋体" w:hAnsi="宋体" w:cs="Arial"/>
                <w:bCs/>
                <w:color w:val="000000" w:themeColor="text1"/>
                <w:sz w:val="24"/>
                <w:highlight w:val="none"/>
                <w14:textFill>
                  <w14:solidFill>
                    <w14:schemeClr w14:val="tx1"/>
                  </w14:solidFill>
                </w14:textFill>
              </w:rPr>
              <w:t>服务</w:t>
            </w:r>
            <w:r>
              <w:rPr>
                <w:rFonts w:hint="eastAsia" w:ascii="宋体" w:hAnsi="宋体" w:cs="Arial"/>
                <w:bCs/>
                <w:color w:val="000000" w:themeColor="text1"/>
                <w:sz w:val="24"/>
                <w:highlight w:val="none"/>
                <w14:textFill>
                  <w14:solidFill>
                    <w14:schemeClr w14:val="tx1"/>
                  </w14:solidFill>
                </w14:textFill>
              </w:rPr>
              <w:t>方式、服务网点</w:t>
            </w:r>
            <w:r>
              <w:rPr>
                <w:rFonts w:ascii="宋体" w:hAnsi="宋体" w:cs="Arial"/>
                <w:bCs/>
                <w:color w:val="000000" w:themeColor="text1"/>
                <w:sz w:val="24"/>
                <w:highlight w:val="none"/>
                <w14:textFill>
                  <w14:solidFill>
                    <w14:schemeClr w14:val="tx1"/>
                  </w14:solidFill>
                </w14:textFill>
              </w:rPr>
              <w:t>、售后服务的内容和措施</w:t>
            </w:r>
            <w:r>
              <w:rPr>
                <w:rFonts w:hint="eastAsia" w:ascii="宋体" w:hAnsi="宋体" w:cs="Arial"/>
                <w:bCs/>
                <w:color w:val="000000" w:themeColor="text1"/>
                <w:sz w:val="24"/>
                <w:highlight w:val="none"/>
                <w14:textFill>
                  <w14:solidFill>
                    <w14:schemeClr w14:val="tx1"/>
                  </w14:solidFill>
                </w14:textFill>
              </w:rPr>
              <w:t>等等，可用附页和宣传材料)</w:t>
            </w:r>
          </w:p>
        </w:tc>
        <w:tc>
          <w:tcPr>
            <w:tcW w:w="4061" w:type="dxa"/>
          </w:tcPr>
          <w:p>
            <w:pPr>
              <w:pStyle w:val="32"/>
              <w:spacing w:line="360" w:lineRule="auto"/>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生产厂商售后服务情况：</w:t>
            </w:r>
          </w:p>
        </w:tc>
        <w:tc>
          <w:tcPr>
            <w:tcW w:w="1373" w:type="dxa"/>
          </w:tcPr>
          <w:p>
            <w:pPr>
              <w:pStyle w:val="32"/>
              <w:spacing w:line="360" w:lineRule="auto"/>
              <w:rPr>
                <w:rFonts w:ascii="宋体" w:hAns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90" w:hRule="atLeast"/>
        </w:trPr>
        <w:tc>
          <w:tcPr>
            <w:tcW w:w="739" w:type="dxa"/>
            <w:vMerge w:val="continue"/>
            <w:vAlign w:val="center"/>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p>
        </w:tc>
        <w:tc>
          <w:tcPr>
            <w:tcW w:w="2355" w:type="dxa"/>
            <w:vMerge w:val="continue"/>
            <w:vAlign w:val="center"/>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p>
        </w:tc>
        <w:tc>
          <w:tcPr>
            <w:tcW w:w="4061" w:type="dxa"/>
          </w:tcPr>
          <w:p>
            <w:pPr>
              <w:pStyle w:val="32"/>
              <w:spacing w:line="360" w:lineRule="auto"/>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投标人售后服务情况：</w:t>
            </w:r>
          </w:p>
        </w:tc>
        <w:tc>
          <w:tcPr>
            <w:tcW w:w="1373" w:type="dxa"/>
          </w:tcPr>
          <w:p>
            <w:pPr>
              <w:pStyle w:val="32"/>
              <w:spacing w:line="360" w:lineRule="auto"/>
              <w:jc w:val="left"/>
              <w:rPr>
                <w:rFonts w:ascii="宋体" w:hAns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739" w:type="dxa"/>
            <w:vAlign w:val="center"/>
          </w:tcPr>
          <w:p>
            <w:pPr>
              <w:pStyle w:val="32"/>
              <w:spacing w:line="360" w:lineRule="auto"/>
              <w:jc w:val="center"/>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2</w:t>
            </w:r>
          </w:p>
        </w:tc>
        <w:tc>
          <w:tcPr>
            <w:tcW w:w="2355" w:type="dxa"/>
            <w:vAlign w:val="center"/>
          </w:tcPr>
          <w:p>
            <w:pPr>
              <w:pStyle w:val="32"/>
              <w:spacing w:line="360" w:lineRule="auto"/>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保修期后售后服务</w:t>
            </w:r>
          </w:p>
        </w:tc>
        <w:tc>
          <w:tcPr>
            <w:tcW w:w="4061" w:type="dxa"/>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p>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p>
          <w:p>
            <w:pPr>
              <w:pStyle w:val="32"/>
              <w:spacing w:line="360" w:lineRule="auto"/>
              <w:rPr>
                <w:rFonts w:ascii="宋体" w:hAnsi="宋体" w:cs="Arial"/>
                <w:bCs/>
                <w:color w:val="000000" w:themeColor="text1"/>
                <w:sz w:val="24"/>
                <w:highlight w:val="none"/>
                <w14:textFill>
                  <w14:solidFill>
                    <w14:schemeClr w14:val="tx1"/>
                  </w14:solidFill>
                </w14:textFill>
              </w:rPr>
            </w:pPr>
          </w:p>
        </w:tc>
        <w:tc>
          <w:tcPr>
            <w:tcW w:w="1373" w:type="dxa"/>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p>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p>
          <w:p>
            <w:pPr>
              <w:pStyle w:val="32"/>
              <w:spacing w:line="360" w:lineRule="auto"/>
              <w:rPr>
                <w:rFonts w:ascii="宋体" w:hAns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620" w:hRule="exact"/>
        </w:trPr>
        <w:tc>
          <w:tcPr>
            <w:tcW w:w="739" w:type="dxa"/>
            <w:vAlign w:val="center"/>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 xml:space="preserve"> 3</w:t>
            </w:r>
          </w:p>
        </w:tc>
        <w:tc>
          <w:tcPr>
            <w:tcW w:w="2355" w:type="dxa"/>
            <w:vAlign w:val="center"/>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培训方案（可用附页）</w:t>
            </w:r>
          </w:p>
        </w:tc>
        <w:tc>
          <w:tcPr>
            <w:tcW w:w="4061" w:type="dxa"/>
          </w:tcPr>
          <w:p>
            <w:pPr>
              <w:pStyle w:val="32"/>
              <w:widowControl/>
              <w:spacing w:line="360" w:lineRule="auto"/>
              <w:jc w:val="left"/>
              <w:rPr>
                <w:rFonts w:ascii="宋体" w:hAnsi="宋体" w:cs="Arial"/>
                <w:bCs/>
                <w:i/>
                <w:color w:val="000000" w:themeColor="text1"/>
                <w:sz w:val="24"/>
                <w:highlight w:val="none"/>
                <w14:textFill>
                  <w14:solidFill>
                    <w14:schemeClr w14:val="tx1"/>
                  </w14:solidFill>
                </w14:textFill>
              </w:rPr>
            </w:pPr>
          </w:p>
          <w:p>
            <w:pPr>
              <w:pStyle w:val="32"/>
              <w:widowControl/>
              <w:spacing w:line="360" w:lineRule="auto"/>
              <w:jc w:val="left"/>
              <w:rPr>
                <w:rFonts w:ascii="宋体" w:hAnsi="宋体" w:cs="Arial"/>
                <w:bCs/>
                <w:i/>
                <w:color w:val="000000" w:themeColor="text1"/>
                <w:sz w:val="24"/>
                <w:highlight w:val="none"/>
                <w14:textFill>
                  <w14:solidFill>
                    <w14:schemeClr w14:val="tx1"/>
                  </w14:solidFill>
                </w14:textFill>
              </w:rPr>
            </w:pPr>
          </w:p>
        </w:tc>
        <w:tc>
          <w:tcPr>
            <w:tcW w:w="1373" w:type="dxa"/>
          </w:tcPr>
          <w:p>
            <w:pPr>
              <w:pStyle w:val="32"/>
              <w:widowControl/>
              <w:spacing w:line="360" w:lineRule="auto"/>
              <w:jc w:val="left"/>
              <w:rPr>
                <w:rFonts w:ascii="宋体" w:hAnsi="宋体" w:cs="Arial"/>
                <w:bCs/>
                <w:i/>
                <w:color w:val="000000" w:themeColor="text1"/>
                <w:sz w:val="24"/>
                <w:highlight w:val="none"/>
                <w14:textFill>
                  <w14:solidFill>
                    <w14:schemeClr w14:val="tx1"/>
                  </w14:solidFill>
                </w14:textFill>
              </w:rPr>
            </w:pPr>
          </w:p>
          <w:p>
            <w:pPr>
              <w:pStyle w:val="32"/>
              <w:widowControl/>
              <w:spacing w:line="360" w:lineRule="auto"/>
              <w:jc w:val="left"/>
              <w:rPr>
                <w:rFonts w:ascii="宋体" w:hAnsi="宋体" w:cs="Arial"/>
                <w:bCs/>
                <w:i/>
                <w:color w:val="000000" w:themeColor="text1"/>
                <w:sz w:val="24"/>
                <w:highlight w:val="none"/>
                <w14:textFill>
                  <w14:solidFill>
                    <w14:schemeClr w14:val="tx1"/>
                  </w14:solidFill>
                </w14:textFill>
              </w:rPr>
            </w:pPr>
          </w:p>
          <w:p>
            <w:pPr>
              <w:pStyle w:val="32"/>
              <w:widowControl/>
              <w:spacing w:line="360" w:lineRule="auto"/>
              <w:jc w:val="left"/>
              <w:rPr>
                <w:rFonts w:ascii="宋体" w:hAnsi="宋体" w:cs="Arial"/>
                <w:bCs/>
                <w:i/>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89" w:hRule="exact"/>
        </w:trPr>
        <w:tc>
          <w:tcPr>
            <w:tcW w:w="739" w:type="dxa"/>
            <w:vAlign w:val="center"/>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r>
              <w:rPr>
                <w:rFonts w:ascii="宋体" w:hAnsi="宋体" w:cs="Arial"/>
                <w:bCs/>
                <w:color w:val="000000" w:themeColor="text1"/>
                <w:sz w:val="24"/>
                <w:highlight w:val="none"/>
                <w14:textFill>
                  <w14:solidFill>
                    <w14:schemeClr w14:val="tx1"/>
                  </w14:solidFill>
                </w14:textFill>
              </w:rPr>
              <w:t>……</w:t>
            </w:r>
          </w:p>
        </w:tc>
        <w:tc>
          <w:tcPr>
            <w:tcW w:w="2355" w:type="dxa"/>
            <w:vAlign w:val="center"/>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r>
              <w:rPr>
                <w:rFonts w:ascii="宋体" w:hAnsi="宋体" w:cs="Arial"/>
                <w:bCs/>
                <w:color w:val="000000" w:themeColor="text1"/>
                <w:sz w:val="24"/>
                <w:highlight w:val="none"/>
                <w14:textFill>
                  <w14:solidFill>
                    <w14:schemeClr w14:val="tx1"/>
                  </w14:solidFill>
                </w14:textFill>
              </w:rPr>
              <w:t>……</w:t>
            </w:r>
          </w:p>
        </w:tc>
        <w:tc>
          <w:tcPr>
            <w:tcW w:w="4061" w:type="dxa"/>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p>
        </w:tc>
        <w:tc>
          <w:tcPr>
            <w:tcW w:w="1373" w:type="dxa"/>
          </w:tcPr>
          <w:p>
            <w:pPr>
              <w:pStyle w:val="32"/>
              <w:widowControl/>
              <w:spacing w:line="360" w:lineRule="auto"/>
              <w:jc w:val="left"/>
              <w:rPr>
                <w:rFonts w:ascii="宋体" w:hAnsi="宋体" w:cs="Arial"/>
                <w:bCs/>
                <w:color w:val="000000" w:themeColor="text1"/>
                <w:sz w:val="24"/>
                <w:highlight w:val="none"/>
                <w14:textFill>
                  <w14:solidFill>
                    <w14:schemeClr w14:val="tx1"/>
                  </w14:solidFill>
                </w14:textFill>
              </w:rPr>
            </w:pPr>
          </w:p>
        </w:tc>
      </w:tr>
    </w:tbl>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pacing w:line="360" w:lineRule="auto"/>
        <w:ind w:firstLine="435"/>
        <w:rPr>
          <w:rFonts w:ascii="宋体" w:hAnsi="宋体"/>
          <w:color w:val="000000" w:themeColor="text1"/>
          <w:sz w:val="24"/>
          <w:highlight w:val="none"/>
          <w:u w:val="single"/>
          <w14:textFill>
            <w14:solidFill>
              <w14:schemeClr w14:val="tx1"/>
            </w14:solidFill>
          </w14:textFill>
        </w:rPr>
      </w:pPr>
    </w:p>
    <w:p>
      <w:pPr>
        <w:pStyle w:val="33"/>
        <w:spacing w:line="360" w:lineRule="auto"/>
        <w:rPr>
          <w:rFonts w:hAnsi="宋体"/>
          <w:b/>
          <w:color w:val="000000" w:themeColor="text1"/>
          <w:sz w:val="28"/>
          <w:szCs w:val="28"/>
          <w:highlight w:val="none"/>
          <w14:textFill>
            <w14:solidFill>
              <w14:schemeClr w14:val="tx1"/>
            </w14:solidFill>
          </w14:textFill>
        </w:rPr>
      </w:pPr>
    </w:p>
    <w:p>
      <w:pPr>
        <w:pStyle w:val="33"/>
        <w:spacing w:line="360" w:lineRule="auto"/>
        <w:rPr>
          <w:rFonts w:hAnsi="宋体"/>
          <w:b/>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附件14</w:t>
      </w:r>
    </w:p>
    <w:p>
      <w:pPr>
        <w:pStyle w:val="33"/>
        <w:spacing w:line="360" w:lineRule="auto"/>
        <w:jc w:val="center"/>
        <w:rPr>
          <w:rFonts w:hAnsi="宋体"/>
          <w:b/>
          <w:color w:val="000000" w:themeColor="text1"/>
          <w:sz w:val="32"/>
          <w:szCs w:val="32"/>
          <w:highlight w:val="none"/>
          <w:lang w:val="en-GB"/>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主要货物用材响应表（如有则提供）</w:t>
      </w:r>
    </w:p>
    <w:tbl>
      <w:tblPr>
        <w:tblStyle w:val="16"/>
        <w:tblW w:w="9270"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32"/>
        <w:gridCol w:w="1432"/>
        <w:gridCol w:w="1260"/>
        <w:gridCol w:w="900"/>
        <w:gridCol w:w="781"/>
        <w:gridCol w:w="900"/>
        <w:gridCol w:w="91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序号</w:t>
            </w: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货物名称</w:t>
            </w: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产品配置</w:t>
            </w:r>
          </w:p>
        </w:tc>
        <w:tc>
          <w:tcPr>
            <w:tcW w:w="5686" w:type="dxa"/>
            <w:gridSpan w:val="6"/>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材料规格及参数</w:t>
            </w:r>
          </w:p>
        </w:tc>
        <w:tc>
          <w:tcPr>
            <w:tcW w:w="900" w:type="dxa"/>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品牌</w:t>
            </w:r>
          </w:p>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商标</w:t>
            </w:r>
          </w:p>
        </w:tc>
        <w:tc>
          <w:tcPr>
            <w:tcW w:w="781" w:type="dxa"/>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生产厂家</w:t>
            </w:r>
          </w:p>
        </w:tc>
        <w:tc>
          <w:tcPr>
            <w:tcW w:w="900" w:type="dxa"/>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符合标准</w:t>
            </w:r>
          </w:p>
        </w:tc>
        <w:tc>
          <w:tcPr>
            <w:tcW w:w="915" w:type="dxa"/>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性能说明</w:t>
            </w:r>
          </w:p>
        </w:tc>
        <w:tc>
          <w:tcPr>
            <w:tcW w:w="930" w:type="dxa"/>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2"/>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2"/>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2"/>
              <w:spacing w:line="360" w:lineRule="auto"/>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vMerge w:val="restart"/>
            <w:tcBorders>
              <w:top w:val="single" w:color="auto" w:sz="4" w:space="0"/>
              <w:left w:val="single" w:color="auto" w:sz="4" w:space="0"/>
              <w:bottom w:val="single" w:color="auto" w:sz="4" w:space="0"/>
              <w:right w:val="single" w:color="auto" w:sz="4" w:space="0"/>
            </w:tcBorders>
            <w:vAlign w:val="center"/>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vMerge w:val="continue"/>
            <w:tcBorders>
              <w:top w:val="single" w:color="auto" w:sz="4" w:space="0"/>
              <w:left w:val="single" w:color="auto" w:sz="4" w:space="0"/>
              <w:bottom w:val="single" w:color="auto" w:sz="4" w:space="0"/>
              <w:right w:val="single" w:color="auto" w:sz="4" w:space="0"/>
            </w:tcBorders>
            <w:vAlign w:val="center"/>
          </w:tcPr>
          <w:p>
            <w:pPr>
              <w:pStyle w:val="32"/>
              <w:spacing w:line="360" w:lineRule="auto"/>
              <w:rPr>
                <w:rFonts w:ascii="宋体" w:hAnsi="宋体" w:cs="宋体"/>
                <w:color w:val="000000" w:themeColor="text1"/>
                <w:sz w:val="22"/>
                <w:szCs w:val="22"/>
                <w:highlight w:val="none"/>
                <w14:textFill>
                  <w14:solidFill>
                    <w14:schemeClr w14:val="tx1"/>
                  </w14:solidFill>
                </w14:textFill>
              </w:rPr>
            </w:pPr>
          </w:p>
        </w:tc>
        <w:tc>
          <w:tcPr>
            <w:tcW w:w="1432" w:type="dxa"/>
            <w:tcBorders>
              <w:top w:val="single" w:color="auto" w:sz="4" w:space="0"/>
              <w:left w:val="single" w:color="auto" w:sz="4" w:space="0"/>
              <w:bottom w:val="single" w:color="auto" w:sz="4" w:space="0"/>
              <w:right w:val="single" w:color="auto" w:sz="4" w:space="0"/>
            </w:tcBorders>
          </w:tcPr>
          <w:p>
            <w:pPr>
              <w:pStyle w:val="32"/>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15"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tcPr>
          <w:p>
            <w:pPr>
              <w:pStyle w:val="32"/>
              <w:autoSpaceDE w:val="0"/>
              <w:autoSpaceDN w:val="0"/>
              <w:adjustRightInd w:val="0"/>
              <w:spacing w:line="360" w:lineRule="auto"/>
              <w:ind w:right="84" w:rightChars="40"/>
              <w:jc w:val="center"/>
              <w:rPr>
                <w:rFonts w:ascii="宋体" w:hAnsi="宋体" w:cs="宋体"/>
                <w:color w:val="000000" w:themeColor="text1"/>
                <w:sz w:val="22"/>
                <w:szCs w:val="22"/>
                <w:highlight w:val="none"/>
                <w14:textFill>
                  <w14:solidFill>
                    <w14:schemeClr w14:val="tx1"/>
                  </w14:solidFill>
                </w14:textFill>
              </w:rPr>
            </w:pPr>
          </w:p>
        </w:tc>
      </w:tr>
    </w:tbl>
    <w:p>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pStyle w:val="32"/>
        <w:spacing w:line="360" w:lineRule="auto"/>
        <w:ind w:left="699" w:leftChars="228" w:hanging="220" w:hangingChars="1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1.请列出以上产品的各项主要用材、辅料、油漆、五金件等。</w:t>
      </w:r>
    </w:p>
    <w:p>
      <w:pPr>
        <w:pStyle w:val="32"/>
        <w:spacing w:line="36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2.本表所列产品主要用材均为采购人抽样送检的范围。</w:t>
      </w:r>
    </w:p>
    <w:p>
      <w:pPr>
        <w:spacing w:line="360" w:lineRule="auto"/>
        <w:ind w:firstLine="440" w:firstLineChars="200"/>
        <w:rPr>
          <w:rFonts w:ascii="宋体" w:hAnsi="宋体" w:cs="宋体"/>
          <w:color w:val="000000" w:themeColor="text1"/>
          <w:sz w:val="22"/>
          <w:szCs w:val="22"/>
          <w:highlight w:val="none"/>
          <w:u w:val="singl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right="-110"/>
        <w:jc w:val="left"/>
        <w:rPr>
          <w:rFonts w:ascii="宋体" w:hAnsi="宋体"/>
          <w:b/>
          <w:color w:val="000000" w:themeColor="text1"/>
          <w:sz w:val="28"/>
          <w:highlight w:val="none"/>
          <w14:textFill>
            <w14:solidFill>
              <w14:schemeClr w14:val="tx1"/>
            </w14:solidFill>
          </w14:textFill>
        </w:rPr>
      </w:pPr>
    </w:p>
    <w:p>
      <w:pPr>
        <w:spacing w:line="360" w:lineRule="auto"/>
        <w:ind w:right="-110"/>
        <w:jc w:val="left"/>
        <w:rPr>
          <w:rFonts w:ascii="宋体" w:hAnsi="宋体"/>
          <w:b/>
          <w:color w:val="000000" w:themeColor="text1"/>
          <w:sz w:val="28"/>
          <w:highlight w:val="none"/>
          <w14:textFill>
            <w14:solidFill>
              <w14:schemeClr w14:val="tx1"/>
            </w14:solidFill>
          </w14:textFill>
        </w:rPr>
      </w:pPr>
    </w:p>
    <w:p>
      <w:pPr>
        <w:spacing w:line="360" w:lineRule="auto"/>
        <w:ind w:right="-110"/>
        <w:jc w:val="left"/>
        <w:rPr>
          <w:rFonts w:ascii="宋体" w:hAnsi="宋体"/>
          <w:color w:val="000000" w:themeColor="text1"/>
          <w:spacing w:val="40"/>
          <w:sz w:val="52"/>
          <w:szCs w:val="52"/>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附件15</w:t>
      </w:r>
    </w:p>
    <w:p>
      <w:pPr>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玉环市中小学</w:t>
      </w:r>
    </w:p>
    <w:p>
      <w:pPr>
        <w:spacing w:line="360" w:lineRule="auto"/>
        <w:ind w:right="-110"/>
        <w:jc w:val="center"/>
        <w:rPr>
          <w:rFonts w:ascii="宋体" w:hAnsi="宋体"/>
          <w:color w:val="000000" w:themeColor="text1"/>
          <w:spacing w:val="40"/>
          <w:sz w:val="52"/>
          <w:szCs w:val="52"/>
          <w:highlight w:val="none"/>
          <w14:textFill>
            <w14:solidFill>
              <w14:schemeClr w14:val="tx1"/>
            </w14:solidFill>
          </w14:textFill>
        </w:rPr>
      </w:pPr>
      <w:r>
        <w:rPr>
          <w:rFonts w:hint="eastAsia" w:ascii="宋体" w:hAnsi="宋体"/>
          <w:color w:val="000000" w:themeColor="text1"/>
          <w:spacing w:val="40"/>
          <w:sz w:val="52"/>
          <w:szCs w:val="52"/>
          <w:highlight w:val="none"/>
          <w14:textFill>
            <w14:solidFill>
              <w14:schemeClr w14:val="tx1"/>
            </w14:solidFill>
          </w14:textFill>
        </w:rPr>
        <w:t>教学触控一体机项目</w:t>
      </w:r>
    </w:p>
    <w:p>
      <w:pPr>
        <w:spacing w:before="312" w:beforeLines="100" w:line="360" w:lineRule="auto"/>
        <w:ind w:right="-108"/>
        <w:jc w:val="center"/>
        <w:rPr>
          <w:rFonts w:hint="eastAsia" w:ascii="宋体" w:hAnsi="宋体" w:eastAsia="宋体"/>
          <w:color w:val="000000" w:themeColor="text1"/>
          <w:sz w:val="36"/>
          <w:szCs w:val="36"/>
          <w:highlight w:val="none"/>
          <w:lang w:eastAsia="zh-CN"/>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项目编号：</w:t>
      </w:r>
      <w:r>
        <w:rPr>
          <w:rFonts w:hint="eastAsia" w:ascii="宋体" w:hAnsi="宋体"/>
          <w:color w:val="000000" w:themeColor="text1"/>
          <w:sz w:val="36"/>
          <w:szCs w:val="36"/>
          <w:highlight w:val="none"/>
          <w:lang w:eastAsia="zh-CN"/>
          <w14:textFill>
            <w14:solidFill>
              <w14:schemeClr w14:val="tx1"/>
            </w14:solidFill>
          </w14:textFill>
        </w:rPr>
        <w:t>HQ-YHZFCG-2019-57</w:t>
      </w:r>
    </w:p>
    <w:p>
      <w:pPr>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p>
    <w:p>
      <w:pPr>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报</w:t>
      </w:r>
    </w:p>
    <w:p>
      <w:pPr>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价</w:t>
      </w:r>
    </w:p>
    <w:p>
      <w:pPr>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文</w:t>
      </w:r>
    </w:p>
    <w:p>
      <w:pPr>
        <w:spacing w:after="100" w:afterAutospacing="1" w:line="360" w:lineRule="auto"/>
        <w:ind w:right="-108"/>
        <w:jc w:val="center"/>
        <w:rPr>
          <w:rFonts w:ascii="宋体" w:hAnsi="宋体"/>
          <w:b/>
          <w:color w:val="000000" w:themeColor="text1"/>
          <w:spacing w:val="40"/>
          <w:sz w:val="84"/>
          <w:szCs w:val="84"/>
          <w:highlight w:val="none"/>
          <w14:textFill>
            <w14:solidFill>
              <w14:schemeClr w14:val="tx1"/>
            </w14:solidFill>
          </w14:textFill>
        </w:rPr>
      </w:pPr>
      <w:r>
        <w:rPr>
          <w:rFonts w:hint="eastAsia" w:ascii="宋体" w:hAnsi="宋体"/>
          <w:b/>
          <w:color w:val="000000" w:themeColor="text1"/>
          <w:spacing w:val="40"/>
          <w:sz w:val="84"/>
          <w:szCs w:val="84"/>
          <w:highlight w:val="none"/>
          <w14:textFill>
            <w14:solidFill>
              <w14:schemeClr w14:val="tx1"/>
            </w14:solidFill>
          </w14:textFill>
        </w:rPr>
        <w:t>件</w:t>
      </w:r>
    </w:p>
    <w:p>
      <w:pPr>
        <w:spacing w:line="360" w:lineRule="auto"/>
        <w:ind w:right="532"/>
        <w:jc w:val="center"/>
        <w:rPr>
          <w:rFonts w:ascii="宋体" w:hAnsi="宋体"/>
          <w:color w:val="000000" w:themeColor="text1"/>
          <w:sz w:val="36"/>
          <w:szCs w:val="36"/>
          <w:highlight w:val="none"/>
          <w14:textFill>
            <w14:solidFill>
              <w14:schemeClr w14:val="tx1"/>
            </w14:solidFill>
          </w14:textFill>
        </w:rPr>
      </w:pPr>
    </w:p>
    <w:p>
      <w:pPr>
        <w:spacing w:line="360" w:lineRule="auto"/>
        <w:ind w:right="532"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供应商全称（公章）：</w:t>
      </w:r>
    </w:p>
    <w:p>
      <w:pPr>
        <w:spacing w:line="360" w:lineRule="auto"/>
        <w:ind w:right="-108"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地    址：</w:t>
      </w:r>
    </w:p>
    <w:p>
      <w:pPr>
        <w:spacing w:line="360" w:lineRule="auto"/>
        <w:ind w:right="-108" w:firstLine="720" w:firstLineChars="200"/>
        <w:rPr>
          <w:rFonts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时    间：</w:t>
      </w:r>
    </w:p>
    <w:p>
      <w:pPr>
        <w:spacing w:line="360" w:lineRule="auto"/>
        <w:ind w:right="-108"/>
        <w:jc w:val="center"/>
        <w:rPr>
          <w:rFonts w:hint="eastAsia" w:ascii="宋体" w:hAnsi="宋体"/>
          <w:b/>
          <w:color w:val="000000" w:themeColor="text1"/>
          <w:sz w:val="32"/>
          <w:szCs w:val="32"/>
          <w:highlight w:val="none"/>
          <w14:textFill>
            <w14:solidFill>
              <w14:schemeClr w14:val="tx1"/>
            </w14:solidFill>
          </w14:textFill>
        </w:rPr>
      </w:pPr>
    </w:p>
    <w:p>
      <w:pPr>
        <w:spacing w:line="360" w:lineRule="auto"/>
        <w:ind w:right="-108"/>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报价文件目录</w:t>
      </w:r>
    </w:p>
    <w:p>
      <w:pPr>
        <w:spacing w:line="360" w:lineRule="auto"/>
        <w:ind w:right="-108"/>
        <w:jc w:val="center"/>
        <w:rPr>
          <w:rFonts w:ascii="仿宋_GB2312" w:hAnsi="宋体" w:eastAsia="仿宋_GB2312"/>
          <w:b/>
          <w:color w:val="000000" w:themeColor="text1"/>
          <w:sz w:val="36"/>
          <w:szCs w:val="36"/>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p>
    <w:p>
      <w:pPr>
        <w:snapToGrid w:val="0"/>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1、开标一览表（附件16）；</w:t>
      </w:r>
    </w:p>
    <w:p>
      <w:pPr>
        <w:pStyle w:val="10"/>
        <w:snapToGrid w:val="0"/>
        <w:spacing w:line="360" w:lineRule="auto"/>
        <w:ind w:left="0" w:leftChars="0"/>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2、报价明细表</w:t>
      </w:r>
      <w:r>
        <w:rPr>
          <w:rFonts w:hint="eastAsia" w:ascii="宋体" w:hAnsi="宋体"/>
          <w:color w:val="000000" w:themeColor="text1"/>
          <w:sz w:val="24"/>
          <w:highlight w:val="none"/>
          <w14:textFill>
            <w14:solidFill>
              <w14:schemeClr w14:val="tx1"/>
            </w14:solidFill>
          </w14:textFill>
        </w:rPr>
        <w:t>（附件17）</w:t>
      </w:r>
      <w:r>
        <w:rPr>
          <w:rFonts w:hint="eastAsia" w:ascii="宋体" w:hAnsi="宋体" w:eastAsia="宋体"/>
          <w:color w:val="000000" w:themeColor="text1"/>
          <w:sz w:val="24"/>
          <w:szCs w:val="24"/>
          <w:highlight w:val="none"/>
          <w14:textFill>
            <w14:solidFill>
              <w14:schemeClr w14:val="tx1"/>
            </w14:solidFill>
          </w14:textFill>
        </w:rPr>
        <w:t>；</w:t>
      </w:r>
    </w:p>
    <w:p>
      <w:pPr>
        <w:snapToGrid w:val="0"/>
        <w:spacing w:line="360" w:lineRule="auto"/>
        <w:rPr>
          <w:rFonts w:ascii="宋体"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针对报价投标人认为其他需要说明的；</w:t>
      </w:r>
    </w:p>
    <w:p>
      <w:pPr>
        <w:pStyle w:val="34"/>
        <w:spacing w:line="360" w:lineRule="auto"/>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小微企业</w:t>
      </w:r>
      <w:r>
        <w:rPr>
          <w:rFonts w:hint="eastAsia" w:hAnsi="宋体"/>
          <w:color w:val="000000" w:themeColor="text1"/>
          <w:sz w:val="24"/>
          <w:highlight w:val="none"/>
          <w14:textFill>
            <w14:solidFill>
              <w14:schemeClr w14:val="tx1"/>
            </w14:solidFill>
          </w14:textFill>
        </w:rPr>
        <w:t>等</w:t>
      </w:r>
      <w:r>
        <w:rPr>
          <w:rFonts w:hAnsi="宋体"/>
          <w:color w:val="000000" w:themeColor="text1"/>
          <w:sz w:val="24"/>
          <w:highlight w:val="none"/>
          <w14:textFill>
            <w14:solidFill>
              <w14:schemeClr w14:val="tx1"/>
            </w14:solidFill>
          </w14:textFill>
        </w:rPr>
        <w:t>声明函</w:t>
      </w:r>
      <w:r>
        <w:rPr>
          <w:rFonts w:hint="eastAsia" w:hAnsi="宋体"/>
          <w:color w:val="000000" w:themeColor="text1"/>
          <w:sz w:val="24"/>
          <w:highlight w:val="none"/>
          <w14:textFill>
            <w14:solidFill>
              <w14:schemeClr w14:val="tx1"/>
            </w14:solidFill>
          </w14:textFill>
        </w:rPr>
        <w:t>（附件18）；</w:t>
      </w:r>
    </w:p>
    <w:p>
      <w:pPr>
        <w:pStyle w:val="35"/>
        <w:spacing w:line="360" w:lineRule="auto"/>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5、产品适用政府采购政策情况表</w:t>
      </w:r>
      <w:r>
        <w:rPr>
          <w:rFonts w:hint="eastAsia" w:ascii="宋体" w:hAnsi="宋体"/>
          <w:color w:val="000000" w:themeColor="text1"/>
          <w:sz w:val="24"/>
          <w:highlight w:val="none"/>
          <w14:textFill>
            <w14:solidFill>
              <w14:schemeClr w14:val="tx1"/>
            </w14:solidFill>
          </w14:textFill>
        </w:rPr>
        <w:t>（附件19）</w:t>
      </w:r>
      <w:r>
        <w:rPr>
          <w:rFonts w:hint="eastAsia" w:ascii="宋体" w:hAnsi="宋体"/>
          <w:color w:val="000000" w:themeColor="text1"/>
          <w:kern w:val="0"/>
          <w:sz w:val="24"/>
          <w:highlight w:val="none"/>
          <w14:textFill>
            <w14:solidFill>
              <w14:schemeClr w14:val="tx1"/>
            </w14:solidFill>
          </w14:textFill>
        </w:rPr>
        <w:t>。</w:t>
      </w: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spacing w:line="360" w:lineRule="auto"/>
        <w:ind w:left="480"/>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pStyle w:val="2"/>
        <w:rPr>
          <w:rFonts w:ascii="宋体" w:hAnsi="宋体"/>
          <w:b/>
          <w:color w:val="000000" w:themeColor="text1"/>
          <w:sz w:val="28"/>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附件16</w:t>
      </w:r>
    </w:p>
    <w:p>
      <w:pPr>
        <w:spacing w:line="360" w:lineRule="auto"/>
        <w:ind w:left="-2" w:hanging="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 xml:space="preserve">开标一览表 </w:t>
      </w:r>
    </w:p>
    <w:p>
      <w:pPr>
        <w:pStyle w:val="9"/>
        <w:spacing w:line="320" w:lineRule="exact"/>
        <w:rPr>
          <w:rFonts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项目编号：</w:t>
      </w:r>
    </w:p>
    <w:p>
      <w:pPr>
        <w:pStyle w:val="36"/>
        <w:spacing w:line="360" w:lineRule="auto"/>
        <w:ind w:right="480"/>
        <w:jc w:val="left"/>
        <w:rPr>
          <w:rFonts w:hAnsi="宋体"/>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 xml:space="preserve">                                     [货币单位：人民币元]</w:t>
      </w:r>
    </w:p>
    <w:tbl>
      <w:tblPr>
        <w:tblStyle w:val="16"/>
        <w:tblW w:w="8672"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000000" w:themeColor="text1"/>
                <w:sz w:val="24"/>
                <w:highlight w:val="none"/>
                <w14:textFill>
                  <w14:solidFill>
                    <w14:schemeClr w14:val="tx1"/>
                  </w14:solidFill>
                </w14:textFill>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000000" w:themeColor="text1"/>
                <w:sz w:val="24"/>
                <w:highlight w:val="none"/>
                <w14:textFill>
                  <w14:solidFill>
                    <w14:schemeClr w14:val="tx1"/>
                  </w14:solidFill>
                </w14:textFill>
              </w:rPr>
            </w:pPr>
          </w:p>
        </w:tc>
      </w:tr>
    </w:tbl>
    <w:p>
      <w:pPr>
        <w:spacing w:line="360" w:lineRule="auto"/>
        <w:ind w:left="480"/>
        <w:rPr>
          <w:rFonts w:ascii="宋体" w:hAnsi="宋体"/>
          <w:b/>
          <w:color w:val="000000" w:themeColor="text1"/>
          <w:sz w:val="30"/>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填报要求：</w:t>
      </w:r>
    </w:p>
    <w:p>
      <w:pPr>
        <w:pStyle w:val="6"/>
        <w:spacing w:line="360" w:lineRule="auto"/>
        <w:ind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1.投标总报价是包括货款、标准附件、备品备件、专用工具、包装、运输、装卸、保险、税金、货到就位以及安装、调试、培训、保修、合同包含的所有风险责任等各项费用及不可预见费等所需的全部费用。</w:t>
      </w:r>
    </w:p>
    <w:p>
      <w:pPr>
        <w:spacing w:line="360" w:lineRule="auto"/>
        <w:ind w:firstLine="420" w:firstLineChars="200"/>
        <w:rPr>
          <w:rFonts w:ascii="宋体" w:hAnsi="宋体"/>
          <w:b/>
          <w:i/>
          <w:color w:val="000000" w:themeColor="text1"/>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2.报价一经涂改，应在涂改处加盖单位公章，或者由法定代表人或全权代表签字或盖章，否则其投标作无效标处理。</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pacing w:line="360" w:lineRule="auto"/>
        <w:rPr>
          <w:rFonts w:ascii="宋体" w:hAnsi="宋体"/>
          <w:b/>
          <w:color w:val="000000" w:themeColor="text1"/>
          <w:sz w:val="28"/>
          <w:highlight w:val="none"/>
          <w14:textFill>
            <w14:solidFill>
              <w14:schemeClr w14:val="tx1"/>
            </w14:solidFill>
          </w14:textFill>
        </w:rPr>
      </w:pPr>
    </w:p>
    <w:p>
      <w:pPr>
        <w:spacing w:line="360" w:lineRule="auto"/>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附件17</w:t>
      </w:r>
    </w:p>
    <w:p>
      <w:pPr>
        <w:spacing w:line="360" w:lineRule="auto"/>
        <w:ind w:left="480"/>
        <w:jc w:val="center"/>
        <w:rPr>
          <w:rFonts w:ascii="宋体" w:hAnsi="宋体"/>
          <w:color w:val="000000" w:themeColor="text1"/>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 xml:space="preserve">报价明细表 </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项目编号：                                    [货币单位：人民币元]</w:t>
      </w:r>
    </w:p>
    <w:tbl>
      <w:tblPr>
        <w:tblStyle w:val="16"/>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1559"/>
        <w:gridCol w:w="1559"/>
        <w:gridCol w:w="851"/>
        <w:gridCol w:w="992"/>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460" w:type="dxa"/>
            <w:vAlign w:val="center"/>
          </w:tcPr>
          <w:p>
            <w:pPr>
              <w:tabs>
                <w:tab w:val="left" w:pos="8280"/>
              </w:tabs>
              <w:autoSpaceDE w:val="0"/>
              <w:autoSpaceDN w:val="0"/>
              <w:adjustRightInd w:val="0"/>
              <w:spacing w:line="360" w:lineRule="auto"/>
              <w:ind w:right="25"/>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报价项目</w:t>
            </w:r>
          </w:p>
        </w:tc>
        <w:tc>
          <w:tcPr>
            <w:tcW w:w="1559"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品牌、产地</w:t>
            </w:r>
          </w:p>
        </w:tc>
        <w:tc>
          <w:tcPr>
            <w:tcW w:w="1559" w:type="dxa"/>
            <w:vAlign w:val="center"/>
          </w:tcPr>
          <w:p>
            <w:pPr>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型号规格</w:t>
            </w:r>
          </w:p>
        </w:tc>
        <w:tc>
          <w:tcPr>
            <w:tcW w:w="851" w:type="dxa"/>
            <w:vAlign w:val="center"/>
          </w:tcPr>
          <w:p>
            <w:pPr>
              <w:spacing w:line="360" w:lineRule="auto"/>
              <w:ind w:left="1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数量</w:t>
            </w:r>
          </w:p>
        </w:tc>
        <w:tc>
          <w:tcPr>
            <w:tcW w:w="992"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单价</w:t>
            </w:r>
          </w:p>
        </w:tc>
        <w:tc>
          <w:tcPr>
            <w:tcW w:w="992"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小计</w:t>
            </w:r>
          </w:p>
        </w:tc>
        <w:tc>
          <w:tcPr>
            <w:tcW w:w="709"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46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559"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5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992"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09"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6" w:hRule="atLeast"/>
        </w:trPr>
        <w:tc>
          <w:tcPr>
            <w:tcW w:w="8647" w:type="dxa"/>
            <w:gridSpan w:val="8"/>
            <w:tcBorders>
              <w:bottom w:val="single" w:color="auto" w:sz="4" w:space="0"/>
            </w:tcBorders>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合计人民币：大写                               小写</w:t>
            </w:r>
          </w:p>
        </w:tc>
      </w:tr>
    </w:tbl>
    <w:p>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pacing w:line="360" w:lineRule="auto"/>
        <w:ind w:left="435"/>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本表为《开标一览表》的报价明细表，如有缺项、漏项，视为投标报价中已包含相关费用，采购人无需另外支付任何费用。</w:t>
      </w:r>
    </w:p>
    <w:p>
      <w:pPr>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color w:val="000000" w:themeColor="text1"/>
          <w:szCs w:val="21"/>
          <w:highlight w:val="none"/>
          <w:lang w:val="zh-CN"/>
          <w14:textFill>
            <w14:solidFill>
              <w14:schemeClr w14:val="tx1"/>
            </w14:solidFill>
          </w14:textFill>
        </w:rPr>
        <w:t>“报价明细表”中的报价合计应与“开标一览表”中的投标总报价相一致，不一致时，以开标一览表为准。</w:t>
      </w:r>
    </w:p>
    <w:p>
      <w:pPr>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color w:val="000000" w:themeColor="text1"/>
          <w:szCs w:val="21"/>
          <w:highlight w:val="none"/>
          <w14:textFill>
            <w14:solidFill>
              <w14:schemeClr w14:val="tx1"/>
            </w14:solidFill>
          </w14:textFill>
        </w:rPr>
        <w:t>3.</w:t>
      </w:r>
      <w:r>
        <w:rPr>
          <w:rFonts w:hint="eastAsia" w:ascii="宋体"/>
          <w:color w:val="000000" w:themeColor="text1"/>
          <w:szCs w:val="21"/>
          <w:highlight w:val="none"/>
          <w:lang w:val="zh-CN"/>
          <w14:textFill>
            <w14:solidFill>
              <w14:schemeClr w14:val="tx1"/>
            </w14:solidFill>
          </w14:textFill>
        </w:rPr>
        <w:t>投标报价明细表所填内容按招标文件采购设备清单要求为准。如有漏报的，视同已包含在投标总价内或已作优惠处理。有重大缺项的将作无效标处理。</w:t>
      </w:r>
    </w:p>
    <w:p>
      <w:pPr>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color w:val="000000" w:themeColor="text1"/>
          <w:szCs w:val="21"/>
          <w:highlight w:val="none"/>
          <w:lang w:val="zh-CN"/>
          <w14:textFill>
            <w14:solidFill>
              <w14:schemeClr w14:val="tx1"/>
            </w14:solidFill>
          </w14:textFill>
        </w:rPr>
        <w:t>▲4. 本表中的型号规格必须明确，招标文件中明确要求定制的除外。</w:t>
      </w: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widowControl/>
        <w:jc w:val="left"/>
        <w:rPr>
          <w:rFonts w:ascii="宋体" w:hAnsi="宋体"/>
          <w:b/>
          <w:color w:val="000000" w:themeColor="text1"/>
          <w:sz w:val="28"/>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p>
    <w:p>
      <w:pPr>
        <w:snapToGrid w:val="0"/>
        <w:spacing w:before="156" w:beforeLines="50" w:after="50" w:line="360" w:lineRule="auto"/>
        <w:rPr>
          <w:rFonts w:ascii="宋体" w:hAnsi="宋体"/>
          <w:b/>
          <w:color w:val="000000" w:themeColor="text1"/>
          <w:sz w:val="28"/>
          <w:highlight w:val="none"/>
          <w14:textFill>
            <w14:solidFill>
              <w14:schemeClr w14:val="tx1"/>
            </w14:solidFill>
          </w14:textFill>
        </w:rPr>
      </w:pPr>
    </w:p>
    <w:p>
      <w:pPr>
        <w:spacing w:line="360" w:lineRule="auto"/>
        <w:ind w:left="480"/>
        <w:jc w:val="center"/>
        <w:rPr>
          <w:rFonts w:ascii="宋体" w:hAnsi="宋体"/>
          <w:color w:val="000000" w:themeColor="text1"/>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常</w:t>
      </w:r>
      <w:r>
        <w:rPr>
          <w:rFonts w:ascii="宋体" w:hAnsi="宋体"/>
          <w:b/>
          <w:color w:val="000000" w:themeColor="text1"/>
          <w:sz w:val="32"/>
          <w:szCs w:val="32"/>
          <w:highlight w:val="none"/>
          <w14:textFill>
            <w14:solidFill>
              <w14:schemeClr w14:val="tx1"/>
            </w14:solidFill>
          </w14:textFill>
        </w:rPr>
        <w:t>用配件</w:t>
      </w:r>
      <w:r>
        <w:rPr>
          <w:rFonts w:hint="eastAsia" w:ascii="宋体" w:hAnsi="宋体"/>
          <w:b/>
          <w:color w:val="000000" w:themeColor="text1"/>
          <w:sz w:val="32"/>
          <w:szCs w:val="32"/>
          <w:highlight w:val="none"/>
          <w14:textFill>
            <w14:solidFill>
              <w14:schemeClr w14:val="tx1"/>
            </w14:solidFill>
          </w14:textFill>
        </w:rPr>
        <w:t>、</w:t>
      </w:r>
      <w:r>
        <w:rPr>
          <w:rFonts w:ascii="宋体" w:hAnsi="宋体"/>
          <w:b/>
          <w:color w:val="000000" w:themeColor="text1"/>
          <w:sz w:val="32"/>
          <w:szCs w:val="32"/>
          <w:highlight w:val="none"/>
          <w14:textFill>
            <w14:solidFill>
              <w14:schemeClr w14:val="tx1"/>
            </w14:solidFill>
          </w14:textFill>
        </w:rPr>
        <w:t>易损件保外</w:t>
      </w:r>
      <w:r>
        <w:rPr>
          <w:rFonts w:hint="eastAsia" w:ascii="宋体" w:hAnsi="宋体"/>
          <w:b/>
          <w:color w:val="000000" w:themeColor="text1"/>
          <w:sz w:val="32"/>
          <w:szCs w:val="32"/>
          <w:highlight w:val="none"/>
          <w14:textFill>
            <w14:solidFill>
              <w14:schemeClr w14:val="tx1"/>
            </w14:solidFill>
          </w14:textFill>
        </w:rPr>
        <w:t xml:space="preserve">服务报价表 </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项目编号：                                    [货币单位：人民币元]</w:t>
      </w:r>
    </w:p>
    <w:tbl>
      <w:tblPr>
        <w:tblStyle w:val="16"/>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126"/>
        <w:gridCol w:w="2410"/>
        <w:gridCol w:w="170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38"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2126"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品牌、产地</w:t>
            </w:r>
          </w:p>
        </w:tc>
        <w:tc>
          <w:tcPr>
            <w:tcW w:w="2410" w:type="dxa"/>
            <w:vAlign w:val="center"/>
          </w:tcPr>
          <w:p>
            <w:pPr>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型号规格</w:t>
            </w:r>
          </w:p>
        </w:tc>
        <w:tc>
          <w:tcPr>
            <w:tcW w:w="1701"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单价</w:t>
            </w:r>
          </w:p>
        </w:tc>
        <w:tc>
          <w:tcPr>
            <w:tcW w:w="2268"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73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26"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41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268"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73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26"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41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268"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26"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41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268"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0" w:hRule="atLeast"/>
        </w:trPr>
        <w:tc>
          <w:tcPr>
            <w:tcW w:w="73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26"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41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268"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trPr>
        <w:tc>
          <w:tcPr>
            <w:tcW w:w="73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126"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410"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701"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2268" w:type="dxa"/>
            <w:vAlign w:val="center"/>
          </w:tcPr>
          <w:p>
            <w:pPr>
              <w:spacing w:line="360" w:lineRule="auto"/>
              <w:rPr>
                <w:rFonts w:ascii="宋体" w:hAnsi="宋体"/>
                <w:color w:val="000000" w:themeColor="text1"/>
                <w:sz w:val="24"/>
                <w:highlight w:val="none"/>
                <w14:textFill>
                  <w14:solidFill>
                    <w14:schemeClr w14:val="tx1"/>
                  </w14:solidFill>
                </w14:textFill>
              </w:rPr>
            </w:pPr>
          </w:p>
        </w:tc>
      </w:tr>
    </w:tbl>
    <w:p>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要求：</w:t>
      </w:r>
    </w:p>
    <w:p>
      <w:pPr>
        <w:spacing w:line="360" w:lineRule="auto"/>
        <w:ind w:left="435"/>
        <w:rPr>
          <w:rFonts w:asci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“常用配件、易损件保外服务报价表”如有缺项、漏项，视为报价中已包含相关费用，采购人无需另外支付任何费用。</w:t>
      </w:r>
    </w:p>
    <w:p>
      <w:pPr>
        <w:spacing w:line="360" w:lineRule="auto"/>
        <w:ind w:left="435"/>
        <w:rPr>
          <w:rFonts w:asci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 </w:t>
      </w:r>
      <w:r>
        <w:rPr>
          <w:rFonts w:hint="eastAsia" w:ascii="宋体"/>
          <w:color w:val="000000" w:themeColor="text1"/>
          <w:szCs w:val="21"/>
          <w:highlight w:val="none"/>
          <w:lang w:val="zh-CN"/>
          <w14:textFill>
            <w14:solidFill>
              <w14:schemeClr w14:val="tx1"/>
            </w14:solidFill>
          </w14:textFill>
        </w:rPr>
        <w:t>所填内容必须明确，招标文件中明确要求定制的除外。</w:t>
      </w:r>
    </w:p>
    <w:p>
      <w:pPr>
        <w:spacing w:line="360" w:lineRule="auto"/>
        <w:ind w:left="435"/>
        <w:rPr>
          <w:rFonts w:asci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hint="eastAsia" w:ascii="宋体"/>
          <w:color w:val="000000" w:themeColor="text1"/>
          <w:szCs w:val="21"/>
          <w:highlight w:val="none"/>
          <w:lang w:val="zh-CN"/>
          <w14:textFill>
            <w14:solidFill>
              <w14:schemeClr w14:val="tx1"/>
            </w14:solidFill>
          </w14:textFill>
        </w:rPr>
        <w:t>报</w:t>
      </w:r>
      <w:r>
        <w:rPr>
          <w:rFonts w:ascii="宋体"/>
          <w:color w:val="000000" w:themeColor="text1"/>
          <w:szCs w:val="21"/>
          <w:highlight w:val="none"/>
          <w:lang w:val="zh-CN"/>
          <w14:textFill>
            <w14:solidFill>
              <w14:schemeClr w14:val="tx1"/>
            </w14:solidFill>
          </w14:textFill>
        </w:rPr>
        <w:t>填单价</w:t>
      </w:r>
      <w:r>
        <w:rPr>
          <w:rFonts w:hint="eastAsia" w:ascii="宋体"/>
          <w:color w:val="000000" w:themeColor="text1"/>
          <w:szCs w:val="21"/>
          <w:highlight w:val="none"/>
          <w:lang w:val="zh-CN"/>
          <w14:textFill>
            <w14:solidFill>
              <w14:schemeClr w14:val="tx1"/>
            </w14:solidFill>
          </w14:textFill>
        </w:rPr>
        <w:t>要</w:t>
      </w:r>
      <w:r>
        <w:rPr>
          <w:rFonts w:ascii="宋体"/>
          <w:color w:val="000000" w:themeColor="text1"/>
          <w:szCs w:val="21"/>
          <w:highlight w:val="none"/>
          <w:lang w:val="zh-CN"/>
          <w14:textFill>
            <w14:solidFill>
              <w14:schemeClr w14:val="tx1"/>
            </w14:solidFill>
          </w14:textFill>
        </w:rPr>
        <w:t>低于市场价</w:t>
      </w:r>
      <w:r>
        <w:rPr>
          <w:rFonts w:hint="eastAsia" w:ascii="宋体"/>
          <w:color w:val="000000" w:themeColor="text1"/>
          <w:szCs w:val="21"/>
          <w:highlight w:val="none"/>
          <w:lang w:val="zh-CN"/>
          <w14:textFill>
            <w14:solidFill>
              <w14:schemeClr w14:val="tx1"/>
            </w14:solidFill>
          </w14:textFill>
        </w:rPr>
        <w:t>5%以</w:t>
      </w:r>
      <w:r>
        <w:rPr>
          <w:rFonts w:ascii="宋体"/>
          <w:color w:val="000000" w:themeColor="text1"/>
          <w:szCs w:val="21"/>
          <w:highlight w:val="none"/>
          <w:lang w:val="zh-CN"/>
          <w14:textFill>
            <w14:solidFill>
              <w14:schemeClr w14:val="tx1"/>
            </w14:solidFill>
          </w14:textFill>
        </w:rPr>
        <w:t>上</w:t>
      </w:r>
      <w:r>
        <w:rPr>
          <w:rFonts w:hint="eastAsia" w:ascii="宋体"/>
          <w:color w:val="000000" w:themeColor="text1"/>
          <w:szCs w:val="21"/>
          <w:highlight w:val="none"/>
          <w:lang w:val="zh-CN"/>
          <w14:textFill>
            <w14:solidFill>
              <w14:schemeClr w14:val="tx1"/>
            </w14:solidFill>
          </w14:textFill>
        </w:rPr>
        <w:t>，</w:t>
      </w:r>
      <w:r>
        <w:rPr>
          <w:rFonts w:ascii="宋体"/>
          <w:color w:val="000000" w:themeColor="text1"/>
          <w:szCs w:val="21"/>
          <w:highlight w:val="none"/>
          <w:lang w:val="zh-CN"/>
          <w14:textFill>
            <w14:solidFill>
              <w14:schemeClr w14:val="tx1"/>
            </w14:solidFill>
          </w14:textFill>
        </w:rPr>
        <w:t>以体现优惠</w:t>
      </w:r>
      <w:r>
        <w:rPr>
          <w:rFonts w:hint="eastAsia" w:ascii="宋体"/>
          <w:color w:val="000000" w:themeColor="text1"/>
          <w:szCs w:val="21"/>
          <w:highlight w:val="none"/>
          <w:lang w:val="zh-CN"/>
          <w14:textFill>
            <w14:solidFill>
              <w14:schemeClr w14:val="tx1"/>
            </w14:solidFill>
          </w14:textFill>
        </w:rPr>
        <w:t>采</w:t>
      </w:r>
      <w:r>
        <w:rPr>
          <w:rFonts w:ascii="宋体"/>
          <w:color w:val="000000" w:themeColor="text1"/>
          <w:szCs w:val="21"/>
          <w:highlight w:val="none"/>
          <w:lang w:val="zh-CN"/>
          <w14:textFill>
            <w14:solidFill>
              <w14:schemeClr w14:val="tx1"/>
            </w14:solidFill>
          </w14:textFill>
        </w:rPr>
        <w:t>购人</w:t>
      </w:r>
      <w:r>
        <w:rPr>
          <w:rFonts w:hint="eastAsia" w:ascii="宋体"/>
          <w:color w:val="000000" w:themeColor="text1"/>
          <w:szCs w:val="21"/>
          <w:highlight w:val="none"/>
          <w:lang w:val="zh-CN"/>
          <w14:textFill>
            <w14:solidFill>
              <w14:schemeClr w14:val="tx1"/>
            </w14:solidFill>
          </w14:textFill>
        </w:rPr>
        <w:t>。</w:t>
      </w:r>
      <w:r>
        <w:rPr>
          <w:rFonts w:ascii="宋体"/>
          <w:color w:val="000000" w:themeColor="text1"/>
          <w:szCs w:val="21"/>
          <w:highlight w:val="none"/>
          <w:lang w:val="zh-CN"/>
          <w14:textFill>
            <w14:solidFill>
              <w14:schemeClr w14:val="tx1"/>
            </w14:solidFill>
          </w14:textFill>
        </w:rPr>
        <w:t>如</w:t>
      </w:r>
      <w:r>
        <w:rPr>
          <w:rFonts w:hint="eastAsia" w:ascii="宋体"/>
          <w:color w:val="000000" w:themeColor="text1"/>
          <w:szCs w:val="21"/>
          <w:highlight w:val="none"/>
          <w:lang w:val="zh-CN"/>
          <w14:textFill>
            <w14:solidFill>
              <w14:schemeClr w14:val="tx1"/>
            </w14:solidFill>
          </w14:textFill>
        </w:rPr>
        <w:t>保</w:t>
      </w:r>
      <w:r>
        <w:rPr>
          <w:rFonts w:ascii="宋体"/>
          <w:color w:val="000000" w:themeColor="text1"/>
          <w:szCs w:val="21"/>
          <w:highlight w:val="none"/>
          <w:lang w:val="zh-CN"/>
          <w14:textFill>
            <w14:solidFill>
              <w14:schemeClr w14:val="tx1"/>
            </w14:solidFill>
          </w14:textFill>
        </w:rPr>
        <w:t>修时高于市场价</w:t>
      </w:r>
      <w:r>
        <w:rPr>
          <w:rFonts w:hint="eastAsia" w:ascii="宋体"/>
          <w:color w:val="000000" w:themeColor="text1"/>
          <w:szCs w:val="21"/>
          <w:highlight w:val="none"/>
          <w:lang w:val="zh-CN"/>
          <w14:textFill>
            <w14:solidFill>
              <w14:schemeClr w14:val="tx1"/>
            </w14:solidFill>
          </w14:textFill>
        </w:rPr>
        <w:t>，</w:t>
      </w:r>
      <w:r>
        <w:rPr>
          <w:rFonts w:ascii="宋体"/>
          <w:color w:val="000000" w:themeColor="text1"/>
          <w:szCs w:val="21"/>
          <w:highlight w:val="none"/>
          <w:lang w:val="zh-CN"/>
          <w14:textFill>
            <w14:solidFill>
              <w14:schemeClr w14:val="tx1"/>
            </w14:solidFill>
          </w14:textFill>
        </w:rPr>
        <w:t>原则上</w:t>
      </w:r>
      <w:r>
        <w:rPr>
          <w:rFonts w:hint="eastAsia" w:ascii="宋体"/>
          <w:color w:val="000000" w:themeColor="text1"/>
          <w:szCs w:val="21"/>
          <w:highlight w:val="none"/>
          <w:lang w:val="zh-CN"/>
          <w14:textFill>
            <w14:solidFill>
              <w14:schemeClr w14:val="tx1"/>
            </w14:solidFill>
          </w14:textFill>
        </w:rPr>
        <w:t>以</w:t>
      </w:r>
      <w:r>
        <w:rPr>
          <w:rFonts w:ascii="宋体"/>
          <w:color w:val="000000" w:themeColor="text1"/>
          <w:szCs w:val="21"/>
          <w:highlight w:val="none"/>
          <w:lang w:val="zh-CN"/>
          <w14:textFill>
            <w14:solidFill>
              <w14:schemeClr w14:val="tx1"/>
            </w14:solidFill>
          </w14:textFill>
        </w:rPr>
        <w:t>不高于市场价进行结算</w:t>
      </w:r>
      <w:r>
        <w:rPr>
          <w:rFonts w:hint="eastAsia" w:ascii="宋体"/>
          <w:color w:val="000000" w:themeColor="text1"/>
          <w:szCs w:val="21"/>
          <w:highlight w:val="none"/>
          <w:lang w:val="zh-CN"/>
          <w14:textFill>
            <w14:solidFill>
              <w14:schemeClr w14:val="tx1"/>
            </w14:solidFill>
          </w14:textFill>
        </w:rPr>
        <w:t>。</w:t>
      </w:r>
    </w:p>
    <w:p>
      <w:pPr>
        <w:pStyle w:val="21"/>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pStyle w:val="2"/>
        <w:rPr>
          <w:color w:val="000000" w:themeColor="text1"/>
          <w:highlight w:val="none"/>
          <w:lang w:val="zh-CN"/>
          <w14:textFill>
            <w14:solidFill>
              <w14:schemeClr w14:val="tx1"/>
            </w14:solidFill>
          </w14:textFill>
        </w:rPr>
      </w:pPr>
    </w:p>
    <w:p>
      <w:pPr>
        <w:spacing w:line="360" w:lineRule="auto"/>
        <w:ind w:left="42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360" w:lineRule="auto"/>
        <w:ind w:left="420"/>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投标人代表签字或盖章：</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        务：</w:t>
      </w:r>
    </w:p>
    <w:p>
      <w:pPr>
        <w:spacing w:line="360" w:lineRule="auto"/>
        <w:ind w:firstLine="435"/>
        <w:rPr>
          <w:rFonts w:ascii="宋体" w:hAnsi="宋体"/>
          <w:color w:val="000000" w:themeColor="text1"/>
          <w:sz w:val="24"/>
          <w:highlight w:val="none"/>
          <w14:textFill>
            <w14:solidFill>
              <w14:schemeClr w14:val="tx1"/>
            </w14:solidFill>
          </w14:textFill>
        </w:rPr>
      </w:pPr>
    </w:p>
    <w:p>
      <w:pPr>
        <w:spacing w:line="360" w:lineRule="auto"/>
        <w:ind w:firstLine="43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        期：</w:t>
      </w:r>
    </w:p>
    <w:p>
      <w:pPr>
        <w:snapToGrid w:val="0"/>
        <w:spacing w:before="156" w:beforeLines="50" w:after="50" w:line="360" w:lineRule="auto"/>
        <w:rPr>
          <w:rFonts w:ascii="宋体" w:hAnsi="宋体"/>
          <w:b/>
          <w:color w:val="000000" w:themeColor="text1"/>
          <w:sz w:val="28"/>
          <w:highlight w:val="none"/>
          <w14:textFill>
            <w14:solidFill>
              <w14:schemeClr w14:val="tx1"/>
            </w14:solidFill>
          </w14:textFill>
        </w:rPr>
      </w:pPr>
    </w:p>
    <w:p>
      <w:pPr>
        <w:snapToGrid w:val="0"/>
        <w:spacing w:before="156" w:beforeLines="50" w:after="50" w:line="360" w:lineRule="auto"/>
        <w:rPr>
          <w:rFonts w:ascii="宋体" w:hAnsi="宋体"/>
          <w:b/>
          <w:color w:val="000000" w:themeColor="text1"/>
          <w:sz w:val="28"/>
          <w:highlight w:val="none"/>
          <w14:textFill>
            <w14:solidFill>
              <w14:schemeClr w14:val="tx1"/>
            </w14:solidFill>
          </w14:textFill>
        </w:rPr>
      </w:pPr>
    </w:p>
    <w:p>
      <w:pPr>
        <w:widowControl/>
        <w:jc w:val="left"/>
        <w:rPr>
          <w:rFonts w:ascii="仿宋_GB2312" w:hAnsi="宋体" w:eastAsia="仿宋_GB2312"/>
          <w:bCs/>
          <w:color w:val="000000" w:themeColor="text1"/>
          <w:sz w:val="30"/>
          <w:szCs w:val="30"/>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r>
        <w:rPr>
          <w:rFonts w:hint="eastAsia" w:ascii="宋体" w:hAnsi="宋体"/>
          <w:b/>
          <w:color w:val="000000" w:themeColor="text1"/>
          <w:sz w:val="28"/>
          <w:highlight w:val="none"/>
          <w14:textFill>
            <w14:solidFill>
              <w14:schemeClr w14:val="tx1"/>
            </w14:solidFill>
          </w14:textFill>
        </w:rPr>
        <w:t>附件18</w:t>
      </w:r>
    </w:p>
    <w:p>
      <w:pPr>
        <w:spacing w:line="360" w:lineRule="auto"/>
        <w:ind w:right="-110"/>
        <w:jc w:val="center"/>
        <w:rPr>
          <w:rFonts w:asci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小</w:t>
      </w:r>
      <w:r>
        <w:rPr>
          <w:rFonts w:hint="eastAsia" w:ascii="宋体" w:hAnsi="宋体"/>
          <w:b/>
          <w:color w:val="000000" w:themeColor="text1"/>
          <w:sz w:val="32"/>
          <w:szCs w:val="32"/>
          <w:highlight w:val="none"/>
          <w:lang w:val="en-GB"/>
          <w14:textFill>
            <w14:solidFill>
              <w14:schemeClr w14:val="tx1"/>
            </w14:solidFill>
          </w14:textFill>
        </w:rPr>
        <w:t>微</w:t>
      </w:r>
      <w:r>
        <w:rPr>
          <w:rFonts w:hint="eastAsia" w:ascii="宋体" w:hAnsi="宋体"/>
          <w:b/>
          <w:color w:val="000000" w:themeColor="text1"/>
          <w:sz w:val="32"/>
          <w:szCs w:val="32"/>
          <w:highlight w:val="none"/>
          <w14:textFill>
            <w14:solidFill>
              <w14:schemeClr w14:val="tx1"/>
            </w14:solidFill>
          </w14:textFill>
        </w:rPr>
        <w:t>企业声明函</w:t>
      </w:r>
    </w:p>
    <w:p>
      <w:pPr>
        <w:pStyle w:val="37"/>
        <w:spacing w:line="360" w:lineRule="auto"/>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本公司郑重声明，根据《政府采购促进中小企业发展暂行办法》（财库</w:t>
      </w:r>
      <w:r>
        <w:rPr>
          <w:rFonts w:ascii="宋体" w:hAnsi="宋体"/>
          <w:color w:val="000000" w:themeColor="text1"/>
          <w:spacing w:val="6"/>
          <w:sz w:val="24"/>
          <w:highlight w:val="none"/>
          <w14:textFill>
            <w14:solidFill>
              <w14:schemeClr w14:val="tx1"/>
            </w14:solidFill>
          </w14:textFill>
        </w:rPr>
        <w:t>[2011]181</w:t>
      </w:r>
      <w:r>
        <w:rPr>
          <w:rFonts w:hint="eastAsia" w:ascii="宋体" w:hAnsi="宋体"/>
          <w:color w:val="000000" w:themeColor="text1"/>
          <w:spacing w:val="6"/>
          <w:sz w:val="24"/>
          <w:highlight w:val="none"/>
          <w14:textFill>
            <w14:solidFill>
              <w14:schemeClr w14:val="tx1"/>
            </w14:solidFill>
          </w14:textFill>
        </w:rPr>
        <w:t>号）的规定，本公司为</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（请填写：小型、微型）企业。即，本公司同时满足以下条件：</w:t>
      </w:r>
    </w:p>
    <w:p>
      <w:pPr>
        <w:pStyle w:val="37"/>
        <w:spacing w:line="360" w:lineRule="auto"/>
        <w:ind w:firstLine="504" w:firstLineChars="200"/>
        <w:rPr>
          <w:rFonts w:ascii="宋体"/>
          <w:color w:val="000000" w:themeColor="text1"/>
          <w:spacing w:val="6"/>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1.</w:t>
      </w:r>
      <w:r>
        <w:rPr>
          <w:rFonts w:hint="eastAsia" w:ascii="宋体" w:hAnsi="宋体"/>
          <w:color w:val="000000" w:themeColor="text1"/>
          <w:spacing w:val="6"/>
          <w:sz w:val="24"/>
          <w:highlight w:val="none"/>
          <w14:textFill>
            <w14:solidFill>
              <w14:schemeClr w14:val="tx1"/>
            </w14:solidFill>
          </w14:textFill>
        </w:rPr>
        <w:t>根据《工业和信息化部、国家统计局、国家发展和改革委员会、财政部关于印发中小企业划型标准规定的通知》（工信部联企业</w:t>
      </w:r>
      <w:r>
        <w:rPr>
          <w:rFonts w:ascii="宋体" w:hAnsi="宋体"/>
          <w:color w:val="000000" w:themeColor="text1"/>
          <w:spacing w:val="6"/>
          <w:sz w:val="24"/>
          <w:highlight w:val="none"/>
          <w14:textFill>
            <w14:solidFill>
              <w14:schemeClr w14:val="tx1"/>
            </w14:solidFill>
          </w14:textFill>
        </w:rPr>
        <w:t>[2011]300</w:t>
      </w:r>
      <w:r>
        <w:rPr>
          <w:rFonts w:hint="eastAsia" w:ascii="宋体" w:hAnsi="宋体"/>
          <w:color w:val="000000" w:themeColor="text1"/>
          <w:spacing w:val="6"/>
          <w:sz w:val="24"/>
          <w:highlight w:val="none"/>
          <w14:textFill>
            <w14:solidFill>
              <w14:schemeClr w14:val="tx1"/>
            </w14:solidFill>
          </w14:textFill>
        </w:rPr>
        <w:t>号）规定的划分标准：第四条第</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项</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行业，本公司</w:t>
      </w:r>
      <w:r>
        <w:rPr>
          <w:rFonts w:hint="eastAsia" w:ascii="宋体" w:hAnsi="宋体"/>
          <w:i/>
          <w:color w:val="000000" w:themeColor="text1"/>
          <w:spacing w:val="6"/>
          <w:sz w:val="24"/>
          <w:highlight w:val="none"/>
          <w:u w:val="dash"/>
          <w14:textFill>
            <w14:solidFill>
              <w14:schemeClr w14:val="tx1"/>
            </w14:solidFill>
          </w14:textFill>
        </w:rPr>
        <w:t>（此处填写从业人员和营业收入的具体数据）</w:t>
      </w:r>
      <w:r>
        <w:rPr>
          <w:rFonts w:hint="eastAsia" w:ascii="宋体" w:hAnsi="宋体"/>
          <w:color w:val="000000" w:themeColor="text1"/>
          <w:spacing w:val="6"/>
          <w:sz w:val="24"/>
          <w:highlight w:val="none"/>
          <w14:textFill>
            <w14:solidFill>
              <w14:schemeClr w14:val="tx1"/>
            </w14:solidFill>
          </w14:textFill>
        </w:rPr>
        <w:t>，为</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（请填写：小型、微型）企业。</w:t>
      </w:r>
    </w:p>
    <w:p>
      <w:pPr>
        <w:pStyle w:val="37"/>
        <w:spacing w:line="360" w:lineRule="auto"/>
        <w:ind w:firstLine="504" w:firstLineChars="200"/>
        <w:rPr>
          <w:rFonts w:ascii="宋体"/>
          <w:color w:val="000000" w:themeColor="text1"/>
          <w:spacing w:val="6"/>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本公司参加</w:t>
      </w:r>
      <w:r>
        <w:rPr>
          <w:rFonts w:hint="eastAsia" w:ascii="宋体" w:hAnsi="宋体"/>
          <w:color w:val="000000" w:themeColor="text1"/>
          <w:sz w:val="24"/>
          <w:highlight w:val="none"/>
          <w14:textFill>
            <w14:solidFill>
              <w14:schemeClr w14:val="tx1"/>
            </w14:solidFill>
          </w14:textFill>
        </w:rPr>
        <w:t>×××政府采购中心组织</w:t>
      </w:r>
      <w:r>
        <w:rPr>
          <w:rFonts w:hint="eastAsia" w:ascii="宋体" w:hAnsi="宋体"/>
          <w:color w:val="000000" w:themeColor="text1"/>
          <w:spacing w:val="6"/>
          <w:sz w:val="24"/>
          <w:highlight w:val="none"/>
          <w14:textFill>
            <w14:solidFill>
              <w14:schemeClr w14:val="tx1"/>
            </w14:solidFill>
          </w14:textFill>
        </w:rPr>
        <w:t>的采购项目（项目编号：</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）采购活动提供本企业制造的货物，由本企业承担工程、提供服务，或者提供其他</w:t>
      </w:r>
      <w:r>
        <w:rPr>
          <w:rFonts w:ascii="宋体" w:hAnsi="宋体"/>
          <w:color w:val="000000" w:themeColor="text1"/>
          <w:spacing w:val="6"/>
          <w:sz w:val="24"/>
          <w:highlight w:val="none"/>
          <w14:textFill>
            <w14:solidFill>
              <w14:schemeClr w14:val="tx1"/>
            </w14:solidFill>
          </w14:textFill>
        </w:rPr>
        <w:t>______</w:t>
      </w:r>
      <w:r>
        <w:rPr>
          <w:rFonts w:hint="eastAsia" w:ascii="宋体" w:hAnsi="宋体"/>
          <w:color w:val="000000" w:themeColor="text1"/>
          <w:spacing w:val="6"/>
          <w:sz w:val="24"/>
          <w:highlight w:val="none"/>
          <w14:textFill>
            <w14:solidFill>
              <w14:schemeClr w14:val="tx1"/>
            </w14:solidFill>
          </w14:textFill>
        </w:rPr>
        <w:t>（请填写：小型、微型）企业制造的货物。本条所称货物不包括使用大型企业注册商标的货物。</w:t>
      </w:r>
    </w:p>
    <w:p>
      <w:pPr>
        <w:pStyle w:val="37"/>
        <w:spacing w:line="360" w:lineRule="auto"/>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本公司对上述声明的真实性负责。如有虚假，将依法承担相应责任。</w:t>
      </w:r>
    </w:p>
    <w:p>
      <w:pPr>
        <w:pStyle w:val="37"/>
        <w:spacing w:line="360" w:lineRule="auto"/>
        <w:ind w:left="4253" w:leftChars="202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标</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人（单位公章）：</w:t>
      </w:r>
    </w:p>
    <w:p>
      <w:pPr>
        <w:pStyle w:val="37"/>
        <w:spacing w:line="360" w:lineRule="auto"/>
        <w:ind w:left="4253" w:leftChars="2025" w:right="360"/>
        <w:jc w:val="right"/>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s="Arial"/>
          <w:color w:val="000000" w:themeColor="text1"/>
          <w:sz w:val="24"/>
          <w:highlight w:val="none"/>
          <w14:textFill>
            <w14:solidFill>
              <w14:schemeClr w14:val="tx1"/>
            </w14:solidFill>
          </w14:textFill>
        </w:rPr>
        <w:t>年</w:t>
      </w:r>
      <w:r>
        <w:rPr>
          <w:rFonts w:hint="eastAsia" w:ascii="宋体" w:hAnsi="宋体"/>
          <w:color w:val="000000" w:themeColor="text1"/>
          <w:sz w:val="24"/>
          <w:highlight w:val="none"/>
          <w14:textFill>
            <w14:solidFill>
              <w14:schemeClr w14:val="tx1"/>
            </w14:solidFill>
          </w14:textFill>
        </w:rPr>
        <w:t>××</w:t>
      </w:r>
      <w:r>
        <w:rPr>
          <w:rFonts w:hint="eastAsia" w:ascii="宋体" w:hAnsi="宋体" w:cs="Arial"/>
          <w:color w:val="000000" w:themeColor="text1"/>
          <w:sz w:val="24"/>
          <w:highlight w:val="none"/>
          <w14:textFill>
            <w14:solidFill>
              <w14:schemeClr w14:val="tx1"/>
            </w14:solidFill>
          </w14:textFill>
        </w:rPr>
        <w:t>月</w:t>
      </w:r>
      <w:r>
        <w:rPr>
          <w:rFonts w:hint="eastAsia" w:ascii="宋体" w:hAnsi="宋体"/>
          <w:color w:val="000000" w:themeColor="text1"/>
          <w:sz w:val="24"/>
          <w:highlight w:val="none"/>
          <w14:textFill>
            <w14:solidFill>
              <w14:schemeClr w14:val="tx1"/>
            </w14:solidFill>
          </w14:textFill>
        </w:rPr>
        <w:t>××</w:t>
      </w:r>
      <w:r>
        <w:rPr>
          <w:rFonts w:hint="eastAsia" w:ascii="宋体" w:hAnsi="宋体" w:cs="Arial"/>
          <w:color w:val="000000" w:themeColor="text1"/>
          <w:sz w:val="24"/>
          <w:highlight w:val="none"/>
          <w14:textFill>
            <w14:solidFill>
              <w14:schemeClr w14:val="tx1"/>
            </w14:solidFill>
          </w14:textFill>
        </w:rPr>
        <w:t>日</w:t>
      </w:r>
    </w:p>
    <w:p>
      <w:pPr>
        <w:pStyle w:val="37"/>
        <w:spacing w:line="360" w:lineRule="auto"/>
        <w:rPr>
          <w:rFonts w:ascii="宋体"/>
          <w:color w:val="000000" w:themeColor="text1"/>
          <w:sz w:val="24"/>
          <w:highlight w:val="none"/>
          <w14:textFill>
            <w14:solidFill>
              <w14:schemeClr w14:val="tx1"/>
            </w14:solidFill>
          </w14:textFill>
        </w:rPr>
      </w:pPr>
    </w:p>
    <w:p>
      <w:pPr>
        <w:spacing w:line="360" w:lineRule="auto"/>
        <w:ind w:right="-11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“国家企业信用信息公示系统---小微企业名录”页面查询结果参考格式</w:t>
      </w:r>
    </w:p>
    <w:p>
      <w:pPr>
        <w:spacing w:before="312" w:beforeLines="100" w:line="440" w:lineRule="atLeast"/>
        <w:ind w:firstLine="440" w:firstLineChars="200"/>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drawing>
          <wp:inline distT="0" distB="0" distL="114300" distR="114300">
            <wp:extent cx="5271770" cy="1976120"/>
            <wp:effectExtent l="0" t="0" r="1143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1"/>
                    <a:stretch>
                      <a:fillRect/>
                    </a:stretch>
                  </pic:blipFill>
                  <pic:spPr>
                    <a:xfrm>
                      <a:off x="0" y="0"/>
                      <a:ext cx="5271770" cy="1976120"/>
                    </a:xfrm>
                    <a:prstGeom prst="rect">
                      <a:avLst/>
                    </a:prstGeom>
                    <a:noFill/>
                    <a:ln>
                      <a:noFill/>
                    </a:ln>
                  </pic:spPr>
                </pic:pic>
              </a:graphicData>
            </a:graphic>
          </wp:inline>
        </w:drawing>
      </w:r>
    </w:p>
    <w:p>
      <w:pPr>
        <w:spacing w:line="440" w:lineRule="atLeas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投标供应商全称（盖章）：</w:t>
      </w:r>
    </w:p>
    <w:p>
      <w:pPr>
        <w:spacing w:line="440" w:lineRule="atLeast"/>
        <w:rPr>
          <w:rFonts w:ascii="宋体" w:cs="宋体"/>
          <w:color w:val="000000" w:themeColor="text1"/>
          <w:sz w:val="22"/>
          <w:szCs w:val="22"/>
          <w:highlight w:val="none"/>
          <w14:textFill>
            <w14:solidFill>
              <w14:schemeClr w14:val="tx1"/>
            </w14:solidFill>
          </w14:textFill>
        </w:rPr>
      </w:pPr>
      <w:r>
        <w:rPr>
          <w:rFonts w:hint="eastAsia" w:ascii="宋体" w:cs="宋体"/>
          <w:color w:val="000000" w:themeColor="text1"/>
          <w:sz w:val="22"/>
          <w:szCs w:val="22"/>
          <w:highlight w:val="none"/>
          <w14:textFill>
            <w14:solidFill>
              <w14:schemeClr w14:val="tx1"/>
            </w14:solidFill>
          </w14:textFill>
        </w:rPr>
        <w:t>日期</w:t>
      </w:r>
    </w:p>
    <w:p>
      <w:pPr>
        <w:pStyle w:val="9"/>
        <w:spacing w:line="360" w:lineRule="auto"/>
        <w:jc w:val="center"/>
        <w:outlineLvl w:val="1"/>
        <w:rPr>
          <w:rFonts w:hAnsi="宋体"/>
          <w:b/>
          <w:color w:val="000000" w:themeColor="text1"/>
          <w:sz w:val="32"/>
          <w:szCs w:val="32"/>
          <w:highlight w:val="none"/>
          <w:lang w:val="en-GB"/>
          <w14:textFill>
            <w14:solidFill>
              <w14:schemeClr w14:val="tx1"/>
            </w14:solidFill>
          </w14:textFill>
        </w:rPr>
      </w:pPr>
    </w:p>
    <w:p>
      <w:pPr>
        <w:pStyle w:val="9"/>
        <w:spacing w:line="360" w:lineRule="auto"/>
        <w:jc w:val="center"/>
        <w:outlineLvl w:val="1"/>
        <w:rPr>
          <w:rFonts w:hAnsi="宋体"/>
          <w:b/>
          <w:color w:val="000000" w:themeColor="text1"/>
          <w:sz w:val="32"/>
          <w:szCs w:val="32"/>
          <w:highlight w:val="none"/>
          <w:lang w:val="en-GB"/>
          <w14:textFill>
            <w14:solidFill>
              <w14:schemeClr w14:val="tx1"/>
            </w14:solidFill>
          </w14:textFill>
        </w:rPr>
      </w:pPr>
    </w:p>
    <w:p>
      <w:pPr>
        <w:pStyle w:val="9"/>
        <w:spacing w:line="360" w:lineRule="auto"/>
        <w:jc w:val="center"/>
        <w:outlineLvl w:val="1"/>
        <w:rPr>
          <w:rFonts w:hAnsi="宋体"/>
          <w:b/>
          <w:color w:val="000000" w:themeColor="text1"/>
          <w:sz w:val="32"/>
          <w:szCs w:val="32"/>
          <w:highlight w:val="none"/>
          <w:lang w:val="en-GB"/>
          <w14:textFill>
            <w14:solidFill>
              <w14:schemeClr w14:val="tx1"/>
            </w14:solidFill>
          </w14:textFill>
        </w:rPr>
      </w:pPr>
      <w:r>
        <w:rPr>
          <w:rFonts w:hint="eastAsia" w:hAnsi="宋体"/>
          <w:b/>
          <w:color w:val="000000" w:themeColor="text1"/>
          <w:sz w:val="32"/>
          <w:szCs w:val="32"/>
          <w:highlight w:val="none"/>
          <w:lang w:val="en-GB"/>
          <w14:textFill>
            <w14:solidFill>
              <w14:schemeClr w14:val="tx1"/>
            </w14:solidFill>
          </w14:textFill>
        </w:rPr>
        <w:t>残疾人福利性单位声明函</w:t>
      </w:r>
    </w:p>
    <w:p>
      <w:pPr>
        <w:spacing w:line="588" w:lineRule="exact"/>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本单位郑重声明，根据《财政部</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民政部</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中国残疾人联合会关于促进残疾人就业政府采购政策的通知》（财库〔</w:t>
      </w:r>
      <w:r>
        <w:rPr>
          <w:rFonts w:ascii="宋体" w:hAnsi="宋体"/>
          <w:color w:val="000000" w:themeColor="text1"/>
          <w:spacing w:val="6"/>
          <w:sz w:val="24"/>
          <w:highlight w:val="none"/>
          <w14:textFill>
            <w14:solidFill>
              <w14:schemeClr w14:val="tx1"/>
            </w14:solidFill>
          </w14:textFill>
        </w:rPr>
        <w:t>2017</w:t>
      </w:r>
      <w:r>
        <w:rPr>
          <w:rFonts w:hint="eastAsia" w:ascii="宋体" w:hAnsi="宋体"/>
          <w:color w:val="000000" w:themeColor="text1"/>
          <w:spacing w:val="6"/>
          <w:sz w:val="24"/>
          <w:highlight w:val="none"/>
          <w14:textFill>
            <w14:solidFill>
              <w14:schemeClr w14:val="tx1"/>
            </w14:solidFill>
          </w14:textFill>
        </w:rPr>
        <w:t>〕</w:t>
      </w:r>
      <w:r>
        <w:rPr>
          <w:rFonts w:ascii="宋体" w:hAnsi="宋体"/>
          <w:color w:val="000000" w:themeColor="text1"/>
          <w:spacing w:val="6"/>
          <w:sz w:val="24"/>
          <w:highlight w:val="none"/>
          <w14:textFill>
            <w14:solidFill>
              <w14:schemeClr w14:val="tx1"/>
            </w14:solidFill>
          </w14:textFill>
        </w:rPr>
        <w:t xml:space="preserve"> 141</w:t>
      </w:r>
      <w:r>
        <w:rPr>
          <w:rFonts w:hint="eastAsia" w:ascii="宋体" w:hAnsi="宋体"/>
          <w:color w:val="000000" w:themeColor="text1"/>
          <w:spacing w:val="6"/>
          <w:sz w:val="24"/>
          <w:highlight w:val="none"/>
          <w14:textFill>
            <w14:solidFill>
              <w14:schemeClr w14:val="tx1"/>
            </w14:solidFill>
          </w14:textFill>
        </w:rPr>
        <w:t>号）的规定，本单位为符合条件的残疾人福利性单位，且本单位参加单位的项目采购活动提供本单位制造的货物（由本单位承担工程</w:t>
      </w:r>
      <w:r>
        <w:rPr>
          <w:rFonts w:ascii="宋体" w:hAnsi="宋体"/>
          <w:color w:val="000000" w:themeColor="text1"/>
          <w:spacing w:val="6"/>
          <w:sz w:val="24"/>
          <w:highlight w:val="none"/>
          <w14:textFill>
            <w14:solidFill>
              <w14:schemeClr w14:val="tx1"/>
            </w14:solidFill>
          </w14:textFill>
        </w:rPr>
        <w:t>/</w:t>
      </w:r>
      <w:r>
        <w:rPr>
          <w:rFonts w:hint="eastAsia" w:ascii="宋体" w:hAnsi="宋体"/>
          <w:color w:val="000000" w:themeColor="text1"/>
          <w:spacing w:val="6"/>
          <w:sz w:val="24"/>
          <w:highlight w:val="none"/>
          <w14:textFill>
            <w14:solidFill>
              <w14:schemeClr w14:val="tx1"/>
            </w14:solidFill>
          </w14:textFill>
        </w:rPr>
        <w:t>提供服务），或者提供其他残疾人福利性单位制造的货物（不包括使用非残疾人福利性单位注册商标的货物）。</w:t>
      </w:r>
    </w:p>
    <w:p>
      <w:pPr>
        <w:spacing w:line="588" w:lineRule="exact"/>
        <w:ind w:firstLine="504" w:firstLineChars="200"/>
        <w:rPr>
          <w:rFonts w:asci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本单位对上述声明的真实性负责。如有虚假，将依法承担相应责任。</w:t>
      </w:r>
    </w:p>
    <w:p>
      <w:pPr>
        <w:tabs>
          <w:tab w:val="left" w:pos="4860"/>
        </w:tabs>
        <w:spacing w:line="588" w:lineRule="exact"/>
        <w:ind w:right="1560" w:firstLine="504" w:firstLineChars="200"/>
        <w:jc w:val="center"/>
        <w:rPr>
          <w:rFonts w:ascii="宋体"/>
          <w:color w:val="000000" w:themeColor="text1"/>
          <w:spacing w:val="6"/>
          <w:sz w:val="24"/>
          <w:highlight w:val="none"/>
          <w14:textFill>
            <w14:solidFill>
              <w14:schemeClr w14:val="tx1"/>
            </w14:solidFill>
          </w14:textFill>
        </w:rPr>
      </w:pPr>
    </w:p>
    <w:p>
      <w:pPr>
        <w:tabs>
          <w:tab w:val="left" w:pos="4860"/>
        </w:tabs>
        <w:spacing w:line="588" w:lineRule="exact"/>
        <w:ind w:right="1560" w:firstLine="504" w:firstLineChars="200"/>
        <w:jc w:val="center"/>
        <w:rPr>
          <w:rFonts w:ascii="宋体"/>
          <w:color w:val="000000" w:themeColor="text1"/>
          <w:spacing w:val="6"/>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单位名称（盖章）：</w:t>
      </w:r>
    </w:p>
    <w:p>
      <w:pPr>
        <w:tabs>
          <w:tab w:val="left" w:pos="4860"/>
        </w:tabs>
        <w:spacing w:line="588" w:lineRule="exact"/>
        <w:ind w:right="1560" w:firstLine="504" w:firstLineChars="200"/>
        <w:jc w:val="center"/>
        <w:rPr>
          <w:rFonts w:ascii="宋体"/>
          <w:color w:val="000000" w:themeColor="text1"/>
          <w:sz w:val="24"/>
          <w:highlight w:val="none"/>
          <w14:textFill>
            <w14:solidFill>
              <w14:schemeClr w14:val="tx1"/>
            </w14:solidFill>
          </w14:textFill>
        </w:rPr>
      </w:pP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日</w:t>
      </w:r>
      <w:r>
        <w:rPr>
          <w:rFonts w:ascii="宋体" w:hAnsi="宋体"/>
          <w:color w:val="000000" w:themeColor="text1"/>
          <w:spacing w:val="6"/>
          <w:sz w:val="24"/>
          <w:highlight w:val="none"/>
          <w14:textFill>
            <w14:solidFill>
              <w14:schemeClr w14:val="tx1"/>
            </w14:solidFill>
          </w14:textFill>
        </w:rPr>
        <w:t xml:space="preserve">  </w:t>
      </w:r>
      <w:r>
        <w:rPr>
          <w:rFonts w:hint="eastAsia" w:ascii="宋体" w:hAnsi="宋体"/>
          <w:color w:val="000000" w:themeColor="text1"/>
          <w:spacing w:val="6"/>
          <w:sz w:val="24"/>
          <w:highlight w:val="none"/>
          <w14:textFill>
            <w14:solidFill>
              <w14:schemeClr w14:val="tx1"/>
            </w14:solidFill>
          </w14:textFill>
        </w:rPr>
        <w:t>期：</w:t>
      </w: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p>
    <w:p>
      <w:pPr>
        <w:pStyle w:val="37"/>
        <w:spacing w:line="360" w:lineRule="auto"/>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附件19</w:t>
      </w:r>
    </w:p>
    <w:p>
      <w:pPr>
        <w:pStyle w:val="38"/>
        <w:spacing w:line="360" w:lineRule="auto"/>
        <w:rPr>
          <w:color w:val="000000" w:themeColor="text1"/>
          <w:highlight w:val="none"/>
          <w14:textFill>
            <w14:solidFill>
              <w14:schemeClr w14:val="tx1"/>
            </w14:solidFill>
          </w14:textFill>
        </w:rPr>
      </w:pPr>
    </w:p>
    <w:p>
      <w:pPr>
        <w:pStyle w:val="35"/>
        <w:spacing w:line="360" w:lineRule="auto"/>
        <w:jc w:val="center"/>
        <w:rPr>
          <w:rFonts w:ascii="宋体" w:hAnsi="宋体"/>
          <w:b/>
          <w:color w:val="000000" w:themeColor="text1"/>
          <w:sz w:val="32"/>
          <w:szCs w:val="32"/>
          <w:highlight w:val="none"/>
          <w:lang w:val="en-GB"/>
          <w14:textFill>
            <w14:solidFill>
              <w14:schemeClr w14:val="tx1"/>
            </w14:solidFill>
          </w14:textFill>
        </w:rPr>
      </w:pPr>
      <w:r>
        <w:rPr>
          <w:rFonts w:hint="eastAsia" w:ascii="宋体" w:hAnsi="宋体"/>
          <w:b/>
          <w:color w:val="000000" w:themeColor="text1"/>
          <w:sz w:val="32"/>
          <w:szCs w:val="32"/>
          <w:highlight w:val="none"/>
          <w:lang w:val="en-GB"/>
          <w14:textFill>
            <w14:solidFill>
              <w14:schemeClr w14:val="tx1"/>
            </w14:solidFill>
          </w14:textFill>
        </w:rPr>
        <w:t>产品适用政府采购政策情况表</w:t>
      </w:r>
    </w:p>
    <w:p>
      <w:pPr>
        <w:pStyle w:val="35"/>
        <w:spacing w:line="360" w:lineRule="auto"/>
        <w:jc w:val="center"/>
        <w:rPr>
          <w:rFonts w:ascii="宋体" w:hAnsi="宋体"/>
          <w:b/>
          <w:color w:val="000000" w:themeColor="text1"/>
          <w:sz w:val="32"/>
          <w:szCs w:val="32"/>
          <w:highlight w:val="none"/>
          <w:lang w:val="en-GB"/>
          <w14:textFill>
            <w14:solidFill>
              <w14:schemeClr w14:val="tx1"/>
            </w14:solidFill>
          </w14:textFill>
        </w:rPr>
      </w:pPr>
    </w:p>
    <w:tbl>
      <w:tblPr>
        <w:tblStyle w:val="16"/>
        <w:tblW w:w="9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679"/>
        <w:gridCol w:w="381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015" w:type="dxa"/>
            <w:vMerge w:val="restart"/>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小微企业扶持政策</w:t>
            </w:r>
          </w:p>
        </w:tc>
        <w:tc>
          <w:tcPr>
            <w:tcW w:w="8111" w:type="dxa"/>
            <w:gridSpan w:val="3"/>
            <w:vAlign w:val="center"/>
          </w:tcPr>
          <w:tbl>
            <w:tblPr>
              <w:tblStyle w:val="16"/>
              <w:tblW w:w="81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8111" w:type="dxa"/>
                  <w:vAlign w:val="center"/>
                </w:tcPr>
                <w:p>
                  <w:pPr>
                    <w:pStyle w:val="35"/>
                    <w:tabs>
                      <w:tab w:val="left" w:pos="1260"/>
                    </w:tabs>
                    <w:spacing w:line="360" w:lineRule="auto"/>
                    <w:rPr>
                      <w:rFonts w:ascii="宋体" w:hAnsi="宋体"/>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小型、微型企业投标且所投产品（指货物、工程、服务）由本企业制造，或者所投产品（仅指货物）含有其他小型、微型企业制造的，应</w:t>
                  </w:r>
                  <w:r>
                    <w:rPr>
                      <w:rFonts w:hint="eastAsia" w:ascii="宋体" w:hAnsi="宋体"/>
                      <w:b/>
                      <w:bCs/>
                      <w:color w:val="000000" w:themeColor="text1"/>
                      <w:sz w:val="24"/>
                      <w:highlight w:val="none"/>
                      <w:lang w:val="en-GB"/>
                      <w14:textFill>
                        <w14:solidFill>
                          <w14:schemeClr w14:val="tx1"/>
                        </w14:solidFill>
                      </w14:textFill>
                    </w:rPr>
                    <w:t>按要求列出具体产品与金额。</w:t>
                  </w:r>
                </w:p>
              </w:tc>
            </w:tr>
          </w:tbl>
          <w:p>
            <w:pPr>
              <w:pStyle w:val="35"/>
              <w:tabs>
                <w:tab w:val="left" w:pos="1260"/>
              </w:tabs>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015" w:type="dxa"/>
            <w:vMerge w:val="continue"/>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2679"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产品名称（品牌、型号）</w:t>
            </w:r>
          </w:p>
        </w:tc>
        <w:tc>
          <w:tcPr>
            <w:tcW w:w="3811"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制造企业名称</w:t>
            </w:r>
          </w:p>
        </w:tc>
        <w:tc>
          <w:tcPr>
            <w:tcW w:w="1621"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lang w:val="en-GB"/>
                <w14:textFill>
                  <w14:solidFill>
                    <w14:schemeClr w14:val="tx1"/>
                  </w14:solidFill>
                </w14:textFill>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015" w:type="dxa"/>
            <w:vMerge w:val="continue"/>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2679"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3811"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1621"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015" w:type="dxa"/>
            <w:vMerge w:val="continue"/>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2679"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3811"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1621"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015" w:type="dxa"/>
            <w:vMerge w:val="continue"/>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2679"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3811"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1621"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1015" w:type="dxa"/>
            <w:vMerge w:val="continue"/>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c>
          <w:tcPr>
            <w:tcW w:w="6490" w:type="dxa"/>
            <w:gridSpan w:val="2"/>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小型、微型企业产品</w:t>
            </w:r>
            <w:r>
              <w:rPr>
                <w:rFonts w:hint="eastAsia" w:ascii="宋体" w:hAnsi="宋体"/>
                <w:color w:val="000000" w:themeColor="text1"/>
                <w:sz w:val="24"/>
                <w:highlight w:val="none"/>
                <w:lang w:val="en-GB"/>
                <w14:textFill>
                  <w14:solidFill>
                    <w14:schemeClr w14:val="tx1"/>
                  </w14:solidFill>
                </w14:textFill>
              </w:rPr>
              <w:t>金额合计（元）</w:t>
            </w:r>
          </w:p>
          <w:p>
            <w:pPr>
              <w:rPr>
                <w:color w:val="000000" w:themeColor="text1"/>
                <w:highlight w:val="none"/>
                <w14:textFill>
                  <w14:solidFill>
                    <w14:schemeClr w14:val="tx1"/>
                  </w14:solidFill>
                </w14:textFill>
              </w:rPr>
            </w:pPr>
          </w:p>
        </w:tc>
        <w:tc>
          <w:tcPr>
            <w:tcW w:w="1621" w:type="dxa"/>
            <w:vAlign w:val="center"/>
          </w:tcPr>
          <w:p>
            <w:pPr>
              <w:pStyle w:val="35"/>
              <w:tabs>
                <w:tab w:val="left" w:pos="1260"/>
              </w:tabs>
              <w:jc w:val="center"/>
              <w:rPr>
                <w:rFonts w:ascii="宋体" w:hAnsi="宋体"/>
                <w:color w:val="000000" w:themeColor="text1"/>
                <w:sz w:val="24"/>
                <w:highlight w:val="none"/>
                <w:lang w:val="en-GB"/>
                <w14:textFill>
                  <w14:solidFill>
                    <w14:schemeClr w14:val="tx1"/>
                  </w14:solidFill>
                </w14:textFill>
              </w:rPr>
            </w:pPr>
          </w:p>
        </w:tc>
      </w:tr>
    </w:tbl>
    <w:p>
      <w:pPr>
        <w:pStyle w:val="35"/>
        <w:spacing w:line="360" w:lineRule="auto"/>
        <w:rPr>
          <w:rFonts w:ascii="宋体" w:hAnsi="宋体"/>
          <w:color w:val="000000" w:themeColor="text1"/>
          <w:szCs w:val="21"/>
          <w:highlight w:val="none"/>
          <w:lang w:val="en-GB"/>
          <w14:textFill>
            <w14:solidFill>
              <w14:schemeClr w14:val="tx1"/>
            </w14:solidFill>
          </w14:textFill>
        </w:rPr>
      </w:pPr>
    </w:p>
    <w:p>
      <w:pPr>
        <w:pStyle w:val="35"/>
        <w:spacing w:line="360" w:lineRule="auto"/>
        <w:rPr>
          <w:rFonts w:ascii="宋体" w:hAnsi="宋体"/>
          <w:color w:val="000000" w:themeColor="text1"/>
          <w:szCs w:val="21"/>
          <w:highlight w:val="none"/>
          <w:lang w:val="en-GB"/>
          <w14:textFill>
            <w14:solidFill>
              <w14:schemeClr w14:val="tx1"/>
            </w14:solidFill>
          </w14:textFill>
        </w:rPr>
      </w:pPr>
      <w:r>
        <w:rPr>
          <w:rFonts w:hint="eastAsia" w:ascii="宋体" w:hAnsi="宋体"/>
          <w:color w:val="000000" w:themeColor="text1"/>
          <w:szCs w:val="21"/>
          <w:highlight w:val="none"/>
          <w:lang w:val="en-GB"/>
          <w14:textFill>
            <w14:solidFill>
              <w14:schemeClr w14:val="tx1"/>
            </w14:solidFill>
          </w14:textFill>
        </w:rPr>
        <w:t>填报要求：</w:t>
      </w:r>
    </w:p>
    <w:p>
      <w:pPr>
        <w:pStyle w:val="35"/>
        <w:widowControl/>
        <w:numPr>
          <w:ilvl w:val="0"/>
          <w:numId w:val="8"/>
        </w:numPr>
        <w:spacing w:line="360" w:lineRule="auto"/>
        <w:ind w:right="84" w:rightChars="40"/>
        <w:jc w:val="left"/>
        <w:rPr>
          <w:rFonts w:ascii="宋体" w:hAnsi="宋体"/>
          <w:color w:val="000000" w:themeColor="text1"/>
          <w:szCs w:val="21"/>
          <w:highlight w:val="none"/>
          <w:lang w:val="en-GB"/>
          <w14:textFill>
            <w14:solidFill>
              <w14:schemeClr w14:val="tx1"/>
            </w14:solidFill>
          </w14:textFill>
        </w:rPr>
      </w:pPr>
      <w:r>
        <w:rPr>
          <w:rFonts w:hint="eastAsia" w:ascii="宋体" w:hAnsi="宋体"/>
          <w:color w:val="000000" w:themeColor="text1"/>
          <w:szCs w:val="21"/>
          <w:highlight w:val="none"/>
          <w:lang w:val="en-GB"/>
          <w14:textFill>
            <w14:solidFill>
              <w14:schemeClr w14:val="tx1"/>
            </w14:solidFill>
          </w14:textFill>
        </w:rPr>
        <w:t>本表的产品名称、规格型号和注册商标、金额要与《报价明细表》一致。</w:t>
      </w:r>
    </w:p>
    <w:p>
      <w:pPr>
        <w:pStyle w:val="35"/>
        <w:widowControl/>
        <w:numPr>
          <w:ilvl w:val="0"/>
          <w:numId w:val="8"/>
        </w:numPr>
        <w:tabs>
          <w:tab w:val="left" w:pos="360"/>
        </w:tabs>
        <w:spacing w:line="360" w:lineRule="auto"/>
        <w:ind w:left="360" w:right="84" w:rightChars="40" w:hanging="360"/>
        <w:jc w:val="left"/>
        <w:rPr>
          <w:rFonts w:ascii="宋体" w:hAnsi="宋体"/>
          <w:color w:val="000000" w:themeColor="text1"/>
          <w:szCs w:val="21"/>
          <w:highlight w:val="none"/>
          <w:lang w:val="en-GB"/>
          <w14:textFill>
            <w14:solidFill>
              <w14:schemeClr w14:val="tx1"/>
            </w14:solidFill>
          </w14:textFill>
        </w:rPr>
      </w:pPr>
      <w:r>
        <w:rPr>
          <w:rFonts w:hint="eastAsia" w:ascii="宋体" w:hAnsi="宋体"/>
          <w:color w:val="000000" w:themeColor="text1"/>
          <w:szCs w:val="21"/>
          <w:highlight w:val="none"/>
          <w:lang w:val="en-GB"/>
          <w14:textFill>
            <w14:solidFill>
              <w14:schemeClr w14:val="tx1"/>
            </w14:solidFill>
          </w14:textFill>
        </w:rPr>
        <w:t>制造商为小型或微型企业时才需要填“制造商企业类型”栏，填写内容为“小型”或“微型”。</w:t>
      </w:r>
    </w:p>
    <w:p>
      <w:pPr>
        <w:pStyle w:val="35"/>
        <w:widowControl/>
        <w:numPr>
          <w:ilvl w:val="0"/>
          <w:numId w:val="8"/>
        </w:numPr>
        <w:spacing w:line="360" w:lineRule="auto"/>
        <w:ind w:right="84" w:rightChars="40"/>
        <w:jc w:val="left"/>
        <w:rPr>
          <w:rFonts w:ascii="宋体" w:hAnsi="宋体"/>
          <w:color w:val="000000" w:themeColor="text1"/>
          <w:szCs w:val="21"/>
          <w:highlight w:val="none"/>
          <w:lang w:val="en-GB"/>
          <w14:textFill>
            <w14:solidFill>
              <w14:schemeClr w14:val="tx1"/>
            </w14:solidFill>
          </w14:textFill>
        </w:rPr>
      </w:pPr>
      <w:r>
        <w:rPr>
          <w:rFonts w:hint="eastAsia" w:ascii="宋体" w:hAnsi="宋体"/>
          <w:color w:val="000000" w:themeColor="text1"/>
          <w:szCs w:val="21"/>
          <w:highlight w:val="none"/>
          <w:lang w:val="en-GB"/>
          <w14:textFill>
            <w14:solidFill>
              <w14:schemeClr w14:val="tx1"/>
            </w14:solidFill>
          </w14:textFill>
        </w:rPr>
        <w:t>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微企业扶持政策优惠）。</w:t>
      </w:r>
    </w:p>
    <w:p>
      <w:pPr>
        <w:tabs>
          <w:tab w:val="left" w:pos="1418"/>
        </w:tabs>
        <w:autoSpaceDE w:val="0"/>
        <w:autoSpaceDN w:val="0"/>
        <w:adjustRightInd w:val="0"/>
        <w:spacing w:line="360" w:lineRule="auto"/>
        <w:ind w:firstLine="480" w:firstLineChars="200"/>
        <w:rPr>
          <w:rFonts w:ascii="宋体"/>
          <w:color w:val="000000" w:themeColor="text1"/>
          <w:kern w:val="0"/>
          <w:sz w:val="24"/>
          <w:highlight w:val="none"/>
          <w:lang w:val="en-GB"/>
          <w14:textFill>
            <w14:solidFill>
              <w14:schemeClr w14:val="tx1"/>
            </w14:solidFill>
          </w14:textFill>
        </w:rPr>
      </w:pPr>
    </w:p>
    <w:p>
      <w:pPr>
        <w:rPr>
          <w:color w:val="000000" w:themeColor="text1"/>
          <w:highlight w:val="none"/>
          <w14:textFill>
            <w14:solidFill>
              <w14:schemeClr w14:val="tx1"/>
            </w14:solidFill>
          </w14:textFill>
        </w:rPr>
      </w:pPr>
    </w:p>
    <w:p>
      <w:pPr>
        <w:snapToGrid w:val="0"/>
        <w:spacing w:line="360" w:lineRule="auto"/>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1"/>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sectPr>
      <w:headerReference r:id="rId3" w:type="default"/>
      <w:footerReference r:id="rId4" w:type="default"/>
      <w:pgSz w:w="11906" w:h="16838"/>
      <w:pgMar w:top="1134" w:right="1134" w:bottom="1134" w:left="1417" w:header="851" w:footer="992" w:gutter="0"/>
      <w:pgNumType w:start="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玉环市政府采购招标文件                                                                     </w:t>
    </w:r>
  </w:p>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36BD6"/>
    <w:multiLevelType w:val="singleLevel"/>
    <w:tmpl w:val="82236BD6"/>
    <w:lvl w:ilvl="0" w:tentative="0">
      <w:start w:val="1"/>
      <w:numFmt w:val="decimal"/>
      <w:suff w:val="nothing"/>
      <w:lvlText w:val="%1、"/>
      <w:lvlJc w:val="left"/>
    </w:lvl>
  </w:abstractNum>
  <w:abstractNum w:abstractNumId="1">
    <w:nsid w:val="AE2D8F7B"/>
    <w:multiLevelType w:val="singleLevel"/>
    <w:tmpl w:val="AE2D8F7B"/>
    <w:lvl w:ilvl="0" w:tentative="0">
      <w:start w:val="1"/>
      <w:numFmt w:val="decimal"/>
      <w:pStyle w:val="5"/>
      <w:lvlText w:val="%1."/>
      <w:lvlJc w:val="left"/>
      <w:pPr>
        <w:tabs>
          <w:tab w:val="left" w:pos="360"/>
        </w:tabs>
        <w:ind w:left="360" w:hanging="360"/>
      </w:pPr>
    </w:lvl>
  </w:abstractNum>
  <w:abstractNum w:abstractNumId="2">
    <w:nsid w:val="AF3E1766"/>
    <w:multiLevelType w:val="singleLevel"/>
    <w:tmpl w:val="AF3E1766"/>
    <w:lvl w:ilvl="0" w:tentative="0">
      <w:start w:val="1"/>
      <w:numFmt w:val="decimal"/>
      <w:suff w:val="nothing"/>
      <w:lvlText w:val="（%1）"/>
      <w:lvlJc w:val="left"/>
    </w:lvl>
  </w:abstractNum>
  <w:abstractNum w:abstractNumId="3">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4">
    <w:nsid w:val="461E5E94"/>
    <w:multiLevelType w:val="singleLevel"/>
    <w:tmpl w:val="461E5E94"/>
    <w:lvl w:ilvl="0" w:tentative="0">
      <w:start w:val="2"/>
      <w:numFmt w:val="chineseCounting"/>
      <w:suff w:val="space"/>
      <w:lvlText w:val="第%1章"/>
      <w:lvlJc w:val="left"/>
      <w:rPr>
        <w:rFonts w:hint="eastAsia"/>
      </w:rPr>
    </w:lvl>
  </w:abstractNum>
  <w:abstractNum w:abstractNumId="5">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6">
    <w:nsid w:val="6E6F6101"/>
    <w:multiLevelType w:val="multilevel"/>
    <w:tmpl w:val="6E6F610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4"/>
        </w:tabs>
        <w:ind w:left="-4" w:hanging="420"/>
      </w:pPr>
    </w:lvl>
    <w:lvl w:ilvl="2" w:tentative="0">
      <w:start w:val="1"/>
      <w:numFmt w:val="lowerRoman"/>
      <w:lvlText w:val="%3."/>
      <w:lvlJc w:val="right"/>
      <w:pPr>
        <w:tabs>
          <w:tab w:val="left" w:pos="416"/>
        </w:tabs>
        <w:ind w:left="416" w:hanging="420"/>
      </w:pPr>
    </w:lvl>
    <w:lvl w:ilvl="3" w:tentative="0">
      <w:start w:val="1"/>
      <w:numFmt w:val="decimal"/>
      <w:lvlText w:val="%4."/>
      <w:lvlJc w:val="left"/>
      <w:pPr>
        <w:tabs>
          <w:tab w:val="left" w:pos="836"/>
        </w:tabs>
        <w:ind w:left="836" w:hanging="420"/>
      </w:pPr>
    </w:lvl>
    <w:lvl w:ilvl="4" w:tentative="0">
      <w:start w:val="1"/>
      <w:numFmt w:val="lowerLetter"/>
      <w:lvlText w:val="%5)"/>
      <w:lvlJc w:val="left"/>
      <w:pPr>
        <w:tabs>
          <w:tab w:val="left" w:pos="1256"/>
        </w:tabs>
        <w:ind w:left="1256" w:hanging="420"/>
      </w:pPr>
    </w:lvl>
    <w:lvl w:ilvl="5" w:tentative="0">
      <w:start w:val="1"/>
      <w:numFmt w:val="lowerRoman"/>
      <w:lvlText w:val="%6."/>
      <w:lvlJc w:val="right"/>
      <w:pPr>
        <w:tabs>
          <w:tab w:val="left" w:pos="1676"/>
        </w:tabs>
        <w:ind w:left="1676" w:hanging="420"/>
      </w:pPr>
    </w:lvl>
    <w:lvl w:ilvl="6" w:tentative="0">
      <w:start w:val="1"/>
      <w:numFmt w:val="decimal"/>
      <w:lvlText w:val="%7."/>
      <w:lvlJc w:val="left"/>
      <w:pPr>
        <w:tabs>
          <w:tab w:val="left" w:pos="2096"/>
        </w:tabs>
        <w:ind w:left="2096" w:hanging="420"/>
      </w:pPr>
    </w:lvl>
    <w:lvl w:ilvl="7" w:tentative="0">
      <w:start w:val="1"/>
      <w:numFmt w:val="lowerLetter"/>
      <w:lvlText w:val="%8)"/>
      <w:lvlJc w:val="left"/>
      <w:pPr>
        <w:tabs>
          <w:tab w:val="left" w:pos="2516"/>
        </w:tabs>
        <w:ind w:left="2516" w:hanging="420"/>
      </w:pPr>
    </w:lvl>
    <w:lvl w:ilvl="8" w:tentative="0">
      <w:start w:val="1"/>
      <w:numFmt w:val="lowerRoman"/>
      <w:lvlText w:val="%9."/>
      <w:lvlJc w:val="right"/>
      <w:pPr>
        <w:tabs>
          <w:tab w:val="left" w:pos="2936"/>
        </w:tabs>
        <w:ind w:left="2936" w:hanging="420"/>
      </w:pPr>
    </w:lvl>
  </w:abstractNum>
  <w:abstractNum w:abstractNumId="7">
    <w:nsid w:val="6E7CC7B8"/>
    <w:multiLevelType w:val="singleLevel"/>
    <w:tmpl w:val="6E7CC7B8"/>
    <w:lvl w:ilvl="0" w:tentative="0">
      <w:start w:val="2"/>
      <w:numFmt w:val="chineseCounting"/>
      <w:suff w:val="nothing"/>
      <w:lvlText w:val="%1、"/>
      <w:lvlJc w:val="left"/>
      <w:rPr>
        <w:rFonts w:hint="eastAsia"/>
      </w:rPr>
    </w:lvl>
  </w:abstractNum>
  <w:num w:numId="1">
    <w:abstractNumId w:val="1"/>
  </w:num>
  <w:num w:numId="2">
    <w:abstractNumId w:val="5"/>
  </w:num>
  <w:num w:numId="3">
    <w:abstractNumId w:val="4"/>
  </w:num>
  <w:num w:numId="4">
    <w:abstractNumId w:val="2"/>
  </w:num>
  <w:num w:numId="5">
    <w:abstractNumId w:val="3"/>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E970358"/>
    <w:rsid w:val="00020CF4"/>
    <w:rsid w:val="00034FFD"/>
    <w:rsid w:val="0006294D"/>
    <w:rsid w:val="00062AB3"/>
    <w:rsid w:val="000C691A"/>
    <w:rsid w:val="00107BF6"/>
    <w:rsid w:val="00165F2A"/>
    <w:rsid w:val="001E3A07"/>
    <w:rsid w:val="00201D62"/>
    <w:rsid w:val="0021318F"/>
    <w:rsid w:val="00261773"/>
    <w:rsid w:val="002701A5"/>
    <w:rsid w:val="002A1620"/>
    <w:rsid w:val="00302FF0"/>
    <w:rsid w:val="003102FB"/>
    <w:rsid w:val="00332E30"/>
    <w:rsid w:val="0033650E"/>
    <w:rsid w:val="003C1230"/>
    <w:rsid w:val="003C5655"/>
    <w:rsid w:val="003C5E00"/>
    <w:rsid w:val="003F595C"/>
    <w:rsid w:val="003F78E0"/>
    <w:rsid w:val="00402DCB"/>
    <w:rsid w:val="00441FAE"/>
    <w:rsid w:val="00446CEF"/>
    <w:rsid w:val="00467919"/>
    <w:rsid w:val="00491BDF"/>
    <w:rsid w:val="004B4165"/>
    <w:rsid w:val="00616E31"/>
    <w:rsid w:val="00655E3C"/>
    <w:rsid w:val="00674C42"/>
    <w:rsid w:val="006A41E3"/>
    <w:rsid w:val="006F4DFE"/>
    <w:rsid w:val="00750CFE"/>
    <w:rsid w:val="00766F25"/>
    <w:rsid w:val="007A2629"/>
    <w:rsid w:val="007C1005"/>
    <w:rsid w:val="00802325"/>
    <w:rsid w:val="00847BE5"/>
    <w:rsid w:val="0088066B"/>
    <w:rsid w:val="008B3C7A"/>
    <w:rsid w:val="00912983"/>
    <w:rsid w:val="00990D80"/>
    <w:rsid w:val="009B3E22"/>
    <w:rsid w:val="009F3459"/>
    <w:rsid w:val="00A0497B"/>
    <w:rsid w:val="00A278E7"/>
    <w:rsid w:val="00A30B75"/>
    <w:rsid w:val="00A730CA"/>
    <w:rsid w:val="00B42F4C"/>
    <w:rsid w:val="00B678E2"/>
    <w:rsid w:val="00BF5473"/>
    <w:rsid w:val="00C05497"/>
    <w:rsid w:val="00C52E14"/>
    <w:rsid w:val="00C767D4"/>
    <w:rsid w:val="00C85AAF"/>
    <w:rsid w:val="00CC232E"/>
    <w:rsid w:val="00CD1804"/>
    <w:rsid w:val="00D36F42"/>
    <w:rsid w:val="00D67E46"/>
    <w:rsid w:val="00D711A9"/>
    <w:rsid w:val="00DD3459"/>
    <w:rsid w:val="00DE7D22"/>
    <w:rsid w:val="00DF2DC7"/>
    <w:rsid w:val="00E319E7"/>
    <w:rsid w:val="00E35C1F"/>
    <w:rsid w:val="00E74EF6"/>
    <w:rsid w:val="00E84CE1"/>
    <w:rsid w:val="00E85C79"/>
    <w:rsid w:val="00EB0F7A"/>
    <w:rsid w:val="00EF2797"/>
    <w:rsid w:val="00F127FF"/>
    <w:rsid w:val="00F145C4"/>
    <w:rsid w:val="00F508A1"/>
    <w:rsid w:val="00F75D85"/>
    <w:rsid w:val="01935887"/>
    <w:rsid w:val="02472384"/>
    <w:rsid w:val="04CC341D"/>
    <w:rsid w:val="05137CD7"/>
    <w:rsid w:val="055F684B"/>
    <w:rsid w:val="060B26E0"/>
    <w:rsid w:val="06180769"/>
    <w:rsid w:val="09FD456F"/>
    <w:rsid w:val="0C1E2BA0"/>
    <w:rsid w:val="0C765CB2"/>
    <w:rsid w:val="0E970358"/>
    <w:rsid w:val="10392EAE"/>
    <w:rsid w:val="10706EC2"/>
    <w:rsid w:val="12807280"/>
    <w:rsid w:val="13A74261"/>
    <w:rsid w:val="148463E6"/>
    <w:rsid w:val="14D20D9B"/>
    <w:rsid w:val="1585100E"/>
    <w:rsid w:val="15A72BED"/>
    <w:rsid w:val="1621170E"/>
    <w:rsid w:val="16903399"/>
    <w:rsid w:val="18B91D2B"/>
    <w:rsid w:val="18C40414"/>
    <w:rsid w:val="1A6A6D44"/>
    <w:rsid w:val="1A817123"/>
    <w:rsid w:val="1A8E3A4E"/>
    <w:rsid w:val="1AF736A3"/>
    <w:rsid w:val="1C093ECB"/>
    <w:rsid w:val="1CE4433A"/>
    <w:rsid w:val="1EE84AA8"/>
    <w:rsid w:val="21BE1C5E"/>
    <w:rsid w:val="228447E5"/>
    <w:rsid w:val="23424F53"/>
    <w:rsid w:val="236E14E2"/>
    <w:rsid w:val="2513384F"/>
    <w:rsid w:val="2751323E"/>
    <w:rsid w:val="28236D62"/>
    <w:rsid w:val="29D148D0"/>
    <w:rsid w:val="2AA90D7D"/>
    <w:rsid w:val="2AC803DC"/>
    <w:rsid w:val="2C7863D0"/>
    <w:rsid w:val="30143D85"/>
    <w:rsid w:val="31752B09"/>
    <w:rsid w:val="338756C0"/>
    <w:rsid w:val="33D3510B"/>
    <w:rsid w:val="341548E3"/>
    <w:rsid w:val="374B7290"/>
    <w:rsid w:val="37712A39"/>
    <w:rsid w:val="39380477"/>
    <w:rsid w:val="395862BB"/>
    <w:rsid w:val="3992672C"/>
    <w:rsid w:val="3AE50133"/>
    <w:rsid w:val="3B345EA5"/>
    <w:rsid w:val="3C6278F9"/>
    <w:rsid w:val="3D2D003F"/>
    <w:rsid w:val="3DB531EC"/>
    <w:rsid w:val="3F6B3E70"/>
    <w:rsid w:val="3FCA700F"/>
    <w:rsid w:val="405A1654"/>
    <w:rsid w:val="43036342"/>
    <w:rsid w:val="44113009"/>
    <w:rsid w:val="44FB7F1D"/>
    <w:rsid w:val="4563730C"/>
    <w:rsid w:val="45953AB9"/>
    <w:rsid w:val="47AF47A3"/>
    <w:rsid w:val="48694FA0"/>
    <w:rsid w:val="488E768B"/>
    <w:rsid w:val="49775E63"/>
    <w:rsid w:val="49F41D5E"/>
    <w:rsid w:val="4B1E31F7"/>
    <w:rsid w:val="4B816B47"/>
    <w:rsid w:val="4BCB3573"/>
    <w:rsid w:val="4BDC30B1"/>
    <w:rsid w:val="4CE75373"/>
    <w:rsid w:val="4CED4F19"/>
    <w:rsid w:val="4EAA1CE9"/>
    <w:rsid w:val="4FD0460B"/>
    <w:rsid w:val="519F0EDF"/>
    <w:rsid w:val="534F6B27"/>
    <w:rsid w:val="53837659"/>
    <w:rsid w:val="566D4B95"/>
    <w:rsid w:val="572656D4"/>
    <w:rsid w:val="5727721E"/>
    <w:rsid w:val="59212886"/>
    <w:rsid w:val="59AD06A4"/>
    <w:rsid w:val="5A4D586D"/>
    <w:rsid w:val="5A6249B0"/>
    <w:rsid w:val="5EE84C68"/>
    <w:rsid w:val="621D5BA4"/>
    <w:rsid w:val="62D4544E"/>
    <w:rsid w:val="62FD09EC"/>
    <w:rsid w:val="635B6748"/>
    <w:rsid w:val="63947A95"/>
    <w:rsid w:val="67B167D1"/>
    <w:rsid w:val="685F1C50"/>
    <w:rsid w:val="692444CB"/>
    <w:rsid w:val="699022E9"/>
    <w:rsid w:val="6A714498"/>
    <w:rsid w:val="6A741678"/>
    <w:rsid w:val="6FAC1718"/>
    <w:rsid w:val="737A32A0"/>
    <w:rsid w:val="745919C6"/>
    <w:rsid w:val="74702A9A"/>
    <w:rsid w:val="761C2BBB"/>
    <w:rsid w:val="769C75C3"/>
    <w:rsid w:val="776A1DE8"/>
    <w:rsid w:val="785D00CA"/>
    <w:rsid w:val="78E53B9E"/>
    <w:rsid w:val="7A72468A"/>
    <w:rsid w:val="7D7D7EB6"/>
    <w:rsid w:val="7D7F697F"/>
    <w:rsid w:val="7D941E22"/>
    <w:rsid w:val="7DDD6CEA"/>
    <w:rsid w:val="7E636E14"/>
    <w:rsid w:val="7F625B25"/>
    <w:rsid w:val="7F755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spacing w:line="360" w:lineRule="exact"/>
    </w:pPr>
    <w:rPr>
      <w:sz w:val="24"/>
    </w:rPr>
  </w:style>
  <w:style w:type="paragraph" w:styleId="5">
    <w:name w:val="List Number"/>
    <w:basedOn w:val="1"/>
    <w:qFormat/>
    <w:uiPriority w:val="0"/>
    <w:pPr>
      <w:numPr>
        <w:ilvl w:val="0"/>
        <w:numId w:val="1"/>
      </w:numPr>
    </w:pPr>
  </w:style>
  <w:style w:type="paragraph" w:styleId="6">
    <w:name w:val="Normal Indent"/>
    <w:basedOn w:val="1"/>
    <w:qFormat/>
    <w:uiPriority w:val="0"/>
    <w:pPr>
      <w:ind w:firstLine="420"/>
    </w:pPr>
    <w:rPr>
      <w:szCs w:val="20"/>
    </w:rPr>
  </w:style>
  <w:style w:type="paragraph" w:styleId="7">
    <w:name w:val="annotation text"/>
    <w:basedOn w:val="1"/>
    <w:link w:val="39"/>
    <w:qFormat/>
    <w:uiPriority w:val="0"/>
    <w:pPr>
      <w:jc w:val="left"/>
    </w:pPr>
  </w:style>
  <w:style w:type="paragraph" w:styleId="8">
    <w:name w:val="Body Text Indent"/>
    <w:basedOn w:val="1"/>
    <w:link w:val="42"/>
    <w:qFormat/>
    <w:uiPriority w:val="0"/>
    <w:pPr>
      <w:spacing w:after="120"/>
      <w:ind w:left="420" w:leftChars="200"/>
    </w:pPr>
  </w:style>
  <w:style w:type="paragraph" w:styleId="9">
    <w:name w:val="Plain Text"/>
    <w:basedOn w:val="1"/>
    <w:qFormat/>
    <w:uiPriority w:val="0"/>
    <w:rPr>
      <w:rFonts w:ascii="宋体" w:hAnsi="Courier New" w:cstheme="minorBidi"/>
    </w:rPr>
  </w:style>
  <w:style w:type="paragraph" w:styleId="10">
    <w:name w:val="Date"/>
    <w:basedOn w:val="1"/>
    <w:next w:val="1"/>
    <w:qFormat/>
    <w:uiPriority w:val="0"/>
    <w:pPr>
      <w:ind w:left="2500" w:leftChars="2500"/>
    </w:pPr>
    <w:rPr>
      <w:rFonts w:eastAsia="楷体_GB2312" w:asciiTheme="minorHAnsi" w:hAnsiTheme="minorHAnsi" w:cstheme="minorBidi"/>
      <w:sz w:val="32"/>
      <w:szCs w:val="22"/>
    </w:rPr>
  </w:style>
  <w:style w:type="paragraph" w:styleId="11">
    <w:name w:val="Balloon Text"/>
    <w:basedOn w:val="1"/>
    <w:link w:val="41"/>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Normal (Web)"/>
    <w:basedOn w:val="1"/>
    <w:qFormat/>
    <w:uiPriority w:val="99"/>
    <w:pPr>
      <w:widowControl/>
      <w:spacing w:before="100" w:beforeAutospacing="1" w:after="100" w:afterAutospacing="1"/>
      <w:jc w:val="left"/>
    </w:pPr>
    <w:rPr>
      <w:rFonts w:hint="eastAsia" w:ascii="宋体" w:hAnsi="宋体"/>
      <w:kern w:val="0"/>
      <w:sz w:val="24"/>
    </w:rPr>
  </w:style>
  <w:style w:type="paragraph" w:styleId="15">
    <w:name w:val="annotation subject"/>
    <w:basedOn w:val="7"/>
    <w:next w:val="7"/>
    <w:link w:val="40"/>
    <w:qFormat/>
    <w:uiPriority w:val="0"/>
    <w:rPr>
      <w:b/>
      <w:bCs/>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page number"/>
    <w:basedOn w:val="18"/>
    <w:qFormat/>
    <w:uiPriority w:val="0"/>
  </w:style>
  <w:style w:type="character" w:styleId="20">
    <w:name w:val="annotation reference"/>
    <w:basedOn w:val="18"/>
    <w:qFormat/>
    <w:uiPriority w:val="0"/>
    <w:rPr>
      <w:sz w:val="21"/>
      <w:szCs w:val="21"/>
    </w:rPr>
  </w:style>
  <w:style w:type="paragraph" w:customStyle="1" w:styleId="21">
    <w:name w:val="表格文字"/>
    <w:basedOn w:val="1"/>
    <w:next w:val="2"/>
    <w:qFormat/>
    <w:uiPriority w:val="0"/>
    <w:pPr>
      <w:adjustRightInd w:val="0"/>
      <w:spacing w:line="420" w:lineRule="atLeast"/>
      <w:jc w:val="left"/>
      <w:textAlignment w:val="baseline"/>
    </w:pPr>
    <w:rPr>
      <w:kern w:val="0"/>
    </w:rPr>
  </w:style>
  <w:style w:type="paragraph" w:customStyle="1" w:styleId="22">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23">
    <w:name w:val="List Paragraph"/>
    <w:basedOn w:val="1"/>
    <w:qFormat/>
    <w:uiPriority w:val="34"/>
    <w:pPr>
      <w:ind w:firstLine="420" w:firstLineChars="200"/>
    </w:pPr>
    <w:rPr>
      <w:rFonts w:ascii="Calibri" w:hAnsi="Calibri"/>
      <w:szCs w:val="22"/>
    </w:rPr>
  </w:style>
  <w:style w:type="paragraph" w:customStyle="1" w:styleId="24">
    <w:name w:val="无间隔1"/>
    <w:qFormat/>
    <w:uiPriority w:val="99"/>
    <w:pPr>
      <w:adjustRightInd w:val="0"/>
      <w:snapToGrid w:val="0"/>
    </w:pPr>
    <w:rPr>
      <w:rFonts w:ascii="Tahoma" w:hAnsi="Tahoma" w:eastAsia="微软雅黑" w:cstheme="minorBidi"/>
      <w:sz w:val="22"/>
      <w:szCs w:val="22"/>
      <w:lang w:val="en-US" w:eastAsia="zh-CN" w:bidi="ar-SA"/>
    </w:rPr>
  </w:style>
  <w:style w:type="paragraph" w:customStyle="1" w:styleId="25">
    <w:name w:val="列出段落1"/>
    <w:basedOn w:val="1"/>
    <w:qFormat/>
    <w:uiPriority w:val="0"/>
    <w:pPr>
      <w:ind w:firstLine="420" w:firstLineChars="200"/>
    </w:pPr>
    <w:rPr>
      <w:rFonts w:ascii="Calibri" w:hAnsi="Calibri"/>
      <w:kern w:val="0"/>
      <w:szCs w:val="20"/>
    </w:rPr>
  </w:style>
  <w:style w:type="paragraph" w:customStyle="1" w:styleId="26">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2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正文_14"/>
    <w:qFormat/>
    <w:uiPriority w:val="0"/>
    <w:rPr>
      <w:rFonts w:ascii="Times New Roman" w:hAnsi="Times New Roman" w:eastAsia="宋体" w:cs="Times New Roman"/>
      <w:sz w:val="21"/>
      <w:szCs w:val="22"/>
      <w:lang w:val="en-US" w:eastAsia="zh-CN" w:bidi="ar-SA"/>
    </w:rPr>
  </w:style>
  <w:style w:type="paragraph" w:customStyle="1" w:styleId="30">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纯文本_3"/>
    <w:basedOn w:val="32"/>
    <w:qFormat/>
    <w:uiPriority w:val="0"/>
    <w:pPr>
      <w:widowControl/>
      <w:jc w:val="left"/>
    </w:pPr>
    <w:rPr>
      <w:rFonts w:ascii="宋体" w:hAnsi="Courier New" w:eastAsiaTheme="minorEastAsia" w:cstheme="minorBidi"/>
      <w:szCs w:val="21"/>
    </w:rPr>
  </w:style>
  <w:style w:type="paragraph" w:customStyle="1" w:styleId="34">
    <w:name w:val="纯文本_0_1"/>
    <w:basedOn w:val="1"/>
    <w:qFormat/>
    <w:uiPriority w:val="0"/>
    <w:pPr>
      <w:widowControl/>
      <w:jc w:val="left"/>
    </w:pPr>
    <w:rPr>
      <w:rFonts w:ascii="宋体" w:hAnsi="Courier New" w:eastAsiaTheme="minorEastAsia" w:cstheme="minorBidi"/>
      <w:szCs w:val="21"/>
    </w:rPr>
  </w:style>
  <w:style w:type="paragraph" w:customStyle="1" w:styleId="35">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39">
    <w:name w:val="批注文字 Char"/>
    <w:basedOn w:val="18"/>
    <w:link w:val="7"/>
    <w:qFormat/>
    <w:uiPriority w:val="0"/>
    <w:rPr>
      <w:rFonts w:ascii="Times New Roman" w:hAnsi="Times New Roman" w:eastAsia="宋体" w:cs="Times New Roman"/>
      <w:kern w:val="2"/>
      <w:sz w:val="21"/>
      <w:szCs w:val="24"/>
    </w:rPr>
  </w:style>
  <w:style w:type="character" w:customStyle="1" w:styleId="40">
    <w:name w:val="批注主题 Char"/>
    <w:basedOn w:val="39"/>
    <w:link w:val="15"/>
    <w:qFormat/>
    <w:uiPriority w:val="0"/>
    <w:rPr>
      <w:rFonts w:ascii="Times New Roman" w:hAnsi="Times New Roman" w:eastAsia="宋体" w:cs="Times New Roman"/>
      <w:b/>
      <w:bCs/>
      <w:kern w:val="2"/>
      <w:sz w:val="21"/>
      <w:szCs w:val="24"/>
    </w:rPr>
  </w:style>
  <w:style w:type="character" w:customStyle="1" w:styleId="41">
    <w:name w:val="批注框文本 Char"/>
    <w:basedOn w:val="18"/>
    <w:link w:val="11"/>
    <w:qFormat/>
    <w:uiPriority w:val="0"/>
    <w:rPr>
      <w:rFonts w:ascii="Times New Roman" w:hAnsi="Times New Roman" w:eastAsia="宋体" w:cs="Times New Roman"/>
      <w:kern w:val="2"/>
      <w:sz w:val="18"/>
      <w:szCs w:val="18"/>
    </w:rPr>
  </w:style>
  <w:style w:type="character" w:customStyle="1" w:styleId="42">
    <w:name w:val="正文文本缩进 Char"/>
    <w:basedOn w:val="18"/>
    <w:link w:val="8"/>
    <w:qFormat/>
    <w:uiPriority w:val="0"/>
    <w:rPr>
      <w:kern w:val="2"/>
      <w:sz w:val="21"/>
      <w:szCs w:val="24"/>
    </w:rPr>
  </w:style>
  <w:style w:type="paragraph" w:customStyle="1" w:styleId="43">
    <w:name w:val="正文 New New New New"/>
    <w:qFormat/>
    <w:uiPriority w:val="0"/>
    <w:pPr>
      <w:widowControl w:val="0"/>
      <w:jc w:val="both"/>
    </w:pPr>
    <w:rPr>
      <w:rFonts w:ascii="Times New Roman" w:hAnsi="Times New Roman" w:eastAsia="Arial Unicode MS" w:cs="Arial Unicode MS"/>
      <w:color w:val="000000"/>
      <w:lang w:val="en-US" w:eastAsia="zh-CN" w:bidi="ar-SA"/>
    </w:rPr>
  </w:style>
  <w:style w:type="paragraph" w:customStyle="1" w:styleId="44">
    <w:name w:val="列出段落2"/>
    <w:qFormat/>
    <w:uiPriority w:val="0"/>
    <w:pPr>
      <w:widowControl w:val="0"/>
      <w:ind w:firstLine="420"/>
      <w:jc w:val="both"/>
    </w:pPr>
    <w:rPr>
      <w:rFonts w:ascii="Calibri" w:hAnsi="Calibri" w:eastAsia="Calibri" w:cs="Calibri"/>
      <w:color w:val="000000"/>
      <w:kern w:val="2"/>
      <w:sz w:val="24"/>
      <w:szCs w:val="24"/>
      <w:lang w:val="en-US" w:eastAsia="zh-CN" w:bidi="ar-SA"/>
    </w:rPr>
  </w:style>
  <w:style w:type="character" w:customStyle="1" w:styleId="45">
    <w:name w:val="b titlename wangputoptitle"/>
    <w:basedOn w:val="18"/>
    <w:qFormat/>
    <w:uiPriority w:val="0"/>
  </w:style>
  <w:style w:type="character" w:customStyle="1" w:styleId="46">
    <w:name w:val="font3"/>
    <w:basedOn w:val="18"/>
    <w:uiPriority w:val="0"/>
  </w:style>
  <w:style w:type="character" w:customStyle="1" w:styleId="47">
    <w:name w:val="font131"/>
    <w:uiPriority w:val="0"/>
    <w:rPr>
      <w:rFonts w:hint="eastAsia" w:ascii="宋体" w:hAnsi="宋体" w:eastAsia="宋体" w:cs="宋体"/>
      <w:b/>
      <w:color w:val="000000"/>
      <w:sz w:val="20"/>
      <w:szCs w:val="20"/>
      <w:u w:val="single"/>
    </w:rPr>
  </w:style>
  <w:style w:type="character" w:customStyle="1" w:styleId="48">
    <w:name w:val="font71"/>
    <w:uiPriority w:val="0"/>
    <w:rPr>
      <w:rFonts w:hint="eastAsia" w:ascii="宋体" w:hAnsi="宋体" w:eastAsia="宋体" w:cs="宋体"/>
      <w:color w:val="000000"/>
      <w:sz w:val="20"/>
      <w:szCs w:val="20"/>
      <w:u w:val="none"/>
    </w:rPr>
  </w:style>
  <w:style w:type="character" w:customStyle="1" w:styleId="49">
    <w:name w:val="font51"/>
    <w:uiPriority w:val="0"/>
    <w:rPr>
      <w:rFonts w:hint="eastAsia" w:ascii="宋体" w:hAnsi="宋体" w:eastAsia="宋体" w:cs="宋体"/>
      <w:b/>
      <w:color w:val="000000"/>
      <w:sz w:val="20"/>
      <w:szCs w:val="20"/>
      <w:u w:val="single"/>
    </w:rPr>
  </w:style>
  <w:style w:type="character" w:customStyle="1" w:styleId="50">
    <w:name w:val="font201"/>
    <w:qFormat/>
    <w:uiPriority w:val="0"/>
    <w:rPr>
      <w:rFonts w:hint="eastAsia" w:ascii="宋体" w:hAnsi="宋体" w:eastAsia="宋体" w:cs="宋体"/>
      <w:color w:val="000000"/>
      <w:sz w:val="20"/>
      <w:szCs w:val="20"/>
      <w:u w:val="single"/>
    </w:rPr>
  </w:style>
  <w:style w:type="character" w:customStyle="1" w:styleId="51">
    <w:name w:val="font101"/>
    <w:qFormat/>
    <w:uiPriority w:val="0"/>
    <w:rPr>
      <w:rFonts w:hint="eastAsia" w:ascii="宋体" w:hAnsi="宋体" w:eastAsia="宋体" w:cs="宋体"/>
      <w:color w:val="000000"/>
      <w:sz w:val="20"/>
      <w:szCs w:val="20"/>
      <w:u w:val="none"/>
    </w:rPr>
  </w:style>
  <w:style w:type="character" w:customStyle="1" w:styleId="52">
    <w:name w:val="font81"/>
    <w:qFormat/>
    <w:uiPriority w:val="0"/>
    <w:rPr>
      <w:rFonts w:hint="eastAsia" w:ascii="宋体" w:hAnsi="宋体" w:eastAsia="宋体" w:cs="宋体"/>
      <w:color w:val="000000"/>
      <w:sz w:val="20"/>
      <w:szCs w:val="20"/>
      <w:u w:val="none"/>
    </w:rPr>
  </w:style>
  <w:style w:type="character" w:customStyle="1" w:styleId="53">
    <w:name w:val="font212"/>
    <w:qFormat/>
    <w:uiPriority w:val="0"/>
    <w:rPr>
      <w:rFonts w:hint="eastAsia" w:ascii="宋体" w:hAnsi="宋体" w:eastAsia="宋体" w:cs="宋体"/>
      <w:b/>
      <w:color w:val="000000"/>
      <w:sz w:val="20"/>
      <w:szCs w:val="20"/>
      <w:u w:val="none"/>
    </w:rPr>
  </w:style>
  <w:style w:type="character" w:customStyle="1" w:styleId="54">
    <w:name w:val="font221"/>
    <w:qFormat/>
    <w:uiPriority w:val="0"/>
    <w:rPr>
      <w:rFonts w:hint="eastAsia" w:ascii="宋体" w:hAnsi="宋体" w:eastAsia="宋体" w:cs="宋体"/>
      <w:b/>
      <w:color w:val="000000"/>
      <w:sz w:val="22"/>
      <w:szCs w:val="22"/>
      <w:u w:val="single"/>
    </w:rPr>
  </w:style>
  <w:style w:type="character" w:customStyle="1" w:styleId="55">
    <w:name w:val="font231"/>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69</Pages>
  <Words>5692</Words>
  <Characters>32446</Characters>
  <Lines>270</Lines>
  <Paragraphs>76</Paragraphs>
  <TotalTime>14</TotalTime>
  <ScaleCrop>false</ScaleCrop>
  <LinksUpToDate>false</LinksUpToDate>
  <CharactersWithSpaces>38062</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2019-07-01T01:12:00Z</dcterms:created>
  <dc:creator>S-mile</dc:creator>
  <cp:lastModifiedBy>Le.YonG.</cp:lastModifiedBy>
  <dcterms:modified xsi:type="dcterms:W3CDTF">2019-08-28T02:17:00Z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