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000000" w:themeColor="text1"/>
          <w:kern w:val="0"/>
          <w:sz w:val="52"/>
          <w:szCs w:val="52"/>
          <w:highlight w:val="none"/>
          <w14:textFill>
            <w14:solidFill>
              <w14:schemeClr w14:val="tx1"/>
            </w14:solidFill>
          </w14:textFill>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000000" w:themeColor="text1"/>
          <w:kern w:val="0"/>
          <w:sz w:val="52"/>
          <w:highlight w:val="none"/>
          <w14:textFill>
            <w14:solidFill>
              <w14:schemeClr w14:val="tx1"/>
            </w14:solidFill>
          </w14:textFill>
        </w:rPr>
      </w:pPr>
      <w:r>
        <w:rPr>
          <w:rFonts w:hint="eastAsia" w:ascii="宋体"/>
          <w:b/>
          <w:color w:val="000000" w:themeColor="text1"/>
          <w:kern w:val="0"/>
          <w:sz w:val="52"/>
          <w:highlight w:val="none"/>
          <w14:textFill>
            <w14:solidFill>
              <w14:schemeClr w14:val="tx1"/>
            </w14:solidFill>
          </w14:textFill>
        </w:rPr>
        <w:t>玉环市政府采购</w:t>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000000" w:themeColor="text1"/>
          <w:kern w:val="0"/>
          <w:sz w:val="52"/>
          <w:szCs w:val="52"/>
          <w:highlight w:val="none"/>
          <w14:textFill>
            <w14:solidFill>
              <w14:schemeClr w14:val="tx1"/>
            </w14:solidFill>
          </w14:textFill>
        </w:rPr>
      </w:pPr>
      <w:r>
        <w:rPr>
          <w:rFonts w:hint="eastAsia" w:ascii="宋体"/>
          <w:b/>
          <w:color w:val="000000" w:themeColor="text1"/>
          <w:kern w:val="0"/>
          <w:sz w:val="52"/>
          <w:szCs w:val="52"/>
          <w:highlight w:val="none"/>
          <w14:textFill>
            <w14:solidFill>
              <w14:schemeClr w14:val="tx1"/>
            </w14:solidFill>
          </w14:textFill>
        </w:rPr>
        <w:t>招标文件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hint="eastAsia" w:ascii="宋体" w:hAnsi="宋体" w:cs="宋体"/>
          <w:b/>
          <w:bCs/>
          <w:color w:val="000000" w:themeColor="text1"/>
          <w:kern w:val="0"/>
          <w:sz w:val="32"/>
          <w:szCs w:val="32"/>
          <w:highlight w:val="none"/>
          <w:lang w:eastAsia="zh-CN"/>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b/>
          <w:color w:val="000000" w:themeColor="text1"/>
          <w:kern w:val="0"/>
          <w:sz w:val="32"/>
          <w:highlight w:val="none"/>
          <w14:textFill>
            <w14:solidFill>
              <w14:schemeClr w14:val="tx1"/>
            </w14:solidFill>
          </w14:textFill>
        </w:rPr>
      </w:pPr>
      <w:r>
        <w:rPr>
          <w:rFonts w:hint="eastAsia" w:ascii="宋体" w:hAnsi="宋体" w:cs="宋体"/>
          <w:b/>
          <w:bCs/>
          <w:color w:val="000000" w:themeColor="text1"/>
          <w:kern w:val="0"/>
          <w:sz w:val="32"/>
          <w:szCs w:val="32"/>
          <w:highlight w:val="none"/>
          <w:lang w:eastAsia="zh-CN"/>
          <w14:textFill>
            <w14:solidFill>
              <w14:schemeClr w14:val="tx1"/>
            </w14:solidFill>
          </w14:textFill>
        </w:rPr>
        <w:t>HQ-YHZFCG-2019-72</w:t>
      </w:r>
      <w:r>
        <w:rPr>
          <w:rFonts w:hint="eastAsia" w:ascii="宋体" w:hAnsi="宋体" w:cs="宋体"/>
          <w:b/>
          <w:bCs/>
          <w:color w:val="000000" w:themeColor="text1"/>
          <w:kern w:val="0"/>
          <w:sz w:val="32"/>
          <w:szCs w:val="32"/>
          <w:highlight w:val="none"/>
          <w14:textFill>
            <w14:solidFill>
              <w14:schemeClr w14:val="tx1"/>
            </w14:solidFill>
          </w14:textFill>
        </w:rPr>
        <w:t xml:space="preserve"> </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themeColor="text1"/>
          <w:kern w:val="0"/>
          <w:sz w:val="24"/>
          <w:highlight w:val="none"/>
          <w14:textFill>
            <w14:solidFill>
              <w14:schemeClr w14:val="tx1"/>
            </w14:solidFill>
          </w14:textFill>
        </w:rPr>
      </w:pPr>
    </w:p>
    <w:p>
      <w:pPr>
        <w:autoSpaceDE w:val="0"/>
        <w:autoSpaceDN w:val="0"/>
        <w:adjustRightInd w:val="0"/>
        <w:spacing w:line="360" w:lineRule="auto"/>
        <w:rPr>
          <w:rFonts w:ascii="宋体"/>
          <w:b/>
          <w:color w:val="000000" w:themeColor="text1"/>
          <w:kern w:val="0"/>
          <w:sz w:val="52"/>
          <w:szCs w:val="52"/>
          <w:highlight w:val="none"/>
          <w14:textFill>
            <w14:solidFill>
              <w14:schemeClr w14:val="tx1"/>
            </w14:solidFill>
          </w14:textFill>
        </w:rPr>
      </w:pPr>
    </w:p>
    <w:p>
      <w:pPr>
        <w:autoSpaceDE w:val="0"/>
        <w:autoSpaceDN w:val="0"/>
        <w:adjustRightInd w:val="0"/>
        <w:spacing w:line="360" w:lineRule="auto"/>
        <w:ind w:firstLine="1797" w:firstLineChars="642"/>
        <w:jc w:val="left"/>
        <w:rPr>
          <w:rFonts w:ascii="宋体"/>
          <w:color w:val="000000" w:themeColor="text1"/>
          <w:kern w:val="0"/>
          <w:sz w:val="28"/>
          <w:highlight w:val="none"/>
          <w14:textFill>
            <w14:solidFill>
              <w14:schemeClr w14:val="tx1"/>
            </w14:solidFill>
          </w14:textFill>
        </w:rPr>
      </w:pPr>
    </w:p>
    <w:p>
      <w:pPr>
        <w:autoSpaceDE w:val="0"/>
        <w:autoSpaceDN w:val="0"/>
        <w:adjustRightInd w:val="0"/>
        <w:spacing w:line="360" w:lineRule="auto"/>
        <w:ind w:left="3352" w:leftChars="854" w:hanging="1559" w:hangingChars="557"/>
        <w:jc w:val="left"/>
        <w:rPr>
          <w:rFonts w:ascii="宋体"/>
          <w:color w:val="000000" w:themeColor="text1"/>
          <w:kern w:val="0"/>
          <w:sz w:val="28"/>
          <w:highlight w:val="none"/>
          <w14:textFill>
            <w14:solidFill>
              <w14:schemeClr w14:val="tx1"/>
            </w14:solidFill>
          </w14:textFill>
        </w:rPr>
      </w:pPr>
      <w:r>
        <w:rPr>
          <w:rFonts w:hint="eastAsia" w:ascii="宋体"/>
          <w:color w:val="000000" w:themeColor="text1"/>
          <w:kern w:val="0"/>
          <w:sz w:val="28"/>
          <w:highlight w:val="none"/>
          <w14:textFill>
            <w14:solidFill>
              <w14:schemeClr w14:val="tx1"/>
            </w14:solidFill>
          </w14:textFill>
        </w:rPr>
        <w:t>采购项目：</w:t>
      </w:r>
      <w:r>
        <w:rPr>
          <w:rFonts w:hint="eastAsia" w:ascii="宋体" w:hAnsi="宋体" w:cs="宋体"/>
          <w:color w:val="000000" w:themeColor="text1"/>
          <w:kern w:val="0"/>
          <w:sz w:val="28"/>
          <w:szCs w:val="28"/>
          <w:highlight w:val="none"/>
          <w14:textFill>
            <w14:solidFill>
              <w14:schemeClr w14:val="tx1"/>
            </w14:solidFill>
          </w14:textFill>
        </w:rPr>
        <w:t>玉环市人民医院健共体集团基于集成平台的信息系统建设</w:t>
      </w:r>
    </w:p>
    <w:p>
      <w:pPr>
        <w:autoSpaceDE w:val="0"/>
        <w:autoSpaceDN w:val="0"/>
        <w:adjustRightInd w:val="0"/>
        <w:spacing w:line="360" w:lineRule="auto"/>
        <w:ind w:left="1441" w:firstLine="280"/>
        <w:rPr>
          <w:rFonts w:ascii="宋体"/>
          <w:color w:val="000000" w:themeColor="text1"/>
          <w:kern w:val="0"/>
          <w:sz w:val="28"/>
          <w:highlight w:val="none"/>
          <w14:textFill>
            <w14:solidFill>
              <w14:schemeClr w14:val="tx1"/>
            </w14:solidFill>
          </w14:textFill>
        </w:rPr>
      </w:pPr>
      <w:r>
        <w:rPr>
          <w:rFonts w:hint="eastAsia" w:ascii="宋体"/>
          <w:color w:val="000000" w:themeColor="text1"/>
          <w:kern w:val="0"/>
          <w:sz w:val="28"/>
          <w:highlight w:val="none"/>
          <w14:textFill>
            <w14:solidFill>
              <w14:schemeClr w14:val="tx1"/>
            </w14:solidFill>
          </w14:textFill>
        </w:rPr>
        <w:t xml:space="preserve"> 采购人：</w:t>
      </w:r>
      <w:r>
        <w:rPr>
          <w:rFonts w:hint="eastAsia" w:ascii="宋体" w:hAnsi="宋体" w:cs="宋体"/>
          <w:color w:val="000000" w:themeColor="text1"/>
          <w:kern w:val="0"/>
          <w:sz w:val="28"/>
          <w:szCs w:val="28"/>
          <w:highlight w:val="none"/>
          <w14:textFill>
            <w14:solidFill>
              <w14:schemeClr w14:val="tx1"/>
            </w14:solidFill>
          </w14:textFill>
        </w:rPr>
        <w:t>玉环市人民医院健共体集团</w:t>
      </w:r>
    </w:p>
    <w:p>
      <w:pPr>
        <w:autoSpaceDE w:val="0"/>
        <w:autoSpaceDN w:val="0"/>
        <w:adjustRightInd w:val="0"/>
        <w:spacing w:line="360" w:lineRule="auto"/>
        <w:rPr>
          <w:rFonts w:ascii="宋体"/>
          <w:color w:val="000000" w:themeColor="text1"/>
          <w:kern w:val="0"/>
          <w:sz w:val="28"/>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themeColor="text1"/>
          <w:kern w:val="0"/>
          <w:sz w:val="32"/>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themeColor="text1"/>
          <w:kern w:val="0"/>
          <w:sz w:val="32"/>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themeColor="text1"/>
          <w:kern w:val="0"/>
          <w:sz w:val="32"/>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themeColor="text1"/>
          <w:kern w:val="0"/>
          <w:sz w:val="32"/>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color w:val="000000" w:themeColor="text1"/>
          <w:kern w:val="0"/>
          <w:sz w:val="32"/>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30"/>
          <w:szCs w:val="30"/>
          <w:highlight w:val="none"/>
          <w14:textFill>
            <w14:solidFill>
              <w14:schemeClr w14:val="tx1"/>
            </w14:solidFill>
          </w14:textFill>
        </w:rPr>
        <w:t xml:space="preserve"> </w:t>
      </w:r>
      <w:r>
        <w:rPr>
          <w:rFonts w:hint="eastAsia" w:ascii="宋体" w:hAnsi="宋体" w:cs="宋体"/>
          <w:color w:val="000000" w:themeColor="text1"/>
          <w:kern w:val="0"/>
          <w:sz w:val="28"/>
          <w:szCs w:val="28"/>
          <w:highlight w:val="none"/>
          <w14:textFill>
            <w14:solidFill>
              <w14:schemeClr w14:val="tx1"/>
            </w14:solidFill>
          </w14:textFill>
        </w:rPr>
        <w:t>杭州华旗招标代理有限公司</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1960" w:firstLineChars="7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2019年</w:t>
      </w:r>
      <w:r>
        <w:rPr>
          <w:rFonts w:hint="eastAsia" w:ascii="宋体" w:hAnsi="宋体" w:cs="宋体"/>
          <w:color w:val="000000" w:themeColor="text1"/>
          <w:kern w:val="0"/>
          <w:sz w:val="28"/>
          <w:szCs w:val="28"/>
          <w:highlight w:val="none"/>
          <w:lang w:val="en-US" w:eastAsia="zh-CN"/>
          <w14:textFill>
            <w14:solidFill>
              <w14:schemeClr w14:val="tx1"/>
            </w14:solidFill>
          </w14:textFill>
        </w:rPr>
        <w:t>8</w:t>
      </w:r>
      <w:r>
        <w:rPr>
          <w:rFonts w:hint="eastAsia" w:ascii="宋体" w:hAnsi="宋体" w:cs="宋体"/>
          <w:color w:val="000000" w:themeColor="text1"/>
          <w:kern w:val="0"/>
          <w:sz w:val="28"/>
          <w:szCs w:val="28"/>
          <w:highlight w:val="none"/>
          <w14:textFill>
            <w14:solidFill>
              <w14:schemeClr w14:val="tx1"/>
            </w14:solidFill>
          </w14:textFill>
        </w:rPr>
        <w:t>月</w:t>
      </w:r>
      <w:r>
        <w:rPr>
          <w:rFonts w:hint="eastAsia" w:ascii="宋体" w:hAnsi="宋体" w:cs="宋体"/>
          <w:color w:val="000000" w:themeColor="text1"/>
          <w:kern w:val="0"/>
          <w:sz w:val="28"/>
          <w:szCs w:val="28"/>
          <w:highlight w:val="none"/>
          <w:lang w:val="en-US" w:eastAsia="zh-CN"/>
          <w14:textFill>
            <w14:solidFill>
              <w14:schemeClr w14:val="tx1"/>
            </w14:solidFill>
          </w14:textFill>
        </w:rPr>
        <w:t>28</w:t>
      </w:r>
      <w:r>
        <w:rPr>
          <w:rFonts w:hint="eastAsia" w:ascii="宋体" w:hAnsi="宋体" w:cs="宋体"/>
          <w:color w:val="000000" w:themeColor="text1"/>
          <w:kern w:val="0"/>
          <w:sz w:val="28"/>
          <w:szCs w:val="28"/>
          <w:highlight w:val="none"/>
          <w14:textFill>
            <w14:solidFill>
              <w14:schemeClr w14:val="tx1"/>
            </w14:solidFill>
          </w14:textFill>
        </w:rPr>
        <w:t>日</w:t>
      </w: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jc w:val="center"/>
        <w:rPr>
          <w:rFonts w:ascii="宋体" w:hAnsi="宋体" w:cs="Arial"/>
          <w:b/>
          <w:bCs/>
          <w:color w:val="000000" w:themeColor="text1"/>
          <w:sz w:val="36"/>
          <w:szCs w:val="36"/>
          <w:highlight w:val="none"/>
          <w14:textFill>
            <w14:solidFill>
              <w14:schemeClr w14:val="tx1"/>
            </w14:solidFill>
          </w14:textFill>
        </w:rPr>
      </w:pPr>
      <w:r>
        <w:rPr>
          <w:rFonts w:hint="eastAsia" w:ascii="宋体" w:hAnsi="宋体" w:cs="Arial"/>
          <w:b/>
          <w:bCs/>
          <w:color w:val="000000" w:themeColor="text1"/>
          <w:sz w:val="36"/>
          <w:szCs w:val="36"/>
          <w:highlight w:val="none"/>
          <w14:textFill>
            <w14:solidFill>
              <w14:schemeClr w14:val="tx1"/>
            </w14:solidFill>
          </w14:textFill>
        </w:rPr>
        <w:t>目    录</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ascii="宋体" w:hAnsi="宋体"/>
          <w:b/>
          <w:color w:val="000000" w:themeColor="text1"/>
          <w:sz w:val="36"/>
          <w:highlight w:val="none"/>
          <w14:textFill>
            <w14:solidFill>
              <w14:schemeClr w14:val="tx1"/>
            </w14:solidFill>
          </w14:textFill>
        </w:rPr>
      </w:pPr>
    </w:p>
    <w:p>
      <w:pPr>
        <w:spacing w:line="360" w:lineRule="auto"/>
        <w:rPr>
          <w:rFonts w:ascii="新宋体" w:hAnsi="新宋体" w:eastAsia="新宋体"/>
          <w:color w:val="000000" w:themeColor="text1"/>
          <w:sz w:val="28"/>
          <w:szCs w:val="28"/>
          <w:highlight w:val="none"/>
          <w14:textFill>
            <w14:solidFill>
              <w14:schemeClr w14:val="tx1"/>
            </w14:solidFill>
          </w14:textFill>
        </w:rPr>
      </w:pPr>
    </w:p>
    <w:p>
      <w:pPr>
        <w:numPr>
          <w:ilvl w:val="0"/>
          <w:numId w:val="3"/>
        </w:numPr>
        <w:spacing w:line="360" w:lineRule="auto"/>
        <w:rPr>
          <w:rFonts w:asciiTheme="minorEastAsia" w:hAnsiTheme="minorEastAsia" w:eastAsia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b/>
          <w:color w:val="000000" w:themeColor="text1"/>
          <w:sz w:val="28"/>
          <w:szCs w:val="28"/>
          <w:highlight w:val="none"/>
          <w14:textFill>
            <w14:solidFill>
              <w14:schemeClr w14:val="tx1"/>
            </w14:solidFill>
          </w14:textFill>
        </w:rPr>
        <w:t>公开招标采购公告</w:t>
      </w:r>
    </w:p>
    <w:p>
      <w:pPr>
        <w:numPr>
          <w:ilvl w:val="0"/>
          <w:numId w:val="3"/>
        </w:numPr>
        <w:spacing w:line="360" w:lineRule="auto"/>
        <w:rPr>
          <w:rFonts w:asciiTheme="minorEastAsia" w:hAnsiTheme="minorEastAsia" w:eastAsia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b/>
          <w:color w:val="000000" w:themeColor="text1"/>
          <w:sz w:val="28"/>
          <w:szCs w:val="28"/>
          <w:highlight w:val="none"/>
          <w14:textFill>
            <w14:solidFill>
              <w14:schemeClr w14:val="tx1"/>
            </w14:solidFill>
          </w14:textFill>
        </w:rPr>
        <w:t>投标人须知</w:t>
      </w:r>
    </w:p>
    <w:p>
      <w:pPr>
        <w:numPr>
          <w:ilvl w:val="0"/>
          <w:numId w:val="3"/>
        </w:numPr>
        <w:spacing w:line="360" w:lineRule="auto"/>
        <w:rPr>
          <w:rFonts w:asciiTheme="minorEastAsia" w:hAnsiTheme="minorEastAsia" w:eastAsia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b/>
          <w:color w:val="000000" w:themeColor="text1"/>
          <w:sz w:val="28"/>
          <w:szCs w:val="28"/>
          <w:highlight w:val="none"/>
          <w14:textFill>
            <w14:solidFill>
              <w14:schemeClr w14:val="tx1"/>
            </w14:solidFill>
          </w14:textFill>
        </w:rPr>
        <w:t>评标办法及评分标准</w:t>
      </w:r>
    </w:p>
    <w:p>
      <w:pPr>
        <w:numPr>
          <w:ilvl w:val="0"/>
          <w:numId w:val="3"/>
        </w:numPr>
        <w:spacing w:line="360" w:lineRule="auto"/>
        <w:rPr>
          <w:rFonts w:asciiTheme="minorEastAsia" w:hAnsiTheme="minorEastAsia" w:eastAsia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b/>
          <w:color w:val="000000" w:themeColor="text1"/>
          <w:sz w:val="28"/>
          <w:szCs w:val="28"/>
          <w:highlight w:val="none"/>
          <w14:textFill>
            <w14:solidFill>
              <w14:schemeClr w14:val="tx1"/>
            </w14:solidFill>
          </w14:textFill>
        </w:rPr>
        <w:t>公开招标需求</w:t>
      </w:r>
    </w:p>
    <w:p>
      <w:pPr>
        <w:numPr>
          <w:ilvl w:val="0"/>
          <w:numId w:val="3"/>
        </w:numPr>
        <w:spacing w:line="360" w:lineRule="auto"/>
        <w:rPr>
          <w:rFonts w:asciiTheme="minorEastAsia" w:hAnsiTheme="minorEastAsia" w:eastAsia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b/>
          <w:color w:val="000000" w:themeColor="text1"/>
          <w:sz w:val="28"/>
          <w:szCs w:val="28"/>
          <w:highlight w:val="none"/>
          <w14:textFill>
            <w14:solidFill>
              <w14:schemeClr w14:val="tx1"/>
            </w14:solidFill>
          </w14:textFill>
        </w:rPr>
        <w:t>政府采购合同主要条款指引</w:t>
      </w:r>
    </w:p>
    <w:p>
      <w:pPr>
        <w:numPr>
          <w:ilvl w:val="0"/>
          <w:numId w:val="3"/>
        </w:numPr>
        <w:spacing w:line="360" w:lineRule="auto"/>
        <w:rPr>
          <w:rFonts w:asciiTheme="minorEastAsia" w:hAnsiTheme="minorEastAsia" w:eastAsia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b/>
          <w:color w:val="000000" w:themeColor="text1"/>
          <w:sz w:val="28"/>
          <w:szCs w:val="28"/>
          <w:highlight w:val="none"/>
          <w14:textFill>
            <w14:solidFill>
              <w14:schemeClr w14:val="tx1"/>
            </w14:solidFill>
          </w14:textFill>
        </w:rPr>
        <w:t>投标文件格式附件</w:t>
      </w: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360" w:lineRule="auto"/>
        <w:ind w:right="23"/>
        <w:jc w:val="center"/>
        <w:rPr>
          <w:rFonts w:asciiTheme="majorEastAsia" w:hAnsiTheme="majorEastAsia" w:eastAsiaTheme="majorEastAsia"/>
          <w:b/>
          <w:color w:val="000000" w:themeColor="text1"/>
          <w:kern w:val="0"/>
          <w:sz w:val="36"/>
          <w:szCs w:val="36"/>
          <w:highlight w:val="none"/>
          <w14:textFill>
            <w14:solidFill>
              <w14:schemeClr w14:val="tx1"/>
            </w14:solidFill>
          </w14:textFill>
        </w:rPr>
      </w:pPr>
      <w:r>
        <w:rPr>
          <w:rFonts w:hint="eastAsia" w:asciiTheme="majorEastAsia" w:hAnsiTheme="majorEastAsia" w:eastAsiaTheme="majorEastAsia"/>
          <w:b/>
          <w:color w:val="000000" w:themeColor="text1"/>
          <w:kern w:val="0"/>
          <w:sz w:val="36"/>
          <w:szCs w:val="36"/>
          <w:highlight w:val="none"/>
          <w14:textFill>
            <w14:solidFill>
              <w14:schemeClr w14:val="tx1"/>
            </w14:solidFill>
          </w14:textFill>
        </w:rPr>
        <w:t>第一章  公开</w:t>
      </w:r>
      <w:r>
        <w:rPr>
          <w:rFonts w:hint="eastAsia" w:asciiTheme="majorEastAsia" w:hAnsiTheme="majorEastAsia" w:eastAsiaTheme="majorEastAsia"/>
          <w:b/>
          <w:color w:val="000000" w:themeColor="text1"/>
          <w:sz w:val="36"/>
          <w:szCs w:val="36"/>
          <w:highlight w:val="none"/>
          <w14:textFill>
            <w14:solidFill>
              <w14:schemeClr w14:val="tx1"/>
            </w14:solidFill>
          </w14:textFill>
        </w:rPr>
        <w:t>招标采购公告</w:t>
      </w:r>
    </w:p>
    <w:p>
      <w:pPr>
        <w:tabs>
          <w:tab w:val="left" w:pos="180"/>
          <w:tab w:val="left" w:pos="360"/>
          <w:tab w:val="left" w:pos="540"/>
          <w:tab w:val="left" w:pos="8280"/>
        </w:tabs>
        <w:autoSpaceDE w:val="0"/>
        <w:autoSpaceDN w:val="0"/>
        <w:adjustRightInd w:val="0"/>
        <w:spacing w:before="312" w:beforeLines="100" w:line="480" w:lineRule="exact"/>
        <w:ind w:right="23" w:firstLine="539"/>
        <w:jc w:val="left"/>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根据《中华人民共和国政府采购法》、《中华人民共和国政府采购法实施条例》和财政部令第87号《政府采购货物和服务招标投标管理办法》等有关规定</w:t>
      </w:r>
      <w:r>
        <w:rPr>
          <w:rFonts w:asciiTheme="minorEastAsia" w:hAnsiTheme="minorEastAsia" w:eastAsiaTheme="minorEastAsia"/>
          <w:color w:val="000000" w:themeColor="text1"/>
          <w:kern w:val="0"/>
          <w:sz w:val="24"/>
          <w:highlight w:val="none"/>
          <w14:textFill>
            <w14:solidFill>
              <w14:schemeClr w14:val="tx1"/>
            </w14:solidFill>
          </w14:textFill>
        </w:rPr>
        <w:t xml:space="preserve">, </w:t>
      </w:r>
      <w:r>
        <w:rPr>
          <w:rFonts w:hint="eastAsia" w:asciiTheme="minorEastAsia" w:hAnsiTheme="minorEastAsia" w:eastAsiaTheme="minorEastAsia"/>
          <w:color w:val="000000" w:themeColor="text1"/>
          <w:kern w:val="0"/>
          <w:sz w:val="24"/>
          <w:highlight w:val="none"/>
          <w14:textFill>
            <w14:solidFill>
              <w14:schemeClr w14:val="tx1"/>
            </w14:solidFill>
          </w14:textFill>
        </w:rPr>
        <w:t>受采购人委托，现就</w:t>
      </w:r>
      <w:r>
        <w:rPr>
          <w:rFonts w:hint="eastAsia" w:asciiTheme="minorEastAsia" w:hAnsiTheme="minorEastAsia" w:eastAsiaTheme="minorEastAsia"/>
          <w:color w:val="000000" w:themeColor="text1"/>
          <w:sz w:val="24"/>
          <w:highlight w:val="none"/>
          <w14:textFill>
            <w14:solidFill>
              <w14:schemeClr w14:val="tx1"/>
            </w14:solidFill>
          </w14:textFill>
        </w:rPr>
        <w:t>玉环市人民医院健共体集团基于集成平台的信息系统建设</w:t>
      </w:r>
      <w:r>
        <w:rPr>
          <w:rFonts w:hint="eastAsia" w:asciiTheme="minorEastAsia" w:hAnsiTheme="minorEastAsia" w:eastAsiaTheme="minorEastAsia"/>
          <w:color w:val="000000" w:themeColor="text1"/>
          <w:kern w:val="0"/>
          <w:sz w:val="24"/>
          <w:highlight w:val="none"/>
          <w14:textFill>
            <w14:solidFill>
              <w14:schemeClr w14:val="tx1"/>
            </w14:solidFill>
          </w14:textFill>
        </w:rPr>
        <w:t>项目进行公开招标采购，欢迎合格供应商前来投标。</w:t>
      </w:r>
    </w:p>
    <w:p>
      <w:pPr>
        <w:tabs>
          <w:tab w:val="left" w:pos="180"/>
          <w:tab w:val="left" w:pos="360"/>
          <w:tab w:val="left" w:pos="540"/>
          <w:tab w:val="left" w:pos="8280"/>
        </w:tabs>
        <w:autoSpaceDE w:val="0"/>
        <w:autoSpaceDN w:val="0"/>
        <w:adjustRightInd w:val="0"/>
        <w:spacing w:before="100" w:line="480" w:lineRule="exact"/>
        <w:ind w:left="539" w:right="23"/>
        <w:jc w:val="left"/>
        <w:rPr>
          <w:rFonts w:asciiTheme="minorEastAsia" w:hAnsiTheme="minorEastAsia" w:eastAsia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一、项目编号：</w:t>
      </w:r>
      <w:r>
        <w:rPr>
          <w:rFonts w:hint="eastAsia" w:asciiTheme="minorEastAsia" w:hAnsiTheme="minorEastAsia" w:eastAsiaTheme="minorEastAsia"/>
          <w:b/>
          <w:color w:val="000000" w:themeColor="text1"/>
          <w:kern w:val="0"/>
          <w:sz w:val="24"/>
          <w:highlight w:val="none"/>
          <w:lang w:eastAsia="zh-CN"/>
          <w14:textFill>
            <w14:solidFill>
              <w14:schemeClr w14:val="tx1"/>
            </w14:solidFill>
          </w14:textFill>
        </w:rPr>
        <w:t>HQ-YHZFCG-2019-72</w:t>
      </w:r>
      <w:r>
        <w:rPr>
          <w:rFonts w:hint="eastAsia" w:asciiTheme="minorEastAsia" w:hAnsiTheme="minorEastAsia" w:eastAsiaTheme="minorEastAsia"/>
          <w:b/>
          <w:color w:val="000000" w:themeColor="text1"/>
          <w:kern w:val="0"/>
          <w:sz w:val="24"/>
          <w:highlight w:val="none"/>
          <w14:textFill>
            <w14:solidFill>
              <w14:schemeClr w14:val="tx1"/>
            </w14:solidFill>
          </w14:textFill>
        </w:rPr>
        <w:t xml:space="preserve">  </w:t>
      </w:r>
    </w:p>
    <w:p>
      <w:pPr>
        <w:tabs>
          <w:tab w:val="left" w:pos="180"/>
          <w:tab w:val="left" w:pos="360"/>
          <w:tab w:val="left" w:pos="540"/>
          <w:tab w:val="left" w:pos="8280"/>
        </w:tabs>
        <w:autoSpaceDE w:val="0"/>
        <w:autoSpaceDN w:val="0"/>
        <w:adjustRightInd w:val="0"/>
        <w:spacing w:before="100" w:line="480" w:lineRule="exact"/>
        <w:ind w:left="539" w:right="23"/>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二、招标项目概况：</w:t>
      </w:r>
    </w:p>
    <w:tbl>
      <w:tblPr>
        <w:tblStyle w:val="20"/>
        <w:tblW w:w="82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2274"/>
        <w:gridCol w:w="2166"/>
        <w:gridCol w:w="817"/>
        <w:gridCol w:w="783"/>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5" w:hRule="atLeast"/>
          <w:jc w:val="center"/>
        </w:trPr>
        <w:tc>
          <w:tcPr>
            <w:tcW w:w="1033" w:type="dxa"/>
            <w:vAlign w:val="center"/>
          </w:tcPr>
          <w:p>
            <w:pPr>
              <w:tabs>
                <w:tab w:val="left" w:pos="8280"/>
              </w:tabs>
              <w:autoSpaceDE w:val="0"/>
              <w:autoSpaceDN w:val="0"/>
              <w:adjustRightInd w:val="0"/>
              <w:spacing w:line="480" w:lineRule="exact"/>
              <w:ind w:right="25"/>
              <w:jc w:val="center"/>
              <w:rPr>
                <w:rFonts w:ascii="宋体" w:hAnsi="宋体"/>
                <w:b/>
                <w:color w:val="000000" w:themeColor="text1"/>
                <w:sz w:val="24"/>
                <w:highlight w:val="none"/>
                <w14:textFill>
                  <w14:solidFill>
                    <w14:schemeClr w14:val="tx1"/>
                  </w14:solidFill>
                </w14:textFill>
              </w:rPr>
            </w:pPr>
            <w:bookmarkStart w:id="0" w:name="EBc3c9f0bc06b6413d849824fe98ba274c"/>
            <w:r>
              <w:rPr>
                <w:rFonts w:hint="eastAsia" w:ascii="宋体" w:hAnsi="宋体"/>
                <w:b/>
                <w:color w:val="000000" w:themeColor="text1"/>
                <w:sz w:val="24"/>
                <w:highlight w:val="none"/>
                <w14:textFill>
                  <w14:solidFill>
                    <w14:schemeClr w14:val="tx1"/>
                  </w14:solidFill>
                </w14:textFill>
              </w:rPr>
              <w:t>序号</w:t>
            </w:r>
          </w:p>
        </w:tc>
        <w:tc>
          <w:tcPr>
            <w:tcW w:w="2274" w:type="dxa"/>
            <w:vAlign w:val="center"/>
          </w:tcPr>
          <w:p>
            <w:pPr>
              <w:tabs>
                <w:tab w:val="left" w:pos="8280"/>
              </w:tabs>
              <w:autoSpaceDE w:val="0"/>
              <w:autoSpaceDN w:val="0"/>
              <w:adjustRightInd w:val="0"/>
              <w:spacing w:line="480" w:lineRule="exact"/>
              <w:ind w:right="25"/>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项目名称</w:t>
            </w:r>
          </w:p>
        </w:tc>
        <w:tc>
          <w:tcPr>
            <w:tcW w:w="2166" w:type="dxa"/>
            <w:vAlign w:val="center"/>
          </w:tcPr>
          <w:p>
            <w:pPr>
              <w:tabs>
                <w:tab w:val="left" w:pos="8280"/>
              </w:tabs>
              <w:autoSpaceDE w:val="0"/>
              <w:autoSpaceDN w:val="0"/>
              <w:adjustRightInd w:val="0"/>
              <w:spacing w:line="480" w:lineRule="exact"/>
              <w:ind w:right="25"/>
              <w:rPr>
                <w:rFonts w:ascii="宋体" w:hAnsi="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简要技术要求</w:t>
            </w:r>
          </w:p>
        </w:tc>
        <w:tc>
          <w:tcPr>
            <w:tcW w:w="817" w:type="dxa"/>
            <w:vAlign w:val="center"/>
          </w:tcPr>
          <w:p>
            <w:pPr>
              <w:tabs>
                <w:tab w:val="left" w:pos="8280"/>
              </w:tabs>
              <w:autoSpaceDE w:val="0"/>
              <w:autoSpaceDN w:val="0"/>
              <w:adjustRightInd w:val="0"/>
              <w:spacing w:line="480" w:lineRule="exact"/>
              <w:ind w:right="25"/>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数量</w:t>
            </w:r>
          </w:p>
        </w:tc>
        <w:tc>
          <w:tcPr>
            <w:tcW w:w="783" w:type="dxa"/>
            <w:vAlign w:val="center"/>
          </w:tcPr>
          <w:p>
            <w:pPr>
              <w:tabs>
                <w:tab w:val="left" w:pos="8280"/>
              </w:tabs>
              <w:autoSpaceDE w:val="0"/>
              <w:autoSpaceDN w:val="0"/>
              <w:adjustRightInd w:val="0"/>
              <w:spacing w:line="480" w:lineRule="exact"/>
              <w:ind w:right="25"/>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单位</w:t>
            </w:r>
          </w:p>
        </w:tc>
        <w:tc>
          <w:tcPr>
            <w:tcW w:w="1163" w:type="dxa"/>
            <w:vAlign w:val="center"/>
          </w:tcPr>
          <w:p>
            <w:pPr>
              <w:tabs>
                <w:tab w:val="left" w:pos="8280"/>
              </w:tabs>
              <w:autoSpaceDE w:val="0"/>
              <w:autoSpaceDN w:val="0"/>
              <w:adjustRightInd w:val="0"/>
              <w:spacing w:line="480" w:lineRule="exact"/>
              <w:ind w:right="25"/>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jc w:val="center"/>
        </w:trPr>
        <w:tc>
          <w:tcPr>
            <w:tcW w:w="1033" w:type="dxa"/>
            <w:vAlign w:val="center"/>
          </w:tcPr>
          <w:p>
            <w:pPr>
              <w:tabs>
                <w:tab w:val="left" w:pos="8280"/>
              </w:tabs>
              <w:autoSpaceDE w:val="0"/>
              <w:autoSpaceDN w:val="0"/>
              <w:adjustRightInd w:val="0"/>
              <w:spacing w:line="480" w:lineRule="exact"/>
              <w:ind w:right="2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p>
        </w:tc>
        <w:tc>
          <w:tcPr>
            <w:tcW w:w="2274" w:type="dxa"/>
            <w:vAlign w:val="center"/>
          </w:tcPr>
          <w:p>
            <w:pPr>
              <w:tabs>
                <w:tab w:val="left" w:pos="8280"/>
              </w:tabs>
              <w:autoSpaceDE w:val="0"/>
              <w:autoSpaceDN w:val="0"/>
              <w:adjustRightInd w:val="0"/>
              <w:spacing w:line="480" w:lineRule="exact"/>
              <w:ind w:right="2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玉环市人民医院健共体集团基于集成平台的信息系统建设</w:t>
            </w:r>
          </w:p>
        </w:tc>
        <w:tc>
          <w:tcPr>
            <w:tcW w:w="2166" w:type="dxa"/>
            <w:vAlign w:val="center"/>
          </w:tcPr>
          <w:p>
            <w:pPr>
              <w:tabs>
                <w:tab w:val="left" w:pos="8280"/>
              </w:tabs>
              <w:autoSpaceDE w:val="0"/>
              <w:autoSpaceDN w:val="0"/>
              <w:adjustRightInd w:val="0"/>
              <w:spacing w:line="480" w:lineRule="exact"/>
              <w:ind w:right="2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具体要求详见采购文件第四章</w:t>
            </w:r>
          </w:p>
        </w:tc>
        <w:tc>
          <w:tcPr>
            <w:tcW w:w="817" w:type="dxa"/>
            <w:vAlign w:val="center"/>
          </w:tcPr>
          <w:p>
            <w:pPr>
              <w:widowControl/>
              <w:spacing w:line="48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p>
        </w:tc>
        <w:tc>
          <w:tcPr>
            <w:tcW w:w="783" w:type="dxa"/>
            <w:vAlign w:val="center"/>
          </w:tcPr>
          <w:p>
            <w:pPr>
              <w:tabs>
                <w:tab w:val="left" w:pos="8280"/>
              </w:tabs>
              <w:autoSpaceDE w:val="0"/>
              <w:autoSpaceDN w:val="0"/>
              <w:adjustRightInd w:val="0"/>
              <w:spacing w:line="480" w:lineRule="exact"/>
              <w:ind w:right="25"/>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w:t>
            </w:r>
          </w:p>
        </w:tc>
        <w:tc>
          <w:tcPr>
            <w:tcW w:w="1163" w:type="dxa"/>
            <w:vAlign w:val="center"/>
          </w:tcPr>
          <w:p>
            <w:pPr>
              <w:tabs>
                <w:tab w:val="left" w:pos="8280"/>
              </w:tabs>
              <w:autoSpaceDE w:val="0"/>
              <w:autoSpaceDN w:val="0"/>
              <w:adjustRightInd w:val="0"/>
              <w:spacing w:line="480" w:lineRule="exact"/>
              <w:ind w:right="2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800万元</w:t>
            </w:r>
          </w:p>
        </w:tc>
      </w:tr>
      <w:bookmarkEnd w:id="0"/>
    </w:tbl>
    <w:p>
      <w:pPr>
        <w:tabs>
          <w:tab w:val="left" w:pos="180"/>
          <w:tab w:val="left" w:pos="360"/>
          <w:tab w:val="left" w:pos="540"/>
          <w:tab w:val="left" w:pos="8280"/>
        </w:tabs>
        <w:autoSpaceDE w:val="0"/>
        <w:autoSpaceDN w:val="0"/>
        <w:adjustRightInd w:val="0"/>
        <w:spacing w:before="100" w:line="480" w:lineRule="exact"/>
        <w:ind w:left="539" w:right="23"/>
        <w:jc w:val="left"/>
        <w:rPr>
          <w:rFonts w:asciiTheme="minorEastAsia" w:hAnsiTheme="minorEastAsia" w:eastAsia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三、合格投标人的资格条件：</w:t>
      </w:r>
    </w:p>
    <w:p>
      <w:pPr>
        <w:pStyle w:val="26"/>
        <w:adjustRightInd w:val="0"/>
        <w:snapToGrid w:val="0"/>
        <w:spacing w:before="0" w:line="480" w:lineRule="exact"/>
        <w:ind w:right="102" w:firstLine="240" w:firstLineChars="1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（一）符合《中华人民共和国政府采购法》第二十二条规定的投标人资格条件。</w:t>
      </w:r>
    </w:p>
    <w:p>
      <w:pPr>
        <w:pStyle w:val="26"/>
        <w:adjustRightInd w:val="0"/>
        <w:snapToGrid w:val="0"/>
        <w:spacing w:before="0" w:line="480" w:lineRule="exact"/>
        <w:ind w:right="102" w:firstLine="240" w:firstLineChars="100"/>
        <w:rPr>
          <w:rFonts w:hint="eastAsia" w:ascii="宋体" w:eastAsia="方正书宋简体"/>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（二）</w:t>
      </w:r>
      <w:r>
        <w:rPr>
          <w:rFonts w:ascii="宋体"/>
          <w:color w:val="000000" w:themeColor="text1"/>
          <w:sz w:val="24"/>
          <w:highlight w:val="none"/>
          <w14:textFill>
            <w14:solidFill>
              <w14:schemeClr w14:val="tx1"/>
            </w14:solidFill>
          </w14:textFill>
        </w:rPr>
        <w:t>本项目</w:t>
      </w:r>
      <w:r>
        <w:rPr>
          <w:rFonts w:hint="eastAsia" w:ascii="宋体"/>
          <w:color w:val="000000" w:themeColor="text1"/>
          <w:sz w:val="24"/>
          <w:highlight w:val="none"/>
          <w14:textFill>
            <w14:solidFill>
              <w14:schemeClr w14:val="tx1"/>
            </w14:solidFill>
          </w14:textFill>
        </w:rPr>
        <w:t>不接受联合体投标</w:t>
      </w:r>
      <w:r>
        <w:rPr>
          <w:rFonts w:hint="eastAsia" w:ascii="宋体"/>
          <w:color w:val="000000" w:themeColor="text1"/>
          <w:sz w:val="24"/>
          <w:highlight w:val="none"/>
          <w:lang w:eastAsia="zh-CN"/>
          <w14:textFill>
            <w14:solidFill>
              <w14:schemeClr w14:val="tx1"/>
            </w14:solidFill>
          </w14:textFill>
        </w:rPr>
        <w:t>。</w:t>
      </w:r>
    </w:p>
    <w:p>
      <w:pPr>
        <w:tabs>
          <w:tab w:val="left" w:pos="180"/>
          <w:tab w:val="left" w:pos="360"/>
          <w:tab w:val="left" w:pos="540"/>
          <w:tab w:val="left" w:pos="8280"/>
        </w:tabs>
        <w:autoSpaceDE w:val="0"/>
        <w:autoSpaceDN w:val="0"/>
        <w:adjustRightInd w:val="0"/>
        <w:spacing w:before="100" w:line="480" w:lineRule="exact"/>
        <w:ind w:right="23" w:firstLine="482" w:firstLineChars="200"/>
        <w:jc w:val="left"/>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四、招标文件获取的方式、时间：</w:t>
      </w:r>
    </w:p>
    <w:p>
      <w:pPr>
        <w:snapToGrid w:val="0"/>
        <w:spacing w:line="480" w:lineRule="exact"/>
        <w:ind w:firstLine="480" w:firstLineChars="200"/>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1．获取方式：网上免费下载（不接受网上报名），下载地址为</w:t>
      </w:r>
      <w:r>
        <w:rPr>
          <w:rFonts w:ascii="宋体" w:hAnsi="宋体" w:cs="Arial"/>
          <w:color w:val="000000" w:themeColor="text1"/>
          <w:sz w:val="24"/>
          <w:highlight w:val="none"/>
          <w14:textFill>
            <w14:solidFill>
              <w14:schemeClr w14:val="tx1"/>
            </w14:solidFill>
          </w14:textFill>
        </w:rPr>
        <w:t>http://www.zjzfcg.gov.cn</w:t>
      </w:r>
      <w:r>
        <w:rPr>
          <w:rFonts w:hint="eastAsia" w:ascii="宋体" w:hAnsi="宋体" w:cs="Arial"/>
          <w:color w:val="000000" w:themeColor="text1"/>
          <w:sz w:val="24"/>
          <w:highlight w:val="none"/>
          <w14:textFill>
            <w14:solidFill>
              <w14:schemeClr w14:val="tx1"/>
            </w14:solidFill>
          </w14:textFill>
        </w:rPr>
        <w:t xml:space="preserve">或https://www.yhjyzx.com/home/index </w:t>
      </w:r>
    </w:p>
    <w:p>
      <w:pPr>
        <w:snapToGrid w:val="0"/>
        <w:spacing w:line="480" w:lineRule="exact"/>
        <w:ind w:firstLine="480" w:firstLineChars="200"/>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2．获取（公告）时间：2019年</w:t>
      </w:r>
      <w:r>
        <w:rPr>
          <w:rFonts w:hint="eastAsia" w:ascii="宋体" w:hAnsi="宋体" w:cs="Arial"/>
          <w:color w:val="000000" w:themeColor="text1"/>
          <w:sz w:val="24"/>
          <w:highlight w:val="none"/>
          <w:lang w:val="en-US" w:eastAsia="zh-CN"/>
          <w14:textFill>
            <w14:solidFill>
              <w14:schemeClr w14:val="tx1"/>
            </w14:solidFill>
          </w14:textFill>
        </w:rPr>
        <w:t>8</w:t>
      </w:r>
      <w:r>
        <w:rPr>
          <w:rFonts w:hint="eastAsia" w:ascii="宋体" w:hAnsi="宋体" w:cs="Arial"/>
          <w:color w:val="000000" w:themeColor="text1"/>
          <w:sz w:val="24"/>
          <w:highlight w:val="none"/>
          <w14:textFill>
            <w14:solidFill>
              <w14:schemeClr w14:val="tx1"/>
            </w14:solidFill>
          </w14:textFill>
        </w:rPr>
        <w:t>月2</w:t>
      </w:r>
      <w:r>
        <w:rPr>
          <w:rFonts w:hint="eastAsia" w:ascii="宋体" w:hAnsi="宋体" w:cs="Arial"/>
          <w:color w:val="000000" w:themeColor="text1"/>
          <w:sz w:val="24"/>
          <w:highlight w:val="none"/>
          <w:lang w:val="en-US" w:eastAsia="zh-CN"/>
          <w14:textFill>
            <w14:solidFill>
              <w14:schemeClr w14:val="tx1"/>
            </w14:solidFill>
          </w14:textFill>
        </w:rPr>
        <w:t>8</w:t>
      </w:r>
      <w:r>
        <w:rPr>
          <w:rFonts w:hint="eastAsia" w:ascii="宋体" w:hAnsi="宋体" w:cs="Arial"/>
          <w:color w:val="000000" w:themeColor="text1"/>
          <w:sz w:val="24"/>
          <w:highlight w:val="none"/>
          <w14:textFill>
            <w14:solidFill>
              <w14:schemeClr w14:val="tx1"/>
            </w14:solidFill>
          </w14:textFill>
        </w:rPr>
        <w:t>日至2019年</w:t>
      </w:r>
      <w:r>
        <w:rPr>
          <w:rFonts w:hint="eastAsia" w:ascii="宋体" w:hAnsi="宋体" w:cs="Arial"/>
          <w:color w:val="000000" w:themeColor="text1"/>
          <w:sz w:val="24"/>
          <w:highlight w:val="none"/>
          <w:lang w:val="en-US" w:eastAsia="zh-CN"/>
          <w14:textFill>
            <w14:solidFill>
              <w14:schemeClr w14:val="tx1"/>
            </w14:solidFill>
          </w14:textFill>
        </w:rPr>
        <w:t>9</w:t>
      </w:r>
      <w:r>
        <w:rPr>
          <w:rFonts w:hint="eastAsia" w:ascii="宋体" w:hAnsi="宋体" w:cs="Arial"/>
          <w:color w:val="000000" w:themeColor="text1"/>
          <w:sz w:val="24"/>
          <w:highlight w:val="none"/>
          <w14:textFill>
            <w14:solidFill>
              <w14:schemeClr w14:val="tx1"/>
            </w14:solidFill>
          </w14:textFill>
        </w:rPr>
        <w:t>月</w:t>
      </w:r>
      <w:r>
        <w:rPr>
          <w:rFonts w:hint="eastAsia" w:ascii="宋体" w:hAnsi="宋体" w:cs="Arial"/>
          <w:color w:val="000000" w:themeColor="text1"/>
          <w:sz w:val="24"/>
          <w:highlight w:val="none"/>
          <w:lang w:val="en-US" w:eastAsia="zh-CN"/>
          <w14:textFill>
            <w14:solidFill>
              <w14:schemeClr w14:val="tx1"/>
            </w14:solidFill>
          </w14:textFill>
        </w:rPr>
        <w:t>4</w:t>
      </w:r>
      <w:r>
        <w:rPr>
          <w:rFonts w:hint="eastAsia" w:ascii="宋体" w:hAnsi="宋体" w:cs="Arial"/>
          <w:color w:val="000000" w:themeColor="text1"/>
          <w:sz w:val="24"/>
          <w:highlight w:val="none"/>
          <w14:textFill>
            <w14:solidFill>
              <w14:schemeClr w14:val="tx1"/>
            </w14:solidFill>
          </w14:textFill>
        </w:rPr>
        <w:t>日</w:t>
      </w:r>
    </w:p>
    <w:p>
      <w:pPr>
        <w:spacing w:line="480" w:lineRule="exact"/>
        <w:ind w:firstLine="1800" w:firstLineChars="750"/>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上午：8:30-12:00      下午：13：30-16:30</w:t>
      </w:r>
    </w:p>
    <w:p>
      <w:pPr>
        <w:snapToGrid w:val="0"/>
        <w:spacing w:line="480" w:lineRule="exact"/>
        <w:ind w:firstLine="480" w:firstLineChars="200"/>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3.报名地点：玉环市李家小区二期3号楼1502室；</w:t>
      </w:r>
    </w:p>
    <w:p>
      <w:pPr>
        <w:spacing w:line="480" w:lineRule="exact"/>
        <w:ind w:firstLine="960" w:firstLineChars="400"/>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温州市鹿城区牛山北路13号牛山商务大厦9楼；</w:t>
      </w:r>
    </w:p>
    <w:p>
      <w:pPr>
        <w:spacing w:line="480" w:lineRule="exact"/>
        <w:ind w:firstLine="960" w:firstLineChars="400"/>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杭州市江干区凤起东路189号滨江新城时代广场3幢2206室；</w:t>
      </w:r>
    </w:p>
    <w:p>
      <w:pPr>
        <w:spacing w:line="480" w:lineRule="exact"/>
        <w:ind w:firstLine="480" w:firstLineChars="200"/>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4、购买标书时应提交的资料：</w:t>
      </w:r>
    </w:p>
    <w:p>
      <w:pPr>
        <w:spacing w:line="480" w:lineRule="exact"/>
        <w:ind w:firstLine="720" w:firstLineChars="300"/>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（1）有效的工商营业执照营业执照（副本）复印件。</w:t>
      </w:r>
    </w:p>
    <w:p>
      <w:pPr>
        <w:spacing w:line="480" w:lineRule="exact"/>
        <w:ind w:firstLine="720" w:firstLineChars="300"/>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（2）</w:t>
      </w:r>
      <w:r>
        <w:rPr>
          <w:rFonts w:ascii="宋体" w:hAnsi="宋体" w:cs="Arial"/>
          <w:color w:val="000000" w:themeColor="text1"/>
          <w:sz w:val="24"/>
          <w:highlight w:val="none"/>
          <w14:textFill>
            <w14:solidFill>
              <w14:schemeClr w14:val="tx1"/>
            </w14:solidFill>
          </w14:textFill>
        </w:rPr>
        <w:t>政府采购报名申请表</w:t>
      </w:r>
      <w:r>
        <w:rPr>
          <w:rFonts w:hint="eastAsia" w:ascii="宋体" w:hAnsi="宋体" w:cs="Arial"/>
          <w:color w:val="000000" w:themeColor="text1"/>
          <w:sz w:val="24"/>
          <w:highlight w:val="none"/>
          <w14:textFill>
            <w14:solidFill>
              <w14:schemeClr w14:val="tx1"/>
            </w14:solidFill>
          </w14:textFill>
        </w:rPr>
        <w:t>（加盖公章）。</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480" w:lineRule="exact"/>
        <w:ind w:right="23" w:firstLine="539"/>
        <w:jc w:val="left"/>
        <w:rPr>
          <w:rFonts w:asciiTheme="minorEastAsia" w:hAnsiTheme="minorEastAsia" w:eastAsiaTheme="minorEastAsia"/>
          <w:b/>
          <w:color w:val="000000" w:themeColor="text1"/>
          <w:kern w:val="0"/>
          <w:sz w:val="24"/>
          <w:highlight w:val="none"/>
          <w14:textFill>
            <w14:solidFill>
              <w14:schemeClr w14:val="tx1"/>
            </w14:solidFill>
          </w14:textFill>
        </w:rPr>
      </w:pPr>
      <w:r>
        <w:rPr>
          <w:rFonts w:hint="eastAsia" w:cs="Arial" w:asciiTheme="minorEastAsia" w:hAnsiTheme="minorEastAsia" w:eastAsiaTheme="minorEastAsia"/>
          <w:b/>
          <w:color w:val="000000" w:themeColor="text1"/>
          <w:sz w:val="24"/>
          <w:highlight w:val="none"/>
          <w:lang w:val="en-US" w:eastAsia="zh-CN"/>
          <w14:textFill>
            <w14:solidFill>
              <w14:schemeClr w14:val="tx1"/>
            </w14:solidFill>
          </w14:textFill>
        </w:rPr>
        <w:t>五</w:t>
      </w:r>
      <w:r>
        <w:rPr>
          <w:rFonts w:hint="eastAsia" w:cs="Arial" w:asciiTheme="minorEastAsia" w:hAnsiTheme="minorEastAsia" w:eastAsiaTheme="minorEastAsia"/>
          <w:b/>
          <w:color w:val="000000" w:themeColor="text1"/>
          <w:sz w:val="24"/>
          <w:highlight w:val="none"/>
          <w14:textFill>
            <w14:solidFill>
              <w14:schemeClr w14:val="tx1"/>
            </w14:solidFill>
          </w14:textFill>
        </w:rPr>
        <w:t>、</w:t>
      </w:r>
      <w:r>
        <w:rPr>
          <w:rFonts w:hint="eastAsia" w:asciiTheme="minorEastAsia" w:hAnsiTheme="minorEastAsia" w:eastAsiaTheme="minorEastAsia"/>
          <w:b/>
          <w:color w:val="000000" w:themeColor="text1"/>
          <w:kern w:val="0"/>
          <w:sz w:val="24"/>
          <w:highlight w:val="none"/>
          <w14:textFill>
            <w14:solidFill>
              <w14:schemeClr w14:val="tx1"/>
            </w14:solidFill>
          </w14:textFill>
        </w:rPr>
        <w:t>投标截止及开标时间、地点：</w:t>
      </w:r>
    </w:p>
    <w:p>
      <w:pPr>
        <w:snapToGrid w:val="0"/>
        <w:spacing w:line="480" w:lineRule="exact"/>
        <w:ind w:firstLine="480" w:firstLineChars="200"/>
        <w:rPr>
          <w:rFonts w:ascii="仿宋_GB2312" w:hAnsi="仿宋_GB2312" w:eastAsia="仿宋_GB2312" w:cs="仿宋_GB2312"/>
          <w:bCs/>
          <w:color w:val="000000" w:themeColor="text1"/>
          <w:kern w:val="0"/>
          <w:sz w:val="24"/>
          <w:highlight w:val="none"/>
          <w14:textFill>
            <w14:solidFill>
              <w14:schemeClr w14:val="tx1"/>
            </w14:solidFill>
          </w14:textFill>
        </w:rPr>
      </w:pPr>
      <w:r>
        <w:rPr>
          <w:rFonts w:hint="eastAsia" w:cs="Arial" w:asciiTheme="minorEastAsia" w:hAnsiTheme="minorEastAsia" w:eastAsiaTheme="minorEastAsia"/>
          <w:color w:val="000000" w:themeColor="text1"/>
          <w:sz w:val="24"/>
          <w:highlight w:val="none"/>
          <w14:textFill>
            <w14:solidFill>
              <w14:schemeClr w14:val="tx1"/>
            </w14:solidFill>
          </w14:textFill>
        </w:rPr>
        <w:t>本次招标将于2019年</w:t>
      </w:r>
      <w:r>
        <w:rPr>
          <w:rFonts w:hint="eastAsia" w:cs="Arial" w:asciiTheme="minorEastAsia" w:hAnsiTheme="minorEastAsia" w:eastAsiaTheme="minorEastAsia"/>
          <w:color w:val="000000" w:themeColor="text1"/>
          <w:sz w:val="24"/>
          <w:highlight w:val="none"/>
          <w:lang w:val="en-US" w:eastAsia="zh-CN"/>
          <w14:textFill>
            <w14:solidFill>
              <w14:schemeClr w14:val="tx1"/>
            </w14:solidFill>
          </w14:textFill>
        </w:rPr>
        <w:t>9</w:t>
      </w:r>
      <w:r>
        <w:rPr>
          <w:rFonts w:hint="eastAsia" w:cs="Arial" w:asciiTheme="minorEastAsia" w:hAnsiTheme="minorEastAsia" w:eastAsiaTheme="minorEastAsia"/>
          <w:color w:val="000000" w:themeColor="text1"/>
          <w:sz w:val="24"/>
          <w:highlight w:val="none"/>
          <w14:textFill>
            <w14:solidFill>
              <w14:schemeClr w14:val="tx1"/>
            </w14:solidFill>
          </w14:textFill>
        </w:rPr>
        <w:t>月1</w:t>
      </w:r>
      <w:r>
        <w:rPr>
          <w:rFonts w:hint="eastAsia" w:cs="Arial" w:asciiTheme="minorEastAsia" w:hAnsiTheme="minorEastAsia" w:eastAsiaTheme="minorEastAsia"/>
          <w:color w:val="000000" w:themeColor="text1"/>
          <w:sz w:val="24"/>
          <w:highlight w:val="none"/>
          <w:lang w:val="en-US" w:eastAsia="zh-CN"/>
          <w14:textFill>
            <w14:solidFill>
              <w14:schemeClr w14:val="tx1"/>
            </w14:solidFill>
          </w14:textFill>
        </w:rPr>
        <w:t>8</w:t>
      </w:r>
      <w:r>
        <w:rPr>
          <w:rFonts w:hint="eastAsia" w:cs="Arial" w:asciiTheme="minorEastAsia" w:hAnsiTheme="minorEastAsia" w:eastAsiaTheme="minorEastAsia"/>
          <w:color w:val="000000" w:themeColor="text1"/>
          <w:sz w:val="24"/>
          <w:highlight w:val="none"/>
          <w14:textFill>
            <w14:solidFill>
              <w14:schemeClr w14:val="tx1"/>
            </w14:solidFill>
          </w14:textFill>
        </w:rPr>
        <w:t>日星期三上午09点30整在玉环市公共资源交易中心二楼开标室（二）（玉环市新城中路与长治路（南一路）交叉路口）</w:t>
      </w:r>
      <w:r>
        <w:rPr>
          <w:rFonts w:hint="eastAsia" w:asciiTheme="minorEastAsia" w:hAnsiTheme="minorEastAsia" w:eastAsiaTheme="minorEastAsia"/>
          <w:color w:val="000000" w:themeColor="text1"/>
          <w:sz w:val="24"/>
          <w:highlight w:val="none"/>
          <w14:textFill>
            <w14:solidFill>
              <w14:schemeClr w14:val="tx1"/>
            </w14:solidFill>
          </w14:textFill>
        </w:rPr>
        <w:t>开</w:t>
      </w:r>
      <w:r>
        <w:rPr>
          <w:rFonts w:hint="eastAsia" w:cs="Arial" w:asciiTheme="minorEastAsia" w:hAnsiTheme="minorEastAsia" w:eastAsiaTheme="minorEastAsia"/>
          <w:color w:val="000000" w:themeColor="text1"/>
          <w:sz w:val="24"/>
          <w:highlight w:val="none"/>
          <w14:textFill>
            <w14:solidFill>
              <w14:schemeClr w14:val="tx1"/>
            </w14:solidFill>
          </w14:textFill>
        </w:rPr>
        <w:t>标，</w:t>
      </w:r>
      <w:r>
        <w:rPr>
          <w:rFonts w:hint="eastAsia" w:asciiTheme="minorEastAsia" w:hAnsiTheme="minorEastAsia" w:eastAsiaTheme="minorEastAsia"/>
          <w:color w:val="000000" w:themeColor="text1"/>
          <w:kern w:val="0"/>
          <w:sz w:val="24"/>
          <w:highlight w:val="none"/>
          <w14:textFill>
            <w14:solidFill>
              <w14:schemeClr w14:val="tx1"/>
            </w14:solidFill>
          </w14:textFill>
        </w:rPr>
        <w:t>请在开标当日09</w:t>
      </w:r>
      <w:r>
        <w:rPr>
          <w:rFonts w:hint="eastAsia" w:cs="Arial" w:asciiTheme="minorEastAsia" w:hAnsiTheme="minorEastAsia" w:eastAsiaTheme="minorEastAsia"/>
          <w:color w:val="000000" w:themeColor="text1"/>
          <w:sz w:val="24"/>
          <w:highlight w:val="none"/>
          <w14:textFill>
            <w14:solidFill>
              <w14:schemeClr w14:val="tx1"/>
            </w14:solidFill>
          </w14:textFill>
        </w:rPr>
        <w:t>:00</w:t>
      </w:r>
      <w:r>
        <w:rPr>
          <w:rFonts w:hint="eastAsia" w:asciiTheme="minorEastAsia" w:hAnsiTheme="minorEastAsia" w:eastAsiaTheme="minorEastAsia"/>
          <w:color w:val="000000" w:themeColor="text1"/>
          <w:kern w:val="0"/>
          <w:sz w:val="24"/>
          <w:highlight w:val="none"/>
          <w14:textFill>
            <w14:solidFill>
              <w14:schemeClr w14:val="tx1"/>
            </w14:solidFill>
          </w14:textFill>
        </w:rPr>
        <w:t>至09</w:t>
      </w:r>
      <w:r>
        <w:rPr>
          <w:rFonts w:hint="eastAsia" w:cs="Arial" w:asciiTheme="minorEastAsia" w:hAnsiTheme="minorEastAsia" w:eastAsiaTheme="minorEastAsia"/>
          <w:color w:val="000000" w:themeColor="text1"/>
          <w:sz w:val="24"/>
          <w:highlight w:val="none"/>
          <w14:textFill>
            <w14:solidFill>
              <w14:schemeClr w14:val="tx1"/>
            </w14:solidFill>
          </w14:textFill>
        </w:rPr>
        <w:t>:30</w:t>
      </w:r>
      <w:r>
        <w:rPr>
          <w:rFonts w:hint="eastAsia" w:asciiTheme="minorEastAsia" w:hAnsiTheme="minorEastAsia" w:eastAsiaTheme="minorEastAsia"/>
          <w:color w:val="000000" w:themeColor="text1"/>
          <w:kern w:val="0"/>
          <w:sz w:val="24"/>
          <w:highlight w:val="none"/>
          <w14:textFill>
            <w14:solidFill>
              <w14:schemeClr w14:val="tx1"/>
            </w14:solidFill>
          </w14:textFill>
        </w:rPr>
        <w:t>将投标文件送达开标地点，逾期或不符合规定的投标文件恕不接受。</w:t>
      </w:r>
    </w:p>
    <w:p>
      <w:pPr>
        <w:snapToGrid w:val="0"/>
        <w:spacing w:line="480" w:lineRule="exact"/>
        <w:ind w:firstLine="482" w:firstLineChars="200"/>
        <w:rPr>
          <w:rFonts w:cs="Arial" w:asciiTheme="minorEastAsia" w:hAnsiTheme="minorEastAsia" w:eastAsiaTheme="minorEastAsia"/>
          <w:b/>
          <w:color w:val="000000" w:themeColor="text1"/>
          <w:sz w:val="24"/>
          <w:highlight w:val="none"/>
          <w14:textFill>
            <w14:solidFill>
              <w14:schemeClr w14:val="tx1"/>
            </w14:solidFill>
          </w14:textFill>
        </w:rPr>
      </w:pPr>
      <w:r>
        <w:rPr>
          <w:rFonts w:hint="eastAsia" w:cs="Arial" w:asciiTheme="minorEastAsia" w:hAnsiTheme="minorEastAsia" w:eastAsiaTheme="minorEastAsia"/>
          <w:b/>
          <w:color w:val="000000" w:themeColor="text1"/>
          <w:sz w:val="24"/>
          <w:highlight w:val="none"/>
          <w:lang w:val="en-US" w:eastAsia="zh-CN"/>
          <w14:textFill>
            <w14:solidFill>
              <w14:schemeClr w14:val="tx1"/>
            </w14:solidFill>
          </w14:textFill>
        </w:rPr>
        <w:t>六</w:t>
      </w:r>
      <w:r>
        <w:rPr>
          <w:rFonts w:cs="Arial" w:asciiTheme="minorEastAsia" w:hAnsiTheme="minorEastAsia" w:eastAsiaTheme="minorEastAsia"/>
          <w:b/>
          <w:color w:val="000000" w:themeColor="text1"/>
          <w:sz w:val="24"/>
          <w:highlight w:val="none"/>
          <w14:textFill>
            <w14:solidFill>
              <w14:schemeClr w14:val="tx1"/>
            </w14:solidFill>
          </w14:textFill>
        </w:rPr>
        <w:t>、投标人信用信息查询渠道及截止时点、信用信息查询记录和证据留存的具体方式、信用信息的使用规则</w:t>
      </w:r>
      <w:r>
        <w:rPr>
          <w:rFonts w:hint="eastAsia" w:cs="Arial" w:asciiTheme="minorEastAsia" w:hAnsiTheme="minorEastAsia" w:eastAsiaTheme="minorEastAsia"/>
          <w:b/>
          <w:color w:val="000000" w:themeColor="text1"/>
          <w:sz w:val="24"/>
          <w:highlight w:val="none"/>
          <w14:textFill>
            <w14:solidFill>
              <w14:schemeClr w14:val="tx1"/>
            </w14:solidFill>
          </w14:textFill>
        </w:rPr>
        <w:t>：</w:t>
      </w:r>
    </w:p>
    <w:p>
      <w:pPr>
        <w:spacing w:line="480" w:lineRule="exact"/>
        <w:ind w:firstLine="588" w:firstLineChars="245"/>
        <w:rPr>
          <w:rFonts w:ascii="宋体" w:hAnsi="宋体" w:cs="Arial"/>
          <w:color w:val="000000" w:themeColor="text1"/>
          <w:sz w:val="24"/>
          <w:highlight w:val="none"/>
          <w14:textFill>
            <w14:solidFill>
              <w14:schemeClr w14:val="tx1"/>
            </w14:solidFill>
          </w14:textFill>
        </w:rPr>
      </w:pPr>
      <w:r>
        <w:rPr>
          <w:rFonts w:hint="eastAsia" w:cs="Arial" w:asciiTheme="minorEastAsia" w:hAnsiTheme="minorEastAsia" w:eastAsiaTheme="minorEastAsia"/>
          <w:color w:val="000000" w:themeColor="text1"/>
          <w:sz w:val="24"/>
          <w:highlight w:val="none"/>
          <w14:textFill>
            <w14:solidFill>
              <w14:schemeClr w14:val="tx1"/>
            </w14:solidFill>
          </w14:textFill>
        </w:rPr>
        <w:t>1、查询渠道：</w:t>
      </w:r>
      <w:r>
        <w:rPr>
          <w:rFonts w:hint="eastAsia" w:ascii="宋体" w:hAnsi="宋体" w:cs="Arial"/>
          <w:color w:val="000000" w:themeColor="text1"/>
          <w:sz w:val="24"/>
          <w:highlight w:val="none"/>
          <w14:textFill>
            <w14:solidFill>
              <w14:schemeClr w14:val="tx1"/>
            </w14:solidFill>
          </w14:textFill>
        </w:rPr>
        <w:t>国家企业信用信息公示系统（http://www.gsxt.gov.cn/index.html）。</w:t>
      </w:r>
    </w:p>
    <w:p>
      <w:pPr>
        <w:snapToGrid w:val="0"/>
        <w:spacing w:line="480" w:lineRule="exact"/>
        <w:ind w:firstLine="480" w:firstLineChars="200"/>
        <w:rPr>
          <w:rFonts w:cs="Arial" w:asciiTheme="minorEastAsia" w:hAnsiTheme="minorEastAsia" w:eastAsiaTheme="minorEastAsia"/>
          <w:b/>
          <w:bCs/>
          <w:color w:val="000000" w:themeColor="text1"/>
          <w:sz w:val="24"/>
          <w:highlight w:val="none"/>
          <w:shd w:val="clear" w:color="FFFFFF" w:fill="D9D9D9"/>
          <w14:textFill>
            <w14:solidFill>
              <w14:schemeClr w14:val="tx1"/>
            </w14:solidFill>
          </w14:textFill>
        </w:rPr>
      </w:pPr>
      <w:r>
        <w:rPr>
          <w:rFonts w:hint="eastAsia" w:cs="Arial" w:asciiTheme="minorEastAsia" w:hAnsiTheme="minorEastAsia" w:eastAsiaTheme="minorEastAsia"/>
          <w:color w:val="000000" w:themeColor="text1"/>
          <w:sz w:val="24"/>
          <w:highlight w:val="none"/>
          <w14:textFill>
            <w14:solidFill>
              <w14:schemeClr w14:val="tx1"/>
            </w14:solidFill>
          </w14:textFill>
        </w:rPr>
        <w:t>2、截止时点：开标后评标前。</w:t>
      </w:r>
    </w:p>
    <w:p>
      <w:pPr>
        <w:snapToGrid w:val="0"/>
        <w:spacing w:line="480" w:lineRule="exact"/>
        <w:ind w:firstLine="480" w:firstLineChars="200"/>
        <w:rPr>
          <w:rFonts w:cs="Arial" w:asciiTheme="minorEastAsia" w:hAnsiTheme="minorEastAsia" w:eastAsiaTheme="minorEastAsia"/>
          <w:color w:val="000000" w:themeColor="text1"/>
          <w:sz w:val="24"/>
          <w:highlight w:val="none"/>
          <w14:textFill>
            <w14:solidFill>
              <w14:schemeClr w14:val="tx1"/>
            </w14:solidFill>
          </w14:textFill>
        </w:rPr>
      </w:pPr>
      <w:r>
        <w:rPr>
          <w:rFonts w:hint="eastAsia" w:cs="Arial" w:asciiTheme="minorEastAsia" w:hAnsiTheme="minorEastAsia" w:eastAsiaTheme="minorEastAsia"/>
          <w:color w:val="000000" w:themeColor="text1"/>
          <w:sz w:val="24"/>
          <w:highlight w:val="none"/>
          <w14:textFill>
            <w14:solidFill>
              <w14:schemeClr w14:val="tx1"/>
            </w14:solidFill>
          </w14:textFill>
        </w:rPr>
        <w:t>3、</w:t>
      </w:r>
      <w:r>
        <w:rPr>
          <w:rFonts w:cs="Arial" w:asciiTheme="minorEastAsia" w:hAnsiTheme="minorEastAsia" w:eastAsiaTheme="minorEastAsia"/>
          <w:color w:val="000000" w:themeColor="text1"/>
          <w:sz w:val="24"/>
          <w:highlight w:val="none"/>
          <w14:textFill>
            <w14:solidFill>
              <w14:schemeClr w14:val="tx1"/>
            </w14:solidFill>
          </w14:textFill>
        </w:rPr>
        <w:t>信用信息查询记录和证据留存的具体方式</w:t>
      </w:r>
      <w:r>
        <w:rPr>
          <w:rFonts w:hint="eastAsia" w:cs="Arial" w:asciiTheme="minorEastAsia" w:hAnsiTheme="minorEastAsia" w:eastAsiaTheme="minorEastAsia"/>
          <w:color w:val="000000" w:themeColor="text1"/>
          <w:sz w:val="24"/>
          <w:highlight w:val="none"/>
          <w14:textFill>
            <w14:solidFill>
              <w14:schemeClr w14:val="tx1"/>
            </w14:solidFill>
          </w14:textFill>
        </w:rPr>
        <w:t>：由采购组织机构在规定查询时间内打印信用信息查询记录并归入项目档案。</w:t>
      </w:r>
    </w:p>
    <w:p>
      <w:pPr>
        <w:snapToGrid w:val="0"/>
        <w:spacing w:line="480" w:lineRule="exact"/>
        <w:ind w:firstLine="480" w:firstLineChars="200"/>
        <w:rPr>
          <w:rFonts w:cs="Arial" w:asciiTheme="minorEastAsia" w:hAnsiTheme="minorEastAsia" w:eastAsiaTheme="minorEastAsia"/>
          <w:color w:val="000000" w:themeColor="text1"/>
          <w:sz w:val="24"/>
          <w:highlight w:val="none"/>
          <w14:textFill>
            <w14:solidFill>
              <w14:schemeClr w14:val="tx1"/>
            </w14:solidFill>
          </w14:textFill>
        </w:rPr>
      </w:pPr>
      <w:r>
        <w:rPr>
          <w:rFonts w:hint="eastAsia" w:cs="Arial" w:asciiTheme="minorEastAsia" w:hAnsiTheme="minorEastAsia" w:eastAsiaTheme="minorEastAsia"/>
          <w:color w:val="000000" w:themeColor="text1"/>
          <w:sz w:val="24"/>
          <w:highlight w:val="none"/>
          <w14:textFill>
            <w14:solidFill>
              <w14:schemeClr w14:val="tx1"/>
            </w14:solidFill>
          </w14:textFill>
        </w:rPr>
        <w:t>4、使用规则：对列入失信被执行人、重大税收违法案件当事人名单、政府采购严重违法失信行为记录名单及其他不符合《中华人民共和国政府采购法》第二十二条规定条件的供应商，</w:t>
      </w:r>
      <w:r>
        <w:rPr>
          <w:rFonts w:cs="Arial" w:asciiTheme="minorEastAsia" w:hAnsiTheme="minorEastAsia" w:eastAsiaTheme="minorEastAsia"/>
          <w:color w:val="000000" w:themeColor="text1"/>
          <w:sz w:val="24"/>
          <w:highlight w:val="none"/>
          <w14:textFill>
            <w14:solidFill>
              <w14:schemeClr w14:val="tx1"/>
            </w14:solidFill>
          </w14:textFill>
        </w:rPr>
        <w:t>将被</w:t>
      </w:r>
      <w:r>
        <w:rPr>
          <w:rFonts w:hint="eastAsia" w:cs="Arial" w:asciiTheme="minorEastAsia" w:hAnsiTheme="minorEastAsia" w:eastAsiaTheme="minorEastAsia"/>
          <w:color w:val="000000" w:themeColor="text1"/>
          <w:sz w:val="24"/>
          <w:highlight w:val="none"/>
          <w14:textFill>
            <w14:solidFill>
              <w14:schemeClr w14:val="tx1"/>
            </w14:solidFill>
          </w14:textFill>
        </w:rPr>
        <w:t>拒绝其参与政府采购活动。</w:t>
      </w:r>
    </w:p>
    <w:p>
      <w:pPr>
        <w:snapToGrid w:val="0"/>
        <w:spacing w:line="480" w:lineRule="exact"/>
        <w:ind w:firstLine="482" w:firstLineChars="200"/>
        <w:rPr>
          <w:rFonts w:ascii="宋体" w:hAnsi="宋体" w:cs="Arial"/>
          <w:color w:val="000000" w:themeColor="text1"/>
          <w:sz w:val="24"/>
          <w:highlight w:val="none"/>
          <w14:textFill>
            <w14:solidFill>
              <w14:schemeClr w14:val="tx1"/>
            </w14:solidFill>
          </w14:textFill>
        </w:rPr>
      </w:pPr>
      <w:r>
        <w:rPr>
          <w:rFonts w:hint="eastAsia" w:cs="Arial" w:asciiTheme="minorEastAsia" w:hAnsiTheme="minorEastAsia" w:eastAsiaTheme="minorEastAsia"/>
          <w:b/>
          <w:bCs/>
          <w:color w:val="000000" w:themeColor="text1"/>
          <w:sz w:val="24"/>
          <w:highlight w:val="none"/>
          <w:lang w:val="en-US" w:eastAsia="zh-CN"/>
          <w14:textFill>
            <w14:solidFill>
              <w14:schemeClr w14:val="tx1"/>
            </w14:solidFill>
          </w14:textFill>
        </w:rPr>
        <w:t>七</w:t>
      </w:r>
      <w:r>
        <w:rPr>
          <w:rFonts w:cs="Arial" w:asciiTheme="minorEastAsia" w:hAnsiTheme="minorEastAsia" w:eastAsiaTheme="minorEastAsia"/>
          <w:b/>
          <w:bCs/>
          <w:color w:val="000000" w:themeColor="text1"/>
          <w:sz w:val="24"/>
          <w:highlight w:val="none"/>
          <w14:textFill>
            <w14:solidFill>
              <w14:schemeClr w14:val="tx1"/>
            </w14:solidFill>
          </w14:textFill>
        </w:rPr>
        <w:t>、</w:t>
      </w:r>
      <w:r>
        <w:rPr>
          <w:rFonts w:hint="eastAsia" w:ascii="宋体" w:hAnsi="宋体" w:cs="Arial"/>
          <w:b/>
          <w:color w:val="000000" w:themeColor="text1"/>
          <w:sz w:val="24"/>
          <w:highlight w:val="none"/>
          <w14:textFill>
            <w14:solidFill>
              <w14:schemeClr w14:val="tx1"/>
            </w14:solidFill>
          </w14:textFill>
        </w:rPr>
        <w:t>相关注意事项</w:t>
      </w:r>
      <w:r>
        <w:rPr>
          <w:rFonts w:hint="eastAsia" w:ascii="宋体" w:hAnsi="宋体" w:cs="Arial"/>
          <w:color w:val="000000" w:themeColor="text1"/>
          <w:sz w:val="24"/>
          <w:highlight w:val="none"/>
          <w14:textFill>
            <w14:solidFill>
              <w14:schemeClr w14:val="tx1"/>
            </w14:solidFill>
          </w14:textFill>
        </w:rPr>
        <w:t>：</w:t>
      </w:r>
    </w:p>
    <w:p>
      <w:pPr>
        <w:snapToGrid w:val="0"/>
        <w:spacing w:line="480" w:lineRule="exact"/>
        <w:ind w:firstLine="480" w:firstLineChars="200"/>
        <w:rPr>
          <w:rFonts w:cs="Arial" w:asciiTheme="minorEastAsia" w:hAnsiTheme="minorEastAsia" w:eastAsiaTheme="minorEastAsia"/>
          <w:color w:val="000000" w:themeColor="text1"/>
          <w:sz w:val="24"/>
          <w:highlight w:val="none"/>
          <w14:textFill>
            <w14:solidFill>
              <w14:schemeClr w14:val="tx1"/>
            </w14:solidFill>
          </w14:textFill>
        </w:rPr>
      </w:pPr>
      <w:r>
        <w:rPr>
          <w:rFonts w:hint="eastAsia" w:cs="Arial" w:asciiTheme="minorEastAsia" w:hAnsiTheme="minorEastAsia" w:eastAsiaTheme="minorEastAsia"/>
          <w:color w:val="000000" w:themeColor="text1"/>
          <w:sz w:val="24"/>
          <w:highlight w:val="none"/>
          <w14:textFill>
            <w14:solidFill>
              <w14:schemeClr w14:val="tx1"/>
            </w14:solidFill>
          </w14:textFill>
        </w:rPr>
        <w:t>1、供应商认为采购文件使自己的权益受到损害的，可以自收到采购文件之日（获取/发售截止日之后收到采购文件的，以获取/发售截止日为准）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w:t>
      </w:r>
    </w:p>
    <w:p>
      <w:pPr>
        <w:spacing w:line="480" w:lineRule="exact"/>
        <w:ind w:firstLine="588" w:firstLineChars="245"/>
        <w:rPr>
          <w:rFonts w:asciiTheme="minorEastAsia" w:hAnsiTheme="minorEastAsia" w:eastAsia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2．根据《浙江省政府采购供应商注册及诚信管理暂行办法》浙财采监【2009】28号文件，请各投标响应供应商及时办理浙江政府采购网“政府采购供应商注册”手续。</w:t>
      </w:r>
    </w:p>
    <w:p>
      <w:pPr>
        <w:spacing w:line="480" w:lineRule="exact"/>
        <w:ind w:firstLine="588" w:firstLineChars="245"/>
        <w:rPr>
          <w:rFonts w:asciiTheme="minorEastAsia" w:hAnsiTheme="minorEastAsia" w:eastAsia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3．参与政府采购活动的供应商，应当先在浙江省政府采购网上申请注册，采购文件可从网上直接下载。</w:t>
      </w:r>
    </w:p>
    <w:p>
      <w:pPr>
        <w:spacing w:line="480" w:lineRule="exact"/>
        <w:ind w:firstLine="588" w:firstLineChars="245"/>
        <w:rPr>
          <w:rFonts w:asciiTheme="minorEastAsia" w:hAnsiTheme="minorEastAsia" w:eastAsia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4．本项目所有公告发布网站：“浙江省政府采购网”（http:// www.zjzfcg.gov.cn）和“玉环市公共资源交易中心”（ https://www.yhjyzx.com/News/zcfg/zfcg）。</w:t>
      </w:r>
    </w:p>
    <w:p>
      <w:pPr>
        <w:spacing w:line="480" w:lineRule="exact"/>
        <w:ind w:firstLine="590" w:firstLineChars="245"/>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lang w:val="en-US" w:eastAsia="zh-CN"/>
          <w14:textFill>
            <w14:solidFill>
              <w14:schemeClr w14:val="tx1"/>
            </w14:solidFill>
          </w14:textFill>
        </w:rPr>
        <w:t>八</w:t>
      </w:r>
      <w:r>
        <w:rPr>
          <w:rFonts w:hint="eastAsia" w:asciiTheme="minorEastAsia" w:hAnsiTheme="minorEastAsia" w:eastAsiaTheme="minorEastAsia"/>
          <w:b/>
          <w:color w:val="000000" w:themeColor="text1"/>
          <w:sz w:val="24"/>
          <w:highlight w:val="none"/>
          <w14:textFill>
            <w14:solidFill>
              <w14:schemeClr w14:val="tx1"/>
            </w14:solidFill>
          </w14:textFill>
        </w:rPr>
        <w:t>、联系方式：</w:t>
      </w:r>
    </w:p>
    <w:p>
      <w:pPr>
        <w:spacing w:line="480" w:lineRule="exact"/>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（一）采购代理机构</w:t>
      </w:r>
    </w:p>
    <w:p>
      <w:pPr>
        <w:snapToGrid w:val="0"/>
        <w:spacing w:line="480" w:lineRule="exact"/>
        <w:ind w:firstLine="600" w:firstLineChars="250"/>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联系人：胡先生</w:t>
      </w:r>
    </w:p>
    <w:p>
      <w:pPr>
        <w:snapToGrid w:val="0"/>
        <w:spacing w:line="480" w:lineRule="exact"/>
        <w:ind w:firstLine="600" w:firstLineChars="250"/>
        <w:rPr>
          <w:rFonts w:hint="default" w:ascii="宋体" w:hAnsi="宋体" w:eastAsia="宋体" w:cs="Arial"/>
          <w:color w:val="000000" w:themeColor="text1"/>
          <w:sz w:val="24"/>
          <w:highlight w:val="none"/>
          <w:lang w:val="en-US" w:eastAsia="zh-CN"/>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联系电话：15967041020</w:t>
      </w:r>
      <w:r>
        <w:rPr>
          <w:rFonts w:hint="eastAsia" w:ascii="宋体" w:hAnsi="宋体" w:cs="Arial"/>
          <w:color w:val="000000" w:themeColor="text1"/>
          <w:sz w:val="24"/>
          <w:highlight w:val="none"/>
          <w:lang w:val="en-US" w:eastAsia="zh-CN"/>
          <w14:textFill>
            <w14:solidFill>
              <w14:schemeClr w14:val="tx1"/>
            </w14:solidFill>
          </w14:textFill>
        </w:rPr>
        <w:t xml:space="preserve">   邮箱:353594584@qq.com</w:t>
      </w:r>
    </w:p>
    <w:p>
      <w:pPr>
        <w:snapToGrid w:val="0"/>
        <w:spacing w:line="480" w:lineRule="exact"/>
        <w:ind w:firstLine="600" w:firstLineChars="250"/>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联系人：林先生　</w:t>
      </w:r>
    </w:p>
    <w:p>
      <w:pPr>
        <w:snapToGrid w:val="0"/>
        <w:spacing w:line="480" w:lineRule="exact"/>
        <w:ind w:firstLine="600" w:firstLineChars="250"/>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 xml:space="preserve">联系电话：18057685959      </w:t>
      </w:r>
    </w:p>
    <w:p>
      <w:pPr>
        <w:spacing w:line="480" w:lineRule="exact"/>
        <w:ind w:firstLine="600" w:firstLineChars="250"/>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地址：</w:t>
      </w:r>
      <w:r>
        <w:rPr>
          <w:rFonts w:hint="eastAsia" w:ascii="宋体" w:hAnsi="宋体"/>
          <w:color w:val="000000" w:themeColor="text1"/>
          <w:kern w:val="0"/>
          <w:sz w:val="24"/>
          <w:highlight w:val="none"/>
          <w14:textFill>
            <w14:solidFill>
              <w14:schemeClr w14:val="tx1"/>
            </w14:solidFill>
          </w14:textFill>
        </w:rPr>
        <w:t xml:space="preserve"> 玉环市李家小区二期3号楼1502室；</w:t>
      </w:r>
    </w:p>
    <w:p>
      <w:pPr>
        <w:snapToGrid w:val="0"/>
        <w:spacing w:line="480" w:lineRule="exact"/>
        <w:ind w:firstLine="602" w:firstLineChars="25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（二）采购人</w:t>
      </w:r>
      <w:r>
        <w:rPr>
          <w:rFonts w:hint="eastAsia" w:ascii="宋体" w:hAnsi="宋体" w:cs="Arial"/>
          <w:color w:val="000000" w:themeColor="text1"/>
          <w:sz w:val="24"/>
          <w:highlight w:val="none"/>
          <w14:textFill>
            <w14:solidFill>
              <w14:schemeClr w14:val="tx1"/>
            </w14:solidFill>
          </w14:textFill>
        </w:rPr>
        <w:t xml:space="preserve"> </w:t>
      </w:r>
    </w:p>
    <w:p>
      <w:pPr>
        <w:snapToGrid w:val="0"/>
        <w:spacing w:line="480" w:lineRule="exact"/>
        <w:ind w:firstLine="600" w:firstLineChars="250"/>
        <w:rPr>
          <w:rFonts w:ascii="宋体" w:hAnsi="宋体" w:cs="Arial"/>
          <w:color w:val="000000" w:themeColor="text1"/>
          <w:sz w:val="24"/>
          <w:highlight w:val="none"/>
          <w14:textFill>
            <w14:solidFill>
              <w14:schemeClr w14:val="tx1"/>
            </w14:solidFill>
          </w14:textFill>
        </w:rPr>
      </w:pPr>
      <w:r>
        <w:rPr>
          <w:rFonts w:ascii="宋体" w:hAnsi="宋体" w:cs="Arial"/>
          <w:color w:val="000000" w:themeColor="text1"/>
          <w:sz w:val="24"/>
          <w:highlight w:val="none"/>
          <w14:textFill>
            <w14:solidFill>
              <w14:schemeClr w14:val="tx1"/>
            </w14:solidFill>
          </w14:textFill>
        </w:rPr>
        <w:t>采购</w:t>
      </w:r>
      <w:r>
        <w:rPr>
          <w:rFonts w:hint="eastAsia" w:ascii="宋体" w:hAnsi="宋体" w:cs="Arial"/>
          <w:color w:val="000000" w:themeColor="text1"/>
          <w:sz w:val="24"/>
          <w:highlight w:val="none"/>
          <w14:textFill>
            <w14:solidFill>
              <w14:schemeClr w14:val="tx1"/>
            </w14:solidFill>
          </w14:textFill>
        </w:rPr>
        <w:t>人</w:t>
      </w:r>
      <w:r>
        <w:rPr>
          <w:rFonts w:ascii="宋体" w:hAnsi="宋体" w:cs="Arial"/>
          <w:color w:val="000000" w:themeColor="text1"/>
          <w:sz w:val="24"/>
          <w:highlight w:val="none"/>
          <w14:textFill>
            <w14:solidFill>
              <w14:schemeClr w14:val="tx1"/>
            </w14:solidFill>
          </w14:textFill>
        </w:rPr>
        <w:t>名称：</w:t>
      </w:r>
      <w:r>
        <w:rPr>
          <w:rFonts w:hint="eastAsia" w:ascii="宋体" w:hAnsi="宋体" w:cs="Arial"/>
          <w:color w:val="000000" w:themeColor="text1"/>
          <w:sz w:val="24"/>
          <w:highlight w:val="none"/>
          <w14:textFill>
            <w14:solidFill>
              <w14:schemeClr w14:val="tx1"/>
            </w14:solidFill>
          </w14:textFill>
        </w:rPr>
        <w:t>玉环市人民医院健共体集团</w:t>
      </w:r>
    </w:p>
    <w:p>
      <w:pPr>
        <w:snapToGrid w:val="0"/>
        <w:spacing w:line="480" w:lineRule="exact"/>
        <w:ind w:firstLine="600" w:firstLineChars="250"/>
        <w:rPr>
          <w:rFonts w:ascii="宋体" w:hAnsi="宋体" w:cs="Arial"/>
          <w:color w:val="000000" w:themeColor="text1"/>
          <w:sz w:val="24"/>
          <w:highlight w:val="none"/>
          <w14:textFill>
            <w14:solidFill>
              <w14:schemeClr w14:val="tx1"/>
            </w14:solidFill>
          </w14:textFill>
        </w:rPr>
      </w:pPr>
      <w:r>
        <w:rPr>
          <w:rFonts w:ascii="宋体" w:hAnsi="宋体" w:cs="Arial"/>
          <w:color w:val="000000" w:themeColor="text1"/>
          <w:sz w:val="24"/>
          <w:highlight w:val="none"/>
          <w14:textFill>
            <w14:solidFill>
              <w14:schemeClr w14:val="tx1"/>
            </w14:solidFill>
          </w14:textFill>
        </w:rPr>
        <w:t>联系人：</w:t>
      </w:r>
      <w:r>
        <w:rPr>
          <w:rFonts w:hint="eastAsia" w:ascii="宋体" w:hAnsi="宋体" w:cs="Arial"/>
          <w:color w:val="000000" w:themeColor="text1"/>
          <w:sz w:val="24"/>
          <w:highlight w:val="none"/>
          <w14:textFill>
            <w14:solidFill>
              <w14:schemeClr w14:val="tx1"/>
            </w14:solidFill>
          </w14:textFill>
        </w:rPr>
        <w:t xml:space="preserve">潘先生        联系电话： 0576-87236016 </w:t>
      </w:r>
    </w:p>
    <w:p>
      <w:pPr>
        <w:spacing w:line="480" w:lineRule="exact"/>
        <w:ind w:firstLine="472" w:firstLineChars="196"/>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（三）同级政府采购监督管理部门</w:t>
      </w:r>
    </w:p>
    <w:p>
      <w:pPr>
        <w:snapToGrid w:val="0"/>
        <w:spacing w:line="480" w:lineRule="exact"/>
        <w:ind w:left="525" w:leftChars="250"/>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名称：玉环市财政局</w:t>
      </w:r>
    </w:p>
    <w:p>
      <w:pPr>
        <w:snapToGrid w:val="0"/>
        <w:spacing w:line="480" w:lineRule="exact"/>
        <w:ind w:firstLine="600" w:firstLineChars="250"/>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 xml:space="preserve">联系人：谢主任                   </w:t>
      </w:r>
    </w:p>
    <w:p>
      <w:pPr>
        <w:snapToGrid w:val="0"/>
        <w:spacing w:line="480" w:lineRule="exact"/>
        <w:ind w:firstLine="600" w:firstLineChars="250"/>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监督投诉电话：0576-87250185          传真：0576-87250185</w:t>
      </w:r>
    </w:p>
    <w:p>
      <w:pPr>
        <w:snapToGrid w:val="0"/>
        <w:spacing w:line="480" w:lineRule="exact"/>
        <w:ind w:firstLine="600" w:firstLineChars="250"/>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地址：玉环市广陵路130号；</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480" w:lineRule="exact"/>
        <w:ind w:right="1800"/>
        <w:jc w:val="center"/>
        <w:rPr>
          <w:rFonts w:ascii="Arial" w:hAnsi="Arial" w:cs="Arial"/>
          <w:color w:val="000000" w:themeColor="text1"/>
          <w:sz w:val="24"/>
          <w:highlight w:val="none"/>
          <w14:textFill>
            <w14:solidFill>
              <w14:schemeClr w14:val="tx1"/>
            </w14:solidFill>
          </w14:textFill>
        </w:rPr>
      </w:pPr>
      <w:r>
        <w:rPr>
          <w:rFonts w:hint="eastAsia" w:ascii="Arial" w:hAnsi="Arial" w:cs="Arial"/>
          <w:color w:val="000000" w:themeColor="text1"/>
          <w:sz w:val="24"/>
          <w:highlight w:val="none"/>
          <w14:textFill>
            <w14:solidFill>
              <w14:schemeClr w14:val="tx1"/>
            </w14:solidFill>
          </w14:textFill>
        </w:rPr>
        <w:t xml:space="preserve">                </w:t>
      </w:r>
    </w:p>
    <w:p>
      <w:pPr>
        <w:tabs>
          <w:tab w:val="left" w:pos="720"/>
          <w:tab w:val="left" w:pos="1440"/>
          <w:tab w:val="left" w:pos="2160"/>
          <w:tab w:val="left" w:pos="2880"/>
          <w:tab w:val="left" w:pos="3600"/>
          <w:tab w:val="left" w:pos="4320"/>
          <w:tab w:val="left" w:pos="5040"/>
          <w:tab w:val="left" w:pos="5760"/>
          <w:tab w:val="left" w:pos="8400"/>
        </w:tabs>
        <w:autoSpaceDE w:val="0"/>
        <w:autoSpaceDN w:val="0"/>
        <w:adjustRightInd w:val="0"/>
        <w:spacing w:line="480" w:lineRule="exact"/>
        <w:ind w:left="1440" w:right="-94"/>
        <w:rPr>
          <w:rFonts w:ascii="宋体"/>
          <w:color w:val="000000" w:themeColor="text1"/>
          <w:kern w:val="0"/>
          <w:sz w:val="24"/>
          <w:highlight w:val="none"/>
          <w14:textFill>
            <w14:solidFill>
              <w14:schemeClr w14:val="tx1"/>
            </w14:solidFill>
          </w14:textFill>
        </w:rPr>
      </w:pPr>
      <w:r>
        <w:rPr>
          <w:rFonts w:hint="eastAsia" w:ascii="Arial" w:hAnsi="Arial" w:cs="Arial"/>
          <w:color w:val="000000" w:themeColor="text1"/>
          <w:sz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 xml:space="preserve">     </w:t>
      </w:r>
      <w:r>
        <w:rPr>
          <w:rFonts w:hint="eastAsia" w:ascii="宋体" w:hAnsi="宋体" w:cs="Arial"/>
          <w:color w:val="000000" w:themeColor="text1"/>
          <w:sz w:val="24"/>
          <w:highlight w:val="none"/>
          <w14:textFill>
            <w14:solidFill>
              <w14:schemeClr w14:val="tx1"/>
            </w14:solidFill>
          </w14:textFill>
        </w:rPr>
        <w:t xml:space="preserve">    杭州华旗招标代理有限公司</w:t>
      </w:r>
      <w:r>
        <w:rPr>
          <w:rFonts w:ascii="宋体"/>
          <w:color w:val="000000" w:themeColor="text1"/>
          <w:kern w:val="0"/>
          <w:sz w:val="24"/>
          <w:highlight w:val="none"/>
          <w14:textFill>
            <w14:solidFill>
              <w14:schemeClr w14:val="tx1"/>
            </w14:solidFill>
          </w14:textFill>
        </w:rPr>
        <w:t xml:space="preserve">                                                                  </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480" w:lineRule="exact"/>
        <w:ind w:right="23" w:firstLine="539"/>
        <w:jc w:val="center"/>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 xml:space="preserve">                           </w:t>
      </w:r>
      <w:r>
        <w:rPr>
          <w:rFonts w:ascii="宋体"/>
          <w:color w:val="000000" w:themeColor="text1"/>
          <w:kern w:val="0"/>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2019</w:t>
      </w:r>
      <w:r>
        <w:rPr>
          <w:rFonts w:hint="eastAsia" w:ascii="宋体"/>
          <w:color w:val="000000" w:themeColor="text1"/>
          <w:kern w:val="0"/>
          <w:sz w:val="24"/>
          <w:highlight w:val="none"/>
          <w14:textFill>
            <w14:solidFill>
              <w14:schemeClr w14:val="tx1"/>
            </w14:solidFill>
          </w14:textFill>
        </w:rPr>
        <w:t>年</w:t>
      </w:r>
      <w:r>
        <w:rPr>
          <w:rFonts w:hint="eastAsia" w:ascii="宋体"/>
          <w:color w:val="000000" w:themeColor="text1"/>
          <w:kern w:val="0"/>
          <w:sz w:val="24"/>
          <w:highlight w:val="none"/>
          <w:lang w:val="en-US" w:eastAsia="zh-CN"/>
          <w14:textFill>
            <w14:solidFill>
              <w14:schemeClr w14:val="tx1"/>
            </w14:solidFill>
          </w14:textFill>
        </w:rPr>
        <w:t>8</w:t>
      </w:r>
      <w:r>
        <w:rPr>
          <w:rFonts w:hint="eastAsia" w:ascii="宋体"/>
          <w:color w:val="000000" w:themeColor="text1"/>
          <w:kern w:val="0"/>
          <w:sz w:val="24"/>
          <w:highlight w:val="none"/>
          <w14:textFill>
            <w14:solidFill>
              <w14:schemeClr w14:val="tx1"/>
            </w14:solidFill>
          </w14:textFill>
        </w:rPr>
        <w:t>月2</w:t>
      </w:r>
      <w:r>
        <w:rPr>
          <w:rFonts w:hint="eastAsia" w:ascii="宋体"/>
          <w:color w:val="000000" w:themeColor="text1"/>
          <w:kern w:val="0"/>
          <w:sz w:val="24"/>
          <w:highlight w:val="none"/>
          <w:lang w:val="en-US" w:eastAsia="zh-CN"/>
          <w14:textFill>
            <w14:solidFill>
              <w14:schemeClr w14:val="tx1"/>
            </w14:solidFill>
          </w14:textFill>
        </w:rPr>
        <w:t>8</w:t>
      </w:r>
      <w:r>
        <w:rPr>
          <w:rFonts w:hint="eastAsia" w:ascii="宋体"/>
          <w:color w:val="000000" w:themeColor="text1"/>
          <w:kern w:val="0"/>
          <w:sz w:val="24"/>
          <w:highlight w:val="none"/>
          <w14:textFill>
            <w14:solidFill>
              <w14:schemeClr w14:val="tx1"/>
            </w14:solidFill>
          </w14:textFill>
        </w:rPr>
        <w:t>日</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480" w:lineRule="exact"/>
        <w:ind w:right="23" w:firstLine="539"/>
        <w:rPr>
          <w:rFonts w:ascii="宋体"/>
          <w:color w:val="000000" w:themeColor="text1"/>
          <w:kern w:val="0"/>
          <w:sz w:val="24"/>
          <w:highlight w:val="none"/>
          <w14:textFill>
            <w14:solidFill>
              <w14:schemeClr w14:val="tx1"/>
            </w14:solidFill>
          </w14:textFill>
        </w:rPr>
      </w:pPr>
    </w:p>
    <w:p>
      <w:pPr>
        <w:pStyle w:val="3"/>
        <w:spacing w:line="480" w:lineRule="exact"/>
        <w:rPr>
          <w:rFonts w:ascii="宋体"/>
          <w:color w:val="000000" w:themeColor="text1"/>
          <w:kern w:val="0"/>
          <w:highlight w:val="none"/>
          <w14:textFill>
            <w14:solidFill>
              <w14:schemeClr w14:val="tx1"/>
            </w14:solidFill>
          </w14:textFill>
        </w:rPr>
      </w:pPr>
    </w:p>
    <w:p>
      <w:pPr>
        <w:pStyle w:val="3"/>
        <w:spacing w:line="480" w:lineRule="exact"/>
        <w:rPr>
          <w:rFonts w:ascii="宋体"/>
          <w:color w:val="000000" w:themeColor="text1"/>
          <w:kern w:val="0"/>
          <w:highlight w:val="none"/>
          <w14:textFill>
            <w14:solidFill>
              <w14:schemeClr w14:val="tx1"/>
            </w14:solidFill>
          </w14:textFill>
        </w:rPr>
      </w:pPr>
    </w:p>
    <w:p>
      <w:pPr>
        <w:pStyle w:val="3"/>
        <w:spacing w:line="420" w:lineRule="exact"/>
        <w:rPr>
          <w:rFonts w:ascii="宋体"/>
          <w:color w:val="000000" w:themeColor="text1"/>
          <w:kern w:val="0"/>
          <w:highlight w:val="none"/>
          <w14:textFill>
            <w14:solidFill>
              <w14:schemeClr w14:val="tx1"/>
            </w14:solidFill>
          </w14:textFill>
        </w:rPr>
      </w:pPr>
    </w:p>
    <w:p>
      <w:pPr>
        <w:widowControl/>
        <w:jc w:val="center"/>
        <w:rPr>
          <w:rFonts w:hint="eastAsia" w:ascii="方正魏碑简体" w:hAnsi="方正魏碑简体"/>
          <w:b/>
          <w:bCs/>
          <w:color w:val="000000" w:themeColor="text1"/>
          <w:kern w:val="0"/>
          <w:sz w:val="44"/>
          <w:szCs w:val="44"/>
          <w:highlight w:val="none"/>
          <w14:textFill>
            <w14:solidFill>
              <w14:schemeClr w14:val="tx1"/>
            </w14:solidFill>
          </w14:textFill>
        </w:rPr>
      </w:pPr>
    </w:p>
    <w:p>
      <w:pPr>
        <w:widowControl/>
        <w:jc w:val="center"/>
        <w:rPr>
          <w:rFonts w:hint="eastAsia" w:ascii="方正魏碑简体" w:hAnsi="方正魏碑简体"/>
          <w:b/>
          <w:bCs/>
          <w:color w:val="000000" w:themeColor="text1"/>
          <w:kern w:val="0"/>
          <w:sz w:val="44"/>
          <w:szCs w:val="44"/>
          <w:highlight w:val="none"/>
          <w14:textFill>
            <w14:solidFill>
              <w14:schemeClr w14:val="tx1"/>
            </w14:solidFill>
          </w14:textFill>
        </w:rPr>
      </w:pPr>
    </w:p>
    <w:p>
      <w:pPr>
        <w:widowControl/>
        <w:jc w:val="center"/>
        <w:rPr>
          <w:b/>
          <w:bCs/>
          <w:color w:val="000000" w:themeColor="text1"/>
          <w:kern w:val="0"/>
          <w:sz w:val="44"/>
          <w:szCs w:val="44"/>
          <w:highlight w:val="none"/>
          <w14:textFill>
            <w14:solidFill>
              <w14:schemeClr w14:val="tx1"/>
            </w14:solidFill>
          </w14:textFill>
        </w:rPr>
      </w:pPr>
      <w:r>
        <w:rPr>
          <w:rFonts w:hint="eastAsia" w:ascii="方正魏碑简体" w:hAnsi="方正魏碑简体"/>
          <w:b/>
          <w:bCs/>
          <w:color w:val="000000" w:themeColor="text1"/>
          <w:kern w:val="0"/>
          <w:sz w:val="44"/>
          <w:szCs w:val="44"/>
          <w:highlight w:val="none"/>
          <w14:textFill>
            <w14:solidFill>
              <w14:schemeClr w14:val="tx1"/>
            </w14:solidFill>
          </w14:textFill>
        </w:rPr>
        <w:t>玉环市</w:t>
      </w:r>
      <w:r>
        <w:rPr>
          <w:rFonts w:ascii="方正魏碑简体" w:hAnsi="方正魏碑简体"/>
          <w:b/>
          <w:bCs/>
          <w:color w:val="000000" w:themeColor="text1"/>
          <w:kern w:val="0"/>
          <w:sz w:val="44"/>
          <w:szCs w:val="44"/>
          <w:highlight w:val="none"/>
          <w14:textFill>
            <w14:solidFill>
              <w14:schemeClr w14:val="tx1"/>
            </w14:solidFill>
          </w14:textFill>
        </w:rPr>
        <w:t>政府采购报名申请表</w:t>
      </w:r>
    </w:p>
    <w:tbl>
      <w:tblPr>
        <w:tblStyle w:val="20"/>
        <w:tblW w:w="9205" w:type="dxa"/>
        <w:tblInd w:w="-89" w:type="dxa"/>
        <w:tblLayout w:type="fixed"/>
        <w:tblCellMar>
          <w:top w:w="0" w:type="dxa"/>
          <w:left w:w="108" w:type="dxa"/>
          <w:bottom w:w="0" w:type="dxa"/>
          <w:right w:w="108" w:type="dxa"/>
        </w:tblCellMar>
      </w:tblPr>
      <w:tblGrid>
        <w:gridCol w:w="745"/>
        <w:gridCol w:w="1736"/>
        <w:gridCol w:w="2904"/>
        <w:gridCol w:w="301"/>
        <w:gridCol w:w="911"/>
        <w:gridCol w:w="365"/>
        <w:gridCol w:w="2243"/>
      </w:tblGrid>
      <w:tr>
        <w:tblPrEx>
          <w:tblLayout w:type="fixed"/>
          <w:tblCellMar>
            <w:top w:w="0" w:type="dxa"/>
            <w:left w:w="108" w:type="dxa"/>
            <w:bottom w:w="0" w:type="dxa"/>
            <w:right w:w="108" w:type="dxa"/>
          </w:tblCellMar>
        </w:tblPrEx>
        <w:trPr>
          <w:trHeight w:val="645"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项目名称</w:t>
            </w:r>
          </w:p>
        </w:tc>
        <w:tc>
          <w:tcPr>
            <w:tcW w:w="6724" w:type="dxa"/>
            <w:gridSpan w:val="5"/>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645"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招标编号</w:t>
            </w:r>
          </w:p>
        </w:tc>
        <w:tc>
          <w:tcPr>
            <w:tcW w:w="6724" w:type="dxa"/>
            <w:gridSpan w:val="5"/>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color w:val="000000" w:themeColor="text1"/>
                <w:kern w:val="0"/>
                <w:sz w:val="24"/>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645"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投标申请单位名称</w:t>
            </w:r>
          </w:p>
        </w:tc>
        <w:tc>
          <w:tcPr>
            <w:tcW w:w="6724" w:type="dxa"/>
            <w:gridSpan w:val="5"/>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（盖章）</w:t>
            </w:r>
          </w:p>
        </w:tc>
      </w:tr>
      <w:tr>
        <w:tblPrEx>
          <w:tblLayout w:type="fixed"/>
          <w:tblCellMar>
            <w:top w:w="0" w:type="dxa"/>
            <w:left w:w="108" w:type="dxa"/>
            <w:bottom w:w="0" w:type="dxa"/>
            <w:right w:w="108" w:type="dxa"/>
          </w:tblCellMar>
        </w:tblPrEx>
        <w:trPr>
          <w:trHeight w:val="645"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报名时间</w:t>
            </w:r>
          </w:p>
        </w:tc>
        <w:tc>
          <w:tcPr>
            <w:tcW w:w="6724" w:type="dxa"/>
            <w:gridSpan w:val="5"/>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项目联系人</w:t>
            </w:r>
          </w:p>
        </w:tc>
        <w:tc>
          <w:tcPr>
            <w:tcW w:w="2904" w:type="dxa"/>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s="宋体"/>
                <w:color w:val="000000" w:themeColor="text1"/>
                <w:kern w:val="0"/>
                <w:sz w:val="24"/>
                <w:highlight w:val="none"/>
                <w14:textFill>
                  <w14:solidFill>
                    <w14:schemeClr w14:val="tx1"/>
                  </w14:solidFill>
                </w14:textFill>
              </w:rPr>
            </w:pPr>
          </w:p>
        </w:tc>
        <w:tc>
          <w:tcPr>
            <w:tcW w:w="1212" w:type="dxa"/>
            <w:gridSpan w:val="2"/>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手    机</w:t>
            </w:r>
          </w:p>
        </w:tc>
        <w:tc>
          <w:tcPr>
            <w:tcW w:w="2608" w:type="dxa"/>
            <w:gridSpan w:val="2"/>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s="宋体"/>
                <w:color w:val="000000" w:themeColor="text1"/>
                <w:kern w:val="0"/>
                <w:sz w:val="24"/>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联系电话</w:t>
            </w:r>
          </w:p>
        </w:tc>
        <w:tc>
          <w:tcPr>
            <w:tcW w:w="2904" w:type="dxa"/>
            <w:tcBorders>
              <w:top w:val="single" w:color="000000" w:sz="4" w:space="0"/>
              <w:left w:val="nil"/>
              <w:bottom w:val="single" w:color="000000" w:sz="4" w:space="0"/>
              <w:right w:val="single" w:color="000000" w:sz="4" w:space="0"/>
            </w:tcBorders>
          </w:tcPr>
          <w:p>
            <w:pPr>
              <w:widowControl/>
              <w:spacing w:line="360" w:lineRule="auto"/>
              <w:rPr>
                <w:rFonts w:ascii="宋体" w:hAnsi="宋体" w:cs="宋体"/>
                <w:color w:val="000000" w:themeColor="text1"/>
                <w:kern w:val="0"/>
                <w:sz w:val="24"/>
                <w:highlight w:val="none"/>
                <w14:textFill>
                  <w14:solidFill>
                    <w14:schemeClr w14:val="tx1"/>
                  </w14:solidFill>
                </w14:textFill>
              </w:rPr>
            </w:pPr>
          </w:p>
        </w:tc>
        <w:tc>
          <w:tcPr>
            <w:tcW w:w="1212" w:type="dxa"/>
            <w:gridSpan w:val="2"/>
            <w:tcBorders>
              <w:top w:val="single" w:color="000000" w:sz="4" w:space="0"/>
              <w:left w:val="nil"/>
              <w:bottom w:val="single" w:color="000000" w:sz="4" w:space="0"/>
              <w:right w:val="single" w:color="000000" w:sz="4" w:space="0"/>
            </w:tcBorders>
          </w:tcPr>
          <w:p>
            <w:pPr>
              <w:widowControl/>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传    真</w:t>
            </w:r>
          </w:p>
        </w:tc>
        <w:tc>
          <w:tcPr>
            <w:tcW w:w="2608" w:type="dxa"/>
            <w:gridSpan w:val="2"/>
            <w:tcBorders>
              <w:top w:val="single" w:color="000000" w:sz="4" w:space="0"/>
              <w:left w:val="nil"/>
              <w:bottom w:val="single" w:color="000000" w:sz="4" w:space="0"/>
              <w:right w:val="single" w:color="000000" w:sz="4" w:space="0"/>
            </w:tcBorders>
          </w:tcPr>
          <w:p>
            <w:pPr>
              <w:widowControl/>
              <w:spacing w:line="360" w:lineRule="auto"/>
              <w:rPr>
                <w:rFonts w:ascii="宋体" w:hAnsi="宋体" w:cs="宋体"/>
                <w:color w:val="000000" w:themeColor="text1"/>
                <w:kern w:val="0"/>
                <w:sz w:val="24"/>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E—mail</w:t>
            </w:r>
          </w:p>
        </w:tc>
        <w:tc>
          <w:tcPr>
            <w:tcW w:w="2904" w:type="dxa"/>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s="宋体"/>
                <w:color w:val="000000" w:themeColor="text1"/>
                <w:kern w:val="0"/>
                <w:sz w:val="24"/>
                <w:highlight w:val="none"/>
                <w14:textFill>
                  <w14:solidFill>
                    <w14:schemeClr w14:val="tx1"/>
                  </w14:solidFill>
                </w14:textFill>
              </w:rPr>
            </w:pPr>
          </w:p>
        </w:tc>
        <w:tc>
          <w:tcPr>
            <w:tcW w:w="1212" w:type="dxa"/>
            <w:gridSpan w:val="2"/>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邮政编码</w:t>
            </w:r>
          </w:p>
        </w:tc>
        <w:tc>
          <w:tcPr>
            <w:tcW w:w="2608" w:type="dxa"/>
            <w:gridSpan w:val="2"/>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s="宋体"/>
                <w:color w:val="000000" w:themeColor="text1"/>
                <w:kern w:val="0"/>
                <w:sz w:val="24"/>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通信地址</w:t>
            </w:r>
          </w:p>
        </w:tc>
        <w:tc>
          <w:tcPr>
            <w:tcW w:w="6724" w:type="dxa"/>
            <w:gridSpan w:val="5"/>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s="宋体"/>
                <w:color w:val="000000" w:themeColor="text1"/>
                <w:kern w:val="0"/>
                <w:sz w:val="24"/>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510" w:hRule="atLeast"/>
        </w:trPr>
        <w:tc>
          <w:tcPr>
            <w:tcW w:w="9205"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以下内容增值税一般纳税人须填写齐全</w:t>
            </w:r>
          </w:p>
        </w:tc>
      </w:tr>
      <w:tr>
        <w:tblPrEx>
          <w:tblLayout w:type="fixed"/>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税号（纳税识别号）</w:t>
            </w:r>
          </w:p>
        </w:tc>
        <w:tc>
          <w:tcPr>
            <w:tcW w:w="6724" w:type="dxa"/>
            <w:gridSpan w:val="5"/>
            <w:tcBorders>
              <w:top w:val="single" w:color="auto" w:sz="4" w:space="0"/>
              <w:left w:val="nil"/>
              <w:bottom w:val="single" w:color="auto" w:sz="4" w:space="0"/>
              <w:right w:val="single" w:color="000000" w:sz="4" w:space="0"/>
            </w:tcBorders>
            <w:vAlign w:val="center"/>
          </w:tcPr>
          <w:p>
            <w:pPr>
              <w:widowControl/>
              <w:spacing w:line="520" w:lineRule="exact"/>
              <w:jc w:val="left"/>
              <w:rPr>
                <w:rFonts w:ascii="宋体" w:hAnsi="宋体" w:cs="宋体"/>
                <w:color w:val="000000" w:themeColor="text1"/>
                <w:kern w:val="0"/>
                <w:sz w:val="24"/>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开票地址、电话</w:t>
            </w:r>
          </w:p>
        </w:tc>
        <w:tc>
          <w:tcPr>
            <w:tcW w:w="6724" w:type="dxa"/>
            <w:gridSpan w:val="5"/>
            <w:tcBorders>
              <w:top w:val="single" w:color="auto" w:sz="4" w:space="0"/>
              <w:left w:val="nil"/>
              <w:bottom w:val="single" w:color="auto" w:sz="4" w:space="0"/>
              <w:right w:val="single" w:color="000000" w:sz="4" w:space="0"/>
            </w:tcBorders>
            <w:vAlign w:val="center"/>
          </w:tcPr>
          <w:p>
            <w:pPr>
              <w:widowControl/>
              <w:spacing w:line="520" w:lineRule="exact"/>
              <w:jc w:val="left"/>
              <w:rPr>
                <w:rFonts w:ascii="宋体" w:hAnsi="宋体" w:cs="宋体"/>
                <w:color w:val="000000" w:themeColor="text1"/>
                <w:kern w:val="0"/>
                <w:sz w:val="24"/>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开户银行、银行账号</w:t>
            </w:r>
          </w:p>
        </w:tc>
        <w:tc>
          <w:tcPr>
            <w:tcW w:w="6724" w:type="dxa"/>
            <w:gridSpan w:val="5"/>
            <w:tcBorders>
              <w:top w:val="single" w:color="auto" w:sz="4" w:space="0"/>
              <w:left w:val="nil"/>
              <w:bottom w:val="single" w:color="000000" w:sz="4" w:space="0"/>
              <w:right w:val="single" w:color="000000" w:sz="4" w:space="0"/>
            </w:tcBorders>
            <w:vAlign w:val="center"/>
          </w:tcPr>
          <w:p>
            <w:pPr>
              <w:widowControl/>
              <w:spacing w:line="520" w:lineRule="exact"/>
              <w:jc w:val="left"/>
              <w:rPr>
                <w:rFonts w:ascii="宋体" w:hAnsi="宋体" w:cs="宋体"/>
                <w:color w:val="000000" w:themeColor="text1"/>
                <w:kern w:val="0"/>
                <w:sz w:val="24"/>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626" w:hRule="atLeast"/>
        </w:trPr>
        <w:tc>
          <w:tcPr>
            <w:tcW w:w="9205"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提交的报名资料清单</w:t>
            </w:r>
          </w:p>
        </w:tc>
      </w:tr>
      <w:tr>
        <w:tblPrEx>
          <w:tblLayout w:type="fixed"/>
          <w:tblCellMar>
            <w:top w:w="0" w:type="dxa"/>
            <w:left w:w="108" w:type="dxa"/>
            <w:bottom w:w="0" w:type="dxa"/>
            <w:right w:w="108" w:type="dxa"/>
          </w:tblCellMar>
        </w:tblPrEx>
        <w:trPr>
          <w:trHeight w:val="885" w:hRule="atLeast"/>
        </w:trPr>
        <w:tc>
          <w:tcPr>
            <w:tcW w:w="7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序号</w:t>
            </w:r>
          </w:p>
        </w:tc>
        <w:tc>
          <w:tcPr>
            <w:tcW w:w="4941" w:type="dxa"/>
            <w:gridSpan w:val="3"/>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提交资料名称</w:t>
            </w:r>
          </w:p>
        </w:tc>
        <w:tc>
          <w:tcPr>
            <w:tcW w:w="1276"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是否提交</w:t>
            </w:r>
          </w:p>
        </w:tc>
        <w:tc>
          <w:tcPr>
            <w:tcW w:w="2243"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备  注</w:t>
            </w:r>
          </w:p>
        </w:tc>
      </w:tr>
      <w:tr>
        <w:tblPrEx>
          <w:tblLayout w:type="fixed"/>
          <w:tblCellMar>
            <w:top w:w="0" w:type="dxa"/>
            <w:left w:w="108" w:type="dxa"/>
            <w:bottom w:w="0" w:type="dxa"/>
            <w:right w:w="108" w:type="dxa"/>
          </w:tblCellMar>
        </w:tblPrEx>
        <w:trPr>
          <w:trHeight w:val="885" w:hRule="atLeast"/>
        </w:trPr>
        <w:tc>
          <w:tcPr>
            <w:tcW w:w="7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4941" w:type="dxa"/>
            <w:gridSpan w:val="3"/>
            <w:tcBorders>
              <w:top w:val="single" w:color="000000" w:sz="4" w:space="0"/>
              <w:left w:val="nil"/>
              <w:bottom w:val="single" w:color="000000" w:sz="4" w:space="0"/>
              <w:right w:val="single" w:color="000000" w:sz="4" w:space="0"/>
            </w:tcBorders>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供应商有效的营业执照、税务登记证（复印件加盖公章，如为多证合一仅需提供营业执照复印件加盖公章）；</w:t>
            </w:r>
          </w:p>
        </w:tc>
        <w:tc>
          <w:tcPr>
            <w:tcW w:w="1276"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2243"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885" w:hRule="atLeast"/>
        </w:trPr>
        <w:tc>
          <w:tcPr>
            <w:tcW w:w="7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4941" w:type="dxa"/>
            <w:gridSpan w:val="3"/>
            <w:tcBorders>
              <w:top w:val="single" w:color="000000" w:sz="4" w:space="0"/>
              <w:left w:val="nil"/>
              <w:bottom w:val="single" w:color="000000" w:sz="4" w:space="0"/>
              <w:right w:val="single" w:color="000000" w:sz="4" w:space="0"/>
            </w:tcBorders>
            <w:vAlign w:val="center"/>
          </w:tcPr>
          <w:p>
            <w:pPr>
              <w:rPr>
                <w:rFonts w:ascii="宋体" w:hAnsi="宋体" w:cs="宋体"/>
                <w:color w:val="000000" w:themeColor="text1"/>
                <w:sz w:val="24"/>
                <w:highlight w:val="none"/>
                <w14:textFill>
                  <w14:solidFill>
                    <w14:schemeClr w14:val="tx1"/>
                  </w14:solidFill>
                </w14:textFill>
              </w:rPr>
            </w:pPr>
          </w:p>
        </w:tc>
        <w:tc>
          <w:tcPr>
            <w:tcW w:w="1276"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2243" w:type="dxa"/>
            <w:tcBorders>
              <w:top w:val="single" w:color="000000" w:sz="4" w:space="0"/>
              <w:left w:val="nil"/>
              <w:bottom w:val="single" w:color="000000" w:sz="4" w:space="0"/>
              <w:right w:val="single" w:color="000000" w:sz="4" w:space="0"/>
            </w:tcBorders>
            <w:vAlign w:val="center"/>
          </w:tcPr>
          <w:p>
            <w:pPr>
              <w:widowControl/>
              <w:spacing w:line="360" w:lineRule="auto"/>
              <w:ind w:firstLine="1430"/>
              <w:rPr>
                <w:rFonts w:ascii="宋体" w:hAnsi="宋体" w:cs="宋体"/>
                <w:color w:val="000000" w:themeColor="text1"/>
                <w:kern w:val="0"/>
                <w:sz w:val="24"/>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885" w:hRule="atLeast"/>
        </w:trPr>
        <w:tc>
          <w:tcPr>
            <w:tcW w:w="7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w:t>
            </w:r>
          </w:p>
        </w:tc>
        <w:tc>
          <w:tcPr>
            <w:tcW w:w="4941" w:type="dxa"/>
            <w:gridSpan w:val="3"/>
            <w:tcBorders>
              <w:top w:val="single" w:color="000000" w:sz="4" w:space="0"/>
              <w:left w:val="nil"/>
              <w:bottom w:val="single" w:color="000000" w:sz="4" w:space="0"/>
              <w:right w:val="single" w:color="000000" w:sz="4" w:space="0"/>
            </w:tcBorders>
            <w:vAlign w:val="center"/>
          </w:tcPr>
          <w:p>
            <w:pPr>
              <w:widowControl/>
              <w:rPr>
                <w:rFonts w:ascii="宋体" w:hAnsi="宋体" w:cs="宋体"/>
                <w:color w:val="000000" w:themeColor="text1"/>
                <w:kern w:val="0"/>
                <w:sz w:val="24"/>
                <w:highlight w:val="none"/>
                <w14:textFill>
                  <w14:solidFill>
                    <w14:schemeClr w14:val="tx1"/>
                  </w14:solidFill>
                </w14:textFill>
              </w:rPr>
            </w:pPr>
          </w:p>
        </w:tc>
        <w:tc>
          <w:tcPr>
            <w:tcW w:w="1276"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2243"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r>
    </w:tbl>
    <w:p>
      <w:pPr>
        <w:widowControl/>
        <w:snapToGrid w:val="0"/>
        <w:spacing w:before="60" w:after="60" w:line="340" w:lineRule="atLeast"/>
        <w:ind w:left="60" w:right="62" w:firstLine="374"/>
        <w:jc w:val="left"/>
        <w:rPr>
          <w:rFonts w:ascii="宋体" w:hAnsi="宋体"/>
          <w:color w:val="000000" w:themeColor="text1"/>
          <w:sz w:val="22"/>
          <w:highlight w:val="none"/>
          <w14:textFill>
            <w14:solidFill>
              <w14:schemeClr w14:val="tx1"/>
            </w14:solidFill>
          </w14:textFill>
        </w:rPr>
      </w:pPr>
      <w:r>
        <w:rPr>
          <w:rFonts w:hint="eastAsia" w:ascii="楷体_GB2312" w:eastAsia="楷体_GB2312"/>
          <w:b/>
          <w:bCs/>
          <w:color w:val="000000" w:themeColor="text1"/>
          <w:kern w:val="0"/>
          <w:sz w:val="24"/>
          <w:highlight w:val="none"/>
          <w14:textFill>
            <w14:solidFill>
              <w14:schemeClr w14:val="tx1"/>
            </w14:solidFill>
          </w14:textFill>
        </w:rPr>
        <w:t>以上报名资料请装订成册。</w:t>
      </w:r>
    </w:p>
    <w:p>
      <w:pPr>
        <w:pStyle w:val="3"/>
        <w:rPr>
          <w:rFonts w:ascii="宋体"/>
          <w:color w:val="000000" w:themeColor="text1"/>
          <w:kern w:val="0"/>
          <w:highlight w:val="none"/>
          <w14:textFill>
            <w14:solidFill>
              <w14:schemeClr w14:val="tx1"/>
            </w14:solidFill>
          </w14:textFill>
        </w:rPr>
      </w:pPr>
    </w:p>
    <w:p>
      <w:pPr>
        <w:pStyle w:val="3"/>
        <w:rPr>
          <w:rFonts w:ascii="宋体"/>
          <w:color w:val="000000" w:themeColor="text1"/>
          <w:kern w:val="0"/>
          <w:highlight w:val="none"/>
          <w14:textFill>
            <w14:solidFill>
              <w14:schemeClr w14:val="tx1"/>
            </w14:solidFill>
          </w14:textFill>
        </w:rPr>
      </w:pPr>
    </w:p>
    <w:p>
      <w:pPr>
        <w:rPr>
          <w:color w:val="000000" w:themeColor="text1"/>
          <w:highlight w:val="none"/>
          <w14:textFill>
            <w14:solidFill>
              <w14:schemeClr w14:val="tx1"/>
            </w14:solidFill>
          </w14:textFill>
        </w:rPr>
      </w:pPr>
    </w:p>
    <w:p>
      <w:pPr>
        <w:numPr>
          <w:ilvl w:val="0"/>
          <w:numId w:val="4"/>
        </w:numPr>
        <w:spacing w:line="360" w:lineRule="auto"/>
        <w:jc w:val="center"/>
        <w:rPr>
          <w:rFonts w:asciiTheme="minorEastAsia" w:hAnsiTheme="minorEastAsia" w:eastAsiaTheme="minorEastAsia"/>
          <w:b/>
          <w:color w:val="000000" w:themeColor="text1"/>
          <w:sz w:val="36"/>
          <w:szCs w:val="36"/>
          <w:highlight w:val="none"/>
          <w14:textFill>
            <w14:solidFill>
              <w14:schemeClr w14:val="tx1"/>
            </w14:solidFill>
          </w14:textFill>
        </w:rPr>
      </w:pPr>
      <w:r>
        <w:rPr>
          <w:rFonts w:hint="eastAsia" w:asciiTheme="minorEastAsia" w:hAnsiTheme="minorEastAsia" w:eastAsiaTheme="minorEastAsia"/>
          <w:b/>
          <w:color w:val="000000" w:themeColor="text1"/>
          <w:sz w:val="36"/>
          <w:szCs w:val="36"/>
          <w:highlight w:val="none"/>
          <w14:textFill>
            <w14:solidFill>
              <w14:schemeClr w14:val="tx1"/>
            </w14:solidFill>
          </w14:textFill>
        </w:rPr>
        <w:t>投标人须知</w:t>
      </w:r>
    </w:p>
    <w:p>
      <w:pPr>
        <w:spacing w:line="360" w:lineRule="auto"/>
        <w:jc w:val="center"/>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前附表</w:t>
      </w:r>
    </w:p>
    <w:tbl>
      <w:tblPr>
        <w:tblStyle w:val="20"/>
        <w:tblW w:w="9003" w:type="dxa"/>
        <w:jc w:val="center"/>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602"/>
        <w:gridCol w:w="6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1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    目</w:t>
            </w:r>
          </w:p>
        </w:tc>
        <w:tc>
          <w:tcPr>
            <w:tcW w:w="66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供应商特定资格要求</w:t>
            </w:r>
          </w:p>
        </w:tc>
        <w:tc>
          <w:tcPr>
            <w:tcW w:w="666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答疑会或</w:t>
            </w:r>
            <w:r>
              <w:rPr>
                <w:rFonts w:hint="eastAsia" w:ascii="宋体" w:hAnsi="宋体" w:cs="宋体"/>
                <w:color w:val="000000" w:themeColor="text1"/>
                <w:sz w:val="24"/>
                <w:highlight w:val="none"/>
                <w14:textFill>
                  <w14:solidFill>
                    <w14:schemeClr w14:val="tx1"/>
                  </w14:solidFill>
                </w14:textFill>
              </w:rPr>
              <w:t>现场踏勘</w:t>
            </w:r>
          </w:p>
        </w:tc>
        <w:tc>
          <w:tcPr>
            <w:tcW w:w="666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领取</w:t>
            </w:r>
            <w:r>
              <w:rPr>
                <w:rFonts w:hint="eastAsia" w:ascii="宋体" w:hAnsi="宋体" w:cs="宋体"/>
                <w:color w:val="000000" w:themeColor="text1"/>
                <w:sz w:val="24"/>
                <w:highlight w:val="none"/>
                <w14:textFill>
                  <w14:solidFill>
                    <w14:schemeClr w14:val="tx1"/>
                  </w14:solidFill>
                </w14:textFill>
              </w:rPr>
              <w:t>采购文件</w:t>
            </w:r>
            <w:r>
              <w:rPr>
                <w:rFonts w:hint="eastAsia" w:ascii="宋体" w:hAnsi="宋体" w:cs="宋体"/>
                <w:color w:val="000000" w:themeColor="text1"/>
                <w:kern w:val="0"/>
                <w:sz w:val="24"/>
                <w:highlight w:val="none"/>
                <w14:textFill>
                  <w14:solidFill>
                    <w14:schemeClr w14:val="tx1"/>
                  </w14:solidFill>
                </w14:textFill>
              </w:rPr>
              <w:t>后，各投标供应商请自行踏勘。</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采购人：潘先生</w:t>
            </w:r>
            <w:r>
              <w:rPr>
                <w:rFonts w:hint="eastAsia" w:ascii="宋体" w:hAnsi="宋体" w:cs="宋体"/>
                <w:color w:val="000000" w:themeColor="text1"/>
                <w:sz w:val="24"/>
                <w:highlight w:val="none"/>
                <w14:textFill>
                  <w14:solidFill>
                    <w14:schemeClr w14:val="tx1"/>
                  </w14:solidFill>
                </w14:textFill>
              </w:rPr>
              <w:t xml:space="preserve">     联系电话：0576-87236016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投标文件包装要求</w:t>
            </w:r>
          </w:p>
        </w:tc>
        <w:tc>
          <w:tcPr>
            <w:tcW w:w="666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投标文件中的报价文件必须与其他文件分开各自密封包装。</w:t>
            </w:r>
          </w:p>
          <w:p>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资格证明文件正本1份、副本4份</w:t>
            </w:r>
            <w:r>
              <w:rPr>
                <w:rFonts w:hint="eastAsia" w:ascii="宋体" w:hAnsi="宋体" w:cs="宋体"/>
                <w:color w:val="000000" w:themeColor="text1"/>
                <w:sz w:val="24"/>
                <w:highlight w:val="none"/>
                <w:lang w:val="en-US" w:eastAsia="zh-CN"/>
                <w14:textFill>
                  <w14:solidFill>
                    <w14:schemeClr w14:val="tx1"/>
                  </w14:solidFill>
                </w14:textFill>
              </w:rPr>
              <w:t>,</w:t>
            </w:r>
          </w:p>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商务与技术文件正本1份、副本4份，</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报价文件正本1份、副本4份。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1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投标有效期</w:t>
            </w:r>
          </w:p>
        </w:tc>
        <w:tc>
          <w:tcPr>
            <w:tcW w:w="666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投标有效期为开标后90天，</w:t>
            </w:r>
            <w:r>
              <w:rPr>
                <w:rFonts w:hint="eastAsia" w:ascii="宋体" w:hAnsi="宋体" w:cs="宋体"/>
                <w:color w:val="000000" w:themeColor="text1"/>
                <w:kern w:val="0"/>
                <w:sz w:val="24"/>
                <w:highlight w:val="none"/>
                <w14:textFill>
                  <w14:solidFill>
                    <w14:schemeClr w14:val="tx1"/>
                  </w14:solidFill>
                </w14:textFill>
              </w:rPr>
              <w:t>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1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投标文件递交</w:t>
            </w:r>
          </w:p>
        </w:tc>
        <w:tc>
          <w:tcPr>
            <w:tcW w:w="666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截止时间：北京时间2019年</w:t>
            </w:r>
            <w:r>
              <w:rPr>
                <w:rFonts w:hint="eastAsia" w:ascii="宋体" w:hAnsi="宋体" w:cs="宋体"/>
                <w:color w:val="000000" w:themeColor="text1"/>
                <w:sz w:val="24"/>
                <w:highlight w:val="none"/>
                <w:lang w:val="en-US" w:eastAsia="zh-CN"/>
                <w14:textFill>
                  <w14:solidFill>
                    <w14:schemeClr w14:val="tx1"/>
                  </w14:solidFill>
                </w14:textFill>
              </w:rPr>
              <w:t>9</w:t>
            </w:r>
            <w:r>
              <w:rPr>
                <w:rFonts w:hint="eastAsia" w:ascii="宋体" w:hAnsi="宋体" w:cs="宋体"/>
                <w:color w:val="000000" w:themeColor="text1"/>
                <w:sz w:val="24"/>
                <w:highlight w:val="none"/>
                <w14:textFill>
                  <w14:solidFill>
                    <w14:schemeClr w14:val="tx1"/>
                  </w14:solidFill>
                </w14:textFill>
              </w:rPr>
              <w:t>月1</w:t>
            </w:r>
            <w:r>
              <w:rPr>
                <w:rFonts w:hint="eastAsia" w:ascii="宋体" w:hAnsi="宋体" w:cs="宋体"/>
                <w:color w:val="000000" w:themeColor="text1"/>
                <w:sz w:val="24"/>
                <w:highlight w:val="none"/>
                <w:lang w:val="en-US" w:eastAsia="zh-CN"/>
                <w14:textFill>
                  <w14:solidFill>
                    <w14:schemeClr w14:val="tx1"/>
                  </w14:solidFill>
                </w14:textFill>
              </w:rPr>
              <w:t>8</w:t>
            </w:r>
            <w:r>
              <w:rPr>
                <w:rFonts w:hint="eastAsia" w:ascii="宋体" w:hAnsi="宋体" w:cs="宋体"/>
                <w:color w:val="000000" w:themeColor="text1"/>
                <w:sz w:val="24"/>
                <w:highlight w:val="none"/>
                <w14:textFill>
                  <w14:solidFill>
                    <w14:schemeClr w14:val="tx1"/>
                  </w14:solidFill>
                </w14:textFill>
              </w:rPr>
              <w:t>日09:30</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递交地点：玉环市公共资源交易中心二楼开标室（二）（玉环市新城中路与长治路（南一路）交叉路口）</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逾期送达的投标文件恕不接受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1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开标时间及地点</w:t>
            </w:r>
          </w:p>
        </w:tc>
        <w:tc>
          <w:tcPr>
            <w:tcW w:w="666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时间：北京时间2019年</w:t>
            </w:r>
            <w:r>
              <w:rPr>
                <w:rFonts w:hint="eastAsia" w:ascii="宋体" w:hAnsi="宋体" w:cs="宋体"/>
                <w:color w:val="000000" w:themeColor="text1"/>
                <w:sz w:val="24"/>
                <w:highlight w:val="none"/>
                <w:lang w:val="en-US" w:eastAsia="zh-CN"/>
                <w14:textFill>
                  <w14:solidFill>
                    <w14:schemeClr w14:val="tx1"/>
                  </w14:solidFill>
                </w14:textFill>
              </w:rPr>
              <w:t>9</w:t>
            </w:r>
            <w:r>
              <w:rPr>
                <w:rFonts w:hint="eastAsia" w:ascii="宋体" w:hAnsi="宋体" w:cs="宋体"/>
                <w:color w:val="000000" w:themeColor="text1"/>
                <w:sz w:val="24"/>
                <w:highlight w:val="none"/>
                <w14:textFill>
                  <w14:solidFill>
                    <w14:schemeClr w14:val="tx1"/>
                  </w14:solidFill>
                </w14:textFill>
              </w:rPr>
              <w:t>月1</w:t>
            </w:r>
            <w:r>
              <w:rPr>
                <w:rFonts w:hint="eastAsia" w:ascii="宋体" w:hAnsi="宋体" w:cs="宋体"/>
                <w:color w:val="000000" w:themeColor="text1"/>
                <w:sz w:val="24"/>
                <w:highlight w:val="none"/>
                <w:lang w:val="en-US" w:eastAsia="zh-CN"/>
                <w14:textFill>
                  <w14:solidFill>
                    <w14:schemeClr w14:val="tx1"/>
                  </w14:solidFill>
                </w14:textFill>
              </w:rPr>
              <w:t>8</w:t>
            </w:r>
            <w:r>
              <w:rPr>
                <w:rFonts w:hint="eastAsia" w:ascii="宋体" w:hAnsi="宋体" w:cs="宋体"/>
                <w:color w:val="000000" w:themeColor="text1"/>
                <w:sz w:val="24"/>
                <w:highlight w:val="none"/>
                <w14:textFill>
                  <w14:solidFill>
                    <w14:schemeClr w14:val="tx1"/>
                  </w14:solidFill>
                </w14:textFill>
              </w:rPr>
              <w:t>日09:30</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地点：玉环市公共资源交易中心二楼开标室（二）（玉环市新城中路与长治路（南一路）交叉路口）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1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履约保证金</w:t>
            </w:r>
          </w:p>
        </w:tc>
        <w:tc>
          <w:tcPr>
            <w:tcW w:w="6661" w:type="dxa"/>
            <w:tcBorders>
              <w:top w:val="single" w:color="auto" w:sz="4" w:space="0"/>
              <w:left w:val="single" w:color="auto" w:sz="4" w:space="0"/>
              <w:bottom w:val="single" w:color="auto" w:sz="4" w:space="0"/>
              <w:right w:val="single" w:color="auto" w:sz="4" w:space="0"/>
            </w:tcBorders>
            <w:vAlign w:val="center"/>
          </w:tcPr>
          <w:p>
            <w:pPr>
              <w:pStyle w:val="13"/>
              <w:spacing w:line="360" w:lineRule="auto"/>
              <w:ind w:left="0" w:leftChars="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供应商在签订合同前须交纳本项目合同金额的10%作为履约保证金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16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解释权</w:t>
            </w:r>
          </w:p>
        </w:tc>
        <w:tc>
          <w:tcPr>
            <w:tcW w:w="666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本招标文件解释权属于采购人和采购代理机构</w:t>
            </w:r>
          </w:p>
        </w:tc>
      </w:tr>
    </w:tbl>
    <w:p>
      <w:pPr>
        <w:pStyle w:val="12"/>
        <w:snapToGrid w:val="0"/>
        <w:spacing w:before="120" w:after="120" w:line="360" w:lineRule="auto"/>
        <w:rPr>
          <w:rFonts w:asciiTheme="minorEastAsia" w:hAnsiTheme="minorEastAsia" w:eastAsiaTheme="minorEastAsia"/>
          <w:b/>
          <w:color w:val="000000" w:themeColor="text1"/>
          <w:sz w:val="24"/>
          <w:highlight w:val="none"/>
          <w14:textFill>
            <w14:solidFill>
              <w14:schemeClr w14:val="tx1"/>
            </w14:solidFill>
          </w14:textFill>
        </w:rPr>
      </w:pPr>
    </w:p>
    <w:p>
      <w:pPr>
        <w:pStyle w:val="12"/>
        <w:snapToGrid w:val="0"/>
        <w:spacing w:before="120" w:after="120" w:line="360" w:lineRule="auto"/>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一 、总  则</w:t>
      </w:r>
    </w:p>
    <w:p>
      <w:pPr>
        <w:snapToGrid w:val="0"/>
        <w:spacing w:line="360" w:lineRule="auto"/>
        <w:ind w:firstLine="472" w:firstLineChars="196"/>
        <w:jc w:val="left"/>
        <w:outlineLvl w:val="1"/>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（一）</w:t>
      </w:r>
      <w:r>
        <w:rPr>
          <w:rFonts w:asciiTheme="minorEastAsia" w:hAnsiTheme="minorEastAsia" w:eastAsiaTheme="minorEastAsia"/>
          <w:b/>
          <w:color w:val="000000" w:themeColor="text1"/>
          <w:sz w:val="24"/>
          <w:highlight w:val="none"/>
          <w14:textFill>
            <w14:solidFill>
              <w14:schemeClr w14:val="tx1"/>
            </w14:solidFill>
          </w14:textFill>
        </w:rPr>
        <w:t xml:space="preserve"> 适用范围</w:t>
      </w:r>
    </w:p>
    <w:p>
      <w:pPr>
        <w:snapToGrid w:val="0"/>
        <w:spacing w:line="360" w:lineRule="auto"/>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本招标文件适用于</w:t>
      </w:r>
      <w:r>
        <w:rPr>
          <w:rFonts w:hint="eastAsia" w:asciiTheme="minorEastAsia" w:hAnsiTheme="minorEastAsia" w:eastAsiaTheme="minorEastAsia"/>
          <w:bCs/>
          <w:color w:val="000000" w:themeColor="text1"/>
          <w:sz w:val="24"/>
          <w:highlight w:val="none"/>
          <w14:textFill>
            <w14:solidFill>
              <w14:schemeClr w14:val="tx1"/>
            </w14:solidFill>
          </w14:textFill>
        </w:rPr>
        <w:t>本次</w:t>
      </w:r>
      <w:r>
        <w:rPr>
          <w:rFonts w:hint="eastAsia" w:asciiTheme="minorEastAsia" w:hAnsiTheme="minorEastAsia" w:eastAsiaTheme="minorEastAsia"/>
          <w:color w:val="000000" w:themeColor="text1"/>
          <w:sz w:val="24"/>
          <w:highlight w:val="none"/>
          <w14:textFill>
            <w14:solidFill>
              <w14:schemeClr w14:val="tx1"/>
            </w14:solidFill>
          </w14:textFill>
        </w:rPr>
        <w:t>项目的招标、投标、评标、定标、验收、合同履约、付款等行为（法律、法规另有规定的，从其规定）。</w:t>
      </w:r>
    </w:p>
    <w:p>
      <w:pPr>
        <w:snapToGrid w:val="0"/>
        <w:spacing w:before="156" w:beforeLines="50" w:line="360" w:lineRule="auto"/>
        <w:ind w:firstLine="354" w:firstLineChars="147"/>
        <w:jc w:val="left"/>
        <w:outlineLvl w:val="1"/>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（二）定义</w:t>
      </w:r>
    </w:p>
    <w:p>
      <w:pPr>
        <w:pStyle w:val="6"/>
        <w:keepNext w:val="0"/>
        <w:keepLines w:val="0"/>
        <w:tabs>
          <w:tab w:val="left" w:pos="0"/>
          <w:tab w:val="left" w:pos="851"/>
        </w:tabs>
        <w:autoSpaceDE w:val="0"/>
        <w:autoSpaceDN w:val="0"/>
        <w:adjustRightInd w:val="0"/>
        <w:snapToGrid w:val="0"/>
        <w:spacing w:before="0" w:after="0"/>
        <w:ind w:firstLine="566" w:firstLineChars="236"/>
        <w:jc w:val="left"/>
        <w:rPr>
          <w:rFonts w:asciiTheme="minorEastAsia" w:hAnsiTheme="minorEastAsia" w:eastAsia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b w:val="0"/>
          <w:color w:val="000000" w:themeColor="text1"/>
          <w:sz w:val="24"/>
          <w:szCs w:val="24"/>
          <w:highlight w:val="none"/>
          <w14:textFill>
            <w14:solidFill>
              <w14:schemeClr w14:val="tx1"/>
            </w14:solidFill>
          </w14:textFill>
        </w:rPr>
        <w:t>1、</w:t>
      </w:r>
      <w:r>
        <w:rPr>
          <w:rFonts w:hint="eastAsia" w:ascii="宋体" w:hAnsi="宋体"/>
          <w:b w:val="0"/>
          <w:bCs w:val="0"/>
          <w:color w:val="000000" w:themeColor="text1"/>
          <w:sz w:val="24"/>
          <w:szCs w:val="24"/>
          <w:highlight w:val="none"/>
          <w:lang w:val="zh-CN"/>
          <w14:textFill>
            <w14:solidFill>
              <w14:schemeClr w14:val="tx1"/>
            </w14:solidFill>
          </w14:textFill>
        </w:rPr>
        <w:t>“采购组织机构”指采购人委托组织招标的集中采购机构</w:t>
      </w:r>
      <w:r>
        <w:rPr>
          <w:rFonts w:hint="eastAsia" w:ascii="宋体" w:hAnsi="宋体" w:cs="Arial"/>
          <w:b w:val="0"/>
          <w:bCs w:val="0"/>
          <w:color w:val="000000" w:themeColor="text1"/>
          <w:sz w:val="24"/>
          <w:szCs w:val="24"/>
          <w:highlight w:val="none"/>
          <w14:textFill>
            <w14:solidFill>
              <w14:schemeClr w14:val="tx1"/>
            </w14:solidFill>
          </w14:textFill>
        </w:rPr>
        <w:t>/</w:t>
      </w:r>
      <w:r>
        <w:rPr>
          <w:rFonts w:hint="eastAsia" w:ascii="宋体" w:hAnsi="宋体"/>
          <w:b w:val="0"/>
          <w:bCs w:val="0"/>
          <w:color w:val="000000" w:themeColor="text1"/>
          <w:sz w:val="24"/>
          <w:szCs w:val="24"/>
          <w:highlight w:val="none"/>
          <w:lang w:val="zh-CN"/>
          <w14:textFill>
            <w14:solidFill>
              <w14:schemeClr w14:val="tx1"/>
            </w14:solidFill>
          </w14:textFill>
        </w:rPr>
        <w:t>采购代理机构。</w:t>
      </w:r>
    </w:p>
    <w:p>
      <w:pPr>
        <w:snapToGrid w:val="0"/>
        <w:spacing w:line="360" w:lineRule="auto"/>
        <w:ind w:firstLine="566" w:firstLineChars="236"/>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2、采购人：是指委托</w:t>
      </w:r>
      <w:r>
        <w:rPr>
          <w:rFonts w:hint="eastAsia" w:ascii="宋体" w:hAnsi="宋体"/>
          <w:color w:val="000000" w:themeColor="text1"/>
          <w:sz w:val="24"/>
          <w:highlight w:val="none"/>
          <w:lang w:val="zh-CN"/>
          <w14:textFill>
            <w14:solidFill>
              <w14:schemeClr w14:val="tx1"/>
            </w14:solidFill>
          </w14:textFill>
        </w:rPr>
        <w:t>集中采购机构</w:t>
      </w:r>
      <w:r>
        <w:rPr>
          <w:rFonts w:hint="eastAsia" w:ascii="宋体" w:hAnsi="宋体" w:cs="Arial"/>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采购代理机构采购本次项目的国家机关、事业单位和团体组织。</w:t>
      </w:r>
    </w:p>
    <w:p>
      <w:pPr>
        <w:snapToGrid w:val="0"/>
        <w:spacing w:line="360" w:lineRule="auto"/>
        <w:ind w:left="424" w:leftChars="202" w:firstLine="141" w:firstLineChars="59"/>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w:t>
      </w:r>
      <w:r>
        <w:rPr>
          <w:rFonts w:asciiTheme="minorEastAsia" w:hAnsiTheme="minorEastAsia" w:eastAsiaTheme="minorEastAsia"/>
          <w:color w:val="000000" w:themeColor="text1"/>
          <w:sz w:val="24"/>
          <w:highlight w:val="none"/>
          <w14:textFill>
            <w14:solidFill>
              <w14:schemeClr w14:val="tx1"/>
            </w14:solidFill>
          </w14:textFill>
        </w:rPr>
        <w:t>投标人</w:t>
      </w:r>
      <w:r>
        <w:rPr>
          <w:rFonts w:hint="eastAsia" w:asciiTheme="minorEastAsia" w:hAnsiTheme="minorEastAsia" w:eastAsiaTheme="minorEastAsia"/>
          <w:color w:val="000000" w:themeColor="text1"/>
          <w:sz w:val="24"/>
          <w:highlight w:val="none"/>
          <w14:textFill>
            <w14:solidFill>
              <w14:schemeClr w14:val="tx1"/>
            </w14:solidFill>
          </w14:textFill>
        </w:rPr>
        <w:t>：是</w:t>
      </w:r>
      <w:r>
        <w:rPr>
          <w:rFonts w:asciiTheme="minorEastAsia" w:hAnsiTheme="minorEastAsia" w:eastAsiaTheme="minorEastAsia"/>
          <w:color w:val="000000" w:themeColor="text1"/>
          <w:sz w:val="24"/>
          <w:highlight w:val="none"/>
          <w14:textFill>
            <w14:solidFill>
              <w14:schemeClr w14:val="tx1"/>
            </w14:solidFill>
          </w14:textFill>
        </w:rPr>
        <w:t>指向</w:t>
      </w:r>
      <w:r>
        <w:rPr>
          <w:rFonts w:hint="eastAsia" w:asciiTheme="minorEastAsia" w:hAnsiTheme="minorEastAsia" w:eastAsiaTheme="minorEastAsia"/>
          <w:color w:val="000000" w:themeColor="text1"/>
          <w:sz w:val="24"/>
          <w:highlight w:val="none"/>
          <w14:textFill>
            <w14:solidFill>
              <w14:schemeClr w14:val="tx1"/>
            </w14:solidFill>
          </w14:textFill>
        </w:rPr>
        <w:t>采购</w:t>
      </w:r>
      <w:r>
        <w:rPr>
          <w:rFonts w:hint="eastAsia" w:ascii="宋体" w:hAnsi="宋体"/>
          <w:color w:val="000000" w:themeColor="text1"/>
          <w:sz w:val="24"/>
          <w:highlight w:val="none"/>
          <w:lang w:val="zh-CN"/>
          <w14:textFill>
            <w14:solidFill>
              <w14:schemeClr w14:val="tx1"/>
            </w14:solidFill>
          </w14:textFill>
        </w:rPr>
        <w:t>组织</w:t>
      </w:r>
      <w:r>
        <w:rPr>
          <w:rFonts w:hint="eastAsia" w:asciiTheme="minorEastAsia" w:hAnsiTheme="minorEastAsia" w:eastAsiaTheme="minorEastAsia"/>
          <w:color w:val="000000" w:themeColor="text1"/>
          <w:sz w:val="24"/>
          <w:highlight w:val="none"/>
          <w14:textFill>
            <w14:solidFill>
              <w14:schemeClr w14:val="tx1"/>
            </w14:solidFill>
          </w14:textFill>
        </w:rPr>
        <w:t>机构</w:t>
      </w:r>
      <w:r>
        <w:rPr>
          <w:rFonts w:asciiTheme="minorEastAsia" w:hAnsiTheme="minorEastAsia" w:eastAsiaTheme="minorEastAsia"/>
          <w:color w:val="000000" w:themeColor="text1"/>
          <w:sz w:val="24"/>
          <w:highlight w:val="none"/>
          <w14:textFill>
            <w14:solidFill>
              <w14:schemeClr w14:val="tx1"/>
            </w14:solidFill>
          </w14:textFill>
        </w:rPr>
        <w:t>提交投标文件的单位或个人。</w:t>
      </w:r>
    </w:p>
    <w:p>
      <w:pPr>
        <w:snapToGrid w:val="0"/>
        <w:spacing w:line="360" w:lineRule="auto"/>
        <w:ind w:left="424" w:leftChars="202" w:firstLine="143"/>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4、</w:t>
      </w:r>
      <w:r>
        <w:rPr>
          <w:rFonts w:asciiTheme="minorEastAsia" w:hAnsiTheme="minorEastAsia" w:eastAsiaTheme="minorEastAsia"/>
          <w:color w:val="000000" w:themeColor="text1"/>
          <w:sz w:val="24"/>
          <w:highlight w:val="none"/>
          <w14:textFill>
            <w14:solidFill>
              <w14:schemeClr w14:val="tx1"/>
            </w14:solidFill>
          </w14:textFill>
        </w:rPr>
        <w:t>货物</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是指各种形态和种类的物品，包括原材料、燃料、设备、产品等。</w:t>
      </w:r>
    </w:p>
    <w:p>
      <w:pPr>
        <w:snapToGrid w:val="0"/>
        <w:spacing w:line="360" w:lineRule="auto"/>
        <w:ind w:firstLine="566" w:firstLineChars="236"/>
        <w:jc w:val="left"/>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5、</w:t>
      </w:r>
      <w:r>
        <w:rPr>
          <w:rFonts w:asciiTheme="minorEastAsia" w:hAnsiTheme="minorEastAsia" w:eastAsiaTheme="minorEastAsia"/>
          <w:color w:val="000000" w:themeColor="text1"/>
          <w:sz w:val="24"/>
          <w:highlight w:val="none"/>
          <w14:textFill>
            <w14:solidFill>
              <w14:schemeClr w14:val="tx1"/>
            </w14:solidFill>
          </w14:textFill>
        </w:rPr>
        <w:t>服务</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是指除货物和工程以外的政府采购对象，包括各类专业服务、信息网络开发服务、金融保险服务、运输服务，以及维修与维护服务等。</w:t>
      </w:r>
    </w:p>
    <w:p>
      <w:pPr>
        <w:snapToGrid w:val="0"/>
        <w:spacing w:line="360" w:lineRule="auto"/>
        <w:ind w:firstLine="566" w:firstLineChars="236"/>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6、</w:t>
      </w:r>
      <w:r>
        <w:rPr>
          <w:rFonts w:asciiTheme="minorEastAsia" w:hAnsiTheme="minorEastAsia" w:eastAsiaTheme="minorEastAsia"/>
          <w:color w:val="000000" w:themeColor="text1"/>
          <w:sz w:val="24"/>
          <w:highlight w:val="none"/>
          <w14:textFill>
            <w14:solidFill>
              <w14:schemeClr w14:val="tx1"/>
            </w14:solidFill>
          </w14:textFill>
        </w:rPr>
        <w:t>“书面形式”包括信函、传真等。</w:t>
      </w:r>
    </w:p>
    <w:p>
      <w:pPr>
        <w:snapToGrid w:val="0"/>
        <w:spacing w:line="360" w:lineRule="auto"/>
        <w:ind w:firstLine="566" w:firstLineChars="236"/>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7、</w:t>
      </w:r>
      <w:r>
        <w:rPr>
          <w:rFonts w:asciiTheme="minorEastAsia" w:hAnsiTheme="minorEastAsia" w:eastAsiaTheme="minorEastAsia"/>
          <w:color w:val="000000" w:themeColor="text1"/>
          <w:sz w:val="24"/>
          <w:highlight w:val="none"/>
          <w14:textFill>
            <w14:solidFill>
              <w14:schemeClr w14:val="tx1"/>
            </w14:solidFill>
          </w14:textFill>
        </w:rPr>
        <w:t>“▲”系指</w:t>
      </w:r>
      <w:r>
        <w:rPr>
          <w:rFonts w:hint="eastAsia" w:asciiTheme="minorEastAsia" w:hAnsiTheme="minorEastAsia" w:eastAsiaTheme="minorEastAsia"/>
          <w:color w:val="000000" w:themeColor="text1"/>
          <w:sz w:val="24"/>
          <w:highlight w:val="none"/>
          <w14:textFill>
            <w14:solidFill>
              <w14:schemeClr w14:val="tx1"/>
            </w14:solidFill>
          </w14:textFill>
        </w:rPr>
        <w:t>重要参数</w:t>
      </w:r>
      <w:r>
        <w:rPr>
          <w:rFonts w:asciiTheme="minorEastAsia" w:hAnsiTheme="minorEastAsia" w:eastAsiaTheme="minorEastAsia"/>
          <w:color w:val="000000" w:themeColor="text1"/>
          <w:sz w:val="24"/>
          <w:highlight w:val="none"/>
          <w14:textFill>
            <w14:solidFill>
              <w14:schemeClr w14:val="tx1"/>
            </w14:solidFill>
          </w14:textFill>
        </w:rPr>
        <w:t>。</w:t>
      </w:r>
    </w:p>
    <w:p>
      <w:pPr>
        <w:snapToGrid w:val="0"/>
        <w:spacing w:before="156" w:beforeLines="50" w:line="360" w:lineRule="auto"/>
        <w:ind w:firstLine="472" w:firstLineChars="196"/>
        <w:jc w:val="left"/>
        <w:outlineLvl w:val="1"/>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（三）投标费用</w:t>
      </w:r>
    </w:p>
    <w:p>
      <w:pPr>
        <w:snapToGrid w:val="0"/>
        <w:spacing w:line="360" w:lineRule="auto"/>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不论投标结果如何，投标人均应自行承担所有与投标有关的全部费用（招标文件有相关规定除外）。</w:t>
      </w:r>
    </w:p>
    <w:p>
      <w:pPr>
        <w:pStyle w:val="12"/>
        <w:snapToGrid w:val="0"/>
        <w:spacing w:line="360" w:lineRule="auto"/>
        <w:ind w:left="2" w:leftChars="1" w:firstLine="482" w:firstLineChars="200"/>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（四）特别说明</w:t>
      </w:r>
    </w:p>
    <w:p>
      <w:pPr>
        <w:pStyle w:val="12"/>
        <w:snapToGrid w:val="0"/>
        <w:spacing w:line="360" w:lineRule="auto"/>
        <w:ind w:left="2" w:leftChars="1"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w:t>
      </w:r>
      <w:r>
        <w:rPr>
          <w:rFonts w:asciiTheme="minorEastAsia" w:hAnsiTheme="minorEastAsia" w:eastAsiaTheme="minorEastAsia"/>
          <w:color w:val="000000" w:themeColor="text1"/>
          <w:sz w:val="24"/>
          <w:highlight w:val="none"/>
          <w14:textFill>
            <w14:solidFill>
              <w14:schemeClr w14:val="tx1"/>
            </w14:solidFill>
          </w14:textFill>
        </w:rPr>
        <w:t>投标人投标所使用的资格、信誉、荣誉、业绩与企业认证必须为本法人所拥有。投标人投标所使用的采购项目实施人员必须为本法人员工（</w:t>
      </w:r>
      <w:r>
        <w:rPr>
          <w:rFonts w:hint="eastAsia" w:asciiTheme="minorEastAsia" w:hAnsiTheme="minorEastAsia" w:eastAsiaTheme="minorEastAsia"/>
          <w:color w:val="000000" w:themeColor="text1"/>
          <w:sz w:val="24"/>
          <w:highlight w:val="none"/>
          <w14:textFill>
            <w14:solidFill>
              <w14:schemeClr w14:val="tx1"/>
            </w14:solidFill>
          </w14:textFill>
        </w:rPr>
        <w:t>指</w:t>
      </w:r>
      <w:r>
        <w:rPr>
          <w:rFonts w:asciiTheme="minorEastAsia" w:hAnsiTheme="minorEastAsia" w:eastAsiaTheme="minorEastAsia"/>
          <w:color w:val="000000" w:themeColor="text1"/>
          <w:sz w:val="24"/>
          <w:highlight w:val="none"/>
          <w14:textFill>
            <w14:solidFill>
              <w14:schemeClr w14:val="tx1"/>
            </w14:solidFill>
          </w14:textFill>
        </w:rPr>
        <w:t>本法人或控股公司正式员工）。</w:t>
      </w:r>
    </w:p>
    <w:p>
      <w:pPr>
        <w:spacing w:line="360" w:lineRule="auto"/>
        <w:ind w:firstLine="480" w:firstLineChars="200"/>
        <w:rPr>
          <w:rFonts w:asciiTheme="minorEastAsia" w:hAnsiTheme="minorEastAsia" w:eastAsiaTheme="minorEastAsia" w:cstheme="minorBidi"/>
          <w:color w:val="000000" w:themeColor="text1"/>
          <w:sz w:val="24"/>
          <w:highlight w:val="none"/>
          <w14:textFill>
            <w14:solidFill>
              <w14:schemeClr w14:val="tx1"/>
            </w14:solidFill>
          </w14:textFill>
        </w:rPr>
      </w:pPr>
      <w:r>
        <w:rPr>
          <w:rFonts w:hint="eastAsia" w:asciiTheme="minorEastAsia" w:hAnsiTheme="minorEastAsia" w:eastAsiaTheme="minorEastAsia" w:cstheme="minorBidi"/>
          <w:color w:val="000000" w:themeColor="text1"/>
          <w:sz w:val="24"/>
          <w:highlight w:val="none"/>
          <w14:textFill>
            <w14:solidFill>
              <w14:schemeClr w14:val="tx1"/>
            </w14:solidFill>
          </w14:textFill>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Theme="minorEastAsia" w:hAnsiTheme="minorEastAsia" w:eastAsiaTheme="minorEastAsia" w:cstheme="minorBidi"/>
          <w:color w:val="000000" w:themeColor="text1"/>
          <w:sz w:val="24"/>
          <w:highlight w:val="none"/>
          <w14:textFill>
            <w14:solidFill>
              <w14:schemeClr w14:val="tx1"/>
            </w14:solidFill>
          </w14:textFill>
        </w:rPr>
        <w:tab/>
      </w:r>
    </w:p>
    <w:p>
      <w:pPr>
        <w:pStyle w:val="27"/>
        <w:snapToGrid w:val="0"/>
        <w:spacing w:line="360" w:lineRule="auto"/>
        <w:ind w:firstLineChars="0"/>
        <w:rPr>
          <w:rFonts w:asciiTheme="minorEastAsia" w:hAnsiTheme="minorEastAsia" w:eastAsiaTheme="minorEastAsia" w:cstheme="minorBidi"/>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Bidi"/>
          <w:color w:val="000000" w:themeColor="text1"/>
          <w:sz w:val="24"/>
          <w:szCs w:val="24"/>
          <w:highlight w:val="none"/>
          <w14:textFill>
            <w14:solidFill>
              <w14:schemeClr w14:val="tx1"/>
            </w14:solidFill>
          </w14:textFill>
        </w:rPr>
        <w:t>3、</w:t>
      </w:r>
      <w:r>
        <w:rPr>
          <w:rFonts w:asciiTheme="minorEastAsia" w:hAnsiTheme="minorEastAsia" w:eastAsiaTheme="minorEastAsia" w:cstheme="minorBidi"/>
          <w:color w:val="000000" w:themeColor="text1"/>
          <w:sz w:val="24"/>
          <w:szCs w:val="24"/>
          <w:highlight w:val="none"/>
          <w14:textFill>
            <w14:solidFill>
              <w14:schemeClr w14:val="tx1"/>
            </w14:solidFill>
          </w14:textFill>
        </w:rPr>
        <w:t>投标人在投标活动中提供任何虚假材料,其投标无效，并报监管部门查处；中标后发现的,根据《中华人民共和国政府采购法》第七十七条第一款第一项之规定</w:t>
      </w:r>
      <w:r>
        <w:rPr>
          <w:rFonts w:hint="eastAsia" w:asciiTheme="minorEastAsia" w:hAnsiTheme="minorEastAsia" w:eastAsiaTheme="minorEastAsia" w:cstheme="minorBidi"/>
          <w:color w:val="000000" w:themeColor="text1"/>
          <w:sz w:val="24"/>
          <w:szCs w:val="24"/>
          <w:highlight w:val="none"/>
          <w14:textFill>
            <w14:solidFill>
              <w14:schemeClr w14:val="tx1"/>
            </w14:solidFill>
          </w14:textFill>
        </w:rPr>
        <w:t>，</w:t>
      </w:r>
      <w:r>
        <w:rPr>
          <w:rFonts w:asciiTheme="minorEastAsia" w:hAnsiTheme="minorEastAsia" w:eastAsiaTheme="minorEastAsia" w:cstheme="minorBidi"/>
          <w:color w:val="000000" w:themeColor="text1"/>
          <w:sz w:val="24"/>
          <w:szCs w:val="24"/>
          <w:highlight w:val="none"/>
          <w14:textFill>
            <w14:solidFill>
              <w14:schemeClr w14:val="tx1"/>
            </w14:solidFill>
          </w14:textFill>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Theme="minorEastAsia" w:hAnsiTheme="minorEastAsia" w:eastAsiaTheme="minorEastAsia" w:cstheme="minorBidi"/>
          <w:color w:val="000000" w:themeColor="text1"/>
          <w:sz w:val="24"/>
          <w:szCs w:val="24"/>
          <w:highlight w:val="none"/>
          <w14:textFill>
            <w14:solidFill>
              <w14:schemeClr w14:val="tx1"/>
            </w14:solidFill>
          </w14:textFill>
        </w:rPr>
        <w:t>。</w:t>
      </w:r>
    </w:p>
    <w:p>
      <w:pPr>
        <w:pStyle w:val="6"/>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b w:val="0"/>
          <w:bCs w:val="0"/>
          <w:color w:val="000000" w:themeColor="text1"/>
          <w:sz w:val="24"/>
          <w:szCs w:val="24"/>
          <w:highlight w:val="none"/>
          <w14:textFill>
            <w14:solidFill>
              <w14:schemeClr w14:val="tx1"/>
            </w14:solidFill>
          </w14:textFill>
        </w:rPr>
        <w:t>4、投标人不得相互串通投标报价，不得妨碍其他投标人的公平竞争，不得损害采购人或其他投标人的合法权益，投标人不得以向采购人、评标委员会成员行贿或者采取其他不正当手段谋取中标。</w:t>
      </w:r>
    </w:p>
    <w:p>
      <w:pPr>
        <w:pStyle w:val="6"/>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b w:val="0"/>
          <w:bCs w:val="0"/>
          <w:color w:val="000000" w:themeColor="text1"/>
          <w:sz w:val="24"/>
          <w:szCs w:val="24"/>
          <w:highlight w:val="none"/>
          <w14:textFill>
            <w14:solidFill>
              <w14:schemeClr w14:val="tx1"/>
            </w14:solidFill>
          </w14:textFill>
        </w:rPr>
        <w:t>5、为采购项目提供整体设计、规范编制或者项目管理、监理、检测等服务的供应商，不得再参加该采购项目的其他采购活动。</w:t>
      </w:r>
    </w:p>
    <w:p>
      <w:pPr>
        <w:pStyle w:val="6"/>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b w:val="0"/>
          <w:bCs w:val="0"/>
          <w:color w:val="000000" w:themeColor="text1"/>
          <w:sz w:val="24"/>
          <w:szCs w:val="24"/>
          <w:highlight w:val="none"/>
          <w14:textFill>
            <w14:solidFill>
              <w14:schemeClr w14:val="tx1"/>
            </w14:solidFill>
          </w14:textFill>
        </w:rPr>
        <w:t>6、投标文件格式中的表格式样可以根据项目差别做适当调整,但应当保持表格样式基本形态不变。</w:t>
      </w:r>
    </w:p>
    <w:p>
      <w:pPr>
        <w:pStyle w:val="6"/>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b w:val="0"/>
          <w:bCs w:val="0"/>
          <w:color w:val="000000" w:themeColor="text1"/>
          <w:sz w:val="24"/>
          <w:szCs w:val="24"/>
          <w:highlight w:val="none"/>
          <w14:textFill>
            <w14:solidFill>
              <w14:schemeClr w14:val="tx1"/>
            </w14:solidFill>
          </w14:textFill>
        </w:rPr>
        <w:t>7、单位负责人为同一人或者存在直接控股、管理关系的不同供应商，不得参加同一合同项下的政府采购活动。</w:t>
      </w:r>
    </w:p>
    <w:p>
      <w:pPr>
        <w:pStyle w:val="6"/>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b w:val="0"/>
          <w:bCs w:val="0"/>
          <w:color w:val="000000" w:themeColor="text1"/>
          <w:sz w:val="24"/>
          <w:szCs w:val="24"/>
          <w:highlight w:val="none"/>
          <w14:textFill>
            <w14:solidFill>
              <w14:schemeClr w14:val="tx1"/>
            </w14:solidFill>
          </w14:textFill>
        </w:rPr>
        <w:t>8、本项目不允许分包。</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Theme="minorEastAsia" w:hAnsiTheme="minorEastAsia" w:eastAsia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二、招标文件</w:t>
      </w:r>
    </w:p>
    <w:p>
      <w:pPr>
        <w:autoSpaceDE w:val="0"/>
        <w:autoSpaceDN w:val="0"/>
        <w:adjustRightInd w:val="0"/>
        <w:spacing w:line="360" w:lineRule="auto"/>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 xml:space="preserve">   （一）招标文件由招标文件总目录所列内容组成。</w:t>
      </w:r>
    </w:p>
    <w:p>
      <w:pPr>
        <w:autoSpaceDE w:val="0"/>
        <w:autoSpaceDN w:val="0"/>
        <w:adjustRightInd w:val="0"/>
        <w:spacing w:line="360" w:lineRule="auto"/>
        <w:ind w:firstLine="360" w:firstLineChars="15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（二）招标文件的澄清或修改</w:t>
      </w:r>
    </w:p>
    <w:p>
      <w:pPr>
        <w:autoSpaceDE w:val="0"/>
        <w:autoSpaceDN w:val="0"/>
        <w:adjustRightInd w:val="0"/>
        <w:spacing w:line="360" w:lineRule="auto"/>
        <w:ind w:firstLine="420" w:firstLineChars="175"/>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pPr>
        <w:autoSpaceDE w:val="0"/>
        <w:autoSpaceDN w:val="0"/>
        <w:adjustRightInd w:val="0"/>
        <w:spacing w:line="360" w:lineRule="auto"/>
        <w:ind w:firstLine="48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2、</w:t>
      </w:r>
      <w:r>
        <w:rPr>
          <w:rFonts w:asciiTheme="minorEastAsia" w:hAnsiTheme="minorEastAsia" w:eastAsiaTheme="minorEastAsia"/>
          <w:color w:val="000000" w:themeColor="text1"/>
          <w:kern w:val="0"/>
          <w:sz w:val="24"/>
          <w:highlight w:val="none"/>
          <w14:textFill>
            <w14:solidFill>
              <w14:schemeClr w14:val="tx1"/>
            </w14:solidFill>
          </w14:textFill>
        </w:rPr>
        <w:t>投标人在规定的时间内未对招标文件提出疑问、质疑或要求澄清的，将视其为无异议。对招标文件中描述有歧义或前后不一致的地方，评标委员会有权进行评判，但对同一条款的评判应适用于每个投标人</w:t>
      </w:r>
      <w:r>
        <w:rPr>
          <w:rFonts w:hint="eastAsia" w:asciiTheme="minorEastAsia" w:hAnsiTheme="minorEastAsia" w:eastAsiaTheme="minorEastAsia"/>
          <w:color w:val="000000" w:themeColor="text1"/>
          <w:kern w:val="0"/>
          <w:sz w:val="24"/>
          <w:highlight w:val="none"/>
          <w14:textFill>
            <w14:solidFill>
              <w14:schemeClr w14:val="tx1"/>
            </w14:solidFill>
          </w14:textFill>
        </w:rPr>
        <w:t>。</w:t>
      </w:r>
    </w:p>
    <w:p>
      <w:pPr>
        <w:tabs>
          <w:tab w:val="left" w:pos="1418"/>
        </w:tabs>
        <w:autoSpaceDE w:val="0"/>
        <w:autoSpaceDN w:val="0"/>
        <w:adjustRightInd w:val="0"/>
        <w:spacing w:line="360" w:lineRule="auto"/>
        <w:rPr>
          <w:rFonts w:asciiTheme="minorEastAsia" w:hAnsiTheme="minorEastAsia" w:eastAsia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 xml:space="preserve"> 三、投标文件</w:t>
      </w:r>
    </w:p>
    <w:p>
      <w:pPr>
        <w:autoSpaceDE w:val="0"/>
        <w:autoSpaceDN w:val="0"/>
        <w:adjustRightInd w:val="0"/>
        <w:spacing w:line="360" w:lineRule="auto"/>
        <w:ind w:firstLine="482" w:firstLineChars="200"/>
        <w:rPr>
          <w:rFonts w:asciiTheme="minorEastAsia" w:hAnsiTheme="minorEastAsia" w:eastAsiaTheme="minorEastAsia"/>
          <w:b/>
          <w:bCs/>
          <w:color w:val="000000" w:themeColor="text1"/>
          <w:kern w:val="0"/>
          <w:sz w:val="24"/>
          <w:highlight w:val="none"/>
          <w14:textFill>
            <w14:solidFill>
              <w14:schemeClr w14:val="tx1"/>
            </w14:solidFill>
          </w14:textFill>
        </w:rPr>
      </w:pPr>
      <w:r>
        <w:rPr>
          <w:rFonts w:hint="eastAsia" w:ascii="宋体"/>
          <w:b/>
          <w:color w:val="000000" w:themeColor="text1"/>
          <w:sz w:val="24"/>
          <w:highlight w:val="none"/>
          <w:lang w:val="zh-CN"/>
          <w14:textFill>
            <w14:solidFill>
              <w14:schemeClr w14:val="tx1"/>
            </w14:solidFill>
          </w14:textFill>
        </w:rPr>
        <w:t>（一）</w:t>
      </w:r>
      <w:r>
        <w:rPr>
          <w:rFonts w:hint="eastAsia" w:asciiTheme="minorEastAsia" w:hAnsiTheme="minorEastAsia" w:eastAsiaTheme="minorEastAsia"/>
          <w:b/>
          <w:bCs/>
          <w:color w:val="000000" w:themeColor="text1"/>
          <w:kern w:val="0"/>
          <w:sz w:val="24"/>
          <w:highlight w:val="none"/>
          <w14:textFill>
            <w14:solidFill>
              <w14:schemeClr w14:val="tx1"/>
            </w14:solidFill>
          </w14:textFill>
        </w:rPr>
        <w:t>投标文件的组成</w:t>
      </w:r>
    </w:p>
    <w:p>
      <w:pPr>
        <w:snapToGrid w:val="0"/>
        <w:spacing w:line="360" w:lineRule="auto"/>
        <w:ind w:firstLine="480" w:firstLineChars="200"/>
        <w:rPr>
          <w:rFonts w:ascii="仿宋_GB2312" w:hAnsi="仿宋_GB2312" w:eastAsia="仿宋_GB2312" w:cs="仿宋_GB2312"/>
          <w:color w:val="000000" w:themeColor="text1"/>
          <w:sz w:val="24"/>
          <w:highlight w:val="none"/>
          <w:lang w:val="zh-CN"/>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 xml:space="preserve">  投标人接到招标文件后，按照采购组织机构的要求提供：资格证明文件、商务与技术文件和报价文件。</w:t>
      </w: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【特别提示：如有要求提供资料原件的，原件另行包装，并与投标文件一起提交，投标截止时间后所有原件不予接收。资料原件也可以用与原件相符的公证原件替代】</w:t>
      </w:r>
    </w:p>
    <w:p>
      <w:pPr>
        <w:snapToGrid w:val="0"/>
        <w:spacing w:line="360" w:lineRule="auto"/>
        <w:ind w:firstLine="482" w:firstLineChars="20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1、资格证明</w:t>
      </w:r>
      <w:r>
        <w:rPr>
          <w:rFonts w:asciiTheme="minorEastAsia" w:hAnsiTheme="minorEastAsia" w:eastAsiaTheme="minorEastAsia"/>
          <w:b/>
          <w:color w:val="000000" w:themeColor="text1"/>
          <w:sz w:val="24"/>
          <w:highlight w:val="none"/>
          <w14:textFill>
            <w14:solidFill>
              <w14:schemeClr w14:val="tx1"/>
            </w14:solidFill>
          </w14:textFill>
        </w:rPr>
        <w:t>文件</w:t>
      </w:r>
      <w:r>
        <w:rPr>
          <w:rFonts w:hint="eastAsia" w:ascii="宋体" w:hAnsi="宋体"/>
          <w:b/>
          <w:color w:val="000000" w:themeColor="text1"/>
          <w:sz w:val="24"/>
          <w:highlight w:val="none"/>
          <w14:textFill>
            <w14:solidFill>
              <w14:schemeClr w14:val="tx1"/>
            </w14:solidFill>
          </w14:textFill>
        </w:rPr>
        <w:t>的组成：</w:t>
      </w:r>
    </w:p>
    <w:p>
      <w:pPr>
        <w:widowControl/>
        <w:numPr>
          <w:ilvl w:val="0"/>
          <w:numId w:val="5"/>
        </w:numPr>
        <w:spacing w:line="360" w:lineRule="auto"/>
        <w:ind w:right="60" w:firstLine="472" w:firstLineChars="197"/>
        <w:jc w:val="left"/>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投标声明书；</w:t>
      </w:r>
    </w:p>
    <w:p>
      <w:pPr>
        <w:widowControl/>
        <w:numPr>
          <w:ilvl w:val="0"/>
          <w:numId w:val="5"/>
        </w:numPr>
        <w:spacing w:line="360" w:lineRule="auto"/>
        <w:ind w:right="60" w:firstLine="472" w:firstLineChars="197"/>
        <w:jc w:val="left"/>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授权委托书（法定代表人亲自办理投标事宜的，则无需提交)；</w:t>
      </w:r>
    </w:p>
    <w:p>
      <w:pPr>
        <w:widowControl/>
        <w:numPr>
          <w:ilvl w:val="0"/>
          <w:numId w:val="5"/>
        </w:numPr>
        <w:spacing w:line="360" w:lineRule="auto"/>
        <w:ind w:right="60" w:firstLine="472" w:firstLineChars="197"/>
        <w:jc w:val="left"/>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法人或者其他组织的营业执照等证明文件，自然人的身份证明；</w:t>
      </w:r>
    </w:p>
    <w:p>
      <w:pPr>
        <w:widowControl/>
        <w:numPr>
          <w:ilvl w:val="0"/>
          <w:numId w:val="5"/>
        </w:numPr>
        <w:spacing w:line="360" w:lineRule="auto"/>
        <w:ind w:right="60" w:firstLine="472" w:firstLineChars="197"/>
        <w:jc w:val="left"/>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财务状况报告，依法缴纳税收和社会保障资金的相关材料；</w:t>
      </w:r>
    </w:p>
    <w:p>
      <w:pPr>
        <w:widowControl/>
        <w:numPr>
          <w:ilvl w:val="0"/>
          <w:numId w:val="5"/>
        </w:numPr>
        <w:spacing w:line="360" w:lineRule="auto"/>
        <w:ind w:right="60" w:firstLine="472" w:firstLineChars="197"/>
        <w:jc w:val="left"/>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具备履行合同所必需的设备和专业技术能力的证明材料；</w:t>
      </w:r>
    </w:p>
    <w:p>
      <w:pPr>
        <w:widowControl/>
        <w:numPr>
          <w:ilvl w:val="0"/>
          <w:numId w:val="5"/>
        </w:numPr>
        <w:spacing w:line="360" w:lineRule="auto"/>
        <w:ind w:right="60" w:firstLine="472" w:firstLineChars="197"/>
        <w:jc w:val="left"/>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提供采购公告中符合供应商特定条件的有效资质证书复印件（投标供应商特定条件中有要求的必须提供），以及需要说明的其他资料；</w:t>
      </w:r>
    </w:p>
    <w:p>
      <w:pPr>
        <w:snapToGrid w:val="0"/>
        <w:spacing w:line="360" w:lineRule="auto"/>
        <w:ind w:firstLine="482" w:firstLineChars="200"/>
        <w:rPr>
          <w:rFonts w:ascii="宋体" w:hAnsi="宋体" w:cs="宋体"/>
          <w:color w:val="000000" w:themeColor="text1"/>
          <w:sz w:val="24"/>
          <w:highlight w:val="none"/>
          <w:u w:val="singl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2、</w:t>
      </w:r>
      <w:r>
        <w:rPr>
          <w:rFonts w:hint="eastAsia" w:ascii="宋体" w:hAnsi="宋体"/>
          <w:b/>
          <w:color w:val="000000" w:themeColor="text1"/>
          <w:sz w:val="24"/>
          <w:highlight w:val="none"/>
          <w14:textFill>
            <w14:solidFill>
              <w14:schemeClr w14:val="tx1"/>
            </w14:solidFill>
          </w14:textFill>
        </w:rPr>
        <w:t>商务与技术文件的组成：</w:t>
      </w:r>
    </w:p>
    <w:p>
      <w:pPr>
        <w:pStyle w:val="9"/>
        <w:widowControl/>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（1）投标人情况介绍（人员与技术力量、企业规模、经营业绩等）。</w:t>
      </w:r>
    </w:p>
    <w:p>
      <w:pPr>
        <w:pStyle w:val="9"/>
        <w:widowControl/>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（2）投标方案描述：</w:t>
      </w:r>
    </w:p>
    <w:p>
      <w:pPr>
        <w:pStyle w:val="9"/>
        <w:widowControl/>
        <w:adjustRightInd w:val="0"/>
        <w:snapToGrid w:val="0"/>
        <w:spacing w:line="360" w:lineRule="auto"/>
        <w:ind w:left="218" w:leftChars="104" w:firstLine="619" w:firstLineChars="25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A.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pPr>
        <w:pStyle w:val="9"/>
        <w:widowControl/>
        <w:adjustRightInd w:val="0"/>
        <w:snapToGrid w:val="0"/>
        <w:spacing w:line="360" w:lineRule="auto"/>
        <w:ind w:left="218" w:leftChars="104" w:firstLine="619" w:firstLineChars="25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B.项目组织实施方案（包括项目工期、确保项目供货的措施或方案、项目实施进度安排、项目实施人员及项目负责人的资质、类似经验及社保证明等）。</w:t>
      </w:r>
    </w:p>
    <w:p>
      <w:pPr>
        <w:pStyle w:val="9"/>
        <w:widowControl/>
        <w:adjustRightInd w:val="0"/>
        <w:snapToGrid w:val="0"/>
        <w:spacing w:line="360" w:lineRule="auto"/>
        <w:ind w:left="218" w:leftChars="104" w:firstLine="619" w:firstLineChars="25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C.</w:t>
      </w:r>
      <w:r>
        <w:rPr>
          <w:rFonts w:hint="eastAsia" w:ascii="宋体" w:hAnsi="宋体"/>
          <w:color w:val="000000" w:themeColor="text1"/>
          <w:sz w:val="24"/>
          <w:highlight w:val="none"/>
          <w14:textFill>
            <w14:solidFill>
              <w14:schemeClr w14:val="tx1"/>
            </w14:solidFill>
          </w14:textFill>
        </w:rPr>
        <w:t xml:space="preserve"> 技术、服务、安全标准</w:t>
      </w:r>
      <w:r>
        <w:rPr>
          <w:rFonts w:asciiTheme="minorEastAsia" w:hAnsiTheme="minorEastAsia" w:eastAsiaTheme="minorEastAsia"/>
          <w:color w:val="000000" w:themeColor="text1"/>
          <w:kern w:val="0"/>
          <w:sz w:val="24"/>
          <w:szCs w:val="24"/>
          <w:highlight w:val="none"/>
          <w14:textFill>
            <w14:solidFill>
              <w14:schemeClr w14:val="tx1"/>
            </w14:solidFill>
          </w14:textFill>
        </w:rPr>
        <w:t>及验收方案</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（包括项目验收标准和验收方法等）</w:t>
      </w:r>
      <w:r>
        <w:rPr>
          <w:rFonts w:hint="eastAsia" w:asciiTheme="minorEastAsia" w:hAnsiTheme="minorEastAsia" w:eastAsiaTheme="minorEastAsia"/>
          <w:color w:val="000000" w:themeColor="text1"/>
          <w:sz w:val="24"/>
          <w:szCs w:val="24"/>
          <w:highlight w:val="none"/>
          <w14:textFill>
            <w14:solidFill>
              <w14:schemeClr w14:val="tx1"/>
            </w14:solidFill>
          </w14:textFill>
        </w:rPr>
        <w:t>和措施；</w:t>
      </w:r>
    </w:p>
    <w:p>
      <w:pPr>
        <w:pStyle w:val="9"/>
        <w:widowControl/>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（3）投标产品描述及相关资料</w:t>
      </w:r>
      <w:r>
        <w:rPr>
          <w:rFonts w:hint="eastAsia" w:ascii="宋体" w:hAnsi="宋体"/>
          <w:color w:val="000000" w:themeColor="text1"/>
          <w:sz w:val="24"/>
          <w:highlight w:val="none"/>
          <w14:textFill>
            <w14:solidFill>
              <w14:schemeClr w14:val="tx1"/>
            </w14:solidFill>
          </w14:textFill>
        </w:rPr>
        <w:t>（投入本项目的仪器设备等）</w:t>
      </w:r>
      <w:r>
        <w:rPr>
          <w:rFonts w:hint="eastAsia" w:ascii="宋体" w:hAnsi="宋体" w:cs="宋体"/>
          <w:color w:val="000000" w:themeColor="text1"/>
          <w:sz w:val="24"/>
          <w:szCs w:val="24"/>
          <w:highlight w:val="none"/>
          <w14:textFill>
            <w14:solidFill>
              <w14:schemeClr w14:val="tx1"/>
            </w14:solidFill>
          </w14:textFill>
        </w:rPr>
        <w:t>：</w:t>
      </w:r>
    </w:p>
    <w:p>
      <w:pPr>
        <w:pStyle w:val="9"/>
        <w:widowControl/>
        <w:adjustRightInd w:val="0"/>
        <w:snapToGrid w:val="0"/>
        <w:spacing w:line="360" w:lineRule="auto"/>
        <w:ind w:left="218" w:leftChars="104" w:firstLine="619" w:firstLineChars="25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A.</w:t>
      </w:r>
      <w:r>
        <w:rPr>
          <w:rFonts w:asciiTheme="minorEastAsia" w:hAnsiTheme="minorEastAsia" w:eastAsiaTheme="minorEastAsia"/>
          <w:color w:val="000000" w:themeColor="text1"/>
          <w:sz w:val="24"/>
          <w:szCs w:val="24"/>
          <w:highlight w:val="none"/>
          <w14:textFill>
            <w14:solidFill>
              <w14:schemeClr w14:val="tx1"/>
            </w14:solidFill>
          </w14:textFill>
        </w:rPr>
        <w:t>设备配置清单（</w:t>
      </w:r>
      <w:r>
        <w:rPr>
          <w:rFonts w:hint="eastAsia" w:asciiTheme="minorEastAsia" w:hAnsiTheme="minorEastAsia" w:eastAsiaTheme="minorEastAsia"/>
          <w:color w:val="000000" w:themeColor="text1"/>
          <w:sz w:val="24"/>
          <w:szCs w:val="24"/>
          <w:highlight w:val="none"/>
          <w14:textFill>
            <w14:solidFill>
              <w14:schemeClr w14:val="tx1"/>
            </w14:solidFill>
          </w14:textFill>
        </w:rPr>
        <w:t>均</w:t>
      </w:r>
      <w:r>
        <w:rPr>
          <w:rFonts w:asciiTheme="minorEastAsia" w:hAnsiTheme="minorEastAsia" w:eastAsiaTheme="minorEastAsia"/>
          <w:color w:val="000000" w:themeColor="text1"/>
          <w:sz w:val="24"/>
          <w:szCs w:val="24"/>
          <w:highlight w:val="none"/>
          <w14:textFill>
            <w14:solidFill>
              <w14:schemeClr w14:val="tx1"/>
            </w14:solidFill>
          </w14:textFill>
        </w:rPr>
        <w:t>不含报价）</w:t>
      </w:r>
      <w:r>
        <w:rPr>
          <w:rFonts w:hint="eastAsia" w:asciiTheme="minorEastAsia" w:hAnsiTheme="minorEastAsia" w:eastAsiaTheme="minorEastAsia"/>
          <w:color w:val="000000" w:themeColor="text1"/>
          <w:sz w:val="24"/>
          <w:szCs w:val="24"/>
          <w:highlight w:val="none"/>
          <w14:textFill>
            <w14:solidFill>
              <w14:schemeClr w14:val="tx1"/>
            </w14:solidFill>
          </w14:textFill>
        </w:rPr>
        <w:t>。</w:t>
      </w:r>
    </w:p>
    <w:p>
      <w:pPr>
        <w:pStyle w:val="9"/>
        <w:widowControl/>
        <w:adjustRightInd w:val="0"/>
        <w:snapToGrid w:val="0"/>
        <w:spacing w:line="360" w:lineRule="auto"/>
        <w:ind w:left="218" w:leftChars="104" w:firstLine="619" w:firstLineChars="25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B.产品品牌及型号、技术参数指标、性能特点、图片资料以及所遵循的技术规范、产品质保期、出厂标准、产品质量相关检测报告等内容。</w:t>
      </w:r>
    </w:p>
    <w:p>
      <w:pPr>
        <w:pStyle w:val="9"/>
        <w:widowControl/>
        <w:adjustRightInd w:val="0"/>
        <w:snapToGrid w:val="0"/>
        <w:spacing w:line="360" w:lineRule="auto"/>
        <w:ind w:left="218" w:leftChars="104" w:firstLine="619" w:firstLineChars="25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C.商务及技术响应表。</w:t>
      </w:r>
    </w:p>
    <w:p>
      <w:pPr>
        <w:spacing w:line="360" w:lineRule="auto"/>
        <w:ind w:left="218" w:leftChars="104" w:firstLine="619" w:firstLineChars="25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D.投标产品中有节能产品的，应列明投标产品中有列入最新一期财政部、发展改革委公布的“节能产品政府采购清单”明细（提供所投产品在清单中所处的页码、截图，并以明显标识标注）；投标产品中有环保产品的，应列明投标产品中有列入最新一期财政部、环境保护部公布的“环境标志产品政府采购清单”明细（提供所投产品在清单中所处的页码、截图，并以明显标识标注）。</w:t>
      </w:r>
    </w:p>
    <w:p>
      <w:pPr>
        <w:spacing w:line="360" w:lineRule="auto"/>
        <w:ind w:left="218" w:leftChars="104" w:firstLine="619" w:firstLineChars="25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【特别提示：节能和环境标志产品最新一期政府采购清单，可在“中国政府采购网”中查看】</w:t>
      </w:r>
    </w:p>
    <w:p>
      <w:pPr>
        <w:autoSpaceDE w:val="0"/>
        <w:autoSpaceDN w:val="0"/>
        <w:adjustRightInd w:val="0"/>
        <w:spacing w:line="360" w:lineRule="auto"/>
        <w:ind w:firstLine="424" w:firstLineChars="177"/>
        <w:rPr>
          <w:rFonts w:ascii="宋体" w:hAnsi="宋体" w:cs="宋体"/>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（4）</w:t>
      </w:r>
      <w:r>
        <w:rPr>
          <w:rFonts w:asciiTheme="minorEastAsia" w:hAnsiTheme="minorEastAsia" w:eastAsiaTheme="minorEastAsia"/>
          <w:color w:val="000000" w:themeColor="text1"/>
          <w:kern w:val="0"/>
          <w:sz w:val="24"/>
          <w:highlight w:val="none"/>
          <w14:textFill>
            <w14:solidFill>
              <w14:schemeClr w14:val="tx1"/>
            </w14:solidFill>
          </w14:textFill>
        </w:rPr>
        <w:t>投标人通过的</w:t>
      </w:r>
      <w:r>
        <w:rPr>
          <w:rFonts w:hint="eastAsia" w:asciiTheme="minorEastAsia" w:hAnsiTheme="minorEastAsia" w:eastAsiaTheme="minorEastAsia"/>
          <w:color w:val="000000" w:themeColor="text1"/>
          <w:kern w:val="0"/>
          <w:sz w:val="24"/>
          <w:highlight w:val="none"/>
          <w14:textFill>
            <w14:solidFill>
              <w14:schemeClr w14:val="tx1"/>
            </w14:solidFill>
          </w14:textFill>
        </w:rPr>
        <w:t>质量管理和</w:t>
      </w:r>
      <w:r>
        <w:rPr>
          <w:rFonts w:asciiTheme="minorEastAsia" w:hAnsiTheme="minorEastAsia" w:eastAsiaTheme="minorEastAsia"/>
          <w:color w:val="000000" w:themeColor="text1"/>
          <w:kern w:val="0"/>
          <w:sz w:val="24"/>
          <w:highlight w:val="none"/>
          <w14:textFill>
            <w14:solidFill>
              <w14:schemeClr w14:val="tx1"/>
            </w14:solidFill>
          </w14:textFill>
        </w:rPr>
        <w:t>质量</w:t>
      </w:r>
      <w:r>
        <w:rPr>
          <w:rFonts w:hint="eastAsia" w:asciiTheme="minorEastAsia" w:hAnsiTheme="minorEastAsia" w:eastAsiaTheme="minorEastAsia"/>
          <w:color w:val="000000" w:themeColor="text1"/>
          <w:kern w:val="0"/>
          <w:sz w:val="24"/>
          <w:highlight w:val="none"/>
          <w14:textFill>
            <w14:solidFill>
              <w14:schemeClr w14:val="tx1"/>
            </w14:solidFill>
          </w14:textFill>
        </w:rPr>
        <w:t>保证</w:t>
      </w:r>
      <w:r>
        <w:rPr>
          <w:rFonts w:asciiTheme="minorEastAsia" w:hAnsiTheme="minorEastAsia" w:eastAsiaTheme="minorEastAsia"/>
          <w:color w:val="000000" w:themeColor="text1"/>
          <w:kern w:val="0"/>
          <w:sz w:val="24"/>
          <w:highlight w:val="none"/>
          <w14:textFill>
            <w14:solidFill>
              <w14:schemeClr w14:val="tx1"/>
            </w14:solidFill>
          </w14:textFill>
        </w:rPr>
        <w:t>体系、环保体系、</w:t>
      </w:r>
      <w:r>
        <w:rPr>
          <w:rFonts w:hint="eastAsia" w:asciiTheme="minorEastAsia" w:hAnsiTheme="minorEastAsia" w:eastAsiaTheme="minorEastAsia"/>
          <w:color w:val="000000" w:themeColor="text1"/>
          <w:sz w:val="24"/>
          <w:highlight w:val="none"/>
          <w14:textFill>
            <w14:solidFill>
              <w14:schemeClr w14:val="tx1"/>
            </w14:solidFill>
          </w14:textFill>
        </w:rPr>
        <w:t>自主创新相关证书、软件著作权证等等与本项目相关</w:t>
      </w:r>
      <w:r>
        <w:rPr>
          <w:rFonts w:asciiTheme="minorEastAsia" w:hAnsiTheme="minorEastAsia" w:eastAsiaTheme="minorEastAsia"/>
          <w:color w:val="000000" w:themeColor="text1"/>
          <w:kern w:val="0"/>
          <w:sz w:val="24"/>
          <w:highlight w:val="none"/>
          <w14:textFill>
            <w14:solidFill>
              <w14:schemeClr w14:val="tx1"/>
            </w14:solidFill>
          </w14:textFill>
        </w:rPr>
        <w:t>的认证证书</w:t>
      </w:r>
      <w:r>
        <w:rPr>
          <w:rFonts w:hint="eastAsia" w:asciiTheme="minorEastAsia" w:hAnsiTheme="minorEastAsia" w:eastAsiaTheme="minorEastAsia"/>
          <w:color w:val="000000" w:themeColor="text1"/>
          <w:kern w:val="0"/>
          <w:sz w:val="24"/>
          <w:highlight w:val="none"/>
          <w14:textFill>
            <w14:solidFill>
              <w14:schemeClr w14:val="tx1"/>
            </w14:solidFill>
          </w14:textFill>
        </w:rPr>
        <w:t>或文件（如有则提供）；</w:t>
      </w:r>
    </w:p>
    <w:p>
      <w:pPr>
        <w:pStyle w:val="9"/>
        <w:widowControl/>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（5）近三年来类似项目的成功案例（投标人类似项目实施情况一览表、合同复印件及其相应的发票、用户验收报告等；</w:t>
      </w:r>
    </w:p>
    <w:p>
      <w:pPr>
        <w:snapToGrid w:val="0"/>
        <w:spacing w:line="360" w:lineRule="auto"/>
        <w:ind w:firstLine="480" w:firstLineChars="200"/>
        <w:rPr>
          <w:rFonts w:ascii="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（6）投标人认为需要提供的其他资料（包括可能影响投标人商务与技术文件评分的各类证明材料）。</w:t>
      </w:r>
    </w:p>
    <w:p>
      <w:pPr>
        <w:pStyle w:val="9"/>
        <w:widowControl/>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（7）售后服务描述及承诺：</w:t>
      </w:r>
    </w:p>
    <w:p>
      <w:pPr>
        <w:pStyle w:val="9"/>
        <w:widowControl/>
        <w:adjustRightInd w:val="0"/>
        <w:snapToGrid w:val="0"/>
        <w:spacing w:line="360" w:lineRule="auto"/>
        <w:ind w:left="218" w:leftChars="104" w:firstLine="619" w:firstLineChars="25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A.距采购人最近的服务网点详细介绍（包括地理位置、资质资格、技术力量、工作业绩、服务内容及联系电话等）。</w:t>
      </w:r>
    </w:p>
    <w:p>
      <w:pPr>
        <w:pStyle w:val="9"/>
        <w:widowControl/>
        <w:adjustRightInd w:val="0"/>
        <w:snapToGrid w:val="0"/>
        <w:spacing w:line="360" w:lineRule="auto"/>
        <w:ind w:left="218" w:leftChars="104" w:firstLine="619" w:firstLineChars="25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B.针对本项目的售后服务措施及承诺（售后技术服务方案、人员配备、故障响应时间、技术培训方案等）。</w:t>
      </w:r>
    </w:p>
    <w:p>
      <w:pPr>
        <w:autoSpaceDE w:val="0"/>
        <w:autoSpaceDN w:val="0"/>
        <w:adjustRightInd w:val="0"/>
        <w:spacing w:line="360" w:lineRule="auto"/>
        <w:ind w:left="426" w:firstLine="65" w:firstLineChars="27"/>
        <w:rPr>
          <w:rFonts w:asciiTheme="minorEastAsia" w:hAnsiTheme="minorEastAsia" w:eastAsia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3、报价文件的组成</w:t>
      </w:r>
    </w:p>
    <w:p>
      <w:pPr>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（1）报价文件由开标一览表、报价明细表、小微企业等声明函、产品适用政府采购政策情况表，以及投标人认为其他需要说明的内容组成。</w:t>
      </w:r>
    </w:p>
    <w:p>
      <w:pPr>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（2）此报价为投标人一次性报出唯一的最终价格，包含其它一切所要涉及到的费用，有选择的报价将被拒绝。</w:t>
      </w:r>
    </w:p>
    <w:p>
      <w:pPr>
        <w:snapToGrid w:val="0"/>
        <w:spacing w:line="360" w:lineRule="auto"/>
        <w:ind w:firstLine="480" w:firstLineChars="200"/>
        <w:rPr>
          <w:rFonts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w:t>
      </w:r>
      <w:r>
        <w:rPr>
          <w:rFonts w:hint="eastAsia" w:asciiTheme="minorEastAsia" w:hAnsiTheme="minorEastAsia" w:eastAsiaTheme="minorEastAsia"/>
          <w:color w:val="000000" w:themeColor="text1"/>
          <w:kern w:val="0"/>
          <w:sz w:val="24"/>
          <w:highlight w:val="none"/>
          <w14:textFill>
            <w14:solidFill>
              <w14:schemeClr w14:val="tx1"/>
            </w14:solidFill>
          </w14:textFill>
        </w:rPr>
        <w:t>3</w:t>
      </w: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）投标报价是包括设备、工具、项目验收、税收、安全保险等其他费用的全部费用，全部费用已包含在开标一览表的投标报价中。</w:t>
      </w:r>
    </w:p>
    <w:p>
      <w:pPr>
        <w:snapToGrid w:val="0"/>
        <w:spacing w:line="360" w:lineRule="auto"/>
        <w:ind w:firstLine="480" w:firstLineChars="200"/>
        <w:rPr>
          <w:rFonts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w:t>
      </w:r>
      <w:r>
        <w:rPr>
          <w:rFonts w:hint="eastAsia" w:asciiTheme="minorEastAsia" w:hAnsiTheme="minorEastAsia" w:eastAsiaTheme="minorEastAsia"/>
          <w:color w:val="000000" w:themeColor="text1"/>
          <w:kern w:val="0"/>
          <w:sz w:val="24"/>
          <w:highlight w:val="none"/>
          <w14:textFill>
            <w14:solidFill>
              <w14:schemeClr w14:val="tx1"/>
            </w14:solidFill>
          </w14:textFill>
        </w:rPr>
        <w:t>4</w:t>
      </w: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w:t>
      </w:r>
      <w:r>
        <w:rPr>
          <w:rFonts w:hint="eastAsia" w:asciiTheme="minorEastAsia" w:hAnsiTheme="minorEastAsia" w:eastAsiaTheme="minorEastAsia"/>
          <w:color w:val="000000" w:themeColor="text1"/>
          <w:kern w:val="0"/>
          <w:sz w:val="24"/>
          <w:highlight w:val="none"/>
          <w14:textFill>
            <w14:solidFill>
              <w14:schemeClr w14:val="tx1"/>
            </w14:solidFill>
          </w14:textFill>
        </w:rPr>
        <w:t>政府采购优惠政策相关资料、产品适用政府采购政策情况表（如有）。</w:t>
      </w:r>
    </w:p>
    <w:p>
      <w:pPr>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（5）相关报价单需打印或用不退色的墨水填写， 投标报价单不得涂改和增删，如有错漏必须修改，修改处须由同一签署人签字或盖章。由于字迹模糊或表达不清引起的后果由投标人负责。</w:t>
      </w:r>
    </w:p>
    <w:p>
      <w:pPr>
        <w:autoSpaceDE w:val="0"/>
        <w:autoSpaceDN w:val="0"/>
        <w:adjustRightIn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kern w:val="0"/>
          <w:sz w:val="24"/>
          <w:highlight w:val="none"/>
          <w14:textFill>
            <w14:solidFill>
              <w14:schemeClr w14:val="tx1"/>
            </w14:solidFill>
          </w14:textFill>
        </w:rPr>
        <w:t>6</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投标报价应按招标文件中相关附表格式填写。</w:t>
      </w:r>
    </w:p>
    <w:p>
      <w:pPr>
        <w:numPr>
          <w:ilvl w:val="0"/>
          <w:numId w:val="6"/>
        </w:numPr>
        <w:spacing w:line="360" w:lineRule="auto"/>
        <w:rPr>
          <w:rFonts w:asciiTheme="minorEastAsia" w:hAnsiTheme="minorEastAsia" w:eastAsiaTheme="minorEastAsia"/>
          <w:b/>
          <w:bCs/>
          <w:color w:val="000000" w:themeColor="text1"/>
          <w:kern w:val="0"/>
          <w:sz w:val="24"/>
          <w:highlight w:val="none"/>
          <w14:textFill>
            <w14:solidFill>
              <w14:schemeClr w14:val="tx1"/>
            </w14:solidFill>
          </w14:textFill>
        </w:rPr>
      </w:pPr>
      <w:r>
        <w:rPr>
          <w:rFonts w:hint="eastAsia" w:asciiTheme="minorEastAsia" w:hAnsiTheme="minorEastAsia" w:eastAsiaTheme="minorEastAsia"/>
          <w:b/>
          <w:bCs/>
          <w:color w:val="000000" w:themeColor="text1"/>
          <w:kern w:val="0"/>
          <w:sz w:val="24"/>
          <w:highlight w:val="none"/>
          <w14:textFill>
            <w14:solidFill>
              <w14:schemeClr w14:val="tx1"/>
            </w14:solidFill>
          </w14:textFill>
        </w:rPr>
        <w:t>投标文件的</w:t>
      </w:r>
      <w:r>
        <w:rPr>
          <w:rFonts w:hint="eastAsia" w:asciiTheme="minorEastAsia" w:hAnsiTheme="minorEastAsia"/>
          <w:b/>
          <w:bCs/>
          <w:color w:val="000000" w:themeColor="text1"/>
          <w:kern w:val="0"/>
          <w:sz w:val="24"/>
          <w:highlight w:val="none"/>
          <w14:textFill>
            <w14:solidFill>
              <w14:schemeClr w14:val="tx1"/>
            </w14:solidFill>
          </w14:textFill>
        </w:rPr>
        <w:t>制作、封装及</w:t>
      </w:r>
      <w:r>
        <w:rPr>
          <w:rFonts w:hint="eastAsia" w:asciiTheme="minorEastAsia" w:hAnsiTheme="minorEastAsia" w:eastAsiaTheme="minorEastAsia"/>
          <w:b/>
          <w:bCs/>
          <w:color w:val="000000" w:themeColor="text1"/>
          <w:kern w:val="0"/>
          <w:sz w:val="24"/>
          <w:highlight w:val="none"/>
          <w14:textFill>
            <w14:solidFill>
              <w14:schemeClr w14:val="tx1"/>
            </w14:solidFill>
          </w14:textFill>
        </w:rPr>
        <w:t>递交要求</w:t>
      </w:r>
    </w:p>
    <w:p>
      <w:pPr>
        <w:autoSpaceDE w:val="0"/>
        <w:autoSpaceDN w:val="0"/>
        <w:adjustRightInd w:val="0"/>
        <w:spacing w:line="360" w:lineRule="auto"/>
        <w:ind w:firstLine="480"/>
        <w:rPr>
          <w:rFonts w:asciiTheme="minorEastAsia" w:hAnsiTheme="minorEastAsia" w:eastAsiaTheme="minorEastAsia"/>
          <w:b/>
          <w:bCs/>
          <w:color w:val="000000" w:themeColor="text1"/>
          <w:sz w:val="24"/>
          <w:highlight w:val="none"/>
          <w14:textFill>
            <w14:solidFill>
              <w14:schemeClr w14:val="tx1"/>
            </w14:solidFill>
          </w14:textFill>
        </w:rPr>
      </w:pPr>
      <w:r>
        <w:rPr>
          <w:rFonts w:hint="eastAsia" w:asciiTheme="minorEastAsia" w:hAnsiTheme="minorEastAsia"/>
          <w:b/>
          <w:bCs/>
          <w:color w:val="000000" w:themeColor="text1"/>
          <w:sz w:val="24"/>
          <w:highlight w:val="none"/>
          <w14:textFill>
            <w14:solidFill>
              <w14:schemeClr w14:val="tx1"/>
            </w14:solidFill>
          </w14:textFill>
        </w:rPr>
        <w:t>1、投标文件的制作要求</w:t>
      </w:r>
    </w:p>
    <w:p>
      <w:pPr>
        <w:autoSpaceDE w:val="0"/>
        <w:autoSpaceDN w:val="0"/>
        <w:adjustRightInd w:val="0"/>
        <w:spacing w:line="360" w:lineRule="auto"/>
        <w:ind w:firstLine="48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（1）</w:t>
      </w:r>
      <w:r>
        <w:rPr>
          <w:rFonts w:hint="eastAsia" w:asciiTheme="minorEastAsia" w:hAnsiTheme="minorEastAsia" w:eastAsiaTheme="minorEastAsia"/>
          <w:color w:val="000000" w:themeColor="text1"/>
          <w:sz w:val="24"/>
          <w:highlight w:val="none"/>
          <w14:textFill>
            <w14:solidFill>
              <w14:schemeClr w14:val="tx1"/>
            </w14:solidFill>
          </w14:textFill>
        </w:rPr>
        <w:t>投标人</w:t>
      </w:r>
      <w:r>
        <w:rPr>
          <w:rFonts w:hint="eastAsia" w:asciiTheme="minorEastAsia" w:hAnsiTheme="minorEastAsia"/>
          <w:color w:val="000000" w:themeColor="text1"/>
          <w:sz w:val="24"/>
          <w:highlight w:val="none"/>
          <w14:textFill>
            <w14:solidFill>
              <w14:schemeClr w14:val="tx1"/>
            </w14:solidFill>
          </w14:textFill>
        </w:rPr>
        <w:t>应</w:t>
      </w:r>
      <w:r>
        <w:rPr>
          <w:rFonts w:hint="eastAsia" w:asciiTheme="minorEastAsia" w:hAnsiTheme="minorEastAsia" w:eastAsiaTheme="minorEastAsia"/>
          <w:color w:val="000000" w:themeColor="text1"/>
          <w:sz w:val="24"/>
          <w:highlight w:val="none"/>
          <w14:textFill>
            <w14:solidFill>
              <w14:schemeClr w14:val="tx1"/>
            </w14:solidFill>
          </w14:textFill>
        </w:rPr>
        <w:t>按照</w:t>
      </w:r>
      <w:r>
        <w:rPr>
          <w:rFonts w:hint="eastAsia" w:asciiTheme="minorEastAsia" w:hAnsiTheme="minorEastAsia"/>
          <w:color w:val="000000" w:themeColor="text1"/>
          <w:sz w:val="24"/>
          <w:highlight w:val="none"/>
          <w14:textFill>
            <w14:solidFill>
              <w14:schemeClr w14:val="tx1"/>
            </w14:solidFill>
          </w14:textFill>
        </w:rPr>
        <w:t>投标文件组成内容</w:t>
      </w:r>
      <w:r>
        <w:rPr>
          <w:rFonts w:hint="eastAsia" w:asciiTheme="minorEastAsia" w:hAnsiTheme="minorEastAsia" w:eastAsiaTheme="minorEastAsia"/>
          <w:color w:val="000000" w:themeColor="text1"/>
          <w:sz w:val="24"/>
          <w:highlight w:val="none"/>
          <w14:textFill>
            <w14:solidFill>
              <w14:schemeClr w14:val="tx1"/>
            </w14:solidFill>
          </w14:textFill>
        </w:rPr>
        <w:t>及项目招标需求制作投标文件，</w:t>
      </w:r>
      <w:r>
        <w:rPr>
          <w:rFonts w:hint="eastAsia" w:asciiTheme="minorEastAsia" w:hAnsiTheme="minorEastAsia" w:eastAsiaTheme="minorEastAsia"/>
          <w:color w:val="000000" w:themeColor="text1"/>
          <w:kern w:val="0"/>
          <w:sz w:val="24"/>
          <w:highlight w:val="none"/>
          <w14:textFill>
            <w14:solidFill>
              <w14:schemeClr w14:val="tx1"/>
            </w14:solidFill>
          </w14:textFill>
        </w:rPr>
        <w:t>不按招标文件要求制作投标文件的将视情</w:t>
      </w:r>
      <w:r>
        <w:rPr>
          <w:rFonts w:hint="eastAsia" w:asciiTheme="minorEastAsia" w:hAnsiTheme="minorEastAsia"/>
          <w:color w:val="000000" w:themeColor="text1"/>
          <w:kern w:val="0"/>
          <w:sz w:val="24"/>
          <w:highlight w:val="none"/>
          <w14:textFill>
            <w14:solidFill>
              <w14:schemeClr w14:val="tx1"/>
            </w14:solidFill>
          </w14:textFill>
        </w:rPr>
        <w:t>处理（拒收、扣分等），由此产生的责任由投标人自行承担。</w:t>
      </w:r>
    </w:p>
    <w:p>
      <w:pPr>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（2）投标人应对所提供的全部资料的真实性承担法律责任，</w:t>
      </w:r>
      <w:r>
        <w:rPr>
          <w:rFonts w:hint="eastAsia" w:asciiTheme="minorEastAsia" w:hAnsiTheme="minorEastAsia"/>
          <w:color w:val="000000" w:themeColor="text1"/>
          <w:kern w:val="0"/>
          <w:sz w:val="24"/>
          <w:highlight w:val="none"/>
          <w:lang w:val="zh-CN"/>
          <w14:textFill>
            <w14:solidFill>
              <w14:schemeClr w14:val="tx1"/>
            </w14:solidFill>
          </w14:textFill>
        </w:rPr>
        <w:t>投标文件</w:t>
      </w: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内</w:t>
      </w:r>
      <w:r>
        <w:rPr>
          <w:rFonts w:hint="eastAsia" w:asciiTheme="minorEastAsia" w:hAnsiTheme="minorEastAsia"/>
          <w:color w:val="000000" w:themeColor="text1"/>
          <w:kern w:val="0"/>
          <w:sz w:val="24"/>
          <w:highlight w:val="none"/>
          <w:lang w:val="zh-CN"/>
          <w14:textFill>
            <w14:solidFill>
              <w14:schemeClr w14:val="tx1"/>
            </w14:solidFill>
          </w14:textFill>
        </w:rPr>
        <w:t>容中</w:t>
      </w: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有要求盖章或签字的地方，必须加盖投标人的公章以及法定代表人或全权代表盖章或签字。</w:t>
      </w:r>
    </w:p>
    <w:p>
      <w:pPr>
        <w:snapToGrid w:val="0"/>
        <w:spacing w:line="360" w:lineRule="auto"/>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kern w:val="0"/>
          <w:sz w:val="24"/>
          <w:highlight w:val="none"/>
          <w:lang w:val="zh-CN"/>
          <w14:textFill>
            <w14:solidFill>
              <w14:schemeClr w14:val="tx1"/>
            </w14:solidFill>
          </w14:textFill>
        </w:rPr>
        <w:t>（</w:t>
      </w:r>
      <w:r>
        <w:rPr>
          <w:rFonts w:hint="eastAsia" w:asciiTheme="minorEastAsia" w:hAnsiTheme="minorEastAsia"/>
          <w:color w:val="000000" w:themeColor="text1"/>
          <w:kern w:val="0"/>
          <w:sz w:val="24"/>
          <w:highlight w:val="none"/>
          <w14:textFill>
            <w14:solidFill>
              <w14:schemeClr w14:val="tx1"/>
            </w14:solidFill>
          </w14:textFill>
        </w:rPr>
        <w:t>3</w:t>
      </w:r>
      <w:r>
        <w:rPr>
          <w:rFonts w:hint="eastAsia" w:asciiTheme="minorEastAsia" w:hAnsiTheme="minorEastAsia"/>
          <w:color w:val="000000" w:themeColor="text1"/>
          <w:kern w:val="0"/>
          <w:sz w:val="24"/>
          <w:highlight w:val="none"/>
          <w:lang w:val="zh-CN"/>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投标文件以及投标人与</w:t>
      </w:r>
      <w:r>
        <w:rPr>
          <w:rFonts w:hint="eastAsia" w:asciiTheme="minorEastAsia" w:hAnsiTheme="minorEastAsia" w:eastAsiaTheme="minorEastAsia"/>
          <w:color w:val="000000" w:themeColor="text1"/>
          <w:sz w:val="24"/>
          <w:highlight w:val="none"/>
          <w14:textFill>
            <w14:solidFill>
              <w14:schemeClr w14:val="tx1"/>
            </w14:solidFill>
          </w14:textFill>
        </w:rPr>
        <w:t>采购组织机构</w:t>
      </w:r>
      <w:bookmarkStart w:id="7" w:name="_GoBack"/>
      <w:bookmarkEnd w:id="7"/>
      <w:r>
        <w:rPr>
          <w:rFonts w:asciiTheme="minorEastAsia" w:hAnsiTheme="minorEastAsia" w:eastAsiaTheme="minorEastAsia"/>
          <w:color w:val="000000" w:themeColor="text1"/>
          <w:sz w:val="24"/>
          <w:highlight w:val="none"/>
          <w14:textFill>
            <w14:solidFill>
              <w14:schemeClr w14:val="tx1"/>
            </w14:solidFill>
          </w14:textFill>
        </w:rPr>
        <w:t>就有关投标事宜的所有来往函电，均应以中文汉语书写。除</w:t>
      </w:r>
      <w:r>
        <w:rPr>
          <w:rFonts w:hint="eastAsia" w:asciiTheme="minorEastAsia" w:hAnsiTheme="minorEastAsia" w:eastAsiaTheme="minorEastAsia"/>
          <w:color w:val="000000" w:themeColor="text1"/>
          <w:sz w:val="24"/>
          <w:highlight w:val="none"/>
          <w14:textFill>
            <w14:solidFill>
              <w14:schemeClr w14:val="tx1"/>
            </w14:solidFill>
          </w14:textFill>
        </w:rPr>
        <w:t>签字</w:t>
      </w:r>
      <w:r>
        <w:rPr>
          <w:rFonts w:asciiTheme="minorEastAsia" w:hAnsiTheme="minorEastAsia" w:eastAsiaTheme="minorEastAsia"/>
          <w:color w:val="000000" w:themeColor="text1"/>
          <w:sz w:val="24"/>
          <w:highlight w:val="none"/>
          <w14:textFill>
            <w14:solidFill>
              <w14:schemeClr w14:val="tx1"/>
            </w14:solidFill>
          </w14:textFill>
        </w:rPr>
        <w:t>、盖章、专用名称等特殊情形外，以中文汉语以外的文字表述的投标文件视同未提供。</w:t>
      </w:r>
    </w:p>
    <w:p>
      <w:pPr>
        <w:snapToGrid w:val="0"/>
        <w:spacing w:line="360" w:lineRule="auto"/>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（4）</w:t>
      </w:r>
      <w:r>
        <w:rPr>
          <w:rFonts w:asciiTheme="minorEastAsia" w:hAnsiTheme="minorEastAsia" w:eastAsiaTheme="minorEastAsia"/>
          <w:color w:val="000000" w:themeColor="text1"/>
          <w:sz w:val="24"/>
          <w:highlight w:val="none"/>
          <w14:textFill>
            <w14:solidFill>
              <w14:schemeClr w14:val="tx1"/>
            </w14:solidFill>
          </w14:textFill>
        </w:rPr>
        <w:t>投标计量单位，招标文件已有明确规定的，使用招标文件规定的计量单位；招标文件没有规定的，应采用中华人民共和国法定计量单位（货币单位：人民币元）。</w:t>
      </w:r>
    </w:p>
    <w:p>
      <w:pPr>
        <w:autoSpaceDE w:val="0"/>
        <w:autoSpaceDN w:val="0"/>
        <w:adjustRightInd w:val="0"/>
        <w:spacing w:line="360" w:lineRule="auto"/>
        <w:ind w:firstLine="48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（5）</w:t>
      </w:r>
      <w:r>
        <w:rPr>
          <w:rFonts w:asciiTheme="minorEastAsia" w:hAnsiTheme="minorEastAsia" w:eastAsiaTheme="minorEastAsia"/>
          <w:color w:val="000000" w:themeColor="text1"/>
          <w:sz w:val="24"/>
          <w:highlight w:val="none"/>
          <w14:textFill>
            <w14:solidFill>
              <w14:schemeClr w14:val="tx1"/>
            </w14:solidFill>
          </w14:textFill>
        </w:rPr>
        <w:t>若投标人不按招标文件的要求提供资格审查材料，其风险由投标人自行承担。</w:t>
      </w:r>
    </w:p>
    <w:p>
      <w:pPr>
        <w:autoSpaceDE w:val="0"/>
        <w:autoSpaceDN w:val="0"/>
        <w:adjustRightInd w:val="0"/>
        <w:spacing w:line="360" w:lineRule="auto"/>
        <w:ind w:firstLine="48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kern w:val="0"/>
          <w:sz w:val="24"/>
          <w:highlight w:val="none"/>
          <w14:textFill>
            <w14:solidFill>
              <w14:schemeClr w14:val="tx1"/>
            </w14:solidFill>
          </w14:textFill>
        </w:rPr>
        <w:t>（6）</w:t>
      </w:r>
      <w:r>
        <w:rPr>
          <w:rFonts w:hint="eastAsia" w:asciiTheme="minorEastAsia" w:hAnsiTheme="minorEastAsia" w:eastAsiaTheme="minorEastAsia"/>
          <w:color w:val="000000" w:themeColor="text1"/>
          <w:sz w:val="24"/>
          <w:highlight w:val="none"/>
          <w14:textFill>
            <w14:solidFill>
              <w14:schemeClr w14:val="tx1"/>
            </w14:solidFill>
          </w14:textFill>
        </w:rPr>
        <w:t>与本次投标无关的内容请不要制作在内，确保投标文件有针对性、简洁明了，同时节约纸张；投标文件建议以A4纸大小双面打印并装订。</w:t>
      </w:r>
    </w:p>
    <w:p>
      <w:pPr>
        <w:autoSpaceDE w:val="0"/>
        <w:autoSpaceDN w:val="0"/>
        <w:adjustRightInd w:val="0"/>
        <w:spacing w:line="360" w:lineRule="auto"/>
        <w:ind w:firstLine="480"/>
        <w:rPr>
          <w:rFonts w:asciiTheme="minorEastAsia" w:hAnsiTheme="minorEastAsia"/>
          <w:b/>
          <w:bCs/>
          <w:color w:val="000000" w:themeColor="text1"/>
          <w:sz w:val="24"/>
          <w:highlight w:val="none"/>
          <w14:textFill>
            <w14:solidFill>
              <w14:schemeClr w14:val="tx1"/>
            </w14:solidFill>
          </w14:textFill>
        </w:rPr>
      </w:pPr>
      <w:r>
        <w:rPr>
          <w:rFonts w:hint="eastAsia" w:asciiTheme="minorEastAsia" w:hAnsiTheme="minorEastAsia"/>
          <w:b/>
          <w:bCs/>
          <w:color w:val="000000" w:themeColor="text1"/>
          <w:sz w:val="24"/>
          <w:highlight w:val="none"/>
          <w14:textFill>
            <w14:solidFill>
              <w14:schemeClr w14:val="tx1"/>
            </w14:solidFill>
          </w14:textFill>
        </w:rPr>
        <w:t>2、投标文件的封装要求</w:t>
      </w:r>
    </w:p>
    <w:p>
      <w:pPr>
        <w:autoSpaceDE w:val="0"/>
        <w:autoSpaceDN w:val="0"/>
        <w:adjustRightInd w:val="0"/>
        <w:spacing w:line="360" w:lineRule="auto"/>
        <w:ind w:firstLine="475" w:firstLineChars="198"/>
        <w:rPr>
          <w:rFonts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（1）投标文件份数：</w:t>
      </w:r>
      <w:r>
        <w:rPr>
          <w:rFonts w:hint="eastAsia" w:ascii="宋体" w:hAnsi="宋体"/>
          <w:bCs/>
          <w:color w:val="000000" w:themeColor="text1"/>
          <w:sz w:val="24"/>
          <w:highlight w:val="none"/>
          <w:lang w:val="zh-CN"/>
          <w14:textFill>
            <w14:solidFill>
              <w14:schemeClr w14:val="tx1"/>
            </w14:solidFill>
          </w14:textFill>
        </w:rPr>
        <w:t>资格证明文件、商务与技术文件、报价文件必须分别编制并分开单独装订成册：</w:t>
      </w:r>
      <w:r>
        <w:rPr>
          <w:rFonts w:hint="eastAsia" w:ascii="宋体"/>
          <w:bCs/>
          <w:color w:val="000000" w:themeColor="text1"/>
          <w:sz w:val="24"/>
          <w:highlight w:val="none"/>
          <w:lang w:val="zh-CN"/>
          <w14:textFill>
            <w14:solidFill>
              <w14:schemeClr w14:val="tx1"/>
            </w14:solidFill>
          </w14:textFill>
        </w:rPr>
        <w:t>资格证明文件共</w:t>
      </w:r>
      <w:r>
        <w:rPr>
          <w:rFonts w:hint="eastAsia" w:ascii="宋体" w:hAnsi="宋体"/>
          <w:bCs/>
          <w:color w:val="000000" w:themeColor="text1"/>
          <w:sz w:val="24"/>
          <w:highlight w:val="none"/>
          <w:u w:val="single"/>
          <w:lang w:val="zh-CN"/>
          <w14:textFill>
            <w14:solidFill>
              <w14:schemeClr w14:val="tx1"/>
            </w14:solidFill>
          </w14:textFill>
        </w:rPr>
        <w:t xml:space="preserve"> </w:t>
      </w:r>
      <w:r>
        <w:rPr>
          <w:rFonts w:hint="eastAsia" w:ascii="宋体" w:hAnsi="宋体"/>
          <w:bCs/>
          <w:color w:val="000000" w:themeColor="text1"/>
          <w:sz w:val="24"/>
          <w:highlight w:val="none"/>
          <w:u w:val="single"/>
          <w14:textFill>
            <w14:solidFill>
              <w14:schemeClr w14:val="tx1"/>
            </w14:solidFill>
          </w14:textFill>
        </w:rPr>
        <w:t xml:space="preserve"> 5 </w:t>
      </w:r>
      <w:r>
        <w:rPr>
          <w:rFonts w:hint="eastAsia" w:ascii="宋体" w:hAnsi="宋体"/>
          <w:bCs/>
          <w:color w:val="000000" w:themeColor="text1"/>
          <w:sz w:val="24"/>
          <w:highlight w:val="none"/>
          <w:u w:val="single"/>
          <w:lang w:val="zh-CN"/>
          <w14:textFill>
            <w14:solidFill>
              <w14:schemeClr w14:val="tx1"/>
            </w14:solidFill>
          </w14:textFill>
        </w:rPr>
        <w:t xml:space="preserve"> </w:t>
      </w:r>
      <w:r>
        <w:rPr>
          <w:rFonts w:hint="eastAsia" w:ascii="宋体" w:hAnsi="宋体"/>
          <w:bCs/>
          <w:color w:val="000000" w:themeColor="text1"/>
          <w:sz w:val="24"/>
          <w:highlight w:val="none"/>
          <w:lang w:val="zh-CN"/>
          <w14:textFill>
            <w14:solidFill>
              <w14:schemeClr w14:val="tx1"/>
            </w14:solidFill>
          </w14:textFill>
        </w:rPr>
        <w:t>份</w:t>
      </w:r>
      <w:r>
        <w:rPr>
          <w:rFonts w:hint="eastAsia" w:ascii="宋体"/>
          <w:bCs/>
          <w:color w:val="000000" w:themeColor="text1"/>
          <w:sz w:val="24"/>
          <w:highlight w:val="none"/>
          <w:lang w:val="zh-CN"/>
          <w14:textFill>
            <w14:solidFill>
              <w14:schemeClr w14:val="tx1"/>
            </w14:solidFill>
          </w14:textFill>
        </w:rPr>
        <w:t>（</w:t>
      </w:r>
      <w:r>
        <w:rPr>
          <w:rFonts w:hint="eastAsia" w:ascii="宋体" w:hAnsi="宋体"/>
          <w:bCs/>
          <w:color w:val="000000" w:themeColor="text1"/>
          <w:sz w:val="24"/>
          <w:highlight w:val="none"/>
          <w:u w:val="single"/>
          <w14:textFill>
            <w14:solidFill>
              <w14:schemeClr w14:val="tx1"/>
            </w14:solidFill>
          </w14:textFill>
        </w:rPr>
        <w:t xml:space="preserve"> 1</w:t>
      </w:r>
      <w:r>
        <w:rPr>
          <w:rFonts w:hint="eastAsia" w:ascii="宋体" w:hAnsi="宋体"/>
          <w:bCs/>
          <w:color w:val="000000" w:themeColor="text1"/>
          <w:sz w:val="24"/>
          <w:highlight w:val="none"/>
          <w:u w:val="single"/>
          <w:lang w:val="zh-CN"/>
          <w14:textFill>
            <w14:solidFill>
              <w14:schemeClr w14:val="tx1"/>
            </w14:solidFill>
          </w14:textFill>
        </w:rPr>
        <w:t xml:space="preserve"> </w:t>
      </w:r>
      <w:r>
        <w:rPr>
          <w:rFonts w:hint="eastAsia" w:ascii="宋体"/>
          <w:bCs/>
          <w:color w:val="000000" w:themeColor="text1"/>
          <w:sz w:val="24"/>
          <w:highlight w:val="none"/>
          <w:lang w:val="zh-CN"/>
          <w14:textFill>
            <w14:solidFill>
              <w14:schemeClr w14:val="tx1"/>
            </w14:solidFill>
          </w14:textFill>
        </w:rPr>
        <w:t>正本</w:t>
      </w:r>
      <w:r>
        <w:rPr>
          <w:rFonts w:hint="eastAsia" w:ascii="宋体"/>
          <w:bCs/>
          <w:color w:val="000000" w:themeColor="text1"/>
          <w:sz w:val="24"/>
          <w:highlight w:val="none"/>
          <w14:textFill>
            <w14:solidFill>
              <w14:schemeClr w14:val="tx1"/>
            </w14:solidFill>
          </w14:textFill>
        </w:rPr>
        <w:t xml:space="preserve"> </w:t>
      </w:r>
      <w:r>
        <w:rPr>
          <w:rFonts w:hint="eastAsia" w:ascii="宋体" w:hAnsi="宋体"/>
          <w:bCs/>
          <w:color w:val="000000" w:themeColor="text1"/>
          <w:sz w:val="24"/>
          <w:highlight w:val="none"/>
          <w:u w:val="single"/>
          <w14:textFill>
            <w14:solidFill>
              <w14:schemeClr w14:val="tx1"/>
            </w14:solidFill>
          </w14:textFill>
        </w:rPr>
        <w:t xml:space="preserve"> 4</w:t>
      </w:r>
      <w:r>
        <w:rPr>
          <w:rFonts w:hint="eastAsia" w:ascii="宋体" w:hAnsi="宋体"/>
          <w:bCs/>
          <w:color w:val="000000" w:themeColor="text1"/>
          <w:sz w:val="24"/>
          <w:highlight w:val="none"/>
          <w:u w:val="single"/>
          <w:lang w:val="zh-CN"/>
          <w14:textFill>
            <w14:solidFill>
              <w14:schemeClr w14:val="tx1"/>
            </w14:solidFill>
          </w14:textFill>
        </w:rPr>
        <w:t xml:space="preserve"> </w:t>
      </w:r>
      <w:r>
        <w:rPr>
          <w:rFonts w:hint="eastAsia" w:ascii="宋体"/>
          <w:bCs/>
          <w:color w:val="000000" w:themeColor="text1"/>
          <w:sz w:val="24"/>
          <w:highlight w:val="none"/>
          <w:lang w:val="zh-CN"/>
          <w14:textFill>
            <w14:solidFill>
              <w14:schemeClr w14:val="tx1"/>
            </w14:solidFill>
          </w14:textFill>
        </w:rPr>
        <w:t>副本，封装成一袋）</w:t>
      </w:r>
      <w:r>
        <w:rPr>
          <w:rFonts w:hint="eastAsia" w:ascii="宋体" w:hAnsi="宋体"/>
          <w:bCs/>
          <w:color w:val="000000" w:themeColor="text1"/>
          <w:sz w:val="24"/>
          <w:highlight w:val="none"/>
          <w:lang w:val="zh-CN"/>
          <w14:textFill>
            <w14:solidFill>
              <w14:schemeClr w14:val="tx1"/>
            </w14:solidFill>
          </w14:textFill>
        </w:rPr>
        <w:t>，商务与技术文件共</w:t>
      </w:r>
      <w:r>
        <w:rPr>
          <w:rFonts w:hint="eastAsia" w:ascii="宋体" w:hAnsi="宋体"/>
          <w:bCs/>
          <w:color w:val="000000" w:themeColor="text1"/>
          <w:sz w:val="24"/>
          <w:highlight w:val="none"/>
          <w:u w:val="single"/>
          <w:lang w:val="zh-CN"/>
          <w14:textFill>
            <w14:solidFill>
              <w14:schemeClr w14:val="tx1"/>
            </w14:solidFill>
          </w14:textFill>
        </w:rPr>
        <w:t xml:space="preserve"> </w:t>
      </w:r>
      <w:r>
        <w:rPr>
          <w:rFonts w:hint="eastAsia" w:ascii="宋体" w:hAnsi="宋体"/>
          <w:bCs/>
          <w:color w:val="000000" w:themeColor="text1"/>
          <w:sz w:val="24"/>
          <w:highlight w:val="none"/>
          <w:u w:val="single"/>
          <w14:textFill>
            <w14:solidFill>
              <w14:schemeClr w14:val="tx1"/>
            </w14:solidFill>
          </w14:textFill>
        </w:rPr>
        <w:t xml:space="preserve">5  </w:t>
      </w:r>
      <w:r>
        <w:rPr>
          <w:rFonts w:hint="eastAsia" w:ascii="宋体" w:hAnsi="宋体"/>
          <w:bCs/>
          <w:color w:val="000000" w:themeColor="text1"/>
          <w:sz w:val="24"/>
          <w:highlight w:val="none"/>
          <w:lang w:val="zh-CN"/>
          <w14:textFill>
            <w14:solidFill>
              <w14:schemeClr w14:val="tx1"/>
            </w14:solidFill>
          </w14:textFill>
        </w:rPr>
        <w:t>份</w:t>
      </w:r>
      <w:r>
        <w:rPr>
          <w:rFonts w:hint="eastAsia" w:ascii="宋体"/>
          <w:bCs/>
          <w:color w:val="000000" w:themeColor="text1"/>
          <w:sz w:val="24"/>
          <w:highlight w:val="none"/>
          <w:lang w:val="zh-CN"/>
          <w14:textFill>
            <w14:solidFill>
              <w14:schemeClr w14:val="tx1"/>
            </w14:solidFill>
          </w14:textFill>
        </w:rPr>
        <w:t>（</w:t>
      </w:r>
      <w:r>
        <w:rPr>
          <w:rFonts w:hint="eastAsia" w:ascii="宋体" w:hAnsi="宋体"/>
          <w:bCs/>
          <w:color w:val="000000" w:themeColor="text1"/>
          <w:sz w:val="24"/>
          <w:highlight w:val="none"/>
          <w:u w:val="single"/>
          <w14:textFill>
            <w14:solidFill>
              <w14:schemeClr w14:val="tx1"/>
            </w14:solidFill>
          </w14:textFill>
        </w:rPr>
        <w:t xml:space="preserve"> 1</w:t>
      </w:r>
      <w:r>
        <w:rPr>
          <w:rFonts w:hint="eastAsia" w:ascii="宋体" w:hAnsi="宋体"/>
          <w:bCs/>
          <w:color w:val="000000" w:themeColor="text1"/>
          <w:sz w:val="24"/>
          <w:highlight w:val="none"/>
          <w:u w:val="single"/>
          <w:lang w:val="zh-CN"/>
          <w14:textFill>
            <w14:solidFill>
              <w14:schemeClr w14:val="tx1"/>
            </w14:solidFill>
          </w14:textFill>
        </w:rPr>
        <w:t xml:space="preserve"> </w:t>
      </w:r>
      <w:r>
        <w:rPr>
          <w:rFonts w:hint="eastAsia" w:ascii="宋体"/>
          <w:bCs/>
          <w:color w:val="000000" w:themeColor="text1"/>
          <w:sz w:val="24"/>
          <w:highlight w:val="none"/>
          <w:lang w:val="zh-CN"/>
          <w14:textFill>
            <w14:solidFill>
              <w14:schemeClr w14:val="tx1"/>
            </w14:solidFill>
          </w14:textFill>
        </w:rPr>
        <w:t>正本</w:t>
      </w:r>
      <w:r>
        <w:rPr>
          <w:rFonts w:hint="eastAsia" w:ascii="宋体"/>
          <w:bCs/>
          <w:color w:val="000000" w:themeColor="text1"/>
          <w:sz w:val="24"/>
          <w:highlight w:val="none"/>
          <w14:textFill>
            <w14:solidFill>
              <w14:schemeClr w14:val="tx1"/>
            </w14:solidFill>
          </w14:textFill>
        </w:rPr>
        <w:t xml:space="preserve"> </w:t>
      </w:r>
      <w:r>
        <w:rPr>
          <w:rFonts w:hint="eastAsia" w:ascii="宋体" w:hAnsi="宋体"/>
          <w:bCs/>
          <w:color w:val="000000" w:themeColor="text1"/>
          <w:sz w:val="24"/>
          <w:highlight w:val="none"/>
          <w:u w:val="single"/>
          <w14:textFill>
            <w14:solidFill>
              <w14:schemeClr w14:val="tx1"/>
            </w14:solidFill>
          </w14:textFill>
        </w:rPr>
        <w:t xml:space="preserve"> 4</w:t>
      </w:r>
      <w:r>
        <w:rPr>
          <w:rFonts w:hint="eastAsia" w:ascii="宋体" w:hAnsi="宋体"/>
          <w:bCs/>
          <w:color w:val="000000" w:themeColor="text1"/>
          <w:sz w:val="24"/>
          <w:highlight w:val="none"/>
          <w:u w:val="single"/>
          <w:lang w:val="zh-CN"/>
          <w14:textFill>
            <w14:solidFill>
              <w14:schemeClr w14:val="tx1"/>
            </w14:solidFill>
          </w14:textFill>
        </w:rPr>
        <w:t xml:space="preserve"> </w:t>
      </w:r>
      <w:r>
        <w:rPr>
          <w:rFonts w:hint="eastAsia" w:ascii="宋体"/>
          <w:bCs/>
          <w:color w:val="000000" w:themeColor="text1"/>
          <w:sz w:val="24"/>
          <w:highlight w:val="none"/>
          <w:lang w:val="zh-CN"/>
          <w14:textFill>
            <w14:solidFill>
              <w14:schemeClr w14:val="tx1"/>
            </w14:solidFill>
          </w14:textFill>
        </w:rPr>
        <w:t>副本，封装成一袋）</w:t>
      </w:r>
      <w:r>
        <w:rPr>
          <w:rFonts w:hint="eastAsia" w:ascii="宋体" w:hAnsi="宋体"/>
          <w:bCs/>
          <w:color w:val="000000" w:themeColor="text1"/>
          <w:sz w:val="24"/>
          <w:highlight w:val="none"/>
          <w:lang w:val="zh-CN"/>
          <w14:textFill>
            <w14:solidFill>
              <w14:schemeClr w14:val="tx1"/>
            </w14:solidFill>
          </w14:textFill>
        </w:rPr>
        <w:t>，报价文件共</w:t>
      </w:r>
      <w:r>
        <w:rPr>
          <w:rFonts w:hint="eastAsia" w:ascii="宋体" w:hAnsi="宋体"/>
          <w:bCs/>
          <w:color w:val="000000" w:themeColor="text1"/>
          <w:sz w:val="24"/>
          <w:highlight w:val="none"/>
          <w:u w:val="single"/>
          <w:lang w:val="zh-CN"/>
          <w14:textFill>
            <w14:solidFill>
              <w14:schemeClr w14:val="tx1"/>
            </w14:solidFill>
          </w14:textFill>
        </w:rPr>
        <w:t xml:space="preserve"> </w:t>
      </w:r>
      <w:r>
        <w:rPr>
          <w:rFonts w:hint="eastAsia" w:ascii="宋体" w:hAnsi="宋体"/>
          <w:bCs/>
          <w:color w:val="000000" w:themeColor="text1"/>
          <w:sz w:val="24"/>
          <w:highlight w:val="none"/>
          <w:u w:val="single"/>
          <w14:textFill>
            <w14:solidFill>
              <w14:schemeClr w14:val="tx1"/>
            </w14:solidFill>
          </w14:textFill>
        </w:rPr>
        <w:t xml:space="preserve"> 5 </w:t>
      </w:r>
      <w:r>
        <w:rPr>
          <w:rFonts w:hint="eastAsia" w:ascii="宋体" w:hAnsi="宋体"/>
          <w:bCs/>
          <w:color w:val="000000" w:themeColor="text1"/>
          <w:sz w:val="24"/>
          <w:highlight w:val="none"/>
          <w:lang w:val="zh-CN"/>
          <w14:textFill>
            <w14:solidFill>
              <w14:schemeClr w14:val="tx1"/>
            </w14:solidFill>
          </w14:textFill>
        </w:rPr>
        <w:t>份</w:t>
      </w:r>
      <w:r>
        <w:rPr>
          <w:rFonts w:hint="eastAsia" w:ascii="宋体"/>
          <w:bCs/>
          <w:color w:val="000000" w:themeColor="text1"/>
          <w:sz w:val="24"/>
          <w:highlight w:val="none"/>
          <w:lang w:val="zh-CN"/>
          <w14:textFill>
            <w14:solidFill>
              <w14:schemeClr w14:val="tx1"/>
            </w14:solidFill>
          </w14:textFill>
        </w:rPr>
        <w:t>（</w:t>
      </w:r>
      <w:r>
        <w:rPr>
          <w:rFonts w:hint="eastAsia" w:ascii="宋体" w:hAnsi="宋体"/>
          <w:bCs/>
          <w:color w:val="000000" w:themeColor="text1"/>
          <w:sz w:val="24"/>
          <w:highlight w:val="none"/>
          <w:u w:val="single"/>
          <w14:textFill>
            <w14:solidFill>
              <w14:schemeClr w14:val="tx1"/>
            </w14:solidFill>
          </w14:textFill>
        </w:rPr>
        <w:t xml:space="preserve"> 1</w:t>
      </w:r>
      <w:r>
        <w:rPr>
          <w:rFonts w:hint="eastAsia" w:ascii="宋体" w:hAnsi="宋体"/>
          <w:bCs/>
          <w:color w:val="000000" w:themeColor="text1"/>
          <w:sz w:val="24"/>
          <w:highlight w:val="none"/>
          <w:u w:val="single"/>
          <w:lang w:val="zh-CN"/>
          <w14:textFill>
            <w14:solidFill>
              <w14:schemeClr w14:val="tx1"/>
            </w14:solidFill>
          </w14:textFill>
        </w:rPr>
        <w:t xml:space="preserve"> </w:t>
      </w:r>
      <w:r>
        <w:rPr>
          <w:rFonts w:hint="eastAsia" w:ascii="宋体"/>
          <w:bCs/>
          <w:color w:val="000000" w:themeColor="text1"/>
          <w:sz w:val="24"/>
          <w:highlight w:val="none"/>
          <w:lang w:val="zh-CN"/>
          <w14:textFill>
            <w14:solidFill>
              <w14:schemeClr w14:val="tx1"/>
            </w14:solidFill>
          </w14:textFill>
        </w:rPr>
        <w:t>正本，</w:t>
      </w:r>
      <w:r>
        <w:rPr>
          <w:rFonts w:hint="eastAsia" w:ascii="宋体"/>
          <w:bCs/>
          <w:color w:val="000000" w:themeColor="text1"/>
          <w:sz w:val="24"/>
          <w:highlight w:val="none"/>
          <w14:textFill>
            <w14:solidFill>
              <w14:schemeClr w14:val="tx1"/>
            </w14:solidFill>
          </w14:textFill>
        </w:rPr>
        <w:t xml:space="preserve"> </w:t>
      </w:r>
      <w:r>
        <w:rPr>
          <w:rFonts w:hint="eastAsia" w:ascii="宋体" w:hAnsi="宋体"/>
          <w:bCs/>
          <w:color w:val="000000" w:themeColor="text1"/>
          <w:sz w:val="24"/>
          <w:highlight w:val="none"/>
          <w:u w:val="single"/>
          <w14:textFill>
            <w14:solidFill>
              <w14:schemeClr w14:val="tx1"/>
            </w14:solidFill>
          </w14:textFill>
        </w:rPr>
        <w:t xml:space="preserve"> 4</w:t>
      </w:r>
      <w:r>
        <w:rPr>
          <w:rFonts w:hint="eastAsia" w:ascii="宋体" w:hAnsi="宋体"/>
          <w:bCs/>
          <w:color w:val="000000" w:themeColor="text1"/>
          <w:sz w:val="24"/>
          <w:highlight w:val="none"/>
          <w:u w:val="single"/>
          <w:lang w:val="zh-CN"/>
          <w14:textFill>
            <w14:solidFill>
              <w14:schemeClr w14:val="tx1"/>
            </w14:solidFill>
          </w14:textFill>
        </w:rPr>
        <w:t xml:space="preserve"> </w:t>
      </w:r>
      <w:r>
        <w:rPr>
          <w:rFonts w:hint="eastAsia" w:ascii="宋体"/>
          <w:bCs/>
          <w:color w:val="000000" w:themeColor="text1"/>
          <w:sz w:val="24"/>
          <w:highlight w:val="none"/>
          <w:lang w:val="zh-CN"/>
          <w14:textFill>
            <w14:solidFill>
              <w14:schemeClr w14:val="tx1"/>
            </w14:solidFill>
          </w14:textFill>
        </w:rPr>
        <w:t>副本，封装成一袋）</w:t>
      </w:r>
      <w:r>
        <w:rPr>
          <w:rFonts w:hint="eastAsia" w:ascii="宋体" w:hAnsi="宋体"/>
          <w:bCs/>
          <w:color w:val="000000" w:themeColor="text1"/>
          <w:sz w:val="24"/>
          <w:highlight w:val="none"/>
          <w:lang w:val="zh-CN"/>
          <w14:textFill>
            <w14:solidFill>
              <w14:schemeClr w14:val="tx1"/>
            </w14:solidFill>
          </w14:textFill>
        </w:rPr>
        <w:t>。投标文件的正本封面必须注明“正本”字样，副本可以采用正本的复印件。</w:t>
      </w:r>
      <w:r>
        <w:rPr>
          <w:rFonts w:hint="eastAsia" w:asciiTheme="minorEastAsia" w:hAnsiTheme="minorEastAsia" w:eastAsiaTheme="minorEastAsia"/>
          <w:color w:val="000000" w:themeColor="text1"/>
          <w:sz w:val="24"/>
          <w:highlight w:val="none"/>
          <w14:textFill>
            <w14:solidFill>
              <w14:schemeClr w14:val="tx1"/>
            </w14:solidFill>
          </w14:textFill>
        </w:rPr>
        <w:t>除报价文件外其余一律不准出现数字报价。如有不同标段，请按标段号分别装订，密封要求同上。</w:t>
      </w:r>
    </w:p>
    <w:p>
      <w:pPr>
        <w:autoSpaceDE w:val="0"/>
        <w:autoSpaceDN w:val="0"/>
        <w:adjustRightIn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（2）所有投标资料按投标文件的组成所列内容及顺序装订成册，</w:t>
      </w:r>
      <w:r>
        <w:rPr>
          <w:rFonts w:hint="eastAsia" w:asciiTheme="minorEastAsia" w:hAnsiTheme="minorEastAsia" w:eastAsiaTheme="minorEastAsia"/>
          <w:color w:val="000000" w:themeColor="text1"/>
          <w:sz w:val="24"/>
          <w:highlight w:val="none"/>
          <w:lang w:val="zh-CN"/>
          <w14:textFill>
            <w14:solidFill>
              <w14:schemeClr w14:val="tx1"/>
            </w14:solidFill>
          </w14:textFill>
        </w:rPr>
        <w:t>并逐页连续标注页码。因投标文件内容不完整、编排混乱导致投标文件被误读、漏读或者查找不到相关内容的责任由投标人自行承担。</w:t>
      </w:r>
    </w:p>
    <w:p>
      <w:pPr>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（3）请在密封袋的封口处应有投标单位公章或投标全权代表签字。封皮上写明项目编号、标段、招标项目名称、投标人名称，并注明“投标文件名称（资格证明文件、</w:t>
      </w:r>
      <w:r>
        <w:rPr>
          <w:rFonts w:hint="eastAsia" w:ascii="宋体" w:hAnsi="宋体"/>
          <w:bCs/>
          <w:color w:val="000000" w:themeColor="text1"/>
          <w:sz w:val="24"/>
          <w:highlight w:val="none"/>
          <w:lang w:val="zh-CN"/>
          <w14:textFill>
            <w14:solidFill>
              <w14:schemeClr w14:val="tx1"/>
            </w14:solidFill>
          </w14:textFill>
        </w:rPr>
        <w:t>商务与技术文件</w:t>
      </w:r>
      <w:r>
        <w:rPr>
          <w:rFonts w:hint="eastAsia" w:asciiTheme="minorEastAsia" w:hAnsiTheme="minorEastAsia" w:eastAsiaTheme="minorEastAsia"/>
          <w:color w:val="000000" w:themeColor="text1"/>
          <w:kern w:val="0"/>
          <w:sz w:val="24"/>
          <w:highlight w:val="none"/>
          <w14:textFill>
            <w14:solidFill>
              <w14:schemeClr w14:val="tx1"/>
            </w14:solidFill>
          </w14:textFill>
        </w:rPr>
        <w:t>和报价文件）”、“开标时启封”字样，未按上述要求密封及加写标记，采购组织机构对投标文件的误投和提前启封不负责任。</w:t>
      </w:r>
    </w:p>
    <w:p>
      <w:pPr>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（4）项目如分标段，各标段投标文件必须分开编制，并按上述份数要求单独密封包装。</w:t>
      </w:r>
    </w:p>
    <w:p>
      <w:pPr>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（5）</w:t>
      </w: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因密封不严、标记不明而造成失密、拒收、过早启封等情况，采购组织机构概不负责。</w:t>
      </w:r>
    </w:p>
    <w:p>
      <w:pPr>
        <w:autoSpaceDE w:val="0"/>
        <w:autoSpaceDN w:val="0"/>
        <w:adjustRightInd w:val="0"/>
        <w:spacing w:line="360" w:lineRule="auto"/>
        <w:ind w:firstLine="48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3、</w:t>
      </w:r>
      <w:r>
        <w:rPr>
          <w:rFonts w:hint="eastAsia" w:asciiTheme="minorEastAsia" w:hAnsiTheme="minorEastAsia"/>
          <w:color w:val="000000" w:themeColor="text1"/>
          <w:sz w:val="24"/>
          <w:highlight w:val="none"/>
          <w14:textFill>
            <w14:solidFill>
              <w14:schemeClr w14:val="tx1"/>
            </w14:solidFill>
          </w14:textFill>
        </w:rPr>
        <w:t>投标文件的递交要求</w:t>
      </w:r>
    </w:p>
    <w:p>
      <w:pPr>
        <w:tabs>
          <w:tab w:val="left" w:pos="1418"/>
        </w:tabs>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（1）投标文件必须在规定时间前派人送达指定的投标地点。投标文件在截止时间后提交，采购组织机构将拒绝接收。</w:t>
      </w:r>
    </w:p>
    <w:p>
      <w:pPr>
        <w:tabs>
          <w:tab w:val="left" w:pos="1418"/>
        </w:tabs>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（2）如有特殊情况，采购组织机构延长截止时间和开标时间，采购组织机构和投标人的权利和义务将受到新的截止时间和开标时间的约束。</w:t>
      </w:r>
    </w:p>
    <w:p>
      <w:pPr>
        <w:tabs>
          <w:tab w:val="left" w:pos="1898"/>
        </w:tabs>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4、投标文件的补充、修改和撤回。</w:t>
      </w:r>
    </w:p>
    <w:p>
      <w:pPr>
        <w:tabs>
          <w:tab w:val="left" w:pos="960"/>
          <w:tab w:val="left" w:pos="1418"/>
        </w:tabs>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（1）投标人如需对上交的投标文件进行补充、修改或撤回的，必须在投标</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jc w:val="left"/>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截止时间</w:t>
      </w:r>
      <w:r>
        <w:rPr>
          <w:rFonts w:hint="eastAsia" w:ascii="宋体"/>
          <w:color w:val="000000" w:themeColor="text1"/>
          <w:kern w:val="0"/>
          <w:sz w:val="24"/>
          <w:highlight w:val="none"/>
          <w14:textFill>
            <w14:solidFill>
              <w14:schemeClr w14:val="tx1"/>
            </w14:solidFill>
          </w14:textFill>
        </w:rPr>
        <w:t>以前将书面的修改文件或撤消通知送达采购组织机构。</w:t>
      </w:r>
    </w:p>
    <w:p>
      <w:pPr>
        <w:tabs>
          <w:tab w:val="left" w:pos="1418"/>
        </w:tabs>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（2）投标修改文件必须密封，在密封袋上写明项目编号、标段、招标项目名称、投标人名称、并注明“修改文件”、“开标时启封”字样，其作为投标文件的组成部份。</w:t>
      </w:r>
    </w:p>
    <w:p>
      <w:pPr>
        <w:tabs>
          <w:tab w:val="left" w:pos="1898"/>
        </w:tabs>
        <w:autoSpaceDE w:val="0"/>
        <w:autoSpaceDN w:val="0"/>
        <w:adjustRightInd w:val="0"/>
        <w:spacing w:line="360" w:lineRule="auto"/>
        <w:rPr>
          <w:rFonts w:asciiTheme="minorEastAsia" w:hAnsiTheme="minorEastAsia" w:eastAsia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（三）投标文件的有效期</w:t>
      </w:r>
    </w:p>
    <w:p>
      <w:pPr>
        <w:pStyle w:val="8"/>
        <w:tabs>
          <w:tab w:val="left" w:pos="454"/>
          <w:tab w:val="left" w:pos="720"/>
          <w:tab w:val="left" w:pos="1200"/>
        </w:tabs>
        <w:snapToGrid w:val="0"/>
        <w:spacing w:line="360" w:lineRule="auto"/>
        <w:ind w:left="0" w:firstLine="480" w:firstLineChars="200"/>
        <w:rPr>
          <w:rFonts w:ascii="仿宋_GB2312" w:hAnsi="仿宋_GB2312" w:eastAsia="仿宋_GB2312" w:cs="仿宋_GB2312"/>
          <w:color w:val="000000" w:themeColor="text1"/>
          <w:sz w:val="24"/>
          <w:highlight w:val="none"/>
          <w:lang w:val="en-GB"/>
          <w14:textFill>
            <w14:solidFill>
              <w14:schemeClr w14:val="tx1"/>
            </w14:solidFill>
          </w14:textFill>
        </w:rPr>
      </w:pPr>
      <w:r>
        <w:rPr>
          <w:rFonts w:hint="eastAsia" w:ascii="宋体" w:hAnsi="宋体"/>
          <w:color w:val="000000" w:themeColor="text1"/>
          <w:sz w:val="24"/>
          <w:highlight w:val="none"/>
          <w:lang w:val="en-GB"/>
          <w14:textFill>
            <w14:solidFill>
              <w14:schemeClr w14:val="tx1"/>
            </w14:solidFill>
          </w14:textFill>
        </w:rPr>
        <w:t>自投标截止日起90天投标文件应保持有效。有效期不足的投标文件将被拒绝。</w:t>
      </w:r>
    </w:p>
    <w:p>
      <w:pPr>
        <w:pStyle w:val="8"/>
        <w:tabs>
          <w:tab w:val="left" w:pos="454"/>
          <w:tab w:val="left" w:pos="720"/>
          <w:tab w:val="left" w:pos="1200"/>
        </w:tabs>
        <w:snapToGrid w:val="0"/>
        <w:spacing w:line="360" w:lineRule="auto"/>
        <w:ind w:left="0" w:firstLine="480" w:firstLineChars="200"/>
        <w:rPr>
          <w:rFonts w:ascii="宋体" w:hAnsi="宋体"/>
          <w:color w:val="000000" w:themeColor="text1"/>
          <w:sz w:val="24"/>
          <w:highlight w:val="none"/>
          <w:lang w:val="en-GB"/>
          <w14:textFill>
            <w14:solidFill>
              <w14:schemeClr w14:val="tx1"/>
            </w14:solidFill>
          </w14:textFill>
        </w:rPr>
      </w:pPr>
      <w:r>
        <w:rPr>
          <w:rFonts w:hint="eastAsia" w:ascii="宋体" w:hAnsi="宋体"/>
          <w:color w:val="000000" w:themeColor="text1"/>
          <w:sz w:val="24"/>
          <w:highlight w:val="none"/>
          <w:lang w:val="en-GB"/>
          <w14:textFill>
            <w14:solidFill>
              <w14:schemeClr w14:val="tx1"/>
            </w14:solidFill>
          </w14:textFill>
        </w:rPr>
        <w:t>在特殊情况下，采购人可与投标人协商延长投标文件的有效期，这种要求和答复均以书面形式进行。</w:t>
      </w:r>
    </w:p>
    <w:p>
      <w:pPr>
        <w:snapToGrid w:val="0"/>
        <w:spacing w:line="360" w:lineRule="auto"/>
        <w:ind w:firstLine="480" w:firstLineChars="200"/>
        <w:jc w:val="left"/>
        <w:outlineLvl w:val="0"/>
        <w:rPr>
          <w:rFonts w:asciiTheme="minorEastAsia" w:hAnsiTheme="minorEastAsia" w:eastAsiaTheme="minorEastAsia"/>
          <w:b/>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3</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中标人的投标文件自开标之日起至合同履行完毕均应保持有效。</w:t>
      </w:r>
    </w:p>
    <w:p>
      <w:pPr>
        <w:snapToGrid w:val="0"/>
        <w:spacing w:line="360" w:lineRule="auto"/>
        <w:jc w:val="left"/>
        <w:rPr>
          <w:rFonts w:asciiTheme="minorEastAsia" w:hAnsiTheme="minorEastAsia" w:eastAsia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四、开标</w:t>
      </w:r>
    </w:p>
    <w:p>
      <w:pPr>
        <w:autoSpaceDE w:val="0"/>
        <w:autoSpaceDN w:val="0"/>
        <w:adjustRightInd w:val="0"/>
        <w:spacing w:line="360" w:lineRule="auto"/>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 xml:space="preserve">    （一）开标事项</w:t>
      </w:r>
    </w:p>
    <w:p>
      <w:pPr>
        <w:autoSpaceDE w:val="0"/>
        <w:autoSpaceDN w:val="0"/>
        <w:adjustRightInd w:val="0"/>
        <w:spacing w:line="360" w:lineRule="auto"/>
        <w:ind w:firstLine="480" w:firstLineChars="200"/>
        <w:rPr>
          <w:rFonts w:asciiTheme="minorEastAsia" w:hAnsiTheme="minorEastAsia" w:eastAsia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采购组织机构在“招标公告”规定的时间和地点公开开标，投标人的法定代表人或其授权代表应参加开标会并签到。</w:t>
      </w:r>
      <w:r>
        <w:rPr>
          <w:rFonts w:asciiTheme="minorEastAsia" w:hAnsiTheme="minorEastAsia" w:eastAsiaTheme="minorEastAsia"/>
          <w:bCs/>
          <w:color w:val="000000" w:themeColor="text1"/>
          <w:sz w:val="24"/>
          <w:highlight w:val="none"/>
          <w14:textFill>
            <w14:solidFill>
              <w14:schemeClr w14:val="tx1"/>
            </w14:solidFill>
          </w14:textFill>
        </w:rPr>
        <w:t>投标人的法定代表人或其授权代表未按时签到的，视同放弃开标监督权利、认可开标结果。</w:t>
      </w:r>
      <w:r>
        <w:rPr>
          <w:rFonts w:hint="eastAsia" w:asciiTheme="minorEastAsia" w:hAnsiTheme="minorEastAsia" w:eastAsiaTheme="minorEastAsia"/>
          <w:bCs/>
          <w:color w:val="000000" w:themeColor="text1"/>
          <w:sz w:val="24"/>
          <w:highlight w:val="none"/>
          <w14:textFill>
            <w14:solidFill>
              <w14:schemeClr w14:val="tx1"/>
            </w14:solidFill>
          </w14:textFill>
        </w:rPr>
        <w:t>采购组织机构</w:t>
      </w:r>
      <w:r>
        <w:rPr>
          <w:rFonts w:asciiTheme="minorEastAsia" w:hAnsiTheme="minorEastAsia" w:eastAsiaTheme="minorEastAsia"/>
          <w:bCs/>
          <w:color w:val="000000" w:themeColor="text1"/>
          <w:sz w:val="24"/>
          <w:highlight w:val="none"/>
          <w14:textFill>
            <w14:solidFill>
              <w14:schemeClr w14:val="tx1"/>
            </w14:solidFill>
          </w14:textFill>
        </w:rPr>
        <w:t>工作人员接收投标文件并登记，并由供应商代表对递交记录情况进行</w:t>
      </w:r>
      <w:r>
        <w:rPr>
          <w:rFonts w:hint="eastAsia" w:asciiTheme="minorEastAsia" w:hAnsiTheme="minorEastAsia" w:eastAsiaTheme="minorEastAsia"/>
          <w:bCs/>
          <w:color w:val="000000" w:themeColor="text1"/>
          <w:sz w:val="24"/>
          <w:highlight w:val="none"/>
          <w14:textFill>
            <w14:solidFill>
              <w14:schemeClr w14:val="tx1"/>
            </w14:solidFill>
          </w14:textFill>
        </w:rPr>
        <w:t>签字</w:t>
      </w:r>
      <w:r>
        <w:rPr>
          <w:rFonts w:asciiTheme="minorEastAsia" w:hAnsiTheme="minorEastAsia" w:eastAsiaTheme="minorEastAsia"/>
          <w:bCs/>
          <w:color w:val="000000" w:themeColor="text1"/>
          <w:sz w:val="24"/>
          <w:highlight w:val="none"/>
          <w14:textFill>
            <w14:solidFill>
              <w14:schemeClr w14:val="tx1"/>
            </w14:solidFill>
          </w14:textFill>
        </w:rPr>
        <w:t>确认。</w:t>
      </w:r>
      <w:r>
        <w:rPr>
          <w:rFonts w:hint="eastAsia" w:asciiTheme="minorEastAsia" w:hAnsiTheme="minorEastAsia" w:eastAsiaTheme="minorEastAsia"/>
          <w:bCs/>
          <w:color w:val="000000" w:themeColor="text1"/>
          <w:sz w:val="24"/>
          <w:highlight w:val="none"/>
          <w14:textFill>
            <w14:solidFill>
              <w14:schemeClr w14:val="tx1"/>
            </w14:solidFill>
          </w14:textFill>
        </w:rPr>
        <w:t>评标委员会成员不得参加开标活动。</w:t>
      </w:r>
      <w:r>
        <w:rPr>
          <w:rFonts w:hint="eastAsia" w:asciiTheme="minorEastAsia" w:hAnsiTheme="minorEastAsia" w:eastAsiaTheme="minorEastAsia"/>
          <w:color w:val="000000" w:themeColor="text1"/>
          <w:kern w:val="0"/>
          <w:sz w:val="24"/>
          <w:highlight w:val="none"/>
          <w14:textFill>
            <w14:solidFill>
              <w14:schemeClr w14:val="tx1"/>
            </w14:solidFill>
          </w14:textFill>
        </w:rPr>
        <w:t>（本次招标</w:t>
      </w:r>
      <w:r>
        <w:rPr>
          <w:rFonts w:cs="Arial" w:asciiTheme="minorEastAsia" w:hAnsiTheme="minorEastAsia" w:eastAsiaTheme="minorEastAsia"/>
          <w:color w:val="000000" w:themeColor="text1"/>
          <w:sz w:val="24"/>
          <w:highlight w:val="none"/>
          <w14:textFill>
            <w14:solidFill>
              <w14:schemeClr w14:val="tx1"/>
            </w14:solidFill>
          </w14:textFill>
        </w:rPr>
        <w:t>采用先评审商务资格</w:t>
      </w:r>
      <w:r>
        <w:rPr>
          <w:rFonts w:hint="eastAsia" w:cs="Arial" w:asciiTheme="minorEastAsia" w:hAnsiTheme="minorEastAsia" w:eastAsiaTheme="minorEastAsia"/>
          <w:color w:val="000000" w:themeColor="text1"/>
          <w:sz w:val="24"/>
          <w:highlight w:val="none"/>
          <w14:textFill>
            <w14:solidFill>
              <w14:schemeClr w14:val="tx1"/>
            </w14:solidFill>
          </w14:textFill>
        </w:rPr>
        <w:t>和</w:t>
      </w:r>
      <w:r>
        <w:rPr>
          <w:rFonts w:cs="Arial" w:asciiTheme="minorEastAsia" w:hAnsiTheme="minorEastAsia" w:eastAsiaTheme="minorEastAsia"/>
          <w:color w:val="000000" w:themeColor="text1"/>
          <w:sz w:val="24"/>
          <w:highlight w:val="none"/>
          <w14:textFill>
            <w14:solidFill>
              <w14:schemeClr w14:val="tx1"/>
            </w14:solidFill>
          </w14:textFill>
        </w:rPr>
        <w:t>技术服务方案</w:t>
      </w:r>
      <w:r>
        <w:rPr>
          <w:rFonts w:hint="eastAsia" w:cs="Arial" w:asciiTheme="minorEastAsia" w:hAnsiTheme="minorEastAsia" w:eastAsiaTheme="minorEastAsia"/>
          <w:color w:val="000000" w:themeColor="text1"/>
          <w:sz w:val="24"/>
          <w:highlight w:val="none"/>
          <w14:textFill>
            <w14:solidFill>
              <w14:schemeClr w14:val="tx1"/>
            </w14:solidFill>
          </w14:textFill>
        </w:rPr>
        <w:t>，</w:t>
      </w:r>
      <w:r>
        <w:rPr>
          <w:rFonts w:cs="Arial" w:asciiTheme="minorEastAsia" w:hAnsiTheme="minorEastAsia" w:eastAsiaTheme="minorEastAsia"/>
          <w:color w:val="000000" w:themeColor="text1"/>
          <w:sz w:val="24"/>
          <w:highlight w:val="none"/>
          <w14:textFill>
            <w14:solidFill>
              <w14:schemeClr w14:val="tx1"/>
            </w14:solidFill>
          </w14:textFill>
        </w:rPr>
        <w:t>后公开并评审商务报价的办法</w:t>
      </w:r>
      <w:r>
        <w:rPr>
          <w:rFonts w:hint="eastAsia" w:asciiTheme="minorEastAsia" w:hAnsiTheme="minorEastAsia" w:eastAsiaTheme="minorEastAsia"/>
          <w:color w:val="000000" w:themeColor="text1"/>
          <w:kern w:val="0"/>
          <w:sz w:val="24"/>
          <w:highlight w:val="none"/>
          <w14:textFill>
            <w14:solidFill>
              <w14:schemeClr w14:val="tx1"/>
            </w14:solidFill>
          </w14:textFill>
        </w:rPr>
        <w:t>实施）。</w:t>
      </w:r>
    </w:p>
    <w:p>
      <w:pPr>
        <w:autoSpaceDE w:val="0"/>
        <w:autoSpaceDN w:val="0"/>
        <w:adjustRightInd w:val="0"/>
        <w:spacing w:line="360" w:lineRule="auto"/>
        <w:ind w:firstLine="480" w:firstLineChars="200"/>
        <w:rPr>
          <w:rFonts w:asciiTheme="minorEastAsia" w:hAnsiTheme="minorEastAsia" w:eastAsiaTheme="minorEastAsia"/>
          <w:bCs/>
          <w:color w:val="000000" w:themeColor="text1"/>
          <w:sz w:val="24"/>
          <w:highlight w:val="none"/>
          <w14:textFill>
            <w14:solidFill>
              <w14:schemeClr w14:val="tx1"/>
            </w14:solidFill>
          </w14:textFill>
        </w:rPr>
      </w:pPr>
      <w:r>
        <w:rPr>
          <w:rFonts w:asciiTheme="minorEastAsia" w:hAnsiTheme="minorEastAsia" w:eastAsiaTheme="minorEastAsia"/>
          <w:bCs/>
          <w:color w:val="000000" w:themeColor="text1"/>
          <w:sz w:val="24"/>
          <w:highlight w:val="none"/>
          <w14:textFill>
            <w14:solidFill>
              <w14:schemeClr w14:val="tx1"/>
            </w14:solidFill>
          </w14:textFill>
        </w:rPr>
        <w:t>（二） 开</w:t>
      </w:r>
      <w:r>
        <w:rPr>
          <w:rFonts w:hint="eastAsia" w:asciiTheme="minorEastAsia" w:hAnsiTheme="minorEastAsia" w:eastAsiaTheme="minorEastAsia"/>
          <w:bCs/>
          <w:color w:val="000000" w:themeColor="text1"/>
          <w:sz w:val="24"/>
          <w:highlight w:val="none"/>
          <w14:textFill>
            <w14:solidFill>
              <w14:schemeClr w14:val="tx1"/>
            </w14:solidFill>
          </w14:textFill>
        </w:rPr>
        <w:t>标</w:t>
      </w:r>
      <w:r>
        <w:rPr>
          <w:rFonts w:asciiTheme="minorEastAsia" w:hAnsiTheme="minorEastAsia" w:eastAsiaTheme="minorEastAsia"/>
          <w:bCs/>
          <w:color w:val="000000" w:themeColor="text1"/>
          <w:sz w:val="24"/>
          <w:highlight w:val="none"/>
          <w14:textFill>
            <w14:solidFill>
              <w14:schemeClr w14:val="tx1"/>
            </w14:solidFill>
          </w14:textFill>
        </w:rPr>
        <w:t>程序：</w:t>
      </w:r>
    </w:p>
    <w:p>
      <w:pPr>
        <w:pStyle w:val="12"/>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1、开标会由招标项目负责人主持，主持人宣布开标会议开始；</w:t>
      </w:r>
    </w:p>
    <w:p>
      <w:pPr>
        <w:pStyle w:val="12"/>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 xml:space="preserve">2、主持人介绍参加开标会的人员名单； </w:t>
      </w:r>
    </w:p>
    <w:p>
      <w:pPr>
        <w:pStyle w:val="12"/>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3、主持人宣布评标期间的有关事项，告知应当回避的情形,提请有关人员回避；</w:t>
      </w:r>
    </w:p>
    <w:p>
      <w:pPr>
        <w:pStyle w:val="12"/>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4、投标人或其当场推荐的代表，检查投标文件密封的完整性；</w:t>
      </w:r>
    </w:p>
    <w:p>
      <w:pPr>
        <w:pStyle w:val="12"/>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5、按投标文件递交的先后顺序当场拆封</w:t>
      </w:r>
      <w:r>
        <w:rPr>
          <w:rFonts w:hint="eastAsia" w:asciiTheme="minorEastAsia" w:hAnsiTheme="minorEastAsia" w:eastAsiaTheme="minorEastAsia"/>
          <w:color w:val="000000" w:themeColor="text1"/>
          <w:kern w:val="0"/>
          <w:sz w:val="24"/>
          <w:highlight w:val="none"/>
          <w14:textFill>
            <w14:solidFill>
              <w14:schemeClr w14:val="tx1"/>
            </w14:solidFill>
          </w14:textFill>
        </w:rPr>
        <w:t>资格证明文件、</w:t>
      </w:r>
      <w:r>
        <w:rPr>
          <w:rFonts w:hint="eastAsia" w:hAnsi="宋体"/>
          <w:bCs/>
          <w:color w:val="000000" w:themeColor="text1"/>
          <w:sz w:val="24"/>
          <w:highlight w:val="none"/>
          <w:lang w:val="zh-CN"/>
          <w14:textFill>
            <w14:solidFill>
              <w14:schemeClr w14:val="tx1"/>
            </w14:solidFill>
          </w14:textFill>
        </w:rPr>
        <w:t>商务与技术文件</w:t>
      </w:r>
      <w:r>
        <w:rPr>
          <w:rFonts w:hint="eastAsia" w:asciiTheme="minorEastAsia" w:hAnsiTheme="minorEastAsia" w:eastAsiaTheme="minorEastAsia"/>
          <w:color w:val="000000" w:themeColor="text1"/>
          <w:sz w:val="24"/>
          <w:highlight w:val="none"/>
          <w14:textFill>
            <w14:solidFill>
              <w14:schemeClr w14:val="tx1"/>
            </w14:solidFill>
          </w14:textFill>
        </w:rPr>
        <w:t>后，进入资格审查及符合性审查环节；</w:t>
      </w:r>
    </w:p>
    <w:p>
      <w:pPr>
        <w:pStyle w:val="12"/>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6、完成</w:t>
      </w:r>
      <w:r>
        <w:rPr>
          <w:rFonts w:ascii="Arial" w:hAnsi="Arial" w:cs="Arial"/>
          <w:color w:val="000000" w:themeColor="text1"/>
          <w:sz w:val="24"/>
          <w:highlight w:val="none"/>
          <w14:textFill>
            <w14:solidFill>
              <w14:schemeClr w14:val="tx1"/>
            </w14:solidFill>
          </w14:textFill>
        </w:rPr>
        <w:t>综合比较与评价</w:t>
      </w:r>
      <w:r>
        <w:rPr>
          <w:rFonts w:hint="eastAsia" w:ascii="Arial" w:hAnsi="Arial" w:cs="Arial"/>
          <w:color w:val="000000" w:themeColor="text1"/>
          <w:sz w:val="24"/>
          <w:highlight w:val="none"/>
          <w14:textFill>
            <w14:solidFill>
              <w14:schemeClr w14:val="tx1"/>
            </w14:solidFill>
          </w14:textFill>
        </w:rPr>
        <w:t>后，</w:t>
      </w:r>
      <w:r>
        <w:rPr>
          <w:rFonts w:hint="eastAsia" w:asciiTheme="minorEastAsia" w:hAnsiTheme="minorEastAsia" w:eastAsiaTheme="minorEastAsia"/>
          <w:color w:val="000000" w:themeColor="text1"/>
          <w:sz w:val="24"/>
          <w:highlight w:val="none"/>
          <w14:textFill>
            <w14:solidFill>
              <w14:schemeClr w14:val="tx1"/>
            </w14:solidFill>
          </w14:textFill>
        </w:rPr>
        <w:t>由主持人按投标文件的先后顺序当场拆封报价文件，并现场宣读《开标一览表》中的投标报价，以及采购组织机构认为有必要宣读的其他内容；</w:t>
      </w:r>
    </w:p>
    <w:p>
      <w:pPr>
        <w:pStyle w:val="12"/>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7、采购组织机构做开标记录, 投标人代表对开标记录进行当场校核及勘误，并签字确认。同时由记录人、监督人当场签字确认。投标人代表未到场签字确认或者拒绝签字确认的，不影响评标过程；</w:t>
      </w:r>
    </w:p>
    <w:p>
      <w:pPr>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8、在完成评标后，宣布评标结果，开标会议结束。</w:t>
      </w:r>
    </w:p>
    <w:p>
      <w:pPr>
        <w:pStyle w:val="12"/>
        <w:snapToGrid w:val="0"/>
        <w:spacing w:line="360" w:lineRule="auto"/>
        <w:outlineLvl w:val="1"/>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五、评标</w:t>
      </w:r>
    </w:p>
    <w:p>
      <w:pPr>
        <w:pStyle w:val="12"/>
        <w:snapToGrid w:val="0"/>
        <w:spacing w:line="360" w:lineRule="auto"/>
        <w:ind w:left="720" w:leftChars="228" w:hanging="241" w:hangingChars="100"/>
        <w:rPr>
          <w:rFonts w:asciiTheme="minorEastAsia" w:hAnsiTheme="minorEastAsia" w:eastAsiaTheme="minorEastAsia"/>
          <w:b/>
          <w:color w:val="000000" w:themeColor="text1"/>
          <w:sz w:val="24"/>
          <w:highlight w:val="none"/>
          <w14:textFill>
            <w14:solidFill>
              <w14:schemeClr w14:val="tx1"/>
            </w14:solidFill>
          </w14:textFill>
        </w:rPr>
      </w:pPr>
      <w:r>
        <w:rPr>
          <w:rFonts w:asciiTheme="minorEastAsia" w:hAnsiTheme="minorEastAsia" w:eastAsiaTheme="minorEastAsia"/>
          <w:b/>
          <w:color w:val="000000" w:themeColor="text1"/>
          <w:sz w:val="24"/>
          <w:highlight w:val="none"/>
          <w14:textFill>
            <w14:solidFill>
              <w14:schemeClr w14:val="tx1"/>
            </w14:solidFill>
          </w14:textFill>
        </w:rPr>
        <w:t>（一）组建评标委员会</w:t>
      </w:r>
    </w:p>
    <w:p>
      <w:pPr>
        <w:pStyle w:val="12"/>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本项目评标委员会由政府采购评审专家</w:t>
      </w:r>
      <w:r>
        <w:rPr>
          <w:rFonts w:hint="eastAsia" w:asciiTheme="minorEastAsia" w:hAnsiTheme="minorEastAsia" w:eastAsiaTheme="minorEastAsia"/>
          <w:color w:val="000000" w:themeColor="text1"/>
          <w:sz w:val="24"/>
          <w:highlight w:val="none"/>
          <w14:textFill>
            <w14:solidFill>
              <w14:schemeClr w14:val="tx1"/>
            </w14:solidFill>
          </w14:textFill>
        </w:rPr>
        <w:t>和采购单位评审代表</w:t>
      </w:r>
      <w:r>
        <w:rPr>
          <w:rFonts w:asciiTheme="minorEastAsia" w:hAnsiTheme="minorEastAsia" w:eastAsiaTheme="minorEastAsia"/>
          <w:color w:val="000000" w:themeColor="text1"/>
          <w:sz w:val="24"/>
          <w:highlight w:val="none"/>
          <w14:textFill>
            <w14:solidFill>
              <w14:schemeClr w14:val="tx1"/>
            </w14:solidFill>
          </w14:textFill>
        </w:rPr>
        <w:t>组成。</w:t>
      </w:r>
    </w:p>
    <w:p>
      <w:pPr>
        <w:pStyle w:val="12"/>
        <w:snapToGrid w:val="0"/>
        <w:spacing w:line="360" w:lineRule="auto"/>
        <w:ind w:left="720" w:leftChars="228" w:hanging="241" w:hangingChars="100"/>
        <w:rPr>
          <w:rFonts w:asciiTheme="minorEastAsia" w:hAnsiTheme="minorEastAsia" w:eastAsiaTheme="minorEastAsia"/>
          <w:b/>
          <w:color w:val="000000" w:themeColor="text1"/>
          <w:sz w:val="24"/>
          <w:highlight w:val="none"/>
          <w14:textFill>
            <w14:solidFill>
              <w14:schemeClr w14:val="tx1"/>
            </w14:solidFill>
          </w14:textFill>
        </w:rPr>
      </w:pPr>
      <w:r>
        <w:rPr>
          <w:rFonts w:asciiTheme="minorEastAsia" w:hAnsiTheme="minorEastAsia" w:eastAsiaTheme="minorEastAsia"/>
          <w:b/>
          <w:color w:val="000000" w:themeColor="text1"/>
          <w:sz w:val="24"/>
          <w:highlight w:val="none"/>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二</w:t>
      </w:r>
      <w:r>
        <w:rPr>
          <w:rFonts w:asciiTheme="minorEastAsia" w:hAnsiTheme="minorEastAsia" w:eastAsiaTheme="minorEastAsia"/>
          <w:b/>
          <w:color w:val="000000" w:themeColor="text1"/>
          <w:sz w:val="24"/>
          <w:highlight w:val="none"/>
          <w14:textFill>
            <w14:solidFill>
              <w14:schemeClr w14:val="tx1"/>
            </w14:solidFill>
          </w14:textFill>
        </w:rPr>
        <w:t>）</w:t>
      </w:r>
      <w:r>
        <w:rPr>
          <w:rFonts w:asciiTheme="minorEastAsia" w:hAnsiTheme="minorEastAsia" w:eastAsiaTheme="minorEastAsia"/>
          <w:b/>
          <w:bCs/>
          <w:color w:val="000000" w:themeColor="text1"/>
          <w:sz w:val="24"/>
          <w:highlight w:val="none"/>
          <w14:textFill>
            <w14:solidFill>
              <w14:schemeClr w14:val="tx1"/>
            </w14:solidFill>
          </w14:textFill>
        </w:rPr>
        <w:t>评标程序</w:t>
      </w:r>
    </w:p>
    <w:p>
      <w:pPr>
        <w:snapToGrid w:val="0"/>
        <w:spacing w:line="360" w:lineRule="auto"/>
        <w:ind w:firstLine="472" w:firstLineChars="196"/>
        <w:rPr>
          <w:rFonts w:asciiTheme="minorEastAsia" w:hAnsiTheme="minorEastAsia" w:eastAsia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b/>
          <w:bCs/>
          <w:color w:val="000000" w:themeColor="text1"/>
          <w:sz w:val="24"/>
          <w:highlight w:val="none"/>
          <w14:textFill>
            <w14:solidFill>
              <w14:schemeClr w14:val="tx1"/>
            </w14:solidFill>
          </w14:textFill>
        </w:rPr>
        <w:t>1、资格</w:t>
      </w:r>
      <w:r>
        <w:rPr>
          <w:rFonts w:asciiTheme="minorEastAsia" w:hAnsiTheme="minorEastAsia" w:eastAsiaTheme="minorEastAsia"/>
          <w:b/>
          <w:bCs/>
          <w:color w:val="000000" w:themeColor="text1"/>
          <w:sz w:val="24"/>
          <w:highlight w:val="none"/>
          <w14:textFill>
            <w14:solidFill>
              <w14:schemeClr w14:val="tx1"/>
            </w14:solidFill>
          </w14:textFill>
        </w:rPr>
        <w:t>审查</w:t>
      </w:r>
    </w:p>
    <w:p>
      <w:pPr>
        <w:pStyle w:val="18"/>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公开招标采购项目开标结束后，采购人或者采购组织机构应当依法对投标人的资格进行审查，对审查发现无效的进行必要的询标，结束后公布无效投标的投标人名单、投标无效的原因。</w:t>
      </w:r>
    </w:p>
    <w:p>
      <w:pPr>
        <w:pStyle w:val="18"/>
        <w:spacing w:before="0" w:beforeAutospacing="0" w:after="0" w:afterAutospacing="0" w:line="360" w:lineRule="auto"/>
        <w:ind w:firstLine="472" w:firstLineChars="196"/>
        <w:jc w:val="both"/>
        <w:rPr>
          <w:rFonts w:hint="default" w:asciiTheme="minorEastAsia" w:hAnsiTheme="minorEastAsia" w:eastAsiaTheme="minorEastAsia"/>
          <w:b/>
          <w:bCs/>
          <w:color w:val="000000" w:themeColor="text1"/>
          <w:highlight w:val="none"/>
          <w14:textFill>
            <w14:solidFill>
              <w14:schemeClr w14:val="tx1"/>
            </w14:solidFill>
          </w14:textFill>
        </w:rPr>
      </w:pPr>
      <w:r>
        <w:rPr>
          <w:rFonts w:asciiTheme="minorEastAsia" w:hAnsiTheme="minorEastAsia" w:eastAsiaTheme="minorEastAsia"/>
          <w:b/>
          <w:bCs/>
          <w:color w:val="000000" w:themeColor="text1"/>
          <w:highlight w:val="none"/>
          <w14:textFill>
            <w14:solidFill>
              <w14:schemeClr w14:val="tx1"/>
            </w14:solidFill>
          </w14:textFill>
        </w:rPr>
        <w:t>2、符合性审查</w:t>
      </w:r>
    </w:p>
    <w:p>
      <w:pPr>
        <w:pStyle w:val="18"/>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评标委员会应当对符合资格的投标人的投标文件进行符合性审查，以确定其是否满足招标文件的实质性要求，对审查发现无效的进行必要的询标，结束后公布无效投标的投标人名单、投标无效的原因。</w:t>
      </w:r>
    </w:p>
    <w:p>
      <w:pPr>
        <w:pStyle w:val="18"/>
        <w:spacing w:before="0" w:beforeAutospacing="0" w:after="0" w:afterAutospacing="0" w:line="360" w:lineRule="auto"/>
        <w:ind w:firstLine="482" w:firstLineChars="200"/>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b/>
          <w:bCs/>
          <w:color w:val="000000" w:themeColor="text1"/>
          <w:highlight w:val="none"/>
          <w14:textFill>
            <w14:solidFill>
              <w14:schemeClr w14:val="tx1"/>
            </w14:solidFill>
          </w14:textFill>
        </w:rPr>
        <w:t>3、</w:t>
      </w:r>
      <w:r>
        <w:rPr>
          <w:rFonts w:hint="default" w:ascii="Arial" w:hAnsi="Arial" w:cs="Arial"/>
          <w:b/>
          <w:bCs/>
          <w:color w:val="000000" w:themeColor="text1"/>
          <w:highlight w:val="none"/>
          <w14:textFill>
            <w14:solidFill>
              <w14:schemeClr w14:val="tx1"/>
            </w14:solidFill>
          </w14:textFill>
        </w:rPr>
        <w:t>综合比较与评价</w:t>
      </w:r>
    </w:p>
    <w:p>
      <w:pPr>
        <w:pStyle w:val="18"/>
        <w:spacing w:before="0" w:beforeAutospacing="0" w:after="0" w:afterAutospacing="0" w:line="360" w:lineRule="auto"/>
        <w:ind w:firstLine="360" w:firstLineChars="150"/>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（1）对于投标文件中含义不明确、同类问题表述不一致或者有明显文字和计算错误的内容，评标委员会应当以书面形式要求投标人作出必要的澄清、说明或者补正。</w:t>
      </w:r>
    </w:p>
    <w:p>
      <w:pPr>
        <w:pStyle w:val="18"/>
        <w:spacing w:before="0" w:beforeAutospacing="0" w:after="0" w:afterAutospacing="0" w:line="360" w:lineRule="auto"/>
        <w:ind w:firstLine="360" w:firstLineChars="150"/>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（2）评标委员会应当按照招标文件中规定的评标方法和标准，对符合性审查合格的投标文件进行商务和技术评估，综合比较与评价。</w:t>
      </w:r>
    </w:p>
    <w:p>
      <w:pPr>
        <w:snapToGrid w:val="0"/>
        <w:spacing w:line="360" w:lineRule="auto"/>
        <w:ind w:firstLine="360" w:firstLineChars="15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（3）评标时，评标委员会各成员应当独立对每个投标人的投标文件进行评价，并汇总每个投标人的得分。</w:t>
      </w:r>
    </w:p>
    <w:p>
      <w:pPr>
        <w:numPr>
          <w:ilvl w:val="255"/>
          <w:numId w:val="0"/>
        </w:numPr>
        <w:snapToGrid w:val="0"/>
        <w:spacing w:line="360" w:lineRule="auto"/>
        <w:ind w:firstLine="482" w:firstLineChars="200"/>
        <w:rPr>
          <w:rFonts w:ascii="Arial" w:hAnsi="Arial" w:cs="Arial"/>
          <w:b/>
          <w:bCs/>
          <w:color w:val="000000" w:themeColor="text1"/>
          <w:sz w:val="24"/>
          <w:highlight w:val="none"/>
          <w14:textFill>
            <w14:solidFill>
              <w14:schemeClr w14:val="tx1"/>
            </w14:solidFill>
          </w14:textFill>
        </w:rPr>
      </w:pPr>
      <w:r>
        <w:rPr>
          <w:rFonts w:hint="eastAsia" w:ascii="Arial" w:hAnsi="Arial" w:cs="Arial"/>
          <w:b/>
          <w:bCs/>
          <w:color w:val="000000" w:themeColor="text1"/>
          <w:sz w:val="24"/>
          <w:highlight w:val="none"/>
          <w14:textFill>
            <w14:solidFill>
              <w14:schemeClr w14:val="tx1"/>
            </w14:solidFill>
          </w14:textFill>
        </w:rPr>
        <w:t>4、得分确认及评审报告编写</w:t>
      </w:r>
    </w:p>
    <w:p>
      <w:pPr>
        <w:pStyle w:val="12"/>
        <w:snapToGrid w:val="0"/>
        <w:spacing w:line="360" w:lineRule="auto"/>
        <w:ind w:firstLine="420" w:firstLineChars="175"/>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1</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评标委员会对报价文件进行复核，对于系统计算出的价格分及总得分进行确认；</w:t>
      </w:r>
    </w:p>
    <w:p>
      <w:pPr>
        <w:pStyle w:val="18"/>
        <w:spacing w:before="0" w:beforeAutospacing="0" w:after="0" w:afterAutospacing="0" w:line="360" w:lineRule="auto"/>
        <w:ind w:firstLine="420" w:firstLineChars="175"/>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（2）评标委员会应当按照招标文件中规定的评标方法和标准，对符合性审查合格的投标文件进行商务和技术评估，综合比较与评价。</w:t>
      </w:r>
    </w:p>
    <w:p>
      <w:pPr>
        <w:snapToGrid w:val="0"/>
        <w:spacing w:line="360" w:lineRule="auto"/>
        <w:ind w:firstLine="480" w:firstLineChars="200"/>
        <w:rPr>
          <w:rFonts w:ascii="Arial" w:hAnsi="Arial" w:cs="Arial"/>
          <w:b/>
          <w:bCs/>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3</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kern w:val="0"/>
          <w:sz w:val="24"/>
          <w:highlight w:val="none"/>
          <w14:textFill>
            <w14:solidFill>
              <w14:schemeClr w14:val="tx1"/>
            </w14:solidFill>
          </w14:textFill>
        </w:rPr>
        <w:t>评标委员会</w:t>
      </w:r>
      <w:r>
        <w:rPr>
          <w:rFonts w:asciiTheme="minorEastAsia" w:hAnsiTheme="minorEastAsia" w:eastAsiaTheme="minorEastAsia"/>
          <w:color w:val="000000" w:themeColor="text1"/>
          <w:sz w:val="24"/>
          <w:highlight w:val="none"/>
          <w14:textFill>
            <w14:solidFill>
              <w14:schemeClr w14:val="tx1"/>
            </w14:solidFill>
          </w14:textFill>
        </w:rPr>
        <w:t>按评标原则</w:t>
      </w:r>
      <w:r>
        <w:rPr>
          <w:rFonts w:hint="eastAsia" w:asciiTheme="minorEastAsia" w:hAnsiTheme="minorEastAsia" w:eastAsiaTheme="minorEastAsia"/>
          <w:color w:val="000000" w:themeColor="text1"/>
          <w:sz w:val="24"/>
          <w:highlight w:val="none"/>
          <w14:textFill>
            <w14:solidFill>
              <w14:schemeClr w14:val="tx1"/>
            </w14:solidFill>
          </w14:textFill>
        </w:rPr>
        <w:t>及得分情况编写评审报告。</w:t>
      </w:r>
    </w:p>
    <w:p>
      <w:pPr>
        <w:numPr>
          <w:ilvl w:val="255"/>
          <w:numId w:val="0"/>
        </w:numPr>
        <w:snapToGrid w:val="0"/>
        <w:spacing w:line="360" w:lineRule="auto"/>
        <w:ind w:firstLine="482" w:firstLineChars="200"/>
        <w:rPr>
          <w:rFonts w:asciiTheme="minorEastAsia" w:hAnsiTheme="minorEastAsia" w:eastAsia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5、评价</w:t>
      </w:r>
    </w:p>
    <w:p>
      <w:pPr>
        <w:snapToGrid w:val="0"/>
        <w:spacing w:line="360" w:lineRule="auto"/>
        <w:ind w:firstLine="480" w:firstLineChars="200"/>
        <w:rPr>
          <w:rFonts w:asciiTheme="minorEastAsia" w:hAnsiTheme="minorEastAsia" w:eastAsia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采购组织机构对评标委员会评审专家进行评价。</w:t>
      </w:r>
    </w:p>
    <w:p>
      <w:pPr>
        <w:snapToGrid w:val="0"/>
        <w:spacing w:line="360" w:lineRule="auto"/>
        <w:ind w:firstLine="482" w:firstLineChars="200"/>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b/>
          <w:color w:val="000000" w:themeColor="text1"/>
          <w:sz w:val="24"/>
          <w:highlight w:val="none"/>
          <w14:textFill>
            <w14:solidFill>
              <w14:schemeClr w14:val="tx1"/>
            </w14:solidFill>
          </w14:textFill>
        </w:rPr>
        <w:t>（三）澄清问题的形式</w:t>
      </w:r>
    </w:p>
    <w:p>
      <w:pPr>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投标人的澄清、说明或者补正应当采用书面形式，并加盖公章，或者由法定代理人或其授权的代表签字，并不得超出投标文件的范围或者改变投标文件的实质性内容。</w:t>
      </w:r>
    </w:p>
    <w:p>
      <w:pPr>
        <w:pStyle w:val="12"/>
        <w:snapToGrid w:val="0"/>
        <w:spacing w:line="360" w:lineRule="auto"/>
        <w:ind w:left="720" w:leftChars="228" w:hanging="241" w:hangingChars="100"/>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（四）错误修正</w:t>
      </w:r>
    </w:p>
    <w:p>
      <w:pPr>
        <w:pStyle w:val="18"/>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投标文件报价出现前后不一致的，除招标文件另有规定外，按照下列规定修正：</w:t>
      </w:r>
    </w:p>
    <w:p>
      <w:pPr>
        <w:pStyle w:val="18"/>
        <w:spacing w:before="0" w:beforeAutospacing="0" w:after="0" w:afterAutospacing="0" w:line="360" w:lineRule="auto"/>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1、投标文件中开标一览表（报价表）内容与投标文件中相应内容不一致的，以开标一览表（报价表）为准；</w:t>
      </w:r>
    </w:p>
    <w:p>
      <w:pPr>
        <w:pStyle w:val="18"/>
        <w:spacing w:before="0" w:beforeAutospacing="0" w:after="0" w:afterAutospacing="0" w:line="360" w:lineRule="auto"/>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2、大写金额和小写金额不一致的，以大写金额为准；</w:t>
      </w:r>
    </w:p>
    <w:p>
      <w:pPr>
        <w:pStyle w:val="18"/>
        <w:spacing w:before="0" w:beforeAutospacing="0" w:after="0" w:afterAutospacing="0" w:line="360" w:lineRule="auto"/>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3、单价金额小数点或者百分比有明显错位的，以开标一览表的总价为准，并修改单价；</w:t>
      </w:r>
    </w:p>
    <w:p>
      <w:pPr>
        <w:pStyle w:val="18"/>
        <w:spacing w:before="0" w:beforeAutospacing="0" w:after="0" w:afterAutospacing="0" w:line="360" w:lineRule="auto"/>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4、总价金额与按单价汇总金额不一致的，以单价金额计算结果为准。</w:t>
      </w:r>
    </w:p>
    <w:p>
      <w:pPr>
        <w:pStyle w:val="18"/>
        <w:spacing w:before="0" w:beforeAutospacing="0" w:after="0" w:afterAutospacing="0" w:line="360" w:lineRule="auto"/>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同时出现两种以上不一致的，按照前款规定的顺序修正。修正应当采用书面形式，并加盖公章，或者由法定代表人或其授权的代表签字。修正后的报价经投标人确认后产生约束力，投标人不确认的，其投标无效。</w:t>
      </w:r>
    </w:p>
    <w:p>
      <w:pPr>
        <w:pStyle w:val="18"/>
        <w:spacing w:before="0" w:beforeAutospacing="0" w:after="0" w:afterAutospacing="0" w:line="360" w:lineRule="auto"/>
        <w:ind w:firstLine="361" w:firstLineChars="150"/>
        <w:jc w:val="both"/>
        <w:rPr>
          <w:rFonts w:hint="default" w:asciiTheme="minorEastAsia" w:hAnsiTheme="minorEastAsia" w:eastAsiaTheme="minorEastAsia"/>
          <w:b/>
          <w:color w:val="000000" w:themeColor="text1"/>
          <w:highlight w:val="none"/>
          <w14:textFill>
            <w14:solidFill>
              <w14:schemeClr w14:val="tx1"/>
            </w14:solidFill>
          </w14:textFill>
        </w:rPr>
      </w:pPr>
      <w:r>
        <w:rPr>
          <w:rFonts w:asciiTheme="minorEastAsia" w:hAnsiTheme="minorEastAsia" w:eastAsiaTheme="minorEastAsia"/>
          <w:b/>
          <w:bCs/>
          <w:color w:val="000000" w:themeColor="text1"/>
          <w:highlight w:val="none"/>
          <w14:textFill>
            <w14:solidFill>
              <w14:schemeClr w14:val="tx1"/>
            </w14:solidFill>
          </w14:textFill>
        </w:rPr>
        <w:t>（五）</w:t>
      </w:r>
      <w:r>
        <w:rPr>
          <w:rFonts w:asciiTheme="minorEastAsia" w:hAnsiTheme="minorEastAsia" w:eastAsiaTheme="minorEastAsia"/>
          <w:b/>
          <w:color w:val="000000" w:themeColor="text1"/>
          <w:highlight w:val="none"/>
          <w14:textFill>
            <w14:solidFill>
              <w14:schemeClr w14:val="tx1"/>
            </w14:solidFill>
          </w14:textFill>
        </w:rPr>
        <w:t>投标人存在下列情况之一的，投标无效</w:t>
      </w:r>
    </w:p>
    <w:p>
      <w:pPr>
        <w:adjustRightInd w:val="0"/>
        <w:snapToGrid w:val="0"/>
        <w:spacing w:line="360" w:lineRule="auto"/>
        <w:ind w:left="4" w:firstLine="470" w:firstLineChars="196"/>
        <w:jc w:val="left"/>
        <w:rPr>
          <w:rFonts w:asciiTheme="minorEastAsia" w:hAnsiTheme="minorEastAsia" w:eastAsia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1、资格证明文件或商务与技术文件跟报价文件出现混装或在资格证明文件或商务与技术文件中出现投标报价的，或者报价文件中报价的货物跟商务与技术文件中的投标货物出现重大偏差的；</w:t>
      </w:r>
    </w:p>
    <w:p>
      <w:pPr>
        <w:pStyle w:val="18"/>
        <w:tabs>
          <w:tab w:val="left" w:pos="7380"/>
        </w:tabs>
        <w:adjustRightInd w:val="0"/>
        <w:snapToGrid w:val="0"/>
        <w:spacing w:before="0" w:beforeAutospacing="0" w:after="0" w:afterAutospacing="0" w:line="360" w:lineRule="auto"/>
        <w:ind w:firstLine="480"/>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2、不具备招标文件中规定的资格要求的。</w:t>
      </w:r>
      <w:r>
        <w:rPr>
          <w:rFonts w:hint="default" w:asciiTheme="minorEastAsia" w:hAnsiTheme="minorEastAsia" w:eastAsiaTheme="minorEastAsia"/>
          <w:color w:val="000000" w:themeColor="text1"/>
          <w:highlight w:val="none"/>
          <w14:textFill>
            <w14:solidFill>
              <w14:schemeClr w14:val="tx1"/>
            </w14:solidFill>
          </w14:textFill>
        </w:rPr>
        <w:tab/>
      </w:r>
    </w:p>
    <w:p>
      <w:pPr>
        <w:pStyle w:val="18"/>
        <w:tabs>
          <w:tab w:val="left" w:pos="7380"/>
        </w:tabs>
        <w:adjustRightInd w:val="0"/>
        <w:snapToGrid w:val="0"/>
        <w:spacing w:before="0" w:beforeAutospacing="0" w:after="0" w:afterAutospacing="0" w:line="360" w:lineRule="auto"/>
        <w:ind w:firstLine="480"/>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3、投标文件含有采购人不能接受的附加条件的。</w:t>
      </w:r>
    </w:p>
    <w:p>
      <w:pPr>
        <w:adjustRightInd w:val="0"/>
        <w:snapToGrid w:val="0"/>
        <w:spacing w:line="360" w:lineRule="auto"/>
        <w:ind w:firstLine="470" w:firstLineChars="196"/>
        <w:rPr>
          <w:rFonts w:asciiTheme="minorEastAsia" w:hAnsiTheme="minorEastAsia" w:eastAsiaTheme="minorEastAsia"/>
          <w:bCs/>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4</w:t>
      </w:r>
      <w:r>
        <w:rPr>
          <w:rFonts w:hint="eastAsia" w:asciiTheme="minorEastAsia" w:hAnsiTheme="minorEastAsia" w:eastAsiaTheme="minorEastAsia"/>
          <w:color w:val="000000" w:themeColor="text1"/>
          <w:sz w:val="24"/>
          <w:highlight w:val="none"/>
          <w14:textFill>
            <w14:solidFill>
              <w14:schemeClr w14:val="tx1"/>
            </w14:solidFill>
          </w14:textFill>
        </w:rPr>
        <w:t>、投标代表人未能出具身份证明或与法定代表人授权委托人身份不符的；</w:t>
      </w:r>
    </w:p>
    <w:p>
      <w:pPr>
        <w:pStyle w:val="18"/>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8"/>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xml:space="preserve">6、报价超过招标文件中规定的预算金额/最高限价。 </w:t>
      </w:r>
    </w:p>
    <w:p>
      <w:pPr>
        <w:tabs>
          <w:tab w:val="left" w:pos="1898"/>
        </w:tabs>
        <w:autoSpaceDE w:val="0"/>
        <w:autoSpaceDN w:val="0"/>
        <w:adjustRightInd w:val="0"/>
        <w:snapToGrid w:val="0"/>
        <w:spacing w:line="360" w:lineRule="auto"/>
        <w:ind w:firstLine="48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 xml:space="preserve">7、投标文件提供虚假材料的。 </w:t>
      </w:r>
    </w:p>
    <w:p>
      <w:pPr>
        <w:tabs>
          <w:tab w:val="left" w:pos="1898"/>
        </w:tabs>
        <w:autoSpaceDE w:val="0"/>
        <w:autoSpaceDN w:val="0"/>
        <w:adjustRightInd w:val="0"/>
        <w:snapToGrid w:val="0"/>
        <w:spacing w:line="360" w:lineRule="auto"/>
        <w:ind w:firstLine="48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8</w:t>
      </w:r>
      <w:r>
        <w:rPr>
          <w:rFonts w:asciiTheme="minorEastAsia" w:hAnsiTheme="minorEastAsia" w:eastAsiaTheme="minorEastAsia"/>
          <w:color w:val="000000" w:themeColor="text1"/>
          <w:kern w:val="0"/>
          <w:sz w:val="24"/>
          <w:highlight w:val="none"/>
          <w14:textFill>
            <w14:solidFill>
              <w14:schemeClr w14:val="tx1"/>
            </w14:solidFill>
          </w14:textFill>
        </w:rPr>
        <w:t>、不符合中华人民共和国财政部令第87号《政府采购货物和服务招标投标管理办法》第三十七条情形之一的，视为投标人串通投标，其投标无效</w:t>
      </w:r>
      <w:r>
        <w:rPr>
          <w:rFonts w:hint="eastAsia" w:asciiTheme="minorEastAsia" w:hAnsiTheme="minorEastAsia" w:eastAsiaTheme="minorEastAsia"/>
          <w:color w:val="000000" w:themeColor="text1"/>
          <w:kern w:val="0"/>
          <w:sz w:val="24"/>
          <w:highlight w:val="none"/>
          <w14:textFill>
            <w14:solidFill>
              <w14:schemeClr w14:val="tx1"/>
            </w14:solidFill>
          </w14:textFill>
        </w:rPr>
        <w:t>，并移送采购监管部门</w:t>
      </w:r>
      <w:r>
        <w:rPr>
          <w:rFonts w:asciiTheme="minorEastAsia" w:hAnsiTheme="minorEastAsia" w:eastAsiaTheme="minorEastAsia"/>
          <w:color w:val="000000" w:themeColor="text1"/>
          <w:kern w:val="0"/>
          <w:sz w:val="24"/>
          <w:highlight w:val="none"/>
          <w14:textFill>
            <w14:solidFill>
              <w14:schemeClr w14:val="tx1"/>
            </w14:solidFill>
          </w14:textFill>
        </w:rPr>
        <w:t>：</w:t>
      </w:r>
    </w:p>
    <w:p>
      <w:pPr>
        <w:pStyle w:val="18"/>
        <w:spacing w:before="0" w:beforeAutospacing="0" w:after="0" w:afterAutospacing="0" w:line="360" w:lineRule="auto"/>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（1）不同投标人的投标文件由同一单位或者个人编制；</w:t>
      </w:r>
    </w:p>
    <w:p>
      <w:pPr>
        <w:pStyle w:val="18"/>
        <w:spacing w:before="0" w:beforeAutospacing="0" w:after="0" w:afterAutospacing="0" w:line="360" w:lineRule="auto"/>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（2）不同投标人委托同一单位或者个人办理投标事宜；</w:t>
      </w:r>
    </w:p>
    <w:p>
      <w:pPr>
        <w:pStyle w:val="18"/>
        <w:spacing w:before="0" w:beforeAutospacing="0" w:after="0" w:afterAutospacing="0" w:line="360" w:lineRule="auto"/>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（3）不同投标人的投标文件载明的项目管理成员或者联系人员为同一人；</w:t>
      </w:r>
    </w:p>
    <w:p>
      <w:pPr>
        <w:pStyle w:val="18"/>
        <w:spacing w:before="0" w:beforeAutospacing="0" w:after="0" w:afterAutospacing="0" w:line="360" w:lineRule="auto"/>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（4）不同投标人的投标文件异常一致或者投标报价呈规律性差异；</w:t>
      </w:r>
    </w:p>
    <w:p>
      <w:pPr>
        <w:pStyle w:val="18"/>
        <w:spacing w:before="0" w:beforeAutospacing="0" w:after="0" w:afterAutospacing="0" w:line="360" w:lineRule="auto"/>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（5）不同投标人的投标文件相互混装；</w:t>
      </w:r>
    </w:p>
    <w:p>
      <w:pPr>
        <w:tabs>
          <w:tab w:val="right" w:pos="8306"/>
        </w:tabs>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9、不符合法律、法规和招标文件中规定的其他实质性要求的。</w:t>
      </w:r>
    </w:p>
    <w:p>
      <w:pPr>
        <w:autoSpaceDE w:val="0"/>
        <w:autoSpaceDN w:val="0"/>
        <w:adjustRightInd w:val="0"/>
        <w:spacing w:line="360" w:lineRule="auto"/>
        <w:ind w:left="48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（六）有下列情况之一的，本次招标作为废标处理</w:t>
      </w:r>
    </w:p>
    <w:p>
      <w:pPr>
        <w:pStyle w:val="18"/>
        <w:spacing w:before="0" w:beforeAutospacing="0" w:after="0" w:afterAutospacing="0" w:line="360" w:lineRule="auto"/>
        <w:ind w:firstLine="600" w:firstLineChars="250"/>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1、出现影响采购公正的违法、违规行为的；</w:t>
      </w:r>
    </w:p>
    <w:p>
      <w:pPr>
        <w:pStyle w:val="18"/>
        <w:spacing w:before="0" w:beforeAutospacing="0" w:after="0" w:afterAutospacing="0" w:line="360" w:lineRule="auto"/>
        <w:ind w:firstLine="600" w:firstLineChars="250"/>
        <w:jc w:val="both"/>
        <w:rPr>
          <w:rFonts w:hint="default" w:asciiTheme="minorEastAsia" w:hAnsiTheme="minorEastAsia" w:eastAsiaTheme="minorEastAsia"/>
          <w:b/>
          <w:bCs/>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xml:space="preserve">2、评标委员会发现招标文件存在歧义、重大缺陷导致评标工作无法进行，或者招标文件内容违反国家有关强制性规定的； </w:t>
      </w:r>
    </w:p>
    <w:p>
      <w:pPr>
        <w:pStyle w:val="18"/>
        <w:spacing w:before="0" w:beforeAutospacing="0" w:after="0" w:afterAutospacing="0" w:line="360" w:lineRule="auto"/>
        <w:ind w:firstLine="600" w:firstLineChars="250"/>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3、因重大变故，采购任务取消的；</w:t>
      </w:r>
    </w:p>
    <w:p>
      <w:pPr>
        <w:pStyle w:val="18"/>
        <w:spacing w:before="0" w:beforeAutospacing="0" w:after="0" w:afterAutospacing="0" w:line="360" w:lineRule="auto"/>
        <w:ind w:firstLine="600" w:firstLineChars="250"/>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4、法律、法规和招标文件规定的其他导致评标结果无效的。</w:t>
      </w:r>
    </w:p>
    <w:p>
      <w:pPr>
        <w:pStyle w:val="12"/>
        <w:tabs>
          <w:tab w:val="left" w:pos="630"/>
        </w:tabs>
        <w:snapToGrid w:val="0"/>
        <w:spacing w:line="360" w:lineRule="auto"/>
        <w:ind w:firstLine="472" w:firstLineChars="196"/>
        <w:rPr>
          <w:rFonts w:asciiTheme="minorEastAsia" w:hAnsiTheme="minorEastAsia" w:eastAsiaTheme="minorEastAsia"/>
          <w:b/>
          <w:color w:val="000000" w:themeColor="text1"/>
          <w:sz w:val="24"/>
          <w:highlight w:val="none"/>
          <w14:textFill>
            <w14:solidFill>
              <w14:schemeClr w14:val="tx1"/>
            </w14:solidFill>
          </w14:textFill>
        </w:rPr>
      </w:pPr>
      <w:r>
        <w:rPr>
          <w:rFonts w:asciiTheme="minorEastAsia" w:hAnsiTheme="minorEastAsia" w:eastAsiaTheme="minorEastAsia"/>
          <w:b/>
          <w:color w:val="000000" w:themeColor="text1"/>
          <w:sz w:val="24"/>
          <w:highlight w:val="none"/>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七</w:t>
      </w:r>
      <w:r>
        <w:rPr>
          <w:rFonts w:asciiTheme="minorEastAsia" w:hAnsiTheme="minorEastAsia" w:eastAsiaTheme="minorEastAsia"/>
          <w:b/>
          <w:color w:val="000000" w:themeColor="text1"/>
          <w:sz w:val="24"/>
          <w:highlight w:val="none"/>
          <w14:textFill>
            <w14:solidFill>
              <w14:schemeClr w14:val="tx1"/>
            </w14:solidFill>
          </w14:textFill>
        </w:rPr>
        <w:t>）评标原则和评标办法</w:t>
      </w:r>
    </w:p>
    <w:p>
      <w:pPr>
        <w:pStyle w:val="12"/>
        <w:snapToGrid w:val="0"/>
        <w:spacing w:line="360" w:lineRule="auto"/>
        <w:ind w:firstLine="600" w:firstLineChars="25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1</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2"/>
        <w:snapToGrid w:val="0"/>
        <w:spacing w:line="360" w:lineRule="auto"/>
        <w:ind w:firstLine="600" w:firstLineChars="25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评标办法。具体评标内容及评分标准等详见《第</w:t>
      </w:r>
      <w:r>
        <w:rPr>
          <w:rFonts w:hint="eastAsia" w:asciiTheme="minorEastAsia" w:hAnsiTheme="minorEastAsia" w:eastAsiaTheme="minorEastAsia"/>
          <w:color w:val="000000" w:themeColor="text1"/>
          <w:sz w:val="24"/>
          <w:highlight w:val="none"/>
          <w14:textFill>
            <w14:solidFill>
              <w14:schemeClr w14:val="tx1"/>
            </w14:solidFill>
          </w14:textFill>
        </w:rPr>
        <w:t>三章</w:t>
      </w:r>
      <w:r>
        <w:rPr>
          <w:rFonts w:asciiTheme="minorEastAsia" w:hAnsiTheme="minorEastAsia" w:eastAsiaTheme="minorEastAsia"/>
          <w:color w:val="000000" w:themeColor="text1"/>
          <w:sz w:val="24"/>
          <w:highlight w:val="none"/>
          <w14:textFill>
            <w14:solidFill>
              <w14:schemeClr w14:val="tx1"/>
            </w14:solidFill>
          </w14:textFill>
        </w:rPr>
        <w:t>：评标</w:t>
      </w:r>
      <w:r>
        <w:rPr>
          <w:rFonts w:hint="eastAsia" w:asciiTheme="minorEastAsia" w:hAnsiTheme="minorEastAsia" w:eastAsiaTheme="minorEastAsia"/>
          <w:color w:val="000000" w:themeColor="text1"/>
          <w:sz w:val="24"/>
          <w:highlight w:val="none"/>
          <w14:textFill>
            <w14:solidFill>
              <w14:schemeClr w14:val="tx1"/>
            </w14:solidFill>
          </w14:textFill>
        </w:rPr>
        <w:t>方</w:t>
      </w:r>
      <w:r>
        <w:rPr>
          <w:rFonts w:asciiTheme="minorEastAsia" w:hAnsiTheme="minorEastAsia" w:eastAsiaTheme="minorEastAsia"/>
          <w:color w:val="000000" w:themeColor="text1"/>
          <w:sz w:val="24"/>
          <w:highlight w:val="none"/>
          <w14:textFill>
            <w14:solidFill>
              <w14:schemeClr w14:val="tx1"/>
            </w14:solidFill>
          </w14:textFill>
        </w:rPr>
        <w:t>法及评分标准》。</w:t>
      </w:r>
    </w:p>
    <w:p>
      <w:pPr>
        <w:pStyle w:val="12"/>
        <w:snapToGrid w:val="0"/>
        <w:spacing w:line="360" w:lineRule="auto"/>
        <w:ind w:firstLine="472" w:firstLineChars="196"/>
        <w:rPr>
          <w:rFonts w:asciiTheme="minorEastAsia" w:hAnsiTheme="minorEastAsia" w:eastAsiaTheme="minorEastAsia"/>
          <w:b/>
          <w:color w:val="000000" w:themeColor="text1"/>
          <w:sz w:val="24"/>
          <w:highlight w:val="none"/>
          <w14:textFill>
            <w14:solidFill>
              <w14:schemeClr w14:val="tx1"/>
            </w14:solidFill>
          </w14:textFill>
        </w:rPr>
      </w:pPr>
      <w:r>
        <w:rPr>
          <w:rFonts w:asciiTheme="minorEastAsia" w:hAnsiTheme="minorEastAsia" w:eastAsiaTheme="minorEastAsia"/>
          <w:b/>
          <w:color w:val="000000" w:themeColor="text1"/>
          <w:sz w:val="24"/>
          <w:highlight w:val="none"/>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八</w:t>
      </w:r>
      <w:r>
        <w:rPr>
          <w:rFonts w:asciiTheme="minorEastAsia" w:hAnsiTheme="minorEastAsia" w:eastAsiaTheme="minorEastAsia"/>
          <w:b/>
          <w:color w:val="000000" w:themeColor="text1"/>
          <w:sz w:val="24"/>
          <w:highlight w:val="none"/>
          <w14:textFill>
            <w14:solidFill>
              <w14:schemeClr w14:val="tx1"/>
            </w14:solidFill>
          </w14:textFill>
        </w:rPr>
        <w:t>）评标过程的监控</w:t>
      </w:r>
    </w:p>
    <w:p>
      <w:pPr>
        <w:pStyle w:val="18"/>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本项目评标过程实行全程录音、录像监控，政府采购监管部门视情进行现场监督，投标人在评标过程中所进行的试图影响评标结果的不公正活动，可能导致其投标被拒绝。</w:t>
      </w:r>
    </w:p>
    <w:p>
      <w:pPr>
        <w:pStyle w:val="18"/>
        <w:spacing w:before="0" w:beforeAutospacing="0" w:after="0" w:afterAutospacing="0" w:line="360" w:lineRule="auto"/>
        <w:ind w:firstLine="361" w:firstLineChars="150"/>
        <w:jc w:val="both"/>
        <w:rPr>
          <w:rFonts w:hint="default" w:asciiTheme="minorEastAsia" w:hAnsiTheme="minorEastAsia" w:eastAsiaTheme="minorEastAsia"/>
          <w:b/>
          <w:color w:val="000000" w:themeColor="text1"/>
          <w:highlight w:val="none"/>
          <w14:textFill>
            <w14:solidFill>
              <w14:schemeClr w14:val="tx1"/>
            </w14:solidFill>
          </w14:textFill>
        </w:rPr>
      </w:pPr>
      <w:r>
        <w:rPr>
          <w:rFonts w:asciiTheme="minorEastAsia" w:hAnsiTheme="minorEastAsia" w:eastAsiaTheme="minorEastAsia"/>
          <w:b/>
          <w:color w:val="000000" w:themeColor="text1"/>
          <w:highlight w:val="none"/>
          <w14:textFill>
            <w14:solidFill>
              <w14:schemeClr w14:val="tx1"/>
            </w14:solidFill>
          </w14:textFill>
        </w:rPr>
        <w:t>六、定标</w:t>
      </w:r>
    </w:p>
    <w:p>
      <w:pPr>
        <w:pStyle w:val="18"/>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确定中标供应商。</w:t>
      </w:r>
      <w:r>
        <w:rPr>
          <w:rFonts w:asciiTheme="minorEastAsia" w:hAnsiTheme="minorEastAsia" w:eastAsiaTheme="minorEastAsia"/>
          <w:color w:val="000000" w:themeColor="text1"/>
          <w:highlight w:val="none"/>
          <w14:textFill>
            <w14:solidFill>
              <w14:schemeClr w14:val="tx1"/>
            </w14:solidFill>
          </w14:textFill>
        </w:rPr>
        <w:t>评标委员会根据采购单位的</w:t>
      </w:r>
      <w:r>
        <w:rPr>
          <w:color w:val="000000" w:themeColor="text1"/>
          <w:highlight w:val="none"/>
          <w14:textFill>
            <w14:solidFill>
              <w14:schemeClr w14:val="tx1"/>
            </w14:solidFill>
          </w14:textFill>
        </w:rPr>
        <w:t>《授权意见确认书》</w:t>
      </w:r>
      <w:r>
        <w:rPr>
          <w:rFonts w:asciiTheme="minorEastAsia" w:hAnsiTheme="minorEastAsia" w:eastAsiaTheme="minorEastAsia"/>
          <w:color w:val="000000" w:themeColor="text1"/>
          <w:highlight w:val="none"/>
          <w14:textFill>
            <w14:solidFill>
              <w14:schemeClr w14:val="tx1"/>
            </w14:solidFill>
          </w14:textFill>
        </w:rPr>
        <w:t>，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spacing w:line="360" w:lineRule="auto"/>
        <w:ind w:firstLine="480" w:firstLineChars="200"/>
        <w:rPr>
          <w:rFonts w:ascii="宋体" w:hAnsi="宋体"/>
          <w:color w:val="000000" w:themeColor="text1"/>
          <w:kern w:val="0"/>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2、</w:t>
      </w:r>
      <w:r>
        <w:rPr>
          <w:rFonts w:hint="eastAsia" w:ascii="宋体" w:hAnsi="宋体"/>
          <w:color w:val="000000" w:themeColor="text1"/>
          <w:kern w:val="0"/>
          <w:sz w:val="24"/>
          <w:highlight w:val="none"/>
          <w14:textFill>
            <w14:solidFill>
              <w14:schemeClr w14:val="tx1"/>
            </w14:solidFill>
          </w14:textFill>
        </w:rPr>
        <w:t>发布</w:t>
      </w:r>
      <w:r>
        <w:rPr>
          <w:color w:val="000000" w:themeColor="text1"/>
          <w:sz w:val="24"/>
          <w:highlight w:val="none"/>
          <w14:textFill>
            <w14:solidFill>
              <w14:schemeClr w14:val="tx1"/>
            </w14:solidFill>
          </w14:textFill>
        </w:rPr>
        <w:t>中标</w:t>
      </w:r>
      <w:r>
        <w:rPr>
          <w:rFonts w:hint="eastAsia" w:ascii="宋体" w:hAnsi="宋体"/>
          <w:color w:val="000000" w:themeColor="text1"/>
          <w:kern w:val="0"/>
          <w:sz w:val="24"/>
          <w:highlight w:val="none"/>
          <w14:textFill>
            <w14:solidFill>
              <w14:schemeClr w14:val="tx1"/>
            </w14:solidFill>
          </w14:textFill>
        </w:rPr>
        <w:t>结果公告。采购组织机构应当自中标人</w:t>
      </w:r>
      <w:r>
        <w:rPr>
          <w:rFonts w:ascii="宋体" w:hAnsi="宋体"/>
          <w:color w:val="000000" w:themeColor="text1"/>
          <w:kern w:val="0"/>
          <w:sz w:val="24"/>
          <w:highlight w:val="none"/>
          <w14:textFill>
            <w14:solidFill>
              <w14:schemeClr w14:val="tx1"/>
            </w14:solidFill>
          </w14:textFill>
        </w:rPr>
        <w:t>确定</w:t>
      </w:r>
      <w:r>
        <w:rPr>
          <w:rFonts w:hint="eastAsia" w:ascii="宋体" w:hAnsi="宋体"/>
          <w:color w:val="000000" w:themeColor="text1"/>
          <w:kern w:val="0"/>
          <w:sz w:val="24"/>
          <w:highlight w:val="none"/>
          <w14:textFill>
            <w14:solidFill>
              <w14:schemeClr w14:val="tx1"/>
            </w14:solidFill>
          </w14:textFill>
        </w:rPr>
        <w:t>之日起</w:t>
      </w:r>
      <w:r>
        <w:rPr>
          <w:rFonts w:ascii="宋体" w:hAnsi="宋体"/>
          <w:color w:val="000000" w:themeColor="text1"/>
          <w:kern w:val="0"/>
          <w:sz w:val="24"/>
          <w:highlight w:val="none"/>
          <w14:textFill>
            <w14:solidFill>
              <w14:schemeClr w14:val="tx1"/>
            </w14:solidFill>
          </w14:textFill>
        </w:rPr>
        <w:t>2个工作日内</w:t>
      </w:r>
      <w:r>
        <w:rPr>
          <w:rFonts w:hint="eastAsia" w:ascii="宋体" w:hAnsi="宋体"/>
          <w:color w:val="000000" w:themeColor="text1"/>
          <w:kern w:val="0"/>
          <w:sz w:val="24"/>
          <w:highlight w:val="none"/>
          <w14:textFill>
            <w14:solidFill>
              <w14:schemeClr w14:val="tx1"/>
            </w14:solidFill>
          </w14:textFill>
        </w:rPr>
        <w:t>，</w:t>
      </w:r>
      <w:r>
        <w:rPr>
          <w:rFonts w:ascii="宋体" w:hAnsi="宋体"/>
          <w:color w:val="000000" w:themeColor="text1"/>
          <w:kern w:val="0"/>
          <w:sz w:val="24"/>
          <w:highlight w:val="none"/>
          <w14:textFill>
            <w14:solidFill>
              <w14:schemeClr w14:val="tx1"/>
            </w14:solidFill>
          </w14:textFill>
        </w:rPr>
        <w:t>在省级以上财政部门指定的媒体及相关网站</w:t>
      </w:r>
      <w:r>
        <w:rPr>
          <w:rFonts w:hint="eastAsia" w:ascii="宋体" w:hAnsi="宋体"/>
          <w:color w:val="000000" w:themeColor="text1"/>
          <w:kern w:val="0"/>
          <w:sz w:val="24"/>
          <w:highlight w:val="none"/>
          <w14:textFill>
            <w14:solidFill>
              <w14:schemeClr w14:val="tx1"/>
            </w14:solidFill>
          </w14:textFill>
        </w:rPr>
        <w:t>上</w:t>
      </w:r>
      <w:r>
        <w:rPr>
          <w:rFonts w:ascii="宋体" w:hAnsi="宋体"/>
          <w:color w:val="000000" w:themeColor="text1"/>
          <w:kern w:val="0"/>
          <w:sz w:val="24"/>
          <w:highlight w:val="none"/>
          <w14:textFill>
            <w14:solidFill>
              <w14:schemeClr w14:val="tx1"/>
            </w14:solidFill>
          </w14:textFill>
        </w:rPr>
        <w:t>公告</w:t>
      </w:r>
      <w:r>
        <w:rPr>
          <w:rFonts w:hint="eastAsia" w:ascii="宋体" w:hAnsi="宋体"/>
          <w:color w:val="000000" w:themeColor="text1"/>
          <w:kern w:val="0"/>
          <w:sz w:val="24"/>
          <w:highlight w:val="none"/>
          <w14:textFill>
            <w14:solidFill>
              <w14:schemeClr w14:val="tx1"/>
            </w14:solidFill>
          </w14:textFill>
        </w:rPr>
        <w:t>中标结果，招标文件应当随中标结果同时公告。</w:t>
      </w:r>
    </w:p>
    <w:p>
      <w:pPr>
        <w:spacing w:line="360" w:lineRule="auto"/>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3、发出中标通知书。采购组织机构在发布中标结果的同时，向中标人发出中标通知书。</w:t>
      </w:r>
    </w:p>
    <w:p>
      <w:pPr>
        <w:spacing w:line="360" w:lineRule="auto"/>
        <w:ind w:firstLine="482" w:firstLineChars="200"/>
        <w:rPr>
          <w:rFonts w:ascii="宋体" w:hAnsi="宋体"/>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七</w:t>
      </w:r>
      <w:r>
        <w:rPr>
          <w:rFonts w:asciiTheme="minorEastAsia" w:hAnsiTheme="minorEastAsia" w:eastAsiaTheme="minorEastAsia"/>
          <w:b/>
          <w:color w:val="000000" w:themeColor="text1"/>
          <w:sz w:val="24"/>
          <w:highlight w:val="none"/>
          <w14:textFill>
            <w14:solidFill>
              <w14:schemeClr w14:val="tx1"/>
            </w14:solidFill>
          </w14:textFill>
        </w:rPr>
        <w:t>、</w:t>
      </w:r>
      <w:r>
        <w:rPr>
          <w:rFonts w:hint="eastAsia" w:ascii="宋体" w:hAnsi="宋体"/>
          <w:b/>
          <w:color w:val="000000" w:themeColor="text1"/>
          <w:kern w:val="0"/>
          <w:sz w:val="24"/>
          <w:highlight w:val="none"/>
          <w14:textFill>
            <w14:solidFill>
              <w14:schemeClr w14:val="tx1"/>
            </w14:solidFill>
          </w14:textFill>
        </w:rPr>
        <w:t>合同签订及公告</w:t>
      </w:r>
    </w:p>
    <w:p>
      <w:pPr>
        <w:spacing w:line="360" w:lineRule="auto"/>
        <w:ind w:firstLine="482" w:firstLineChars="200"/>
        <w:rPr>
          <w:rFonts w:ascii="宋体" w:hAnsi="宋体"/>
          <w:b/>
          <w:color w:val="000000" w:themeColor="text1"/>
          <w:kern w:val="0"/>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（一）签订合同</w:t>
      </w:r>
    </w:p>
    <w:p>
      <w:pPr>
        <w:pStyle w:val="18"/>
        <w:spacing w:before="0" w:beforeAutospacing="0" w:after="0" w:afterAutospacing="0" w:line="360" w:lineRule="auto"/>
        <w:ind w:firstLine="600" w:firstLineChars="25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1、采购人应当自中标通知书发出之日起10个工作日内，按照招标文件和中标人投标文件的规定，与中标人签订书面合同。所签订的合同不得对招标文件确定的事项和中标人投标文件作实质性修改。</w:t>
      </w:r>
    </w:p>
    <w:p>
      <w:pPr>
        <w:pStyle w:val="18"/>
        <w:spacing w:before="0" w:beforeAutospacing="0" w:after="0" w:afterAutospacing="0" w:line="360" w:lineRule="auto"/>
        <w:ind w:firstLine="600" w:firstLineChars="25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2、采购人不得向中标人提出任何不合理的要求作为签订合同的条件。</w:t>
      </w:r>
    </w:p>
    <w:p>
      <w:pPr>
        <w:pStyle w:val="18"/>
        <w:spacing w:before="0" w:beforeAutospacing="0" w:after="0" w:afterAutospacing="0" w:line="360" w:lineRule="auto"/>
        <w:ind w:firstLine="600" w:firstLineChars="25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3、中标供应商无故拖延、拒签合同的,取消中标资格。</w:t>
      </w:r>
    </w:p>
    <w:p>
      <w:pPr>
        <w:pStyle w:val="18"/>
        <w:spacing w:before="0" w:beforeAutospacing="0" w:after="0" w:afterAutospacing="0" w:line="360" w:lineRule="auto"/>
        <w:ind w:firstLine="600" w:firstLineChars="25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pStyle w:val="18"/>
        <w:spacing w:before="0" w:beforeAutospacing="0" w:after="0" w:afterAutospacing="0" w:line="360" w:lineRule="auto"/>
        <w:ind w:firstLine="600" w:firstLineChars="25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5、询问或者质疑事项可能影响中标结果的，采购人应当暂停签订合同，已经签订合同的，应当中止履行合同（中标结果的质疑期为中标结果公告期限届满之日起七个工作日）。</w:t>
      </w:r>
    </w:p>
    <w:p>
      <w:pPr>
        <w:pStyle w:val="18"/>
        <w:spacing w:line="360" w:lineRule="auto"/>
        <w:ind w:firstLine="424" w:firstLineChars="176"/>
        <w:rPr>
          <w:rFonts w:hint="default" w:cs="仿宋_GB2312"/>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（二）合同公告及备案</w:t>
      </w:r>
    </w:p>
    <w:p>
      <w:pPr>
        <w:pStyle w:val="11"/>
        <w:spacing w:line="360" w:lineRule="auto"/>
        <w:ind w:left="0" w:leftChars="0"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1、采购人应当自政府采购合同签订之日起2个工作日内，</w:t>
      </w:r>
      <w:r>
        <w:rPr>
          <w:rFonts w:ascii="宋体" w:hAnsi="宋体"/>
          <w:color w:val="000000" w:themeColor="text1"/>
          <w:kern w:val="0"/>
          <w:sz w:val="24"/>
          <w:highlight w:val="none"/>
          <w14:textFill>
            <w14:solidFill>
              <w14:schemeClr w14:val="tx1"/>
            </w14:solidFill>
          </w14:textFill>
        </w:rPr>
        <w:t>在省级以上财政部门指定的</w:t>
      </w:r>
      <w:r>
        <w:rPr>
          <w:rFonts w:hint="eastAsia" w:ascii="宋体" w:hAnsi="宋体"/>
          <w:color w:val="000000" w:themeColor="text1"/>
          <w:kern w:val="0"/>
          <w:sz w:val="24"/>
          <w:highlight w:val="none"/>
          <w14:textFill>
            <w14:solidFill>
              <w14:schemeClr w14:val="tx1"/>
            </w14:solidFill>
          </w14:textFill>
        </w:rPr>
        <w:t>政府采购信息发布</w:t>
      </w:r>
      <w:r>
        <w:rPr>
          <w:rFonts w:ascii="宋体" w:hAnsi="宋体"/>
          <w:color w:val="000000" w:themeColor="text1"/>
          <w:kern w:val="0"/>
          <w:sz w:val="24"/>
          <w:highlight w:val="none"/>
          <w14:textFill>
            <w14:solidFill>
              <w14:schemeClr w14:val="tx1"/>
            </w14:solidFill>
          </w14:textFill>
        </w:rPr>
        <w:t>媒体及相关网站</w:t>
      </w:r>
      <w:r>
        <w:rPr>
          <w:rFonts w:hint="eastAsia" w:ascii="宋体" w:hAnsi="宋体"/>
          <w:color w:val="000000" w:themeColor="text1"/>
          <w:kern w:val="0"/>
          <w:sz w:val="24"/>
          <w:highlight w:val="none"/>
          <w14:textFill>
            <w14:solidFill>
              <w14:schemeClr w14:val="tx1"/>
            </w14:solidFill>
          </w14:textFill>
        </w:rPr>
        <w:t>上</w:t>
      </w:r>
      <w:r>
        <w:rPr>
          <w:rFonts w:ascii="宋体" w:hAnsi="宋体"/>
          <w:color w:val="000000" w:themeColor="text1"/>
          <w:kern w:val="0"/>
          <w:sz w:val="24"/>
          <w:highlight w:val="none"/>
          <w14:textFill>
            <w14:solidFill>
              <w14:schemeClr w14:val="tx1"/>
            </w14:solidFill>
          </w14:textFill>
        </w:rPr>
        <w:t>公告</w:t>
      </w:r>
      <w:r>
        <w:rPr>
          <w:rFonts w:hint="eastAsia" w:ascii="宋体" w:hAnsi="宋体"/>
          <w:color w:val="000000" w:themeColor="text1"/>
          <w:sz w:val="24"/>
          <w:highlight w:val="none"/>
          <w14:textFill>
            <w14:solidFill>
              <w14:schemeClr w14:val="tx1"/>
            </w14:solidFill>
          </w14:textFill>
        </w:rPr>
        <w:t>。</w:t>
      </w:r>
    </w:p>
    <w:p>
      <w:pPr>
        <w:pStyle w:val="11"/>
        <w:spacing w:line="360" w:lineRule="auto"/>
        <w:ind w:left="0" w:leftChars="0"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2、采购人应当自政府采购合同签订之日起7个工作日内，将政府采购合同副本报同级人民政府财政部门备案以及采购组织机构存档。</w:t>
      </w:r>
    </w:p>
    <w:p>
      <w:pPr>
        <w:pStyle w:val="5"/>
        <w:jc w:val="lef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八、采购代理费</w:t>
      </w:r>
    </w:p>
    <w:p>
      <w:pPr>
        <w:autoSpaceDE w:val="0"/>
        <w:autoSpaceDN w:val="0"/>
        <w:adjustRightInd w:val="0"/>
        <w:spacing w:line="450" w:lineRule="atLeast"/>
        <w:ind w:firstLine="480" w:firstLineChars="200"/>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中标供应商在领取中标通知书同时向招标代理机构支付采购招标代理费（根据国家计委印发的《采购代理服务收费管理暂行办法》(计价格【2002】1980号文)服务类收费），招标代理费按标准计取，包含在投标总价中。</w:t>
      </w:r>
    </w:p>
    <w:p>
      <w:pPr>
        <w:autoSpaceDE w:val="0"/>
        <w:autoSpaceDN w:val="0"/>
        <w:adjustRightInd w:val="0"/>
        <w:spacing w:line="450" w:lineRule="atLeast"/>
        <w:ind w:firstLine="480" w:firstLineChars="200"/>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招标代理服务费汇入以下账户：</w:t>
      </w:r>
    </w:p>
    <w:p>
      <w:pPr>
        <w:adjustRightInd w:val="0"/>
        <w:snapToGrid w:val="0"/>
        <w:spacing w:line="420" w:lineRule="exact"/>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开户银行：工行台州玉环玉城支行</w:t>
      </w:r>
    </w:p>
    <w:p>
      <w:pPr>
        <w:adjustRightInd w:val="0"/>
        <w:snapToGrid w:val="0"/>
        <w:spacing w:line="420" w:lineRule="exact"/>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开户名称：杭州华旗招标代理有限公司玉环分公司</w:t>
      </w:r>
    </w:p>
    <w:p>
      <w:pPr>
        <w:adjustRightInd w:val="0"/>
        <w:snapToGrid w:val="0"/>
        <w:spacing w:line="420" w:lineRule="exact"/>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开户帐号：1207281909100001839</w:t>
      </w:r>
    </w:p>
    <w:p>
      <w:pPr>
        <w:pStyle w:val="11"/>
        <w:spacing w:line="360" w:lineRule="auto"/>
        <w:ind w:left="0" w:leftChars="0" w:firstLine="480" w:firstLineChars="200"/>
        <w:rPr>
          <w:rFonts w:ascii="宋体" w:hAnsi="宋体"/>
          <w:color w:val="000000" w:themeColor="text1"/>
          <w:sz w:val="24"/>
          <w:highlight w:val="none"/>
          <w14:textFill>
            <w14:solidFill>
              <w14:schemeClr w14:val="tx1"/>
            </w14:solidFill>
          </w14:textFill>
        </w:rPr>
      </w:pPr>
    </w:p>
    <w:p>
      <w:pPr>
        <w:spacing w:line="360" w:lineRule="auto"/>
        <w:rPr>
          <w:rFonts w:asciiTheme="minorEastAsia" w:hAnsiTheme="minorEastAsia" w:eastAsiaTheme="minorEastAsia"/>
          <w:b/>
          <w:color w:val="000000" w:themeColor="text1"/>
          <w:sz w:val="28"/>
          <w:szCs w:val="28"/>
          <w:highlight w:val="none"/>
          <w14:textFill>
            <w14:solidFill>
              <w14:schemeClr w14:val="tx1"/>
            </w14:solidFill>
          </w14:textFill>
        </w:rPr>
      </w:pPr>
    </w:p>
    <w:p>
      <w:pPr>
        <w:pStyle w:val="3"/>
        <w:rPr>
          <w:rFonts w:asciiTheme="minorEastAsia" w:hAnsiTheme="minorEastAsia" w:eastAsiaTheme="minorEastAsia"/>
          <w:b/>
          <w:color w:val="000000" w:themeColor="text1"/>
          <w:sz w:val="28"/>
          <w:szCs w:val="28"/>
          <w:highlight w:val="none"/>
          <w14:textFill>
            <w14:solidFill>
              <w14:schemeClr w14:val="tx1"/>
            </w14:solidFill>
          </w14:textFill>
        </w:rPr>
      </w:pPr>
    </w:p>
    <w:p>
      <w:pPr>
        <w:pStyle w:val="3"/>
        <w:rPr>
          <w:rFonts w:asciiTheme="minorEastAsia" w:hAnsiTheme="minorEastAsia" w:eastAsiaTheme="minorEastAsia"/>
          <w:b/>
          <w:color w:val="000000" w:themeColor="text1"/>
          <w:sz w:val="28"/>
          <w:szCs w:val="28"/>
          <w:highlight w:val="none"/>
          <w14:textFill>
            <w14:solidFill>
              <w14:schemeClr w14:val="tx1"/>
            </w14:solidFill>
          </w14:textFill>
        </w:rPr>
      </w:pPr>
    </w:p>
    <w:p>
      <w:pPr>
        <w:pStyle w:val="3"/>
        <w:rPr>
          <w:rFonts w:asciiTheme="minorEastAsia" w:hAnsiTheme="minorEastAsia" w:eastAsiaTheme="minorEastAsia"/>
          <w:b/>
          <w:color w:val="000000" w:themeColor="text1"/>
          <w:sz w:val="28"/>
          <w:szCs w:val="28"/>
          <w:highlight w:val="none"/>
          <w14:textFill>
            <w14:solidFill>
              <w14:schemeClr w14:val="tx1"/>
            </w14:solidFill>
          </w14:textFill>
        </w:rPr>
      </w:pPr>
    </w:p>
    <w:p>
      <w:pPr>
        <w:pStyle w:val="3"/>
        <w:rPr>
          <w:rFonts w:asciiTheme="minorEastAsia" w:hAnsiTheme="minorEastAsia" w:eastAsiaTheme="minorEastAsia"/>
          <w:b/>
          <w:color w:val="000000" w:themeColor="text1"/>
          <w:sz w:val="28"/>
          <w:szCs w:val="28"/>
          <w:highlight w:val="none"/>
          <w14:textFill>
            <w14:solidFill>
              <w14:schemeClr w14:val="tx1"/>
            </w14:solidFill>
          </w14:textFill>
        </w:rPr>
      </w:pPr>
    </w:p>
    <w:p>
      <w:pPr>
        <w:pStyle w:val="3"/>
        <w:rPr>
          <w:rFonts w:asciiTheme="minorEastAsia" w:hAnsiTheme="minorEastAsia" w:eastAsiaTheme="minorEastAsia"/>
          <w:b/>
          <w:color w:val="000000" w:themeColor="text1"/>
          <w:sz w:val="28"/>
          <w:szCs w:val="28"/>
          <w:highlight w:val="none"/>
          <w14:textFill>
            <w14:solidFill>
              <w14:schemeClr w14:val="tx1"/>
            </w14:solidFill>
          </w14:textFill>
        </w:rPr>
      </w:pPr>
    </w:p>
    <w:p>
      <w:pPr>
        <w:pStyle w:val="3"/>
        <w:rPr>
          <w:rFonts w:asciiTheme="minorEastAsia" w:hAnsiTheme="minorEastAsia" w:eastAsiaTheme="minorEastAsia"/>
          <w:b/>
          <w:color w:val="000000" w:themeColor="text1"/>
          <w:sz w:val="28"/>
          <w:szCs w:val="28"/>
          <w:highlight w:val="none"/>
          <w14:textFill>
            <w14:solidFill>
              <w14:schemeClr w14:val="tx1"/>
            </w14:solidFill>
          </w14:textFill>
        </w:rPr>
      </w:pPr>
    </w:p>
    <w:p>
      <w:pPr>
        <w:pStyle w:val="3"/>
        <w:rPr>
          <w:rFonts w:asciiTheme="minorEastAsia" w:hAnsiTheme="minorEastAsia" w:eastAsiaTheme="minorEastAsia"/>
          <w:b/>
          <w:color w:val="000000" w:themeColor="text1"/>
          <w:sz w:val="28"/>
          <w:szCs w:val="28"/>
          <w:highlight w:val="none"/>
          <w14:textFill>
            <w14:solidFill>
              <w14:schemeClr w14:val="tx1"/>
            </w14:solidFill>
          </w14:textFill>
        </w:rPr>
      </w:pPr>
    </w:p>
    <w:p>
      <w:pPr>
        <w:pStyle w:val="3"/>
        <w:rPr>
          <w:rFonts w:asciiTheme="minorEastAsia" w:hAnsiTheme="minorEastAsia" w:eastAsiaTheme="minorEastAsia"/>
          <w:b/>
          <w:color w:val="000000" w:themeColor="text1"/>
          <w:sz w:val="28"/>
          <w:szCs w:val="28"/>
          <w:highlight w:val="none"/>
          <w14:textFill>
            <w14:solidFill>
              <w14:schemeClr w14:val="tx1"/>
            </w14:solidFill>
          </w14:textFill>
        </w:rPr>
      </w:pPr>
    </w:p>
    <w:p>
      <w:pPr>
        <w:pStyle w:val="3"/>
        <w:rPr>
          <w:rFonts w:asciiTheme="minorEastAsia" w:hAnsiTheme="minorEastAsia" w:eastAsiaTheme="minorEastAsia"/>
          <w:b/>
          <w:color w:val="000000" w:themeColor="text1"/>
          <w:sz w:val="28"/>
          <w:szCs w:val="28"/>
          <w:highlight w:val="none"/>
          <w14:textFill>
            <w14:solidFill>
              <w14:schemeClr w14:val="tx1"/>
            </w14:solidFill>
          </w14:textFill>
        </w:rPr>
      </w:pPr>
    </w:p>
    <w:p>
      <w:pPr>
        <w:pStyle w:val="3"/>
        <w:rPr>
          <w:rFonts w:asciiTheme="minorEastAsia" w:hAnsiTheme="minorEastAsia" w:eastAsiaTheme="minorEastAsia"/>
          <w:b/>
          <w:color w:val="000000" w:themeColor="text1"/>
          <w:sz w:val="28"/>
          <w:szCs w:val="28"/>
          <w:highlight w:val="none"/>
          <w14:textFill>
            <w14:solidFill>
              <w14:schemeClr w14:val="tx1"/>
            </w14:solidFill>
          </w14:textFill>
        </w:rPr>
      </w:pPr>
    </w:p>
    <w:p>
      <w:pPr>
        <w:pStyle w:val="3"/>
        <w:rPr>
          <w:rFonts w:asciiTheme="minorEastAsia" w:hAnsiTheme="minorEastAsia" w:eastAsiaTheme="minorEastAsia"/>
          <w:b/>
          <w:color w:val="000000" w:themeColor="text1"/>
          <w:sz w:val="28"/>
          <w:szCs w:val="28"/>
          <w:highlight w:val="none"/>
          <w14:textFill>
            <w14:solidFill>
              <w14:schemeClr w14:val="tx1"/>
            </w14:solidFill>
          </w14:textFill>
        </w:rPr>
      </w:pPr>
    </w:p>
    <w:p>
      <w:pPr>
        <w:pStyle w:val="3"/>
        <w:rPr>
          <w:rFonts w:asciiTheme="minorEastAsia" w:hAnsiTheme="minorEastAsia" w:eastAsiaTheme="minorEastAsia"/>
          <w:b/>
          <w:color w:val="000000" w:themeColor="text1"/>
          <w:sz w:val="28"/>
          <w:szCs w:val="28"/>
          <w:highlight w:val="none"/>
          <w14:textFill>
            <w14:solidFill>
              <w14:schemeClr w14:val="tx1"/>
            </w14:solidFill>
          </w14:textFill>
        </w:rPr>
      </w:pPr>
    </w:p>
    <w:p>
      <w:pPr>
        <w:pStyle w:val="3"/>
        <w:rPr>
          <w:rFonts w:asciiTheme="minorEastAsia" w:hAnsiTheme="minorEastAsia" w:eastAsiaTheme="minorEastAsia"/>
          <w:b/>
          <w:color w:val="000000" w:themeColor="text1"/>
          <w:sz w:val="28"/>
          <w:szCs w:val="28"/>
          <w:highlight w:val="none"/>
          <w14:textFill>
            <w14:solidFill>
              <w14:schemeClr w14:val="tx1"/>
            </w14:solidFill>
          </w14:textFill>
        </w:rPr>
      </w:pPr>
    </w:p>
    <w:p>
      <w:pPr>
        <w:pStyle w:val="3"/>
        <w:rPr>
          <w:rFonts w:asciiTheme="minorEastAsia" w:hAnsiTheme="minorEastAsia" w:eastAsiaTheme="minorEastAsia"/>
          <w:b/>
          <w:color w:val="000000" w:themeColor="text1"/>
          <w:sz w:val="28"/>
          <w:szCs w:val="28"/>
          <w:highlight w:val="none"/>
          <w14:textFill>
            <w14:solidFill>
              <w14:schemeClr w14:val="tx1"/>
            </w14:solidFill>
          </w14:textFill>
        </w:rPr>
      </w:pPr>
    </w:p>
    <w:p>
      <w:pPr>
        <w:pStyle w:val="3"/>
        <w:rPr>
          <w:rFonts w:asciiTheme="minorEastAsia" w:hAnsiTheme="minorEastAsia" w:eastAsiaTheme="minorEastAsia"/>
          <w:b/>
          <w:color w:val="000000" w:themeColor="text1"/>
          <w:sz w:val="28"/>
          <w:szCs w:val="28"/>
          <w:highlight w:val="none"/>
          <w14:textFill>
            <w14:solidFill>
              <w14:schemeClr w14:val="tx1"/>
            </w14:solidFill>
          </w14:textFill>
        </w:rPr>
      </w:pPr>
    </w:p>
    <w:p>
      <w:pPr>
        <w:pStyle w:val="3"/>
        <w:rPr>
          <w:rFonts w:asciiTheme="minorEastAsia" w:hAnsiTheme="minorEastAsia" w:eastAsiaTheme="minorEastAsia"/>
          <w:b/>
          <w:color w:val="000000" w:themeColor="text1"/>
          <w:sz w:val="28"/>
          <w:szCs w:val="28"/>
          <w:highlight w:val="none"/>
          <w14:textFill>
            <w14:solidFill>
              <w14:schemeClr w14:val="tx1"/>
            </w14:solidFill>
          </w14:textFill>
        </w:rPr>
      </w:pPr>
    </w:p>
    <w:p>
      <w:pPr>
        <w:pStyle w:val="3"/>
        <w:rPr>
          <w:rFonts w:asciiTheme="minorEastAsia" w:hAnsiTheme="minorEastAsia" w:eastAsiaTheme="minorEastAsia"/>
          <w:b/>
          <w:color w:val="000000" w:themeColor="text1"/>
          <w:sz w:val="28"/>
          <w:szCs w:val="28"/>
          <w:highlight w:val="none"/>
          <w14:textFill>
            <w14:solidFill>
              <w14:schemeClr w14:val="tx1"/>
            </w14:solidFill>
          </w14:textFill>
        </w:rPr>
      </w:pPr>
    </w:p>
    <w:p>
      <w:pPr>
        <w:pStyle w:val="3"/>
        <w:rPr>
          <w:rFonts w:asciiTheme="minorEastAsia" w:hAnsiTheme="minorEastAsia" w:eastAsiaTheme="minorEastAsia"/>
          <w:b/>
          <w:color w:val="000000" w:themeColor="text1"/>
          <w:sz w:val="28"/>
          <w:szCs w:val="28"/>
          <w:highlight w:val="none"/>
          <w14:textFill>
            <w14:solidFill>
              <w14:schemeClr w14:val="tx1"/>
            </w14:solidFill>
          </w14:textFill>
        </w:rPr>
      </w:pPr>
    </w:p>
    <w:p>
      <w:pPr>
        <w:pStyle w:val="3"/>
        <w:rPr>
          <w:rFonts w:asciiTheme="minorEastAsia" w:hAnsiTheme="minorEastAsia" w:eastAsiaTheme="minorEastAsia"/>
          <w:b/>
          <w:color w:val="000000" w:themeColor="text1"/>
          <w:sz w:val="28"/>
          <w:szCs w:val="28"/>
          <w:highlight w:val="none"/>
          <w14:textFill>
            <w14:solidFill>
              <w14:schemeClr w14:val="tx1"/>
            </w14:solidFill>
          </w14:textFill>
        </w:rPr>
      </w:pPr>
    </w:p>
    <w:p>
      <w:pPr>
        <w:numPr>
          <w:ilvl w:val="0"/>
          <w:numId w:val="4"/>
        </w:numPr>
        <w:spacing w:line="360" w:lineRule="auto"/>
        <w:jc w:val="center"/>
        <w:rPr>
          <w:rFonts w:asciiTheme="minorEastAsia" w:hAnsiTheme="minorEastAsia" w:eastAsiaTheme="minorEastAsia"/>
          <w:b/>
          <w:color w:val="000000" w:themeColor="text1"/>
          <w:sz w:val="36"/>
          <w:szCs w:val="36"/>
          <w:highlight w:val="none"/>
          <w14:textFill>
            <w14:solidFill>
              <w14:schemeClr w14:val="tx1"/>
            </w14:solidFill>
          </w14:textFill>
        </w:rPr>
      </w:pPr>
      <w:r>
        <w:rPr>
          <w:rFonts w:hint="eastAsia" w:asciiTheme="minorEastAsia" w:hAnsiTheme="minorEastAsia" w:eastAsiaTheme="minorEastAsia"/>
          <w:b/>
          <w:color w:val="000000" w:themeColor="text1"/>
          <w:sz w:val="36"/>
          <w:szCs w:val="36"/>
          <w:highlight w:val="none"/>
          <w14:textFill>
            <w14:solidFill>
              <w14:schemeClr w14:val="tx1"/>
            </w14:solidFill>
          </w14:textFill>
        </w:rPr>
        <w:t>评标办法及评分标准</w:t>
      </w:r>
    </w:p>
    <w:p>
      <w:pPr>
        <w:autoSpaceDE w:val="0"/>
        <w:autoSpaceDN w:val="0"/>
        <w:spacing w:line="360" w:lineRule="auto"/>
        <w:ind w:firstLine="480" w:firstLineChars="200"/>
        <w:rPr>
          <w:rFonts w:asciiTheme="minorEastAsia" w:hAnsiTheme="minorEastAsia" w:eastAsiaTheme="minorEastAsia"/>
          <w:b/>
          <w:i/>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一、采购组织机构将组织评标委员会，对投标人提供的投标文件进行综合评审。</w:t>
      </w:r>
    </w:p>
    <w:p>
      <w:pPr>
        <w:autoSpaceDE w:val="0"/>
        <w:autoSpaceDN w:val="0"/>
        <w:adjustRightInd w:val="0"/>
        <w:spacing w:line="360" w:lineRule="auto"/>
        <w:ind w:left="19" w:leftChars="9" w:firstLine="460" w:firstLineChars="191"/>
        <w:jc w:val="left"/>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二、本次招标项目的评标方法为综合评分法，总计100分。</w:t>
      </w:r>
    </w:p>
    <w:p>
      <w:pPr>
        <w:autoSpaceDE w:val="0"/>
        <w:autoSpaceDN w:val="0"/>
        <w:adjustRightInd w:val="0"/>
        <w:spacing w:line="360" w:lineRule="auto"/>
        <w:ind w:left="19" w:leftChars="9" w:firstLine="460" w:firstLineChars="191"/>
        <w:jc w:val="left"/>
        <w:rPr>
          <w:rFonts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商务报价评分30分，技术、服务、资信综合评分 70分。</w:t>
      </w:r>
    </w:p>
    <w:p>
      <w:pPr>
        <w:autoSpaceDE w:val="0"/>
        <w:autoSpaceDN w:val="0"/>
        <w:adjustRightInd w:val="0"/>
        <w:spacing w:line="360" w:lineRule="auto"/>
        <w:ind w:right="84" w:firstLine="472"/>
        <w:rPr>
          <w:rFonts w:ascii="宋体"/>
          <w:bCs/>
          <w:color w:val="000000" w:themeColor="text1"/>
          <w:sz w:val="24"/>
          <w:highlight w:val="none"/>
          <w:lang w:val="zh-CN"/>
          <w14:textFill>
            <w14:solidFill>
              <w14:schemeClr w14:val="tx1"/>
            </w14:solidFill>
          </w14:textFill>
        </w:rPr>
      </w:pPr>
      <w:r>
        <w:rPr>
          <w:rFonts w:hint="eastAsia" w:ascii="宋体"/>
          <w:bCs/>
          <w:color w:val="000000" w:themeColor="text1"/>
          <w:sz w:val="24"/>
          <w:highlight w:val="none"/>
          <w:lang w:val="zh-CN"/>
          <w14:textFill>
            <w14:solidFill>
              <w14:schemeClr w14:val="tx1"/>
            </w14:solidFill>
          </w14:textFill>
        </w:rPr>
        <w:t>（一）商务与技术文件中的客观分由评标委员会讨论后统一打分；其余在规定的分值内单独评定打分。</w:t>
      </w:r>
    </w:p>
    <w:p>
      <w:pPr>
        <w:autoSpaceDE w:val="0"/>
        <w:autoSpaceDN w:val="0"/>
        <w:adjustRightInd w:val="0"/>
        <w:spacing w:line="360" w:lineRule="auto"/>
        <w:ind w:right="84" w:firstLine="472"/>
        <w:rPr>
          <w:rFonts w:ascii="宋体"/>
          <w:bCs/>
          <w:color w:val="000000" w:themeColor="text1"/>
          <w:sz w:val="24"/>
          <w:highlight w:val="none"/>
          <w:shd w:val="clear" w:color="FFFFFF" w:fill="D9D9D9"/>
          <w:lang w:val="zh-CN"/>
          <w14:textFill>
            <w14:solidFill>
              <w14:schemeClr w14:val="tx1"/>
            </w14:solidFill>
          </w14:textFill>
        </w:rPr>
      </w:pPr>
      <w:r>
        <w:rPr>
          <w:rFonts w:hint="eastAsia" w:ascii="宋体"/>
          <w:bCs/>
          <w:color w:val="000000" w:themeColor="text1"/>
          <w:sz w:val="24"/>
          <w:highlight w:val="none"/>
          <w:lang w:val="zh-CN"/>
          <w14:textFill>
            <w14:solidFill>
              <w14:schemeClr w14:val="tx1"/>
            </w14:solidFill>
          </w14:textFill>
        </w:rPr>
        <w:t>（二）各投标人商务与技术文件</w:t>
      </w:r>
      <w:r>
        <w:rPr>
          <w:rFonts w:hint="eastAsia" w:ascii="宋体"/>
          <w:color w:val="000000" w:themeColor="text1"/>
          <w:kern w:val="0"/>
          <w:sz w:val="24"/>
          <w:highlight w:val="none"/>
          <w:lang w:val="zh-CN"/>
          <w14:textFill>
            <w14:solidFill>
              <w14:schemeClr w14:val="tx1"/>
            </w14:solidFill>
          </w14:textFill>
        </w:rPr>
        <w:t>得分按照评标委员会成</w:t>
      </w:r>
      <w:r>
        <w:rPr>
          <w:rFonts w:hint="eastAsia" w:ascii="宋体"/>
          <w:bCs/>
          <w:color w:val="000000" w:themeColor="text1"/>
          <w:sz w:val="24"/>
          <w:highlight w:val="none"/>
          <w:lang w:val="zh-CN"/>
          <w14:textFill>
            <w14:solidFill>
              <w14:schemeClr w14:val="tx1"/>
            </w14:solidFill>
          </w14:textFill>
        </w:rPr>
        <w:t>员的独立评分结果汇总后的算术平均分计算，计算公式为：</w:t>
      </w:r>
    </w:p>
    <w:p>
      <w:pPr>
        <w:autoSpaceDE w:val="0"/>
        <w:autoSpaceDN w:val="0"/>
        <w:adjustRightInd w:val="0"/>
        <w:spacing w:line="360" w:lineRule="auto"/>
        <w:ind w:right="84" w:firstLine="472"/>
        <w:rPr>
          <w:rFonts w:ascii="宋体"/>
          <w:bCs/>
          <w:color w:val="000000" w:themeColor="text1"/>
          <w:sz w:val="24"/>
          <w:highlight w:val="none"/>
          <w:shd w:val="clear" w:color="FFFFFF" w:fill="D9D9D9"/>
          <w:lang w:val="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商务与技术文件得分</w:t>
      </w:r>
      <w:r>
        <w:rPr>
          <w:rFonts w:hint="eastAsia" w:ascii="宋体"/>
          <w:bCs/>
          <w:color w:val="000000" w:themeColor="text1"/>
          <w:sz w:val="24"/>
          <w:highlight w:val="none"/>
          <w:lang w:val="zh-CN"/>
          <w14:textFill>
            <w14:solidFill>
              <w14:schemeClr w14:val="tx1"/>
            </w14:solidFill>
          </w14:textFill>
        </w:rPr>
        <w:t>=评标委员会所有成员评分合计数/评标委员会组成人员数。</w:t>
      </w:r>
    </w:p>
    <w:p>
      <w:pPr>
        <w:autoSpaceDE w:val="0"/>
        <w:autoSpaceDN w:val="0"/>
        <w:adjustRightInd w:val="0"/>
        <w:spacing w:line="360" w:lineRule="auto"/>
        <w:ind w:right="85" w:firstLine="480" w:firstLineChars="200"/>
        <w:rPr>
          <w:rFonts w:ascii="宋体"/>
          <w:color w:val="000000" w:themeColor="text1"/>
          <w:sz w:val="24"/>
          <w:highlight w:val="none"/>
          <w:lang w:val="zh-CN"/>
          <w14:textFill>
            <w14:solidFill>
              <w14:schemeClr w14:val="tx1"/>
            </w14:solidFill>
          </w14:textFill>
        </w:rPr>
      </w:pPr>
      <w:r>
        <w:rPr>
          <w:rFonts w:hint="eastAsia" w:ascii="宋体"/>
          <w:bCs/>
          <w:color w:val="000000" w:themeColor="text1"/>
          <w:sz w:val="24"/>
          <w:highlight w:val="none"/>
          <w:lang w:val="zh-CN"/>
          <w14:textFill>
            <w14:solidFill>
              <w14:schemeClr w14:val="tx1"/>
            </w14:solidFill>
          </w14:textFill>
        </w:rPr>
        <w:t>（三）</w:t>
      </w:r>
      <w:r>
        <w:rPr>
          <w:rFonts w:hint="eastAsia" w:ascii="宋体"/>
          <w:color w:val="000000" w:themeColor="text1"/>
          <w:sz w:val="24"/>
          <w:highlight w:val="none"/>
          <w:lang w:val="zh-CN"/>
          <w14:textFill>
            <w14:solidFill>
              <w14:schemeClr w14:val="tx1"/>
            </w14:solidFill>
          </w14:textFill>
        </w:rPr>
        <w:t>投标报价得分采用低价优先法计算，即满足招标文件要求且投标价格最低的投标报价为评标基准价，其报价得满分。其他投标人的投标报价得分按下列公式计算：</w:t>
      </w:r>
    </w:p>
    <w:p>
      <w:pPr>
        <w:pStyle w:val="2"/>
        <w:keepNext w:val="0"/>
        <w:keepLines w:val="0"/>
        <w:pageBreakBefore w:val="0"/>
        <w:widowControl w:val="0"/>
        <w:kinsoku/>
        <w:wordWrap/>
        <w:overflowPunct/>
        <w:topLinePunct w:val="0"/>
        <w:autoSpaceDE/>
        <w:autoSpaceDN/>
        <w:bidi w:val="0"/>
        <w:snapToGrid/>
        <w:spacing w:line="400" w:lineRule="exact"/>
        <w:ind w:firstLine="482" w:firstLineChars="200"/>
        <w:rPr>
          <w:rFonts w:hint="eastAsia"/>
          <w:color w:val="000000" w:themeColor="text1"/>
          <w:highlight w:val="none"/>
          <w:lang w:val="zh-CN"/>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商务报价评分</w:t>
      </w:r>
      <w:r>
        <w:rPr>
          <w:rFonts w:hint="eastAsia" w:ascii="宋体" w:hAnsi="宋体" w:eastAsia="宋体" w:cs="宋体"/>
          <w:b/>
          <w:bCs/>
          <w:color w:val="000000" w:themeColor="text1"/>
          <w:kern w:val="0"/>
          <w:sz w:val="24"/>
          <w:highlight w:val="none"/>
          <w:lang w:val="en-US" w:eastAsia="zh-CN"/>
          <w14:textFill>
            <w14:solidFill>
              <w14:schemeClr w14:val="tx1"/>
            </w14:solidFill>
          </w14:textFill>
        </w:rPr>
        <w:t>=投标报价得分+维护费报价得分</w:t>
      </w:r>
      <w:r>
        <w:rPr>
          <w:rFonts w:hint="eastAsia"/>
          <w:color w:val="000000" w:themeColor="text1"/>
          <w:highlight w:val="none"/>
          <w:lang w:val="zh-CN"/>
          <w14:textFill>
            <w14:solidFill>
              <w14:schemeClr w14:val="tx1"/>
            </w14:solidFill>
          </w14:textFill>
        </w:rPr>
        <w:tab/>
      </w:r>
    </w:p>
    <w:p>
      <w:pPr>
        <w:pStyle w:val="2"/>
        <w:keepNext w:val="0"/>
        <w:keepLines w:val="0"/>
        <w:pageBreakBefore w:val="0"/>
        <w:widowControl w:val="0"/>
        <w:kinsoku/>
        <w:wordWrap/>
        <w:overflowPunct/>
        <w:topLinePunct w:val="0"/>
        <w:autoSpaceDE/>
        <w:autoSpaceDN/>
        <w:bidi w:val="0"/>
        <w:snapToGrid/>
        <w:spacing w:line="400" w:lineRule="exact"/>
        <w:ind w:firstLine="482"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投标报价得分=(评标基准价／投标报价)×25%×100 。</w:t>
      </w:r>
    </w:p>
    <w:p>
      <w:pPr>
        <w:keepNext w:val="0"/>
        <w:keepLines w:val="0"/>
        <w:pageBreakBefore w:val="0"/>
        <w:widowControl w:val="0"/>
        <w:kinsoku/>
        <w:wordWrap/>
        <w:overflowPunct/>
        <w:topLinePunct w:val="0"/>
        <w:autoSpaceDE/>
        <w:autoSpaceDN/>
        <w:bidi w:val="0"/>
        <w:snapToGrid/>
        <w:spacing w:line="400" w:lineRule="exact"/>
        <w:ind w:firstLine="482" w:firstLineChars="200"/>
        <w:rPr>
          <w:rFonts w:hint="eastAsia" w:ascii="宋体" w:hAnsi="宋体" w:eastAsia="宋体" w:cs="宋体"/>
          <w:b/>
          <w:bCs/>
          <w:color w:val="000000" w:themeColor="text1"/>
          <w:sz w:val="24"/>
          <w:highlight w:val="none"/>
          <w:lang w:val="zh-CN"/>
          <w14:textFill>
            <w14:solidFill>
              <w14:schemeClr w14:val="tx1"/>
            </w14:solidFill>
          </w14:textFill>
        </w:rPr>
      </w:pPr>
      <w:r>
        <w:rPr>
          <w:rFonts w:hint="eastAsia" w:ascii="宋体" w:hAnsi="宋体" w:eastAsia="宋体" w:cs="宋体"/>
          <w:b/>
          <w:bCs/>
          <w:color w:val="000000" w:themeColor="text1"/>
          <w:sz w:val="24"/>
          <w:highlight w:val="none"/>
          <w:lang w:val="zh-CN"/>
          <w14:textFill>
            <w14:solidFill>
              <w14:schemeClr w14:val="tx1"/>
            </w14:solidFill>
          </w14:textFill>
        </w:rPr>
        <w:t>维护费报价：5分</w:t>
      </w:r>
    </w:p>
    <w:p>
      <w:pPr>
        <w:keepNext w:val="0"/>
        <w:keepLines w:val="0"/>
        <w:pageBreakBefore w:val="0"/>
        <w:widowControl w:val="0"/>
        <w:kinsoku/>
        <w:wordWrap/>
        <w:overflowPunct/>
        <w:topLinePunct w:val="0"/>
        <w:autoSpaceDE/>
        <w:autoSpaceDN/>
        <w:bidi w:val="0"/>
        <w:snapToGrid/>
        <w:spacing w:line="400" w:lineRule="exact"/>
        <w:ind w:firstLine="482" w:firstLineChars="200"/>
        <w:rPr>
          <w:rFonts w:hint="eastAsia" w:ascii="宋体" w:hAnsi="宋体" w:eastAsia="宋体" w:cs="宋体"/>
          <w:b/>
          <w:bCs/>
          <w:color w:val="000000" w:themeColor="text1"/>
          <w:sz w:val="24"/>
          <w:highlight w:val="none"/>
          <w:lang w:val="zh-CN"/>
          <w14:textFill>
            <w14:solidFill>
              <w14:schemeClr w14:val="tx1"/>
            </w14:solidFill>
          </w14:textFill>
        </w:rPr>
      </w:pPr>
      <w:r>
        <w:rPr>
          <w:rFonts w:hint="eastAsia" w:ascii="宋体" w:hAnsi="宋体" w:eastAsia="宋体" w:cs="宋体"/>
          <w:b/>
          <w:bCs/>
          <w:color w:val="000000" w:themeColor="text1"/>
          <w:sz w:val="24"/>
          <w:highlight w:val="none"/>
          <w:lang w:val="zh-CN"/>
          <w14:textFill>
            <w14:solidFill>
              <w14:schemeClr w14:val="tx1"/>
            </w14:solidFill>
          </w14:textFill>
        </w:rPr>
        <w:t>投标人每年维护费占总报价比例：免保期过后的维护费比例超过12%的不予接受，9%＜维护费比例≤12%得2分，5%＜维护费比例≤9%得3分，维护费比例≤5%得5分。</w:t>
      </w:r>
    </w:p>
    <w:p>
      <w:pPr>
        <w:autoSpaceDE w:val="0"/>
        <w:autoSpaceDN w:val="0"/>
        <w:adjustRightInd w:val="0"/>
        <w:spacing w:line="360" w:lineRule="auto"/>
        <w:ind w:right="85" w:firstLine="480"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四）政府采购政策及优惠：（1）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小微企业声明函》、国家企业信用信息公示系统——小微企业名录”页面查询结果（查询时间为投标前一周内，并加盖单位公章）等相关证明材料（评标委员会据此进行核查）、《产品适用政府采购政策情况表》（见附件），如投标人提供其他小微企业制造的货物，应同时提供制造商的《小微企业声明函（制造商）》和国家企业信用信息公示系统——小微企业名录”页面查询结果（查询时间为投标前一周内，并加盖单位公章）等相关证明材料（评标委员会据此进行核查）；（2）监狱企业参加政府采购活动时，应当提供由省级以上监狱管理局、戒毒管理局（含新疆生产建设兵团）出具的属于监狱企业的证明文件和《产品适用政府采购政策情况表》（见附件），视同小型、微型企业，享受小微企业政府采购优惠政策；（3）残疾人福利性单位在参加政府采购活动时，应提供《残疾人福利性单位声明函》（见附件）和《产品适用政府采购政策情况表》（见附件），视同小型、微型企业，享受小微企业政府采购优惠政策。</w:t>
      </w:r>
    </w:p>
    <w:p>
      <w:pPr>
        <w:autoSpaceDE w:val="0"/>
        <w:autoSpaceDN w:val="0"/>
        <w:adjustRightInd w:val="0"/>
        <w:spacing w:line="360" w:lineRule="auto"/>
        <w:ind w:right="85" w:firstLine="480"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具体优惠：对于小型微型企业产品的价格给予</w:t>
      </w:r>
      <w:r>
        <w:rPr>
          <w:rFonts w:hint="eastAsia" w:ascii="宋体"/>
          <w:color w:val="000000" w:themeColor="text1"/>
          <w:sz w:val="24"/>
          <w:highlight w:val="none"/>
          <w:u w:val="single"/>
          <w:lang w:val="zh-CN"/>
          <w14:textFill>
            <w14:solidFill>
              <w14:schemeClr w14:val="tx1"/>
            </w14:solidFill>
          </w14:textFill>
        </w:rPr>
        <w:t xml:space="preserve">  </w:t>
      </w:r>
      <w:r>
        <w:rPr>
          <w:rFonts w:hint="eastAsia" w:ascii="宋体"/>
          <w:color w:val="000000" w:themeColor="text1"/>
          <w:sz w:val="24"/>
          <w:highlight w:val="none"/>
          <w:u w:val="single"/>
          <w14:textFill>
            <w14:solidFill>
              <w14:schemeClr w14:val="tx1"/>
            </w14:solidFill>
          </w14:textFill>
        </w:rPr>
        <w:t>6</w:t>
      </w:r>
      <w:r>
        <w:rPr>
          <w:rFonts w:hint="eastAsia" w:ascii="宋体"/>
          <w:color w:val="000000" w:themeColor="text1"/>
          <w:sz w:val="24"/>
          <w:highlight w:val="none"/>
          <w:u w:val="single"/>
          <w:lang w:val="zh-CN"/>
          <w14:textFill>
            <w14:solidFill>
              <w14:schemeClr w14:val="tx1"/>
            </w14:solidFill>
          </w14:textFill>
        </w:rPr>
        <w:t xml:space="preserve"> </w:t>
      </w:r>
      <w:r>
        <w:rPr>
          <w:rFonts w:hint="eastAsia" w:ascii="宋体"/>
          <w:color w:val="000000" w:themeColor="text1"/>
          <w:sz w:val="24"/>
          <w:highlight w:val="none"/>
          <w:lang w:val="zh-CN"/>
          <w14:textFill>
            <w14:solidFill>
              <w14:schemeClr w14:val="tx1"/>
            </w14:solidFill>
          </w14:textFill>
        </w:rPr>
        <w:t>%的扣除，用扣除后的价格计算评标基准价和投标报价。同一投标人（包括联合体），小微企业、监狱企业、残疾人福利性单位价格扣除优惠只享受一次，不得重复享受。</w:t>
      </w:r>
    </w:p>
    <w:p>
      <w:pPr>
        <w:autoSpaceDE w:val="0"/>
        <w:autoSpaceDN w:val="0"/>
        <w:adjustRightInd w:val="0"/>
        <w:spacing w:line="360" w:lineRule="auto"/>
        <w:ind w:right="84" w:firstLine="472"/>
        <w:rPr>
          <w:rFonts w:ascii="宋体"/>
          <w:bCs/>
          <w:color w:val="000000" w:themeColor="text1"/>
          <w:sz w:val="24"/>
          <w:highlight w:val="none"/>
          <w:shd w:val="clear" w:color="FFFFFF" w:fill="D9D9D9"/>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注：得分以系统计算为准，保留2位小数。</w:t>
      </w:r>
    </w:p>
    <w:p>
      <w:pPr>
        <w:autoSpaceDE w:val="0"/>
        <w:autoSpaceDN w:val="0"/>
        <w:adjustRightInd w:val="0"/>
        <w:spacing w:line="360" w:lineRule="auto"/>
        <w:ind w:right="85" w:firstLine="480"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三、在最大限度地满足招标文件实质性要求前提下，评标委员会按照招标文件中规定的各项因素进行综合评审后，以评标总得分最高的投标人为中标候选人。</w:t>
      </w:r>
    </w:p>
    <w:p>
      <w:pPr>
        <w:autoSpaceDE w:val="0"/>
        <w:autoSpaceDN w:val="0"/>
        <w:adjustRightInd w:val="0"/>
        <w:spacing w:line="360" w:lineRule="auto"/>
        <w:ind w:right="85" w:firstLine="480"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四、如综合得分相同，投标报价低者为先；如综合得分且投标报价相同的，货物类采购项目以技术性能得分较高者为先，服务类采购项目以实力信誉及业绩得分较高者为先。</w:t>
      </w:r>
    </w:p>
    <w:p>
      <w:pPr>
        <w:autoSpaceDE w:val="0"/>
        <w:autoSpaceDN w:val="0"/>
        <w:adjustRightInd w:val="0"/>
        <w:spacing w:line="360" w:lineRule="auto"/>
        <w:ind w:right="85" w:firstLine="480"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五、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pPr>
        <w:autoSpaceDE w:val="0"/>
        <w:autoSpaceDN w:val="0"/>
        <w:adjustRightInd w:val="0"/>
        <w:spacing w:line="360" w:lineRule="auto"/>
        <w:ind w:firstLine="360" w:firstLineChars="150"/>
        <w:jc w:val="left"/>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六、本次评分具体分值细化条款如下表：</w:t>
      </w: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597"/>
        <w:gridCol w:w="871"/>
        <w:gridCol w:w="5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 w:hRule="atLeast"/>
        </w:trPr>
        <w:tc>
          <w:tcPr>
            <w:tcW w:w="837" w:type="dxa"/>
            <w:tcBorders>
              <w:top w:val="single" w:color="auto" w:sz="4" w:space="0"/>
              <w:left w:val="single" w:color="auto" w:sz="4" w:space="0"/>
              <w:bottom w:val="single" w:color="auto" w:sz="4" w:space="0"/>
              <w:right w:val="single" w:color="auto" w:sz="4" w:space="0"/>
            </w:tcBorders>
            <w:vAlign w:val="center"/>
          </w:tcPr>
          <w:p>
            <w:pPr>
              <w:widowControl/>
              <w:tabs>
                <w:tab w:val="left" w:pos="420"/>
              </w:tabs>
              <w:spacing w:line="360" w:lineRule="auto"/>
              <w:jc w:val="left"/>
              <w:rPr>
                <w:rFonts w:ascii="宋体" w:hAnsi="宋体"/>
                <w:color w:val="000000" w:themeColor="text1"/>
                <w:kern w:val="0"/>
                <w:sz w:val="24"/>
                <w:szCs w:val="21"/>
                <w:highlight w:val="none"/>
                <w14:textFill>
                  <w14:solidFill>
                    <w14:schemeClr w14:val="tx1"/>
                  </w14:solidFill>
                </w14:textFill>
              </w:rPr>
            </w:pPr>
            <w:r>
              <w:rPr>
                <w:rFonts w:hint="eastAsia" w:ascii="宋体" w:hAnsi="宋体"/>
                <w:color w:val="000000" w:themeColor="text1"/>
                <w:kern w:val="0"/>
                <w:sz w:val="24"/>
                <w:szCs w:val="21"/>
                <w:highlight w:val="none"/>
                <w14:textFill>
                  <w14:solidFill>
                    <w14:schemeClr w14:val="tx1"/>
                  </w14:solidFill>
                </w14:textFill>
              </w:rPr>
              <w:t>序号</w:t>
            </w:r>
          </w:p>
        </w:tc>
        <w:tc>
          <w:tcPr>
            <w:tcW w:w="159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000000" w:themeColor="text1"/>
                <w:kern w:val="0"/>
                <w:sz w:val="24"/>
                <w:szCs w:val="21"/>
                <w:highlight w:val="none"/>
                <w14:textFill>
                  <w14:solidFill>
                    <w14:schemeClr w14:val="tx1"/>
                  </w14:solidFill>
                </w14:textFill>
              </w:rPr>
            </w:pPr>
            <w:r>
              <w:rPr>
                <w:rFonts w:hint="eastAsia" w:ascii="宋体" w:hAnsi="宋体"/>
                <w:color w:val="000000" w:themeColor="text1"/>
                <w:kern w:val="0"/>
                <w:sz w:val="24"/>
                <w:szCs w:val="21"/>
                <w:highlight w:val="none"/>
                <w14:textFill>
                  <w14:solidFill>
                    <w14:schemeClr w14:val="tx1"/>
                  </w14:solidFill>
                </w14:textFill>
              </w:rPr>
              <w:t>评分因素</w:t>
            </w:r>
          </w:p>
        </w:tc>
        <w:tc>
          <w:tcPr>
            <w:tcW w:w="8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000000" w:themeColor="text1"/>
                <w:kern w:val="0"/>
                <w:sz w:val="24"/>
                <w:szCs w:val="21"/>
                <w:highlight w:val="none"/>
                <w14:textFill>
                  <w14:solidFill>
                    <w14:schemeClr w14:val="tx1"/>
                  </w14:solidFill>
                </w14:textFill>
              </w:rPr>
            </w:pPr>
            <w:r>
              <w:rPr>
                <w:rFonts w:hint="eastAsia" w:ascii="宋体" w:hAnsi="宋体"/>
                <w:color w:val="000000" w:themeColor="text1"/>
                <w:kern w:val="0"/>
                <w:sz w:val="24"/>
                <w:szCs w:val="21"/>
                <w:highlight w:val="none"/>
                <w14:textFill>
                  <w14:solidFill>
                    <w14:schemeClr w14:val="tx1"/>
                  </w14:solidFill>
                </w14:textFill>
              </w:rPr>
              <w:t>分值</w:t>
            </w:r>
          </w:p>
        </w:tc>
        <w:tc>
          <w:tcPr>
            <w:tcW w:w="5217"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宋体" w:hAnsi="宋体"/>
                <w:color w:val="000000" w:themeColor="text1"/>
                <w:kern w:val="0"/>
                <w:sz w:val="24"/>
                <w:szCs w:val="21"/>
                <w:highlight w:val="none"/>
                <w14:textFill>
                  <w14:solidFill>
                    <w14:schemeClr w14:val="tx1"/>
                  </w14:solidFill>
                </w14:textFill>
              </w:rPr>
            </w:pPr>
            <w:r>
              <w:rPr>
                <w:rFonts w:hint="eastAsia" w:ascii="宋体" w:hAnsi="宋体"/>
                <w:color w:val="000000" w:themeColor="text1"/>
                <w:kern w:val="0"/>
                <w:sz w:val="24"/>
                <w:szCs w:val="21"/>
                <w:highlight w:val="none"/>
                <w14:textFill>
                  <w14:solidFill>
                    <w14:schemeClr w14:val="tx1"/>
                  </w14:solidFill>
                </w14:textFill>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 w:hRule="atLeast"/>
        </w:trPr>
        <w:tc>
          <w:tcPr>
            <w:tcW w:w="837" w:type="dxa"/>
            <w:tcBorders>
              <w:top w:val="single" w:color="auto" w:sz="4" w:space="0"/>
              <w:left w:val="single" w:color="auto" w:sz="4" w:space="0"/>
              <w:bottom w:val="single" w:color="auto" w:sz="4" w:space="0"/>
              <w:right w:val="single" w:color="auto" w:sz="4" w:space="0"/>
            </w:tcBorders>
            <w:vAlign w:val="center"/>
          </w:tcPr>
          <w:p>
            <w:pPr>
              <w:widowControl/>
              <w:numPr>
                <w:ilvl w:val="0"/>
                <w:numId w:val="7"/>
              </w:numPr>
              <w:spacing w:line="360" w:lineRule="auto"/>
              <w:jc w:val="left"/>
              <w:rPr>
                <w:rFonts w:ascii="宋体" w:hAnsi="宋体"/>
                <w:color w:val="000000" w:themeColor="text1"/>
                <w:kern w:val="0"/>
                <w:sz w:val="24"/>
                <w:szCs w:val="21"/>
                <w:highlight w:val="none"/>
                <w14:textFill>
                  <w14:solidFill>
                    <w14:schemeClr w14:val="tx1"/>
                  </w14:solidFill>
                </w14:textFill>
              </w:rPr>
            </w:pPr>
          </w:p>
        </w:tc>
        <w:tc>
          <w:tcPr>
            <w:tcW w:w="159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000000" w:themeColor="text1"/>
                <w:kern w:val="0"/>
                <w:sz w:val="24"/>
                <w:szCs w:val="21"/>
                <w:highlight w:val="none"/>
                <w14:textFill>
                  <w14:solidFill>
                    <w14:schemeClr w14:val="tx1"/>
                  </w14:solidFill>
                </w14:textFill>
              </w:rPr>
            </w:pPr>
            <w:r>
              <w:rPr>
                <w:rFonts w:hint="eastAsia" w:ascii="宋体" w:hAnsi="宋体"/>
                <w:color w:val="000000" w:themeColor="text1"/>
                <w:kern w:val="0"/>
                <w:sz w:val="24"/>
                <w:szCs w:val="21"/>
                <w:highlight w:val="none"/>
                <w14:textFill>
                  <w14:solidFill>
                    <w14:schemeClr w14:val="tx1"/>
                  </w14:solidFill>
                </w14:textFill>
              </w:rPr>
              <w:t>针对本项目所提供的项目整体解决方案设计</w:t>
            </w:r>
          </w:p>
        </w:tc>
        <w:tc>
          <w:tcPr>
            <w:tcW w:w="8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000000" w:themeColor="text1"/>
                <w:kern w:val="0"/>
                <w:sz w:val="24"/>
                <w:szCs w:val="21"/>
                <w:highlight w:val="none"/>
                <w14:textFill>
                  <w14:solidFill>
                    <w14:schemeClr w14:val="tx1"/>
                  </w14:solidFill>
                </w14:textFill>
              </w:rPr>
            </w:pPr>
            <w:r>
              <w:rPr>
                <w:rFonts w:hint="eastAsia" w:ascii="宋体" w:hAnsi="宋体"/>
                <w:color w:val="000000" w:themeColor="text1"/>
                <w:kern w:val="0"/>
                <w:sz w:val="24"/>
                <w:szCs w:val="21"/>
                <w:highlight w:val="none"/>
                <w14:textFill>
                  <w14:solidFill>
                    <w14:schemeClr w14:val="tx1"/>
                  </w14:solidFill>
                </w14:textFill>
              </w:rPr>
              <w:t>5分</w:t>
            </w:r>
          </w:p>
        </w:tc>
        <w:tc>
          <w:tcPr>
            <w:tcW w:w="52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themeColor="text1"/>
                <w:kern w:val="0"/>
                <w:sz w:val="24"/>
                <w:szCs w:val="21"/>
                <w:highlight w:val="none"/>
                <w14:textFill>
                  <w14:solidFill>
                    <w14:schemeClr w14:val="tx1"/>
                  </w14:solidFill>
                </w14:textFill>
              </w:rPr>
            </w:pPr>
            <w:r>
              <w:rPr>
                <w:rFonts w:hint="eastAsia" w:ascii="宋体" w:hAnsi="宋体"/>
                <w:color w:val="000000" w:themeColor="text1"/>
                <w:kern w:val="0"/>
                <w:sz w:val="24"/>
                <w:szCs w:val="21"/>
                <w:highlight w:val="none"/>
                <w14:textFill>
                  <w14:solidFill>
                    <w14:schemeClr w14:val="tx1"/>
                  </w14:solidFill>
                </w14:textFill>
              </w:rPr>
              <w:t>投标人针对此次项目，能结合当前医院信息化建设发展趋势，提出符合玉环市人民医院健共体集团基于集成平台的信息系统建设项目需求的整体解决方案，方案设计具有一定的标准性、技术先进性、适用性、可扩展性和安全性。评委根据投标方案阐述进行打分。</w:t>
            </w:r>
          </w:p>
          <w:p>
            <w:pPr>
              <w:widowControl/>
              <w:spacing w:line="360" w:lineRule="auto"/>
              <w:jc w:val="left"/>
              <w:rPr>
                <w:rFonts w:ascii="宋体" w:hAnsi="宋体"/>
                <w:color w:val="000000" w:themeColor="text1"/>
                <w:kern w:val="0"/>
                <w:sz w:val="24"/>
                <w:szCs w:val="21"/>
                <w:highlight w:val="none"/>
                <w14:textFill>
                  <w14:solidFill>
                    <w14:schemeClr w14:val="tx1"/>
                  </w14:solidFill>
                </w14:textFill>
              </w:rPr>
            </w:pPr>
            <w:r>
              <w:rPr>
                <w:rFonts w:hint="eastAsia" w:ascii="宋体" w:hAnsi="宋体"/>
                <w:color w:val="000000" w:themeColor="text1"/>
                <w:kern w:val="0"/>
                <w:sz w:val="24"/>
                <w:szCs w:val="21"/>
                <w:highlight w:val="none"/>
                <w14:textFill>
                  <w14:solidFill>
                    <w14:schemeClr w14:val="tx1"/>
                  </w14:solidFill>
                </w14:textFill>
              </w:rPr>
              <w:t>（一档4-5分）：对项目理解深刻，总体设计先进可行</w:t>
            </w:r>
          </w:p>
          <w:p>
            <w:pPr>
              <w:widowControl/>
              <w:spacing w:line="360" w:lineRule="auto"/>
              <w:jc w:val="left"/>
              <w:rPr>
                <w:rFonts w:ascii="宋体" w:hAnsi="宋体"/>
                <w:color w:val="000000" w:themeColor="text1"/>
                <w:kern w:val="0"/>
                <w:sz w:val="24"/>
                <w:szCs w:val="21"/>
                <w:highlight w:val="none"/>
                <w14:textFill>
                  <w14:solidFill>
                    <w14:schemeClr w14:val="tx1"/>
                  </w14:solidFill>
                </w14:textFill>
              </w:rPr>
            </w:pPr>
            <w:r>
              <w:rPr>
                <w:rFonts w:hint="eastAsia" w:ascii="宋体" w:hAnsi="宋体"/>
                <w:color w:val="000000" w:themeColor="text1"/>
                <w:kern w:val="0"/>
                <w:sz w:val="24"/>
                <w:szCs w:val="21"/>
                <w:highlight w:val="none"/>
                <w14:textFill>
                  <w14:solidFill>
                    <w14:schemeClr w14:val="tx1"/>
                  </w14:solidFill>
                </w14:textFill>
              </w:rPr>
              <w:t>（二档2-3分）：对项目理解准确，方案可行</w:t>
            </w:r>
          </w:p>
          <w:p>
            <w:pPr>
              <w:widowControl/>
              <w:spacing w:line="360" w:lineRule="auto"/>
              <w:jc w:val="left"/>
              <w:rPr>
                <w:rFonts w:ascii="宋体" w:hAnsi="宋体"/>
                <w:color w:val="000000" w:themeColor="text1"/>
                <w:kern w:val="0"/>
                <w:sz w:val="24"/>
                <w:szCs w:val="21"/>
                <w:highlight w:val="none"/>
                <w14:textFill>
                  <w14:solidFill>
                    <w14:schemeClr w14:val="tx1"/>
                  </w14:solidFill>
                </w14:textFill>
              </w:rPr>
            </w:pPr>
            <w:r>
              <w:rPr>
                <w:rFonts w:hint="eastAsia" w:ascii="宋体" w:hAnsi="宋体"/>
                <w:color w:val="000000" w:themeColor="text1"/>
                <w:kern w:val="0"/>
                <w:sz w:val="24"/>
                <w:szCs w:val="21"/>
                <w:highlight w:val="none"/>
                <w14:textFill>
                  <w14:solidFill>
                    <w14:schemeClr w14:val="tx1"/>
                  </w14:solidFill>
                </w14:textFill>
              </w:rPr>
              <w:t>（三档0-1分）：对项目基本理解，理论可行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 w:hRule="atLeast"/>
        </w:trPr>
        <w:tc>
          <w:tcPr>
            <w:tcW w:w="837" w:type="dxa"/>
            <w:tcBorders>
              <w:top w:val="single" w:color="auto" w:sz="4" w:space="0"/>
              <w:left w:val="single" w:color="auto" w:sz="4" w:space="0"/>
              <w:bottom w:val="single" w:color="auto" w:sz="4" w:space="0"/>
              <w:right w:val="single" w:color="auto" w:sz="4" w:space="0"/>
            </w:tcBorders>
            <w:vAlign w:val="center"/>
          </w:tcPr>
          <w:p>
            <w:pPr>
              <w:widowControl/>
              <w:numPr>
                <w:ilvl w:val="0"/>
                <w:numId w:val="7"/>
              </w:numPr>
              <w:spacing w:line="360" w:lineRule="auto"/>
              <w:jc w:val="left"/>
              <w:rPr>
                <w:rFonts w:ascii="宋体" w:hAnsi="宋体"/>
                <w:color w:val="000000" w:themeColor="text1"/>
                <w:kern w:val="0"/>
                <w:sz w:val="24"/>
                <w:szCs w:val="21"/>
                <w:highlight w:val="none"/>
                <w14:textFill>
                  <w14:solidFill>
                    <w14:schemeClr w14:val="tx1"/>
                  </w14:solidFill>
                </w14:textFill>
              </w:rPr>
            </w:pPr>
          </w:p>
        </w:tc>
        <w:tc>
          <w:tcPr>
            <w:tcW w:w="1597"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ascii="宋体" w:hAnsi="宋体"/>
                <w:color w:val="000000" w:themeColor="text1"/>
                <w:kern w:val="0"/>
                <w:sz w:val="24"/>
                <w:szCs w:val="21"/>
                <w:highlight w:val="none"/>
                <w14:textFill>
                  <w14:solidFill>
                    <w14:schemeClr w14:val="tx1"/>
                  </w14:solidFill>
                </w14:textFill>
              </w:rPr>
            </w:pPr>
            <w:r>
              <w:rPr>
                <w:rFonts w:hint="eastAsia" w:ascii="宋体" w:hAnsi="宋体"/>
                <w:color w:val="000000" w:themeColor="text1"/>
                <w:kern w:val="0"/>
                <w:sz w:val="24"/>
                <w:szCs w:val="21"/>
                <w:highlight w:val="none"/>
                <w14:textFill>
                  <w14:solidFill>
                    <w14:schemeClr w14:val="tx1"/>
                  </w14:solidFill>
                </w14:textFill>
              </w:rPr>
              <w:t>建设内容解决方案</w:t>
            </w:r>
          </w:p>
        </w:tc>
        <w:tc>
          <w:tcPr>
            <w:tcW w:w="8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000000" w:themeColor="text1"/>
                <w:kern w:val="0"/>
                <w:sz w:val="24"/>
                <w:szCs w:val="21"/>
                <w:highlight w:val="none"/>
                <w14:textFill>
                  <w14:solidFill>
                    <w14:schemeClr w14:val="tx1"/>
                  </w14:solidFill>
                </w14:textFill>
              </w:rPr>
            </w:pPr>
            <w:r>
              <w:rPr>
                <w:rFonts w:hint="eastAsia" w:ascii="宋体" w:hAnsi="宋体"/>
                <w:color w:val="000000" w:themeColor="text1"/>
                <w:kern w:val="0"/>
                <w:sz w:val="24"/>
                <w:szCs w:val="21"/>
                <w:highlight w:val="none"/>
                <w14:textFill>
                  <w14:solidFill>
                    <w14:schemeClr w14:val="tx1"/>
                  </w14:solidFill>
                </w14:textFill>
              </w:rPr>
              <w:t>9分</w:t>
            </w:r>
          </w:p>
        </w:tc>
        <w:tc>
          <w:tcPr>
            <w:tcW w:w="52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themeColor="text1"/>
                <w:kern w:val="0"/>
                <w:sz w:val="24"/>
                <w:szCs w:val="21"/>
                <w:highlight w:val="none"/>
                <w14:textFill>
                  <w14:solidFill>
                    <w14:schemeClr w14:val="tx1"/>
                  </w14:solidFill>
                </w14:textFill>
              </w:rPr>
            </w:pPr>
            <w:r>
              <w:rPr>
                <w:rFonts w:hint="eastAsia" w:ascii="宋体" w:hAnsi="宋体"/>
                <w:color w:val="000000" w:themeColor="text1"/>
                <w:kern w:val="0"/>
                <w:sz w:val="24"/>
                <w:szCs w:val="21"/>
                <w:highlight w:val="none"/>
                <w14:textFill>
                  <w14:solidFill>
                    <w14:schemeClr w14:val="tx1"/>
                  </w14:solidFill>
                </w14:textFill>
              </w:rPr>
              <w:t xml:space="preserve">投标人是否能够满足本项目招标文件的实际需求和医院的实际应用需要。评委根据投标方案阐述进行综合打分。 </w:t>
            </w:r>
          </w:p>
          <w:p>
            <w:pPr>
              <w:widowControl/>
              <w:spacing w:line="360" w:lineRule="auto"/>
              <w:jc w:val="left"/>
              <w:rPr>
                <w:rFonts w:ascii="宋体" w:hAnsi="宋体"/>
                <w:color w:val="000000" w:themeColor="text1"/>
                <w:kern w:val="0"/>
                <w:sz w:val="24"/>
                <w:szCs w:val="21"/>
                <w:highlight w:val="none"/>
                <w14:textFill>
                  <w14:solidFill>
                    <w14:schemeClr w14:val="tx1"/>
                  </w14:solidFill>
                </w14:textFill>
              </w:rPr>
            </w:pPr>
            <w:r>
              <w:rPr>
                <w:rFonts w:hint="eastAsia" w:ascii="宋体" w:hAnsi="宋体"/>
                <w:color w:val="000000" w:themeColor="text1"/>
                <w:kern w:val="0"/>
                <w:sz w:val="24"/>
                <w:szCs w:val="21"/>
                <w:highlight w:val="none"/>
                <w14:textFill>
                  <w14:solidFill>
                    <w14:schemeClr w14:val="tx1"/>
                  </w14:solidFill>
                </w14:textFill>
              </w:rPr>
              <w:t>（一档7-9分）：技术先进、功能完善、符合实际需要，并能在招标需求基础上提出建设性内容</w:t>
            </w:r>
          </w:p>
          <w:p>
            <w:pPr>
              <w:widowControl/>
              <w:spacing w:line="360" w:lineRule="auto"/>
              <w:jc w:val="left"/>
              <w:rPr>
                <w:rFonts w:ascii="宋体" w:hAnsi="宋体"/>
                <w:color w:val="000000" w:themeColor="text1"/>
                <w:kern w:val="0"/>
                <w:sz w:val="24"/>
                <w:szCs w:val="21"/>
                <w:highlight w:val="none"/>
                <w14:textFill>
                  <w14:solidFill>
                    <w14:schemeClr w14:val="tx1"/>
                  </w14:solidFill>
                </w14:textFill>
              </w:rPr>
            </w:pPr>
            <w:r>
              <w:rPr>
                <w:rFonts w:hint="eastAsia" w:ascii="宋体" w:hAnsi="宋体"/>
                <w:color w:val="000000" w:themeColor="text1"/>
                <w:kern w:val="0"/>
                <w:sz w:val="24"/>
                <w:szCs w:val="21"/>
                <w:highlight w:val="none"/>
                <w14:textFill>
                  <w14:solidFill>
                    <w14:schemeClr w14:val="tx1"/>
                  </w14:solidFill>
                </w14:textFill>
              </w:rPr>
              <w:t>（二档（4-6分）：技术先进、功能完善、符合实际需要</w:t>
            </w:r>
          </w:p>
          <w:p>
            <w:pPr>
              <w:widowControl/>
              <w:spacing w:line="360" w:lineRule="auto"/>
              <w:jc w:val="left"/>
              <w:rPr>
                <w:rFonts w:ascii="宋体" w:hAnsi="宋体"/>
                <w:color w:val="000000" w:themeColor="text1"/>
                <w:kern w:val="0"/>
                <w:sz w:val="24"/>
                <w:szCs w:val="21"/>
                <w:highlight w:val="none"/>
                <w14:textFill>
                  <w14:solidFill>
                    <w14:schemeClr w14:val="tx1"/>
                  </w14:solidFill>
                </w14:textFill>
              </w:rPr>
            </w:pPr>
            <w:r>
              <w:rPr>
                <w:rFonts w:hint="eastAsia" w:ascii="宋体" w:hAnsi="宋体"/>
                <w:color w:val="000000" w:themeColor="text1"/>
                <w:kern w:val="0"/>
                <w:sz w:val="24"/>
                <w:szCs w:val="21"/>
                <w:highlight w:val="none"/>
                <w14:textFill>
                  <w14:solidFill>
                    <w14:schemeClr w14:val="tx1"/>
                  </w14:solidFill>
                </w14:textFill>
              </w:rPr>
              <w:t>（三档0-3分）：符合招标需求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 w:hRule="atLeast"/>
        </w:trPr>
        <w:tc>
          <w:tcPr>
            <w:tcW w:w="837" w:type="dxa"/>
            <w:tcBorders>
              <w:top w:val="single" w:color="auto" w:sz="4" w:space="0"/>
              <w:left w:val="single" w:color="auto" w:sz="4" w:space="0"/>
              <w:bottom w:val="single" w:color="auto" w:sz="4" w:space="0"/>
              <w:right w:val="single" w:color="auto" w:sz="4" w:space="0"/>
            </w:tcBorders>
            <w:vAlign w:val="center"/>
          </w:tcPr>
          <w:p>
            <w:pPr>
              <w:widowControl/>
              <w:numPr>
                <w:ilvl w:val="0"/>
                <w:numId w:val="7"/>
              </w:numPr>
              <w:spacing w:line="360" w:lineRule="auto"/>
              <w:jc w:val="left"/>
              <w:rPr>
                <w:rFonts w:ascii="宋体" w:hAnsi="宋体"/>
                <w:color w:val="000000" w:themeColor="text1"/>
                <w:kern w:val="0"/>
                <w:sz w:val="24"/>
                <w:szCs w:val="21"/>
                <w:highlight w:val="none"/>
                <w14:textFill>
                  <w14:solidFill>
                    <w14:schemeClr w14:val="tx1"/>
                  </w14:solidFill>
                </w14:textFill>
              </w:rPr>
            </w:pPr>
          </w:p>
        </w:tc>
        <w:tc>
          <w:tcPr>
            <w:tcW w:w="1597"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000000" w:themeColor="text1"/>
                <w:kern w:val="0"/>
                <w:sz w:val="24"/>
                <w:szCs w:val="21"/>
                <w:highlight w:val="none"/>
                <w14:textFill>
                  <w14:solidFill>
                    <w14:schemeClr w14:val="tx1"/>
                  </w14:solidFill>
                </w14:textFill>
              </w:rPr>
            </w:pPr>
          </w:p>
        </w:tc>
        <w:tc>
          <w:tcPr>
            <w:tcW w:w="8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000000" w:themeColor="text1"/>
                <w:kern w:val="0"/>
                <w:sz w:val="24"/>
                <w:szCs w:val="21"/>
                <w:highlight w:val="none"/>
                <w14:textFill>
                  <w14:solidFill>
                    <w14:schemeClr w14:val="tx1"/>
                  </w14:solidFill>
                </w14:textFill>
              </w:rPr>
            </w:pPr>
            <w:r>
              <w:rPr>
                <w:rFonts w:hint="eastAsia" w:ascii="宋体" w:hAnsi="宋体"/>
                <w:color w:val="000000" w:themeColor="text1"/>
                <w:kern w:val="0"/>
                <w:sz w:val="24"/>
                <w:szCs w:val="21"/>
                <w:highlight w:val="none"/>
                <w14:textFill>
                  <w14:solidFill>
                    <w14:schemeClr w14:val="tx1"/>
                  </w14:solidFill>
                </w14:textFill>
              </w:rPr>
              <w:t>3分</w:t>
            </w:r>
          </w:p>
        </w:tc>
        <w:tc>
          <w:tcPr>
            <w:tcW w:w="52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themeColor="text1"/>
                <w:kern w:val="0"/>
                <w:sz w:val="24"/>
                <w:szCs w:val="21"/>
                <w:highlight w:val="none"/>
                <w14:textFill>
                  <w14:solidFill>
                    <w14:schemeClr w14:val="tx1"/>
                  </w14:solidFill>
                </w14:textFill>
              </w:rPr>
            </w:pPr>
            <w:r>
              <w:rPr>
                <w:rFonts w:hint="eastAsia" w:ascii="宋体" w:hAnsi="宋体"/>
                <w:color w:val="000000" w:themeColor="text1"/>
                <w:kern w:val="0"/>
                <w:sz w:val="24"/>
                <w:szCs w:val="21"/>
                <w:highlight w:val="none"/>
                <w14:textFill>
                  <w14:solidFill>
                    <w14:schemeClr w14:val="tx1"/>
                  </w14:solidFill>
                </w14:textFill>
              </w:rPr>
              <w:t xml:space="preserve">投标人能根据玉环市人民医院健共体集团实际情况，提出健共体建设解决方案供医院后期信息化建设参考。评委根据提供的方案阐述进行综合打分。 </w:t>
            </w:r>
          </w:p>
          <w:p>
            <w:pPr>
              <w:widowControl/>
              <w:spacing w:line="360" w:lineRule="auto"/>
              <w:jc w:val="left"/>
              <w:rPr>
                <w:rFonts w:ascii="宋体" w:hAnsi="宋体"/>
                <w:color w:val="000000" w:themeColor="text1"/>
                <w:kern w:val="0"/>
                <w:sz w:val="24"/>
                <w:szCs w:val="21"/>
                <w:highlight w:val="none"/>
                <w14:textFill>
                  <w14:solidFill>
                    <w14:schemeClr w14:val="tx1"/>
                  </w14:solidFill>
                </w14:textFill>
              </w:rPr>
            </w:pPr>
            <w:r>
              <w:rPr>
                <w:rFonts w:hint="eastAsia" w:ascii="宋体" w:hAnsi="宋体"/>
                <w:color w:val="000000" w:themeColor="text1"/>
                <w:kern w:val="0"/>
                <w:sz w:val="24"/>
                <w:szCs w:val="21"/>
                <w:highlight w:val="none"/>
                <w14:textFill>
                  <w14:solidFill>
                    <w14:schemeClr w14:val="tx1"/>
                  </w14:solidFill>
                </w14:textFill>
              </w:rPr>
              <w:t>（一档3分）：方案先进合理、符合实际需要</w:t>
            </w:r>
          </w:p>
          <w:p>
            <w:pPr>
              <w:widowControl/>
              <w:spacing w:line="360" w:lineRule="auto"/>
              <w:jc w:val="left"/>
              <w:rPr>
                <w:rFonts w:ascii="宋体" w:hAnsi="宋体"/>
                <w:color w:val="000000" w:themeColor="text1"/>
                <w:kern w:val="0"/>
                <w:sz w:val="24"/>
                <w:szCs w:val="21"/>
                <w:highlight w:val="none"/>
                <w14:textFill>
                  <w14:solidFill>
                    <w14:schemeClr w14:val="tx1"/>
                  </w14:solidFill>
                </w14:textFill>
              </w:rPr>
            </w:pPr>
            <w:r>
              <w:rPr>
                <w:rFonts w:hint="eastAsia" w:ascii="宋体" w:hAnsi="宋体"/>
                <w:color w:val="000000" w:themeColor="text1"/>
                <w:kern w:val="0"/>
                <w:sz w:val="24"/>
                <w:szCs w:val="21"/>
                <w:highlight w:val="none"/>
                <w14:textFill>
                  <w14:solidFill>
                    <w14:schemeClr w14:val="tx1"/>
                  </w14:solidFill>
                </w14:textFill>
              </w:rPr>
              <w:t>（二档2分）：方案符合实际需要</w:t>
            </w:r>
          </w:p>
          <w:p>
            <w:pPr>
              <w:widowControl/>
              <w:spacing w:line="360" w:lineRule="auto"/>
              <w:jc w:val="left"/>
              <w:rPr>
                <w:rFonts w:ascii="宋体" w:hAnsi="宋体"/>
                <w:color w:val="000000" w:themeColor="text1"/>
                <w:kern w:val="0"/>
                <w:sz w:val="24"/>
                <w:szCs w:val="21"/>
                <w:highlight w:val="none"/>
                <w14:textFill>
                  <w14:solidFill>
                    <w14:schemeClr w14:val="tx1"/>
                  </w14:solidFill>
                </w14:textFill>
              </w:rPr>
            </w:pPr>
            <w:r>
              <w:rPr>
                <w:rFonts w:hint="eastAsia" w:ascii="宋体" w:hAnsi="宋体"/>
                <w:color w:val="000000" w:themeColor="text1"/>
                <w:kern w:val="0"/>
                <w:sz w:val="24"/>
                <w:szCs w:val="21"/>
                <w:highlight w:val="none"/>
                <w14:textFill>
                  <w14:solidFill>
                    <w14:schemeClr w14:val="tx1"/>
                  </w14:solidFill>
                </w14:textFill>
              </w:rPr>
              <w:t>（三档1分）：方案一般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 w:hRule="atLeast"/>
        </w:trPr>
        <w:tc>
          <w:tcPr>
            <w:tcW w:w="837" w:type="dxa"/>
            <w:tcBorders>
              <w:top w:val="single" w:color="auto" w:sz="4" w:space="0"/>
              <w:left w:val="single" w:color="auto" w:sz="4" w:space="0"/>
              <w:bottom w:val="single" w:color="auto" w:sz="4" w:space="0"/>
              <w:right w:val="single" w:color="auto" w:sz="4" w:space="0"/>
            </w:tcBorders>
            <w:vAlign w:val="center"/>
          </w:tcPr>
          <w:p>
            <w:pPr>
              <w:widowControl/>
              <w:numPr>
                <w:ilvl w:val="0"/>
                <w:numId w:val="7"/>
              </w:numPr>
              <w:spacing w:line="360" w:lineRule="auto"/>
              <w:jc w:val="left"/>
              <w:rPr>
                <w:rFonts w:ascii="宋体" w:hAnsi="宋体"/>
                <w:color w:val="000000" w:themeColor="text1"/>
                <w:kern w:val="0"/>
                <w:sz w:val="24"/>
                <w:szCs w:val="21"/>
                <w:highlight w:val="none"/>
                <w14:textFill>
                  <w14:solidFill>
                    <w14:schemeClr w14:val="tx1"/>
                  </w14:solidFill>
                </w14:textFill>
              </w:rPr>
            </w:pPr>
          </w:p>
        </w:tc>
        <w:tc>
          <w:tcPr>
            <w:tcW w:w="159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000000" w:themeColor="text1"/>
                <w:kern w:val="0"/>
                <w:sz w:val="24"/>
                <w:szCs w:val="21"/>
                <w:highlight w:val="none"/>
                <w14:textFill>
                  <w14:solidFill>
                    <w14:schemeClr w14:val="tx1"/>
                  </w14:solidFill>
                </w14:textFill>
              </w:rPr>
            </w:pPr>
            <w:r>
              <w:rPr>
                <w:rFonts w:hint="eastAsia" w:ascii="宋体" w:hAnsi="宋体"/>
                <w:color w:val="000000" w:themeColor="text1"/>
                <w:kern w:val="0"/>
                <w:sz w:val="24"/>
                <w:szCs w:val="21"/>
                <w:highlight w:val="none"/>
                <w14:textFill>
                  <w14:solidFill>
                    <w14:schemeClr w14:val="tx1"/>
                  </w14:solidFill>
                </w14:textFill>
              </w:rPr>
              <w:t>项目管理方案</w:t>
            </w:r>
          </w:p>
        </w:tc>
        <w:tc>
          <w:tcPr>
            <w:tcW w:w="8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000000" w:themeColor="text1"/>
                <w:kern w:val="0"/>
                <w:sz w:val="24"/>
                <w:szCs w:val="21"/>
                <w:highlight w:val="none"/>
                <w14:textFill>
                  <w14:solidFill>
                    <w14:schemeClr w14:val="tx1"/>
                  </w14:solidFill>
                </w14:textFill>
              </w:rPr>
            </w:pPr>
            <w:r>
              <w:rPr>
                <w:rFonts w:hint="eastAsia" w:ascii="宋体" w:hAnsi="宋体"/>
                <w:color w:val="000000" w:themeColor="text1"/>
                <w:kern w:val="0"/>
                <w:sz w:val="24"/>
                <w:szCs w:val="21"/>
                <w:highlight w:val="none"/>
                <w14:textFill>
                  <w14:solidFill>
                    <w14:schemeClr w14:val="tx1"/>
                  </w14:solidFill>
                </w14:textFill>
              </w:rPr>
              <w:t>5分</w:t>
            </w:r>
          </w:p>
        </w:tc>
        <w:tc>
          <w:tcPr>
            <w:tcW w:w="52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themeColor="text1"/>
                <w:kern w:val="0"/>
                <w:sz w:val="24"/>
                <w:szCs w:val="21"/>
                <w:highlight w:val="none"/>
                <w14:textFill>
                  <w14:solidFill>
                    <w14:schemeClr w14:val="tx1"/>
                  </w14:solidFill>
                </w14:textFill>
              </w:rPr>
            </w:pPr>
            <w:r>
              <w:rPr>
                <w:rFonts w:hint="eastAsia" w:ascii="宋体" w:hAnsi="宋体"/>
                <w:color w:val="000000" w:themeColor="text1"/>
                <w:kern w:val="0"/>
                <w:sz w:val="24"/>
                <w:szCs w:val="21"/>
                <w:highlight w:val="none"/>
                <w14:textFill>
                  <w14:solidFill>
                    <w14:schemeClr w14:val="tx1"/>
                  </w14:solidFill>
                </w14:textFill>
              </w:rPr>
              <w:t>投标人具有成熟可靠的项目实施标准规范、并具有必要的质量管理体系，能保证项目正常稳定实施并保证产品稳定运行。评委根据投标方案阐述进行综合打分。</w:t>
            </w:r>
          </w:p>
          <w:p>
            <w:pPr>
              <w:widowControl/>
              <w:spacing w:line="360" w:lineRule="auto"/>
              <w:jc w:val="left"/>
              <w:rPr>
                <w:rFonts w:ascii="宋体" w:hAnsi="宋体"/>
                <w:color w:val="000000" w:themeColor="text1"/>
                <w:kern w:val="0"/>
                <w:sz w:val="24"/>
                <w:szCs w:val="21"/>
                <w:highlight w:val="none"/>
                <w14:textFill>
                  <w14:solidFill>
                    <w14:schemeClr w14:val="tx1"/>
                  </w14:solidFill>
                </w14:textFill>
              </w:rPr>
            </w:pPr>
            <w:r>
              <w:rPr>
                <w:rFonts w:hint="eastAsia" w:ascii="宋体" w:hAnsi="宋体"/>
                <w:color w:val="000000" w:themeColor="text1"/>
                <w:kern w:val="0"/>
                <w:sz w:val="24"/>
                <w:szCs w:val="21"/>
                <w:highlight w:val="none"/>
                <w14:textFill>
                  <w14:solidFill>
                    <w14:schemeClr w14:val="tx1"/>
                  </w14:solidFill>
                </w14:textFill>
              </w:rPr>
              <w:t>（一档4-5分）：项目实施标准规范，质量保证体系具有实际操作性。</w:t>
            </w:r>
          </w:p>
          <w:p>
            <w:pPr>
              <w:widowControl/>
              <w:spacing w:line="360" w:lineRule="auto"/>
              <w:jc w:val="left"/>
              <w:rPr>
                <w:rFonts w:ascii="宋体" w:hAnsi="宋体"/>
                <w:color w:val="000000" w:themeColor="text1"/>
                <w:kern w:val="0"/>
                <w:sz w:val="24"/>
                <w:szCs w:val="21"/>
                <w:highlight w:val="none"/>
                <w14:textFill>
                  <w14:solidFill>
                    <w14:schemeClr w14:val="tx1"/>
                  </w14:solidFill>
                </w14:textFill>
              </w:rPr>
            </w:pPr>
            <w:r>
              <w:rPr>
                <w:rFonts w:hint="eastAsia" w:ascii="宋体" w:hAnsi="宋体"/>
                <w:color w:val="000000" w:themeColor="text1"/>
                <w:kern w:val="0"/>
                <w:sz w:val="24"/>
                <w:szCs w:val="21"/>
                <w:highlight w:val="none"/>
                <w14:textFill>
                  <w14:solidFill>
                    <w14:schemeClr w14:val="tx1"/>
                  </w14:solidFill>
                </w14:textFill>
              </w:rPr>
              <w:t>（二档2-3分）：项目实施符合规范，质量管理体系基本可行。</w:t>
            </w:r>
          </w:p>
          <w:p>
            <w:pPr>
              <w:widowControl/>
              <w:spacing w:line="360" w:lineRule="auto"/>
              <w:jc w:val="left"/>
              <w:rPr>
                <w:rFonts w:ascii="宋体" w:hAnsi="宋体"/>
                <w:color w:val="000000" w:themeColor="text1"/>
                <w:kern w:val="0"/>
                <w:sz w:val="24"/>
                <w:szCs w:val="21"/>
                <w:highlight w:val="none"/>
                <w14:textFill>
                  <w14:solidFill>
                    <w14:schemeClr w14:val="tx1"/>
                  </w14:solidFill>
                </w14:textFill>
              </w:rPr>
            </w:pPr>
            <w:r>
              <w:rPr>
                <w:rFonts w:hint="eastAsia" w:ascii="宋体" w:hAnsi="宋体"/>
                <w:color w:val="000000" w:themeColor="text1"/>
                <w:kern w:val="0"/>
                <w:sz w:val="24"/>
                <w:szCs w:val="21"/>
                <w:highlight w:val="none"/>
                <w14:textFill>
                  <w14:solidFill>
                    <w14:schemeClr w14:val="tx1"/>
                  </w14:solidFill>
                </w14:textFill>
              </w:rPr>
              <w:t>（三档0-1分）：项目实施基本规范，质量管理体系理论可行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 w:hRule="atLeast"/>
        </w:trPr>
        <w:tc>
          <w:tcPr>
            <w:tcW w:w="837" w:type="dxa"/>
            <w:tcBorders>
              <w:top w:val="single" w:color="auto" w:sz="4" w:space="0"/>
              <w:left w:val="single" w:color="auto" w:sz="4" w:space="0"/>
              <w:bottom w:val="single" w:color="auto" w:sz="4" w:space="0"/>
              <w:right w:val="single" w:color="auto" w:sz="4" w:space="0"/>
            </w:tcBorders>
            <w:vAlign w:val="center"/>
          </w:tcPr>
          <w:p>
            <w:pPr>
              <w:widowControl/>
              <w:numPr>
                <w:ilvl w:val="0"/>
                <w:numId w:val="7"/>
              </w:numPr>
              <w:tabs>
                <w:tab w:val="left" w:pos="420"/>
              </w:tabs>
              <w:spacing w:line="360" w:lineRule="auto"/>
              <w:rPr>
                <w:rFonts w:ascii="宋体" w:hAnsi="宋体"/>
                <w:color w:val="000000" w:themeColor="text1"/>
                <w:kern w:val="0"/>
                <w:sz w:val="24"/>
                <w:szCs w:val="21"/>
                <w:highlight w:val="none"/>
                <w14:textFill>
                  <w14:solidFill>
                    <w14:schemeClr w14:val="tx1"/>
                  </w14:solidFill>
                </w14:textFill>
              </w:rPr>
            </w:pPr>
          </w:p>
        </w:tc>
        <w:tc>
          <w:tcPr>
            <w:tcW w:w="159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000000" w:themeColor="text1"/>
                <w:kern w:val="0"/>
                <w:sz w:val="24"/>
                <w:szCs w:val="21"/>
                <w:highlight w:val="none"/>
                <w14:textFill>
                  <w14:solidFill>
                    <w14:schemeClr w14:val="tx1"/>
                  </w14:solidFill>
                </w14:textFill>
              </w:rPr>
            </w:pPr>
            <w:r>
              <w:rPr>
                <w:rFonts w:hint="eastAsia" w:ascii="宋体" w:hAnsi="宋体"/>
                <w:color w:val="000000" w:themeColor="text1"/>
                <w:kern w:val="0"/>
                <w:sz w:val="24"/>
                <w:szCs w:val="21"/>
                <w:highlight w:val="none"/>
                <w14:textFill>
                  <w14:solidFill>
                    <w14:schemeClr w14:val="tx1"/>
                  </w14:solidFill>
                </w14:textFill>
              </w:rPr>
              <w:t>项目实施周期计划</w:t>
            </w:r>
          </w:p>
        </w:tc>
        <w:tc>
          <w:tcPr>
            <w:tcW w:w="8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000000" w:themeColor="text1"/>
                <w:kern w:val="0"/>
                <w:sz w:val="24"/>
                <w:szCs w:val="21"/>
                <w:highlight w:val="none"/>
                <w14:textFill>
                  <w14:solidFill>
                    <w14:schemeClr w14:val="tx1"/>
                  </w14:solidFill>
                </w14:textFill>
              </w:rPr>
            </w:pPr>
            <w:r>
              <w:rPr>
                <w:rFonts w:hint="eastAsia" w:ascii="宋体" w:hAnsi="宋体"/>
                <w:color w:val="000000" w:themeColor="text1"/>
                <w:kern w:val="0"/>
                <w:sz w:val="24"/>
                <w:szCs w:val="21"/>
                <w:highlight w:val="none"/>
                <w14:textFill>
                  <w14:solidFill>
                    <w14:schemeClr w14:val="tx1"/>
                  </w14:solidFill>
                </w14:textFill>
              </w:rPr>
              <w:t>3分</w:t>
            </w:r>
          </w:p>
        </w:tc>
        <w:tc>
          <w:tcPr>
            <w:tcW w:w="5217"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宋体" w:hAnsi="宋体"/>
                <w:color w:val="000000" w:themeColor="text1"/>
                <w:kern w:val="0"/>
                <w:sz w:val="24"/>
                <w:szCs w:val="21"/>
                <w:highlight w:val="none"/>
                <w14:textFill>
                  <w14:solidFill>
                    <w14:schemeClr w14:val="tx1"/>
                  </w14:solidFill>
                </w14:textFill>
              </w:rPr>
            </w:pPr>
            <w:r>
              <w:rPr>
                <w:rFonts w:hint="eastAsia" w:ascii="宋体" w:hAnsi="宋体"/>
                <w:color w:val="000000" w:themeColor="text1"/>
                <w:kern w:val="0"/>
                <w:sz w:val="24"/>
                <w:szCs w:val="21"/>
                <w:highlight w:val="none"/>
                <w14:textFill>
                  <w14:solidFill>
                    <w14:schemeClr w14:val="tx1"/>
                  </w14:solidFill>
                </w14:textFill>
              </w:rPr>
              <w:t>投标人制定的项目实施计划切实可行，能够遵循项目实施原则并根据项目建设实际需要合理安排项目建设进度和周期计划。评委根据投标方案阐述进行酌情打分。</w:t>
            </w:r>
          </w:p>
          <w:p>
            <w:pPr>
              <w:widowControl/>
              <w:spacing w:line="360" w:lineRule="auto"/>
              <w:jc w:val="left"/>
              <w:rPr>
                <w:rFonts w:ascii="宋体" w:hAnsi="宋体"/>
                <w:color w:val="000000" w:themeColor="text1"/>
                <w:kern w:val="0"/>
                <w:sz w:val="24"/>
                <w:szCs w:val="21"/>
                <w:highlight w:val="none"/>
                <w14:textFill>
                  <w14:solidFill>
                    <w14:schemeClr w14:val="tx1"/>
                  </w14:solidFill>
                </w14:textFill>
              </w:rPr>
            </w:pPr>
            <w:r>
              <w:rPr>
                <w:rFonts w:hint="eastAsia" w:ascii="宋体" w:hAnsi="宋体"/>
                <w:color w:val="000000" w:themeColor="text1"/>
                <w:kern w:val="0"/>
                <w:sz w:val="24"/>
                <w:szCs w:val="21"/>
                <w:highlight w:val="none"/>
                <w14:textFill>
                  <w14:solidFill>
                    <w14:schemeClr w14:val="tx1"/>
                  </w14:solidFill>
                </w14:textFill>
              </w:rPr>
              <w:t>（一档3分）：建设周期安排合理，具有实际操作性</w:t>
            </w:r>
          </w:p>
          <w:p>
            <w:pPr>
              <w:widowControl/>
              <w:spacing w:line="360" w:lineRule="auto"/>
              <w:jc w:val="left"/>
              <w:rPr>
                <w:rFonts w:ascii="宋体" w:hAnsi="宋体"/>
                <w:color w:val="000000" w:themeColor="text1"/>
                <w:kern w:val="0"/>
                <w:sz w:val="24"/>
                <w:szCs w:val="21"/>
                <w:highlight w:val="none"/>
                <w14:textFill>
                  <w14:solidFill>
                    <w14:schemeClr w14:val="tx1"/>
                  </w14:solidFill>
                </w14:textFill>
              </w:rPr>
            </w:pPr>
            <w:r>
              <w:rPr>
                <w:rFonts w:hint="eastAsia" w:ascii="宋体" w:hAnsi="宋体"/>
                <w:color w:val="000000" w:themeColor="text1"/>
                <w:kern w:val="0"/>
                <w:sz w:val="24"/>
                <w:szCs w:val="21"/>
                <w:highlight w:val="none"/>
                <w14:textFill>
                  <w14:solidFill>
                    <w14:schemeClr w14:val="tx1"/>
                  </w14:solidFill>
                </w14:textFill>
              </w:rPr>
              <w:t>（二档2分）：建设进度计划基本可行</w:t>
            </w:r>
          </w:p>
          <w:p>
            <w:pPr>
              <w:widowControl/>
              <w:spacing w:line="360" w:lineRule="auto"/>
              <w:jc w:val="left"/>
              <w:rPr>
                <w:rFonts w:ascii="宋体" w:hAnsi="宋体"/>
                <w:color w:val="000000" w:themeColor="text1"/>
                <w:kern w:val="0"/>
                <w:sz w:val="24"/>
                <w:szCs w:val="21"/>
                <w:highlight w:val="none"/>
                <w14:textFill>
                  <w14:solidFill>
                    <w14:schemeClr w14:val="tx1"/>
                  </w14:solidFill>
                </w14:textFill>
              </w:rPr>
            </w:pPr>
            <w:r>
              <w:rPr>
                <w:rFonts w:hint="eastAsia" w:ascii="宋体" w:hAnsi="宋体"/>
                <w:color w:val="000000" w:themeColor="text1"/>
                <w:kern w:val="0"/>
                <w:sz w:val="24"/>
                <w:szCs w:val="21"/>
                <w:highlight w:val="none"/>
                <w14:textFill>
                  <w14:solidFill>
                    <w14:schemeClr w14:val="tx1"/>
                  </w14:solidFill>
                </w14:textFill>
              </w:rPr>
              <w:t>（三档1分）：工期进度安排理论可行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837" w:type="dxa"/>
            <w:vMerge w:val="restart"/>
            <w:tcBorders>
              <w:top w:val="single" w:color="auto" w:sz="4" w:space="0"/>
              <w:left w:val="single" w:color="auto" w:sz="4" w:space="0"/>
              <w:bottom w:val="single" w:color="auto" w:sz="4" w:space="0"/>
              <w:right w:val="single" w:color="auto" w:sz="4" w:space="0"/>
            </w:tcBorders>
            <w:vAlign w:val="center"/>
          </w:tcPr>
          <w:p>
            <w:pPr>
              <w:widowControl/>
              <w:numPr>
                <w:ilvl w:val="0"/>
                <w:numId w:val="7"/>
              </w:numPr>
              <w:spacing w:line="360" w:lineRule="auto"/>
              <w:rPr>
                <w:rFonts w:ascii="宋体" w:hAnsi="宋体"/>
                <w:color w:val="000000" w:themeColor="text1"/>
                <w:kern w:val="0"/>
                <w:sz w:val="24"/>
                <w:szCs w:val="21"/>
                <w:highlight w:val="none"/>
                <w14:textFill>
                  <w14:solidFill>
                    <w14:schemeClr w14:val="tx1"/>
                  </w14:solidFill>
                </w14:textFill>
              </w:rPr>
            </w:pPr>
          </w:p>
        </w:tc>
        <w:tc>
          <w:tcPr>
            <w:tcW w:w="159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000000" w:themeColor="text1"/>
                <w:kern w:val="0"/>
                <w:sz w:val="24"/>
                <w:szCs w:val="21"/>
                <w:highlight w:val="none"/>
                <w14:textFill>
                  <w14:solidFill>
                    <w14:schemeClr w14:val="tx1"/>
                  </w14:solidFill>
                </w14:textFill>
              </w:rPr>
            </w:pPr>
            <w:r>
              <w:rPr>
                <w:rFonts w:hint="eastAsia" w:ascii="宋体" w:hAnsi="宋体"/>
                <w:color w:val="000000" w:themeColor="text1"/>
                <w:kern w:val="0"/>
                <w:sz w:val="24"/>
                <w:szCs w:val="21"/>
                <w:highlight w:val="none"/>
                <w14:textFill>
                  <w14:solidFill>
                    <w14:schemeClr w14:val="tx1"/>
                  </w14:solidFill>
                </w14:textFill>
              </w:rPr>
              <w:t>项目团队保障</w:t>
            </w:r>
          </w:p>
        </w:tc>
        <w:tc>
          <w:tcPr>
            <w:tcW w:w="87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000000" w:themeColor="text1"/>
                <w:kern w:val="0"/>
                <w:sz w:val="24"/>
                <w:szCs w:val="21"/>
                <w:highlight w:val="none"/>
                <w14:textFill>
                  <w14:solidFill>
                    <w14:schemeClr w14:val="tx1"/>
                  </w14:solidFill>
                </w14:textFill>
              </w:rPr>
            </w:pPr>
            <w:r>
              <w:rPr>
                <w:rFonts w:hint="eastAsia" w:ascii="宋体" w:hAnsi="宋体"/>
                <w:color w:val="000000" w:themeColor="text1"/>
                <w:kern w:val="0"/>
                <w:sz w:val="24"/>
                <w:szCs w:val="21"/>
                <w:highlight w:val="none"/>
                <w14:textFill>
                  <w14:solidFill>
                    <w14:schemeClr w14:val="tx1"/>
                  </w14:solidFill>
                </w14:textFill>
              </w:rPr>
              <w:t>5分</w:t>
            </w:r>
          </w:p>
        </w:tc>
        <w:tc>
          <w:tcPr>
            <w:tcW w:w="5217"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宋体" w:hAnsi="宋体"/>
                <w:color w:val="000000" w:themeColor="text1"/>
                <w:kern w:val="0"/>
                <w:sz w:val="24"/>
                <w:szCs w:val="21"/>
                <w:highlight w:val="none"/>
                <w14:textFill>
                  <w14:solidFill>
                    <w14:schemeClr w14:val="tx1"/>
                  </w14:solidFill>
                </w14:textFill>
              </w:rPr>
            </w:pPr>
            <w:r>
              <w:rPr>
                <w:rFonts w:hint="eastAsia" w:ascii="宋体" w:hAnsi="宋体"/>
                <w:color w:val="000000" w:themeColor="text1"/>
                <w:kern w:val="0"/>
                <w:sz w:val="24"/>
                <w:szCs w:val="21"/>
                <w:highlight w:val="none"/>
                <w14:textFill>
                  <w14:solidFill>
                    <w14:schemeClr w14:val="tx1"/>
                  </w14:solidFill>
                </w14:textFill>
              </w:rPr>
              <w:t>投标人为本项目安排的项目经理同时具有高级项目经理、高级信息系统项目管理师、高级工程师资质，且具有担任医疗卫生信息化项目项目经理工作经验。需提供个人资质证书、最近三个月在公司缴纳社保证明材料以及用户出具的项目经验证明复印件，完全满足的得2分，缺一项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8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4"/>
                <w:szCs w:val="21"/>
                <w:highlight w:val="none"/>
                <w14:textFill>
                  <w14:solidFill>
                    <w14:schemeClr w14:val="tx1"/>
                  </w14:solidFill>
                </w14:textFill>
              </w:rPr>
            </w:pPr>
          </w:p>
        </w:tc>
        <w:tc>
          <w:tcPr>
            <w:tcW w:w="1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4"/>
                <w:szCs w:val="21"/>
                <w:highlight w:val="none"/>
                <w14:textFill>
                  <w14:solidFill>
                    <w14:schemeClr w14:val="tx1"/>
                  </w14:solidFill>
                </w14:textFill>
              </w:rPr>
            </w:pPr>
          </w:p>
        </w:tc>
        <w:tc>
          <w:tcPr>
            <w:tcW w:w="87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4"/>
                <w:szCs w:val="21"/>
                <w:highlight w:val="none"/>
                <w14:textFill>
                  <w14:solidFill>
                    <w14:schemeClr w14:val="tx1"/>
                  </w14:solidFill>
                </w14:textFill>
              </w:rPr>
            </w:pPr>
          </w:p>
        </w:tc>
        <w:tc>
          <w:tcPr>
            <w:tcW w:w="5217"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宋体" w:hAnsi="宋体"/>
                <w:color w:val="000000" w:themeColor="text1"/>
                <w:kern w:val="0"/>
                <w:sz w:val="24"/>
                <w:szCs w:val="21"/>
                <w:highlight w:val="none"/>
                <w14:textFill>
                  <w14:solidFill>
                    <w14:schemeClr w14:val="tx1"/>
                  </w14:solidFill>
                </w14:textFill>
              </w:rPr>
            </w:pPr>
            <w:r>
              <w:rPr>
                <w:rFonts w:hint="eastAsia" w:ascii="宋体" w:hAnsi="宋体"/>
                <w:color w:val="000000" w:themeColor="text1"/>
                <w:kern w:val="0"/>
                <w:sz w:val="24"/>
                <w:szCs w:val="21"/>
                <w:highlight w:val="none"/>
                <w14:textFill>
                  <w14:solidFill>
                    <w14:schemeClr w14:val="tx1"/>
                  </w14:solidFill>
                </w14:textFill>
              </w:rPr>
              <w:t>投标人应由不少于1名系统架构师作为高级技术支持，3名高级程序员作为技术支持、2名软件设计师、2名OCP认证工程师、1名虚拟化认证工程师和1名信息安全工程师组成项目实施团队。需提供个人资质证书及最近三个月在公司缴纳社保证明材料复印件，完全满足的得3分，有一项不满足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 w:hRule="atLeast"/>
        </w:trPr>
        <w:tc>
          <w:tcPr>
            <w:tcW w:w="837" w:type="dxa"/>
            <w:tcBorders>
              <w:top w:val="single" w:color="auto" w:sz="4" w:space="0"/>
              <w:left w:val="single" w:color="auto" w:sz="4" w:space="0"/>
              <w:bottom w:val="single" w:color="auto" w:sz="4" w:space="0"/>
              <w:right w:val="single" w:color="auto" w:sz="4" w:space="0"/>
            </w:tcBorders>
            <w:vAlign w:val="center"/>
          </w:tcPr>
          <w:p>
            <w:pPr>
              <w:widowControl/>
              <w:numPr>
                <w:ilvl w:val="0"/>
                <w:numId w:val="7"/>
              </w:numPr>
              <w:spacing w:line="360" w:lineRule="auto"/>
              <w:rPr>
                <w:rFonts w:ascii="宋体" w:hAnsi="宋体"/>
                <w:color w:val="000000" w:themeColor="text1"/>
                <w:kern w:val="0"/>
                <w:sz w:val="24"/>
                <w:szCs w:val="21"/>
                <w:highlight w:val="none"/>
                <w14:textFill>
                  <w14:solidFill>
                    <w14:schemeClr w14:val="tx1"/>
                  </w14:solidFill>
                </w14:textFill>
              </w:rPr>
            </w:pPr>
          </w:p>
        </w:tc>
        <w:tc>
          <w:tcPr>
            <w:tcW w:w="159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000000" w:themeColor="text1"/>
                <w:kern w:val="0"/>
                <w:sz w:val="24"/>
                <w:szCs w:val="21"/>
                <w:highlight w:val="none"/>
                <w14:textFill>
                  <w14:solidFill>
                    <w14:schemeClr w14:val="tx1"/>
                  </w14:solidFill>
                </w14:textFill>
              </w:rPr>
            </w:pPr>
            <w:r>
              <w:rPr>
                <w:rFonts w:hint="eastAsia" w:ascii="宋体" w:hAnsi="宋体"/>
                <w:color w:val="000000" w:themeColor="text1"/>
                <w:kern w:val="0"/>
                <w:sz w:val="24"/>
                <w:szCs w:val="21"/>
                <w:highlight w:val="none"/>
                <w14:textFill>
                  <w14:solidFill>
                    <w14:schemeClr w14:val="tx1"/>
                  </w14:solidFill>
                </w14:textFill>
              </w:rPr>
              <w:t>应急方案</w:t>
            </w:r>
          </w:p>
        </w:tc>
        <w:tc>
          <w:tcPr>
            <w:tcW w:w="8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000000" w:themeColor="text1"/>
                <w:kern w:val="0"/>
                <w:sz w:val="24"/>
                <w:szCs w:val="21"/>
                <w:highlight w:val="none"/>
                <w14:textFill>
                  <w14:solidFill>
                    <w14:schemeClr w14:val="tx1"/>
                  </w14:solidFill>
                </w14:textFill>
              </w:rPr>
            </w:pPr>
            <w:r>
              <w:rPr>
                <w:rFonts w:hint="eastAsia" w:ascii="宋体" w:hAnsi="宋体"/>
                <w:color w:val="000000" w:themeColor="text1"/>
                <w:kern w:val="0"/>
                <w:sz w:val="24"/>
                <w:szCs w:val="21"/>
                <w:highlight w:val="none"/>
                <w14:textFill>
                  <w14:solidFill>
                    <w14:schemeClr w14:val="tx1"/>
                  </w14:solidFill>
                </w14:textFill>
              </w:rPr>
              <w:t>2分</w:t>
            </w:r>
          </w:p>
        </w:tc>
        <w:tc>
          <w:tcPr>
            <w:tcW w:w="52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themeColor="text1"/>
                <w:kern w:val="0"/>
                <w:sz w:val="24"/>
                <w:szCs w:val="21"/>
                <w:highlight w:val="none"/>
                <w14:textFill>
                  <w14:solidFill>
                    <w14:schemeClr w14:val="tx1"/>
                  </w14:solidFill>
                </w14:textFill>
              </w:rPr>
            </w:pPr>
            <w:r>
              <w:rPr>
                <w:rFonts w:hint="eastAsia" w:ascii="宋体" w:hAnsi="宋体"/>
                <w:color w:val="000000" w:themeColor="text1"/>
                <w:kern w:val="0"/>
                <w:sz w:val="24"/>
                <w:szCs w:val="21"/>
                <w:highlight w:val="none"/>
                <w14:textFill>
                  <w14:solidFill>
                    <w14:schemeClr w14:val="tx1"/>
                  </w14:solidFill>
                </w14:textFill>
              </w:rPr>
              <w:t>投标人应根据可能发生的故障问题，提供有效可行的系统应急方案，以保障系统正常稳定运行。由评委综合打分。</w:t>
            </w:r>
          </w:p>
          <w:p>
            <w:pPr>
              <w:widowControl/>
              <w:spacing w:line="360" w:lineRule="auto"/>
              <w:jc w:val="left"/>
              <w:rPr>
                <w:rFonts w:ascii="宋体" w:hAnsi="宋体"/>
                <w:color w:val="000000" w:themeColor="text1"/>
                <w:kern w:val="0"/>
                <w:sz w:val="24"/>
                <w:szCs w:val="21"/>
                <w:highlight w:val="none"/>
                <w14:textFill>
                  <w14:solidFill>
                    <w14:schemeClr w14:val="tx1"/>
                  </w14:solidFill>
                </w14:textFill>
              </w:rPr>
            </w:pPr>
            <w:r>
              <w:rPr>
                <w:rFonts w:hint="eastAsia" w:ascii="宋体" w:hAnsi="宋体"/>
                <w:color w:val="000000" w:themeColor="text1"/>
                <w:kern w:val="0"/>
                <w:sz w:val="24"/>
                <w:szCs w:val="21"/>
                <w:highlight w:val="none"/>
                <w14:textFill>
                  <w14:solidFill>
                    <w14:schemeClr w14:val="tx1"/>
                  </w14:solidFill>
                </w14:textFill>
              </w:rPr>
              <w:t>优（2分）：方案具有先进性，具有实际操作性，对医疗敏感数据有实践经验（提供证明材料）；</w:t>
            </w:r>
          </w:p>
          <w:p>
            <w:pPr>
              <w:widowControl/>
              <w:spacing w:line="360" w:lineRule="auto"/>
              <w:jc w:val="left"/>
              <w:rPr>
                <w:rFonts w:ascii="宋体" w:hAnsi="宋体"/>
                <w:color w:val="000000" w:themeColor="text1"/>
                <w:kern w:val="0"/>
                <w:sz w:val="24"/>
                <w:szCs w:val="21"/>
                <w:highlight w:val="none"/>
                <w14:textFill>
                  <w14:solidFill>
                    <w14:schemeClr w14:val="tx1"/>
                  </w14:solidFill>
                </w14:textFill>
              </w:rPr>
            </w:pPr>
            <w:r>
              <w:rPr>
                <w:rFonts w:hint="eastAsia" w:ascii="宋体" w:hAnsi="宋体"/>
                <w:color w:val="000000" w:themeColor="text1"/>
                <w:kern w:val="0"/>
                <w:sz w:val="24"/>
                <w:szCs w:val="21"/>
                <w:highlight w:val="none"/>
                <w14:textFill>
                  <w14:solidFill>
                    <w14:schemeClr w14:val="tx1"/>
                  </w14:solidFill>
                </w14:textFill>
              </w:rPr>
              <w:t>良（1分）：方案具基本可行，具有应急预案措施；</w:t>
            </w:r>
          </w:p>
          <w:p>
            <w:pPr>
              <w:widowControl/>
              <w:spacing w:line="360" w:lineRule="auto"/>
              <w:jc w:val="left"/>
              <w:rPr>
                <w:rFonts w:ascii="宋体" w:hAnsi="宋体"/>
                <w:color w:val="000000" w:themeColor="text1"/>
                <w:kern w:val="0"/>
                <w:sz w:val="24"/>
                <w:szCs w:val="21"/>
                <w:highlight w:val="none"/>
                <w14:textFill>
                  <w14:solidFill>
                    <w14:schemeClr w14:val="tx1"/>
                  </w14:solidFill>
                </w14:textFill>
              </w:rPr>
            </w:pPr>
            <w:r>
              <w:rPr>
                <w:rFonts w:hint="eastAsia" w:ascii="宋体" w:hAnsi="宋体"/>
                <w:color w:val="000000" w:themeColor="text1"/>
                <w:kern w:val="0"/>
                <w:sz w:val="24"/>
                <w:szCs w:val="21"/>
                <w:highlight w:val="none"/>
                <w14:textFill>
                  <w14:solidFill>
                    <w14:schemeClr w14:val="tx1"/>
                  </w14:solidFill>
                </w14:textFill>
              </w:rPr>
              <w:t>一般（0-0.5分）：方案理论可行。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 w:hRule="atLeast"/>
        </w:trPr>
        <w:tc>
          <w:tcPr>
            <w:tcW w:w="837" w:type="dxa"/>
            <w:tcBorders>
              <w:top w:val="single" w:color="auto" w:sz="4" w:space="0"/>
              <w:left w:val="single" w:color="auto" w:sz="4" w:space="0"/>
              <w:bottom w:val="single" w:color="auto" w:sz="4" w:space="0"/>
              <w:right w:val="single" w:color="auto" w:sz="4" w:space="0"/>
            </w:tcBorders>
            <w:vAlign w:val="center"/>
          </w:tcPr>
          <w:p>
            <w:pPr>
              <w:widowControl/>
              <w:numPr>
                <w:ilvl w:val="0"/>
                <w:numId w:val="7"/>
              </w:numPr>
              <w:spacing w:line="360" w:lineRule="auto"/>
              <w:rPr>
                <w:rFonts w:ascii="宋体" w:hAnsi="宋体"/>
                <w:color w:val="000000" w:themeColor="text1"/>
                <w:kern w:val="0"/>
                <w:sz w:val="24"/>
                <w:szCs w:val="21"/>
                <w:highlight w:val="none"/>
                <w14:textFill>
                  <w14:solidFill>
                    <w14:schemeClr w14:val="tx1"/>
                  </w14:solidFill>
                </w14:textFill>
              </w:rPr>
            </w:pPr>
          </w:p>
        </w:tc>
        <w:tc>
          <w:tcPr>
            <w:tcW w:w="159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000000" w:themeColor="text1"/>
                <w:kern w:val="0"/>
                <w:sz w:val="24"/>
                <w:szCs w:val="21"/>
                <w:highlight w:val="none"/>
                <w14:textFill>
                  <w14:solidFill>
                    <w14:schemeClr w14:val="tx1"/>
                  </w14:solidFill>
                </w14:textFill>
              </w:rPr>
            </w:pPr>
            <w:r>
              <w:rPr>
                <w:rFonts w:hint="eastAsia" w:ascii="宋体" w:hAnsi="宋体"/>
                <w:color w:val="000000" w:themeColor="text1"/>
                <w:kern w:val="0"/>
                <w:sz w:val="24"/>
                <w:szCs w:val="21"/>
                <w:highlight w:val="none"/>
                <w14:textFill>
                  <w14:solidFill>
                    <w14:schemeClr w14:val="tx1"/>
                  </w14:solidFill>
                </w14:textFill>
              </w:rPr>
              <w:t>数据继承</w:t>
            </w:r>
          </w:p>
        </w:tc>
        <w:tc>
          <w:tcPr>
            <w:tcW w:w="8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000000" w:themeColor="text1"/>
                <w:kern w:val="0"/>
                <w:sz w:val="24"/>
                <w:szCs w:val="21"/>
                <w:highlight w:val="none"/>
                <w14:textFill>
                  <w14:solidFill>
                    <w14:schemeClr w14:val="tx1"/>
                  </w14:solidFill>
                </w14:textFill>
              </w:rPr>
            </w:pPr>
            <w:r>
              <w:rPr>
                <w:rFonts w:hint="eastAsia" w:ascii="宋体" w:hAnsi="宋体"/>
                <w:color w:val="000000" w:themeColor="text1"/>
                <w:kern w:val="0"/>
                <w:sz w:val="24"/>
                <w:szCs w:val="21"/>
                <w:highlight w:val="none"/>
                <w14:textFill>
                  <w14:solidFill>
                    <w14:schemeClr w14:val="tx1"/>
                  </w14:solidFill>
                </w14:textFill>
              </w:rPr>
              <w:t>3分</w:t>
            </w:r>
          </w:p>
        </w:tc>
        <w:tc>
          <w:tcPr>
            <w:tcW w:w="52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themeColor="text1"/>
                <w:kern w:val="0"/>
                <w:sz w:val="24"/>
                <w:szCs w:val="21"/>
                <w:highlight w:val="none"/>
                <w14:textFill>
                  <w14:solidFill>
                    <w14:schemeClr w14:val="tx1"/>
                  </w14:solidFill>
                </w14:textFill>
              </w:rPr>
            </w:pPr>
            <w:r>
              <w:rPr>
                <w:rFonts w:hint="eastAsia" w:ascii="宋体" w:hAnsi="宋体"/>
                <w:color w:val="000000" w:themeColor="text1"/>
                <w:kern w:val="0"/>
                <w:sz w:val="24"/>
                <w:szCs w:val="21"/>
                <w:highlight w:val="none"/>
                <w14:textFill>
                  <w14:solidFill>
                    <w14:schemeClr w14:val="tx1"/>
                  </w14:solidFill>
                </w14:textFill>
              </w:rPr>
              <w:t>投标人应深入了解医院信息化现状，与医院信息科等相关科室充分沟通调研后提供定制化的数据继承服务，需出具医院信息科盖章的调研报告。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 w:hRule="atLeast"/>
        </w:trPr>
        <w:tc>
          <w:tcPr>
            <w:tcW w:w="837" w:type="dxa"/>
            <w:tcBorders>
              <w:top w:val="single" w:color="auto" w:sz="4" w:space="0"/>
              <w:left w:val="single" w:color="auto" w:sz="4" w:space="0"/>
              <w:bottom w:val="single" w:color="auto" w:sz="4" w:space="0"/>
              <w:right w:val="single" w:color="auto" w:sz="4" w:space="0"/>
            </w:tcBorders>
            <w:vAlign w:val="center"/>
          </w:tcPr>
          <w:p>
            <w:pPr>
              <w:widowControl/>
              <w:numPr>
                <w:ilvl w:val="0"/>
                <w:numId w:val="7"/>
              </w:numPr>
              <w:spacing w:line="360" w:lineRule="auto"/>
              <w:jc w:val="left"/>
              <w:rPr>
                <w:rFonts w:ascii="宋体" w:hAnsi="宋体"/>
                <w:color w:val="000000" w:themeColor="text1"/>
                <w:kern w:val="0"/>
                <w:sz w:val="24"/>
                <w:szCs w:val="21"/>
                <w:highlight w:val="none"/>
                <w14:textFill>
                  <w14:solidFill>
                    <w14:schemeClr w14:val="tx1"/>
                  </w14:solidFill>
                </w14:textFill>
              </w:rPr>
            </w:pPr>
          </w:p>
        </w:tc>
        <w:tc>
          <w:tcPr>
            <w:tcW w:w="159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000000" w:themeColor="text1"/>
                <w:kern w:val="0"/>
                <w:sz w:val="24"/>
                <w:szCs w:val="21"/>
                <w:highlight w:val="none"/>
                <w14:textFill>
                  <w14:solidFill>
                    <w14:schemeClr w14:val="tx1"/>
                  </w14:solidFill>
                </w14:textFill>
              </w:rPr>
            </w:pPr>
            <w:r>
              <w:rPr>
                <w:rFonts w:hint="eastAsia" w:ascii="宋体" w:hAnsi="宋体"/>
                <w:color w:val="000000" w:themeColor="text1"/>
                <w:kern w:val="0"/>
                <w:sz w:val="24"/>
                <w:szCs w:val="21"/>
                <w:highlight w:val="none"/>
                <w14:textFill>
                  <w14:solidFill>
                    <w14:schemeClr w14:val="tx1"/>
                  </w14:solidFill>
                </w14:textFill>
              </w:rPr>
              <w:t>系统一体化建设经验</w:t>
            </w:r>
          </w:p>
        </w:tc>
        <w:tc>
          <w:tcPr>
            <w:tcW w:w="8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000000" w:themeColor="text1"/>
                <w:kern w:val="0"/>
                <w:sz w:val="24"/>
                <w:szCs w:val="21"/>
                <w:highlight w:val="none"/>
                <w14:textFill>
                  <w14:solidFill>
                    <w14:schemeClr w14:val="tx1"/>
                  </w14:solidFill>
                </w14:textFill>
              </w:rPr>
            </w:pPr>
            <w:r>
              <w:rPr>
                <w:rFonts w:hint="eastAsia" w:ascii="宋体" w:hAnsi="宋体"/>
                <w:color w:val="000000" w:themeColor="text1"/>
                <w:kern w:val="0"/>
                <w:sz w:val="24"/>
                <w:szCs w:val="21"/>
                <w:highlight w:val="none"/>
                <w14:textFill>
                  <w14:solidFill>
                    <w14:schemeClr w14:val="tx1"/>
                  </w14:solidFill>
                </w14:textFill>
              </w:rPr>
              <w:t>3分</w:t>
            </w:r>
          </w:p>
        </w:tc>
        <w:tc>
          <w:tcPr>
            <w:tcW w:w="5217"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宋体" w:hAnsi="宋体"/>
                <w:color w:val="000000" w:themeColor="text1"/>
                <w:kern w:val="0"/>
                <w:sz w:val="24"/>
                <w:szCs w:val="21"/>
                <w:highlight w:val="none"/>
                <w14:textFill>
                  <w14:solidFill>
                    <w14:schemeClr w14:val="tx1"/>
                  </w14:solidFill>
                </w14:textFill>
              </w:rPr>
            </w:pPr>
            <w:r>
              <w:rPr>
                <w:rFonts w:hint="eastAsia" w:ascii="宋体" w:hAnsi="宋体"/>
                <w:color w:val="000000" w:themeColor="text1"/>
                <w:kern w:val="0"/>
                <w:sz w:val="24"/>
                <w:szCs w:val="21"/>
                <w:highlight w:val="none"/>
                <w14:textFill>
                  <w14:solidFill>
                    <w14:schemeClr w14:val="tx1"/>
                  </w14:solidFill>
                </w14:textFill>
              </w:rPr>
              <w:t>实现平台与医院HIS、EMR、LIS、PACS同一平台，且数据库级、源代码级的无缝连接与集成工作。须提供不少于3个三甲医院用户证明材料，完全满足得3分，否则不得分。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trPr>
        <w:tc>
          <w:tcPr>
            <w:tcW w:w="837" w:type="dxa"/>
            <w:vMerge w:val="restart"/>
            <w:tcBorders>
              <w:top w:val="single" w:color="auto" w:sz="4" w:space="0"/>
              <w:left w:val="single" w:color="auto" w:sz="4" w:space="0"/>
              <w:bottom w:val="single" w:color="auto" w:sz="4" w:space="0"/>
              <w:right w:val="single" w:color="auto" w:sz="4" w:space="0"/>
            </w:tcBorders>
            <w:vAlign w:val="center"/>
          </w:tcPr>
          <w:p>
            <w:pPr>
              <w:widowControl/>
              <w:numPr>
                <w:ilvl w:val="0"/>
                <w:numId w:val="7"/>
              </w:numPr>
              <w:spacing w:line="360" w:lineRule="auto"/>
              <w:jc w:val="left"/>
              <w:rPr>
                <w:rFonts w:ascii="宋体" w:hAnsi="宋体"/>
                <w:color w:val="000000" w:themeColor="text1"/>
                <w:kern w:val="0"/>
                <w:sz w:val="24"/>
                <w:szCs w:val="21"/>
                <w:highlight w:val="none"/>
                <w14:textFill>
                  <w14:solidFill>
                    <w14:schemeClr w14:val="tx1"/>
                  </w14:solidFill>
                </w14:textFill>
              </w:rPr>
            </w:pPr>
          </w:p>
        </w:tc>
        <w:tc>
          <w:tcPr>
            <w:tcW w:w="159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000000" w:themeColor="text1"/>
                <w:kern w:val="0"/>
                <w:sz w:val="24"/>
                <w:szCs w:val="21"/>
                <w:highlight w:val="none"/>
                <w14:textFill>
                  <w14:solidFill>
                    <w14:schemeClr w14:val="tx1"/>
                  </w14:solidFill>
                </w14:textFill>
              </w:rPr>
            </w:pPr>
            <w:r>
              <w:rPr>
                <w:rFonts w:hint="eastAsia" w:ascii="宋体" w:hAnsi="宋体"/>
                <w:color w:val="000000" w:themeColor="text1"/>
                <w:kern w:val="0"/>
                <w:sz w:val="24"/>
                <w:szCs w:val="21"/>
                <w:highlight w:val="none"/>
                <w14:textFill>
                  <w14:solidFill>
                    <w14:schemeClr w14:val="tx1"/>
                  </w14:solidFill>
                </w14:textFill>
              </w:rPr>
              <w:t>服务保障</w:t>
            </w:r>
          </w:p>
        </w:tc>
        <w:tc>
          <w:tcPr>
            <w:tcW w:w="87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000000" w:themeColor="text1"/>
                <w:kern w:val="0"/>
                <w:sz w:val="24"/>
                <w:szCs w:val="21"/>
                <w:highlight w:val="none"/>
                <w14:textFill>
                  <w14:solidFill>
                    <w14:schemeClr w14:val="tx1"/>
                  </w14:solidFill>
                </w14:textFill>
              </w:rPr>
            </w:pPr>
            <w:r>
              <w:rPr>
                <w:rFonts w:hint="eastAsia" w:ascii="宋体" w:hAnsi="宋体"/>
                <w:color w:val="000000" w:themeColor="text1"/>
                <w:kern w:val="0"/>
                <w:sz w:val="24"/>
                <w:szCs w:val="21"/>
                <w:highlight w:val="none"/>
                <w14:textFill>
                  <w14:solidFill>
                    <w14:schemeClr w14:val="tx1"/>
                  </w14:solidFill>
                </w14:textFill>
              </w:rPr>
              <w:t>2分</w:t>
            </w:r>
          </w:p>
        </w:tc>
        <w:tc>
          <w:tcPr>
            <w:tcW w:w="5217"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宋体" w:hAnsi="宋体"/>
                <w:color w:val="000000" w:themeColor="text1"/>
                <w:kern w:val="0"/>
                <w:sz w:val="24"/>
                <w:szCs w:val="21"/>
                <w:highlight w:val="none"/>
                <w14:textFill>
                  <w14:solidFill>
                    <w14:schemeClr w14:val="tx1"/>
                  </w14:solidFill>
                </w14:textFill>
              </w:rPr>
            </w:pPr>
            <w:r>
              <w:rPr>
                <w:rFonts w:hint="eastAsia" w:ascii="宋体" w:hAnsi="宋体"/>
                <w:color w:val="000000" w:themeColor="text1"/>
                <w:kern w:val="0"/>
                <w:sz w:val="24"/>
                <w:szCs w:val="21"/>
                <w:highlight w:val="none"/>
                <w14:textFill>
                  <w14:solidFill>
                    <w14:schemeClr w14:val="tx1"/>
                  </w14:solidFill>
                </w14:textFill>
              </w:rPr>
              <w:t>投标人在省内具有固定的经营场所（提供总公司或分公司营业执照）和稳定的技术团队（提供社保缴纳证明），完全满足得1分，其他不得分。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trPr>
        <w:tc>
          <w:tcPr>
            <w:tcW w:w="8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4"/>
                <w:szCs w:val="21"/>
                <w:highlight w:val="none"/>
                <w14:textFill>
                  <w14:solidFill>
                    <w14:schemeClr w14:val="tx1"/>
                  </w14:solidFill>
                </w14:textFill>
              </w:rPr>
            </w:pPr>
          </w:p>
        </w:tc>
        <w:tc>
          <w:tcPr>
            <w:tcW w:w="1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4"/>
                <w:szCs w:val="21"/>
                <w:highlight w:val="none"/>
                <w14:textFill>
                  <w14:solidFill>
                    <w14:schemeClr w14:val="tx1"/>
                  </w14:solidFill>
                </w14:textFill>
              </w:rPr>
            </w:pPr>
          </w:p>
        </w:tc>
        <w:tc>
          <w:tcPr>
            <w:tcW w:w="87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4"/>
                <w:szCs w:val="21"/>
                <w:highlight w:val="none"/>
                <w14:textFill>
                  <w14:solidFill>
                    <w14:schemeClr w14:val="tx1"/>
                  </w14:solidFill>
                </w14:textFill>
              </w:rPr>
            </w:pPr>
          </w:p>
        </w:tc>
        <w:tc>
          <w:tcPr>
            <w:tcW w:w="5217"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宋体" w:hAnsi="宋体"/>
                <w:color w:val="000000" w:themeColor="text1"/>
                <w:kern w:val="0"/>
                <w:sz w:val="24"/>
                <w:szCs w:val="21"/>
                <w:highlight w:val="none"/>
                <w14:textFill>
                  <w14:solidFill>
                    <w14:schemeClr w14:val="tx1"/>
                  </w14:solidFill>
                </w14:textFill>
              </w:rPr>
            </w:pPr>
            <w:r>
              <w:rPr>
                <w:rFonts w:hint="eastAsia" w:ascii="宋体" w:hAnsi="宋体"/>
                <w:color w:val="000000" w:themeColor="text1"/>
                <w:kern w:val="0"/>
                <w:sz w:val="24"/>
                <w:szCs w:val="21"/>
                <w:highlight w:val="none"/>
                <w14:textFill>
                  <w14:solidFill>
                    <w14:schemeClr w14:val="tx1"/>
                  </w14:solidFill>
                </w14:textFill>
              </w:rPr>
              <w:t>投标人具有信息技术服务运行维护标准符合性证书（ITSS）成熟度等级2级或以上认证，需提供证书复印件，原件备查满足得1分。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 w:hRule="atLeast"/>
        </w:trPr>
        <w:tc>
          <w:tcPr>
            <w:tcW w:w="837" w:type="dxa"/>
            <w:tcBorders>
              <w:top w:val="single" w:color="auto" w:sz="4" w:space="0"/>
              <w:left w:val="single" w:color="auto" w:sz="4" w:space="0"/>
              <w:bottom w:val="single" w:color="auto" w:sz="4" w:space="0"/>
              <w:right w:val="single" w:color="auto" w:sz="4" w:space="0"/>
            </w:tcBorders>
            <w:vAlign w:val="center"/>
          </w:tcPr>
          <w:p>
            <w:pPr>
              <w:widowControl/>
              <w:numPr>
                <w:ilvl w:val="0"/>
                <w:numId w:val="7"/>
              </w:numPr>
              <w:spacing w:line="360" w:lineRule="auto"/>
              <w:jc w:val="left"/>
              <w:rPr>
                <w:rFonts w:ascii="宋体" w:hAnsi="宋体"/>
                <w:color w:val="000000" w:themeColor="text1"/>
                <w:kern w:val="0"/>
                <w:sz w:val="24"/>
                <w:szCs w:val="21"/>
                <w:highlight w:val="none"/>
                <w14:textFill>
                  <w14:solidFill>
                    <w14:schemeClr w14:val="tx1"/>
                  </w14:solidFill>
                </w14:textFill>
              </w:rPr>
            </w:pPr>
          </w:p>
        </w:tc>
        <w:tc>
          <w:tcPr>
            <w:tcW w:w="159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000000" w:themeColor="text1"/>
                <w:kern w:val="0"/>
                <w:sz w:val="24"/>
                <w:szCs w:val="21"/>
                <w:highlight w:val="none"/>
                <w14:textFill>
                  <w14:solidFill>
                    <w14:schemeClr w14:val="tx1"/>
                  </w14:solidFill>
                </w14:textFill>
              </w:rPr>
            </w:pPr>
            <w:r>
              <w:rPr>
                <w:rFonts w:hint="eastAsia" w:ascii="宋体" w:hAnsi="宋体"/>
                <w:color w:val="000000" w:themeColor="text1"/>
                <w:kern w:val="0"/>
                <w:sz w:val="24"/>
                <w:szCs w:val="21"/>
                <w:highlight w:val="none"/>
                <w14:textFill>
                  <w14:solidFill>
                    <w14:schemeClr w14:val="tx1"/>
                  </w14:solidFill>
                </w14:textFill>
              </w:rPr>
              <w:t>服务和培训方案</w:t>
            </w:r>
          </w:p>
        </w:tc>
        <w:tc>
          <w:tcPr>
            <w:tcW w:w="8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000000" w:themeColor="text1"/>
                <w:kern w:val="0"/>
                <w:sz w:val="24"/>
                <w:szCs w:val="21"/>
                <w:highlight w:val="none"/>
                <w14:textFill>
                  <w14:solidFill>
                    <w14:schemeClr w14:val="tx1"/>
                  </w14:solidFill>
                </w14:textFill>
              </w:rPr>
            </w:pPr>
            <w:r>
              <w:rPr>
                <w:rFonts w:hint="eastAsia" w:ascii="宋体" w:hAnsi="宋体"/>
                <w:color w:val="000000" w:themeColor="text1"/>
                <w:kern w:val="0"/>
                <w:sz w:val="24"/>
                <w:szCs w:val="21"/>
                <w:highlight w:val="none"/>
                <w14:textFill>
                  <w14:solidFill>
                    <w14:schemeClr w14:val="tx1"/>
                  </w14:solidFill>
                </w14:textFill>
              </w:rPr>
              <w:t>5分</w:t>
            </w:r>
          </w:p>
        </w:tc>
        <w:tc>
          <w:tcPr>
            <w:tcW w:w="5217"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宋体" w:hAnsi="宋体"/>
                <w:color w:val="000000" w:themeColor="text1"/>
                <w:kern w:val="0"/>
                <w:sz w:val="24"/>
                <w:szCs w:val="21"/>
                <w:highlight w:val="none"/>
                <w14:textFill>
                  <w14:solidFill>
                    <w14:schemeClr w14:val="tx1"/>
                  </w14:solidFill>
                </w14:textFill>
              </w:rPr>
            </w:pPr>
            <w:r>
              <w:rPr>
                <w:rFonts w:hint="eastAsia" w:ascii="宋体" w:hAnsi="宋体"/>
                <w:color w:val="000000" w:themeColor="text1"/>
                <w:kern w:val="0"/>
                <w:sz w:val="24"/>
                <w:szCs w:val="21"/>
                <w:highlight w:val="none"/>
                <w14:textFill>
                  <w14:solidFill>
                    <w14:schemeClr w14:val="tx1"/>
                  </w14:solidFill>
                </w14:textFill>
              </w:rPr>
              <w:t>投标人具有稳定可靠的售后服务和培训方案，评委根据所提供的项目方案综合打分.</w:t>
            </w:r>
          </w:p>
          <w:p>
            <w:pPr>
              <w:widowControl/>
              <w:spacing w:line="360" w:lineRule="auto"/>
              <w:jc w:val="left"/>
              <w:rPr>
                <w:rFonts w:ascii="宋体" w:hAnsi="宋体"/>
                <w:color w:val="000000" w:themeColor="text1"/>
                <w:kern w:val="0"/>
                <w:sz w:val="24"/>
                <w:szCs w:val="21"/>
                <w:highlight w:val="none"/>
                <w14:textFill>
                  <w14:solidFill>
                    <w14:schemeClr w14:val="tx1"/>
                  </w14:solidFill>
                </w14:textFill>
              </w:rPr>
            </w:pPr>
            <w:r>
              <w:rPr>
                <w:rFonts w:hint="eastAsia" w:ascii="宋体" w:hAnsi="宋体"/>
                <w:color w:val="000000" w:themeColor="text1"/>
                <w:kern w:val="0"/>
                <w:sz w:val="24"/>
                <w:szCs w:val="21"/>
                <w:highlight w:val="none"/>
                <w14:textFill>
                  <w14:solidFill>
                    <w14:schemeClr w14:val="tx1"/>
                  </w14:solidFill>
                </w14:textFill>
              </w:rPr>
              <w:t>优（4-5分）：售后服务体系和技术转移方案完善可操作；</w:t>
            </w:r>
          </w:p>
          <w:p>
            <w:pPr>
              <w:widowControl/>
              <w:spacing w:line="360" w:lineRule="auto"/>
              <w:jc w:val="left"/>
              <w:rPr>
                <w:rFonts w:ascii="宋体" w:hAnsi="宋体"/>
                <w:color w:val="000000" w:themeColor="text1"/>
                <w:kern w:val="0"/>
                <w:sz w:val="24"/>
                <w:szCs w:val="21"/>
                <w:highlight w:val="none"/>
                <w14:textFill>
                  <w14:solidFill>
                    <w14:schemeClr w14:val="tx1"/>
                  </w14:solidFill>
                </w14:textFill>
              </w:rPr>
            </w:pPr>
            <w:r>
              <w:rPr>
                <w:rFonts w:hint="eastAsia" w:ascii="宋体" w:hAnsi="宋体"/>
                <w:color w:val="000000" w:themeColor="text1"/>
                <w:kern w:val="0"/>
                <w:sz w:val="24"/>
                <w:szCs w:val="21"/>
                <w:highlight w:val="none"/>
                <w14:textFill>
                  <w14:solidFill>
                    <w14:schemeClr w14:val="tx1"/>
                  </w14:solidFill>
                </w14:textFill>
              </w:rPr>
              <w:t>良（2-3分）：售后服务体系和技术转移方案较为完善，具有一定的可操作性；</w:t>
            </w:r>
          </w:p>
          <w:p>
            <w:pPr>
              <w:widowControl/>
              <w:spacing w:line="360" w:lineRule="auto"/>
              <w:jc w:val="left"/>
              <w:rPr>
                <w:rFonts w:ascii="宋体" w:hAnsi="宋体"/>
                <w:color w:val="000000" w:themeColor="text1"/>
                <w:kern w:val="0"/>
                <w:sz w:val="24"/>
                <w:szCs w:val="21"/>
                <w:highlight w:val="none"/>
                <w14:textFill>
                  <w14:solidFill>
                    <w14:schemeClr w14:val="tx1"/>
                  </w14:solidFill>
                </w14:textFill>
              </w:rPr>
            </w:pPr>
            <w:r>
              <w:rPr>
                <w:rFonts w:hint="eastAsia" w:ascii="宋体" w:hAnsi="宋体"/>
                <w:color w:val="000000" w:themeColor="text1"/>
                <w:kern w:val="0"/>
                <w:sz w:val="24"/>
                <w:szCs w:val="21"/>
                <w:highlight w:val="none"/>
                <w14:textFill>
                  <w14:solidFill>
                    <w14:schemeClr w14:val="tx1"/>
                  </w14:solidFill>
                </w14:textFill>
              </w:rPr>
              <w:t>一般（0-1分）：售后服务和培训方案基本可行。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7"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olor w:val="000000" w:themeColor="text1"/>
                <w:kern w:val="0"/>
                <w:sz w:val="24"/>
                <w:szCs w:val="21"/>
                <w:highlight w:val="none"/>
                <w14:textFill>
                  <w14:solidFill>
                    <w14:schemeClr w14:val="tx1"/>
                  </w14:solidFill>
                </w14:textFill>
              </w:rPr>
            </w:pPr>
            <w:r>
              <w:rPr>
                <w:rFonts w:hint="eastAsia" w:ascii="宋体" w:hAnsi="宋体"/>
                <w:color w:val="000000" w:themeColor="text1"/>
                <w:kern w:val="0"/>
                <w:sz w:val="24"/>
                <w:szCs w:val="21"/>
                <w:highlight w:val="none"/>
                <w14:textFill>
                  <w14:solidFill>
                    <w14:schemeClr w14:val="tx1"/>
                  </w14:solidFill>
                </w14:textFill>
              </w:rPr>
              <w:t>12.</w:t>
            </w:r>
          </w:p>
        </w:tc>
        <w:tc>
          <w:tcPr>
            <w:tcW w:w="159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themeColor="text1"/>
                <w:kern w:val="0"/>
                <w:sz w:val="24"/>
                <w:szCs w:val="21"/>
                <w:highlight w:val="none"/>
                <w14:textFill>
                  <w14:solidFill>
                    <w14:schemeClr w14:val="tx1"/>
                  </w14:solidFill>
                </w14:textFill>
              </w:rPr>
            </w:pPr>
            <w:r>
              <w:rPr>
                <w:rFonts w:hint="eastAsia" w:ascii="宋体" w:hAnsi="宋体"/>
                <w:color w:val="000000" w:themeColor="text1"/>
                <w:kern w:val="0"/>
                <w:sz w:val="24"/>
                <w:szCs w:val="21"/>
                <w:highlight w:val="none"/>
                <w14:textFill>
                  <w14:solidFill>
                    <w14:schemeClr w14:val="tx1"/>
                  </w14:solidFill>
                </w14:textFill>
              </w:rPr>
              <w:t>综合实力</w:t>
            </w:r>
          </w:p>
        </w:tc>
        <w:tc>
          <w:tcPr>
            <w:tcW w:w="8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000000" w:themeColor="text1"/>
                <w:kern w:val="0"/>
                <w:sz w:val="24"/>
                <w:szCs w:val="21"/>
                <w:highlight w:val="none"/>
                <w14:textFill>
                  <w14:solidFill>
                    <w14:schemeClr w14:val="tx1"/>
                  </w14:solidFill>
                </w14:textFill>
              </w:rPr>
            </w:pPr>
            <w:r>
              <w:rPr>
                <w:rFonts w:hint="eastAsia" w:ascii="宋体" w:hAnsi="宋体"/>
                <w:color w:val="000000" w:themeColor="text1"/>
                <w:kern w:val="0"/>
                <w:sz w:val="24"/>
                <w:szCs w:val="21"/>
                <w:highlight w:val="none"/>
                <w14:textFill>
                  <w14:solidFill>
                    <w14:schemeClr w14:val="tx1"/>
                  </w14:solidFill>
                </w14:textFill>
              </w:rPr>
              <w:t>1分</w:t>
            </w:r>
          </w:p>
        </w:tc>
        <w:tc>
          <w:tcPr>
            <w:tcW w:w="5217"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宋体" w:hAnsi="宋体"/>
                <w:color w:val="000000" w:themeColor="text1"/>
                <w:kern w:val="0"/>
                <w:sz w:val="24"/>
                <w:szCs w:val="21"/>
                <w:highlight w:val="none"/>
                <w14:textFill>
                  <w14:solidFill>
                    <w14:schemeClr w14:val="tx1"/>
                  </w14:solidFill>
                </w14:textFill>
              </w:rPr>
            </w:pPr>
            <w:r>
              <w:rPr>
                <w:rFonts w:hint="eastAsia" w:ascii="宋体" w:hAnsi="宋体"/>
                <w:color w:val="000000" w:themeColor="text1"/>
                <w:kern w:val="0"/>
                <w:sz w:val="24"/>
                <w:szCs w:val="21"/>
                <w:highlight w:val="none"/>
                <w14:textFill>
                  <w14:solidFill>
                    <w14:schemeClr w14:val="tx1"/>
                  </w14:solidFill>
                </w14:textFill>
              </w:rPr>
              <w:t>投标人具有有效期内的软件能力成熟度（CMMI资质）资质，具有CMMI5的得1分，CMMI4的得0.5分，CMMI3及以下不得分。需提供证书复印件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7"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olor w:val="000000" w:themeColor="text1"/>
                <w:kern w:val="0"/>
                <w:sz w:val="24"/>
                <w:szCs w:val="21"/>
                <w:highlight w:val="none"/>
                <w14:textFill>
                  <w14:solidFill>
                    <w14:schemeClr w14:val="tx1"/>
                  </w14:solidFill>
                </w14:textFill>
              </w:rPr>
            </w:pPr>
            <w:r>
              <w:rPr>
                <w:rFonts w:hint="eastAsia" w:ascii="宋体" w:hAnsi="宋体"/>
                <w:color w:val="000000" w:themeColor="text1"/>
                <w:kern w:val="0"/>
                <w:sz w:val="24"/>
                <w:szCs w:val="21"/>
                <w:highlight w:val="none"/>
                <w14:textFill>
                  <w14:solidFill>
                    <w14:schemeClr w14:val="tx1"/>
                  </w14:solidFill>
                </w14:textFill>
              </w:rPr>
              <w:t>13.</w:t>
            </w:r>
          </w:p>
        </w:tc>
        <w:tc>
          <w:tcPr>
            <w:tcW w:w="1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4"/>
                <w:szCs w:val="21"/>
                <w:highlight w:val="none"/>
                <w14:textFill>
                  <w14:solidFill>
                    <w14:schemeClr w14:val="tx1"/>
                  </w14:solidFill>
                </w14:textFill>
              </w:rPr>
            </w:pPr>
          </w:p>
        </w:tc>
        <w:tc>
          <w:tcPr>
            <w:tcW w:w="8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000000" w:themeColor="text1"/>
                <w:kern w:val="0"/>
                <w:sz w:val="24"/>
                <w:szCs w:val="21"/>
                <w:highlight w:val="none"/>
                <w14:textFill>
                  <w14:solidFill>
                    <w14:schemeClr w14:val="tx1"/>
                  </w14:solidFill>
                </w14:textFill>
              </w:rPr>
            </w:pPr>
            <w:r>
              <w:rPr>
                <w:rFonts w:hint="eastAsia" w:ascii="宋体" w:hAnsi="宋体"/>
                <w:color w:val="000000" w:themeColor="text1"/>
                <w:kern w:val="0"/>
                <w:sz w:val="24"/>
                <w:szCs w:val="21"/>
                <w:highlight w:val="none"/>
                <w14:textFill>
                  <w14:solidFill>
                    <w14:schemeClr w14:val="tx1"/>
                  </w14:solidFill>
                </w14:textFill>
              </w:rPr>
              <w:t>3分</w:t>
            </w:r>
          </w:p>
        </w:tc>
        <w:tc>
          <w:tcPr>
            <w:tcW w:w="5217"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宋体" w:hAnsi="宋体"/>
                <w:color w:val="000000" w:themeColor="text1"/>
                <w:kern w:val="0"/>
                <w:sz w:val="24"/>
                <w:szCs w:val="21"/>
                <w:highlight w:val="none"/>
                <w14:textFill>
                  <w14:solidFill>
                    <w14:schemeClr w14:val="tx1"/>
                  </w14:solidFill>
                </w14:textFill>
              </w:rPr>
            </w:pPr>
            <w:r>
              <w:rPr>
                <w:rFonts w:hint="eastAsia" w:ascii="宋体" w:hAnsi="宋体"/>
                <w:color w:val="000000" w:themeColor="text1"/>
                <w:kern w:val="0"/>
                <w:sz w:val="24"/>
                <w:szCs w:val="21"/>
                <w:highlight w:val="none"/>
                <w14:textFill>
                  <w14:solidFill>
                    <w14:schemeClr w14:val="tx1"/>
                  </w14:solidFill>
                </w14:textFill>
              </w:rPr>
              <w:t>投标人具有有效期内的ISO9001、ISO14001、GB/T28001、ISO20000、ISO27001认证，且认证范围为医疗行业应用软件的，完全满足得3分，提供4个证书得2分，提供3个证书得1分，其他不得分。需提供证书复印件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7"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olor w:val="000000" w:themeColor="text1"/>
                <w:kern w:val="0"/>
                <w:sz w:val="24"/>
                <w:szCs w:val="21"/>
                <w:highlight w:val="none"/>
                <w14:textFill>
                  <w14:solidFill>
                    <w14:schemeClr w14:val="tx1"/>
                  </w14:solidFill>
                </w14:textFill>
              </w:rPr>
            </w:pPr>
            <w:r>
              <w:rPr>
                <w:rFonts w:hint="eastAsia" w:ascii="宋体" w:hAnsi="宋体"/>
                <w:color w:val="000000" w:themeColor="text1"/>
                <w:kern w:val="0"/>
                <w:sz w:val="24"/>
                <w:szCs w:val="21"/>
                <w:highlight w:val="none"/>
                <w14:textFill>
                  <w14:solidFill>
                    <w14:schemeClr w14:val="tx1"/>
                  </w14:solidFill>
                </w14:textFill>
              </w:rPr>
              <w:t>14.</w:t>
            </w:r>
          </w:p>
        </w:tc>
        <w:tc>
          <w:tcPr>
            <w:tcW w:w="1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4"/>
                <w:szCs w:val="21"/>
                <w:highlight w:val="none"/>
                <w14:textFill>
                  <w14:solidFill>
                    <w14:schemeClr w14:val="tx1"/>
                  </w14:solidFill>
                </w14:textFill>
              </w:rPr>
            </w:pPr>
          </w:p>
        </w:tc>
        <w:tc>
          <w:tcPr>
            <w:tcW w:w="8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000000" w:themeColor="text1"/>
                <w:kern w:val="0"/>
                <w:sz w:val="24"/>
                <w:szCs w:val="21"/>
                <w:highlight w:val="none"/>
                <w14:textFill>
                  <w14:solidFill>
                    <w14:schemeClr w14:val="tx1"/>
                  </w14:solidFill>
                </w14:textFill>
              </w:rPr>
            </w:pPr>
            <w:r>
              <w:rPr>
                <w:rFonts w:hint="eastAsia" w:ascii="宋体" w:hAnsi="宋体"/>
                <w:color w:val="000000" w:themeColor="text1"/>
                <w:kern w:val="0"/>
                <w:sz w:val="24"/>
                <w:szCs w:val="21"/>
                <w:highlight w:val="none"/>
                <w14:textFill>
                  <w14:solidFill>
                    <w14:schemeClr w14:val="tx1"/>
                  </w14:solidFill>
                </w14:textFill>
              </w:rPr>
              <w:t>2分</w:t>
            </w:r>
          </w:p>
        </w:tc>
        <w:tc>
          <w:tcPr>
            <w:tcW w:w="5217"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宋体" w:hAnsi="宋体"/>
                <w:color w:val="000000" w:themeColor="text1"/>
                <w:kern w:val="0"/>
                <w:sz w:val="24"/>
                <w:szCs w:val="21"/>
                <w:highlight w:val="none"/>
                <w14:textFill>
                  <w14:solidFill>
                    <w14:schemeClr w14:val="tx1"/>
                  </w14:solidFill>
                </w14:textFill>
              </w:rPr>
            </w:pPr>
            <w:r>
              <w:rPr>
                <w:rFonts w:hint="eastAsia" w:ascii="宋体" w:hAnsi="宋体"/>
                <w:color w:val="000000" w:themeColor="text1"/>
                <w:kern w:val="0"/>
                <w:sz w:val="24"/>
                <w:szCs w:val="21"/>
                <w:highlight w:val="none"/>
                <w14:textFill>
                  <w14:solidFill>
                    <w14:schemeClr w14:val="tx1"/>
                  </w14:solidFill>
                </w14:textFill>
              </w:rPr>
              <w:t>投标人被政府相关部门批准成立研发（或技术）中心、工程（或实施）中心，每满足一个得1分，最高得2分，否则不得分。需政府相关部门批准文件复印件。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7"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olor w:val="000000" w:themeColor="text1"/>
                <w:kern w:val="0"/>
                <w:sz w:val="24"/>
                <w:szCs w:val="21"/>
                <w:highlight w:val="none"/>
                <w14:textFill>
                  <w14:solidFill>
                    <w14:schemeClr w14:val="tx1"/>
                  </w14:solidFill>
                </w14:textFill>
              </w:rPr>
            </w:pPr>
            <w:r>
              <w:rPr>
                <w:rFonts w:hint="eastAsia" w:ascii="宋体" w:hAnsi="宋体"/>
                <w:color w:val="000000" w:themeColor="text1"/>
                <w:kern w:val="0"/>
                <w:sz w:val="24"/>
                <w:szCs w:val="21"/>
                <w:highlight w:val="none"/>
                <w14:textFill>
                  <w14:solidFill>
                    <w14:schemeClr w14:val="tx1"/>
                  </w14:solidFill>
                </w14:textFill>
              </w:rPr>
              <w:t>15.</w:t>
            </w:r>
          </w:p>
        </w:tc>
        <w:tc>
          <w:tcPr>
            <w:tcW w:w="1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4"/>
                <w:szCs w:val="21"/>
                <w:highlight w:val="none"/>
                <w14:textFill>
                  <w14:solidFill>
                    <w14:schemeClr w14:val="tx1"/>
                  </w14:solidFill>
                </w14:textFill>
              </w:rPr>
            </w:pPr>
          </w:p>
        </w:tc>
        <w:tc>
          <w:tcPr>
            <w:tcW w:w="8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000000" w:themeColor="text1"/>
                <w:kern w:val="0"/>
                <w:sz w:val="24"/>
                <w:szCs w:val="21"/>
                <w:highlight w:val="none"/>
                <w14:textFill>
                  <w14:solidFill>
                    <w14:schemeClr w14:val="tx1"/>
                  </w14:solidFill>
                </w14:textFill>
              </w:rPr>
            </w:pPr>
            <w:r>
              <w:rPr>
                <w:rFonts w:hint="eastAsia" w:ascii="宋体" w:hAnsi="宋体"/>
                <w:color w:val="000000" w:themeColor="text1"/>
                <w:kern w:val="0"/>
                <w:sz w:val="24"/>
                <w:szCs w:val="21"/>
                <w:highlight w:val="none"/>
                <w14:textFill>
                  <w14:solidFill>
                    <w14:schemeClr w14:val="tx1"/>
                  </w14:solidFill>
                </w14:textFill>
              </w:rPr>
              <w:t>2分</w:t>
            </w:r>
          </w:p>
        </w:tc>
        <w:tc>
          <w:tcPr>
            <w:tcW w:w="5217"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宋体" w:hAnsi="宋体"/>
                <w:color w:val="000000" w:themeColor="text1"/>
                <w:kern w:val="0"/>
                <w:sz w:val="24"/>
                <w:szCs w:val="21"/>
                <w:highlight w:val="none"/>
                <w14:textFill>
                  <w14:solidFill>
                    <w14:schemeClr w14:val="tx1"/>
                  </w14:solidFill>
                </w14:textFill>
              </w:rPr>
            </w:pPr>
            <w:r>
              <w:rPr>
                <w:rFonts w:hint="eastAsia" w:ascii="宋体" w:hAnsi="宋体"/>
                <w:color w:val="000000" w:themeColor="text1"/>
                <w:kern w:val="0"/>
                <w:sz w:val="24"/>
                <w:szCs w:val="21"/>
                <w:highlight w:val="none"/>
                <w14:textFill>
                  <w14:solidFill>
                    <w14:schemeClr w14:val="tx1"/>
                  </w14:solidFill>
                </w14:textFill>
              </w:rPr>
              <w:t>投标人具有2017-2019年AAA企业信用登记证书，提供经省级或以上政府部门备案的社会信用评估机构出具的评测证书复印件得2分。没有不得分（需提供认证证书及备案材料复印件）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7"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olor w:val="000000" w:themeColor="text1"/>
                <w:kern w:val="0"/>
                <w:sz w:val="24"/>
                <w:szCs w:val="21"/>
                <w:highlight w:val="none"/>
                <w14:textFill>
                  <w14:solidFill>
                    <w14:schemeClr w14:val="tx1"/>
                  </w14:solidFill>
                </w14:textFill>
              </w:rPr>
            </w:pPr>
            <w:r>
              <w:rPr>
                <w:rFonts w:hint="eastAsia" w:ascii="宋体" w:hAnsi="宋体"/>
                <w:color w:val="000000" w:themeColor="text1"/>
                <w:kern w:val="0"/>
                <w:sz w:val="24"/>
                <w:szCs w:val="21"/>
                <w:highlight w:val="none"/>
                <w14:textFill>
                  <w14:solidFill>
                    <w14:schemeClr w14:val="tx1"/>
                  </w14:solidFill>
                </w14:textFill>
              </w:rPr>
              <w:t>16.</w:t>
            </w:r>
          </w:p>
        </w:tc>
        <w:tc>
          <w:tcPr>
            <w:tcW w:w="1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4"/>
                <w:szCs w:val="21"/>
                <w:highlight w:val="none"/>
                <w14:textFill>
                  <w14:solidFill>
                    <w14:schemeClr w14:val="tx1"/>
                  </w14:solidFill>
                </w14:textFill>
              </w:rPr>
            </w:pPr>
          </w:p>
        </w:tc>
        <w:tc>
          <w:tcPr>
            <w:tcW w:w="8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000000" w:themeColor="text1"/>
                <w:kern w:val="0"/>
                <w:sz w:val="24"/>
                <w:szCs w:val="21"/>
                <w:highlight w:val="none"/>
                <w14:textFill>
                  <w14:solidFill>
                    <w14:schemeClr w14:val="tx1"/>
                  </w14:solidFill>
                </w14:textFill>
              </w:rPr>
            </w:pPr>
            <w:r>
              <w:rPr>
                <w:rFonts w:hint="eastAsia" w:ascii="宋体" w:hAnsi="宋体"/>
                <w:color w:val="000000" w:themeColor="text1"/>
                <w:kern w:val="0"/>
                <w:sz w:val="24"/>
                <w:szCs w:val="21"/>
                <w:highlight w:val="none"/>
                <w14:textFill>
                  <w14:solidFill>
                    <w14:schemeClr w14:val="tx1"/>
                  </w14:solidFill>
                </w14:textFill>
              </w:rPr>
              <w:t>3分</w:t>
            </w:r>
          </w:p>
        </w:tc>
        <w:tc>
          <w:tcPr>
            <w:tcW w:w="5217"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宋体" w:hAnsi="宋体"/>
                <w:color w:val="000000" w:themeColor="text1"/>
                <w:kern w:val="0"/>
                <w:sz w:val="24"/>
                <w:szCs w:val="21"/>
                <w:highlight w:val="none"/>
                <w14:textFill>
                  <w14:solidFill>
                    <w14:schemeClr w14:val="tx1"/>
                  </w14:solidFill>
                </w14:textFill>
              </w:rPr>
            </w:pPr>
            <w:r>
              <w:rPr>
                <w:rFonts w:hint="eastAsia" w:ascii="宋体" w:hAnsi="宋体"/>
                <w:color w:val="000000" w:themeColor="text1"/>
                <w:kern w:val="0"/>
                <w:sz w:val="24"/>
                <w:szCs w:val="21"/>
                <w:highlight w:val="none"/>
                <w14:textFill>
                  <w14:solidFill>
                    <w14:schemeClr w14:val="tx1"/>
                  </w14:solidFill>
                </w14:textFill>
              </w:rPr>
              <w:t>投标人的医院信息系统产品通过国家卫健委（或原卫生部）信息化领导小组评审的，得3分。通过省级卫生主管部门评审的得1分。（需提供相关证明文件复印件，原件备查）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7"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olor w:val="000000" w:themeColor="text1"/>
                <w:kern w:val="0"/>
                <w:sz w:val="24"/>
                <w:szCs w:val="21"/>
                <w:highlight w:val="none"/>
                <w14:textFill>
                  <w14:solidFill>
                    <w14:schemeClr w14:val="tx1"/>
                  </w14:solidFill>
                </w14:textFill>
              </w:rPr>
            </w:pPr>
            <w:r>
              <w:rPr>
                <w:rFonts w:hint="eastAsia" w:ascii="宋体" w:hAnsi="宋体"/>
                <w:color w:val="000000" w:themeColor="text1"/>
                <w:kern w:val="0"/>
                <w:sz w:val="24"/>
                <w:szCs w:val="21"/>
                <w:highlight w:val="none"/>
                <w14:textFill>
                  <w14:solidFill>
                    <w14:schemeClr w14:val="tx1"/>
                  </w14:solidFill>
                </w14:textFill>
              </w:rPr>
              <w:t>17.</w:t>
            </w:r>
          </w:p>
        </w:tc>
        <w:tc>
          <w:tcPr>
            <w:tcW w:w="159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themeColor="text1"/>
                <w:kern w:val="0"/>
                <w:sz w:val="24"/>
                <w:szCs w:val="21"/>
                <w:highlight w:val="none"/>
                <w14:textFill>
                  <w14:solidFill>
                    <w14:schemeClr w14:val="tx1"/>
                  </w14:solidFill>
                </w14:textFill>
              </w:rPr>
            </w:pPr>
            <w:r>
              <w:rPr>
                <w:rFonts w:hint="eastAsia" w:ascii="宋体" w:hAnsi="宋体"/>
                <w:color w:val="000000" w:themeColor="text1"/>
                <w:kern w:val="0"/>
                <w:sz w:val="24"/>
                <w:szCs w:val="21"/>
                <w:highlight w:val="none"/>
                <w14:textFill>
                  <w14:solidFill>
                    <w14:schemeClr w14:val="tx1"/>
                  </w14:solidFill>
                </w14:textFill>
              </w:rPr>
              <w:t>标准化经验和信息系统项目建设经验</w:t>
            </w:r>
          </w:p>
        </w:tc>
        <w:tc>
          <w:tcPr>
            <w:tcW w:w="8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000000" w:themeColor="text1"/>
                <w:kern w:val="0"/>
                <w:sz w:val="24"/>
                <w:szCs w:val="21"/>
                <w:highlight w:val="none"/>
                <w14:textFill>
                  <w14:solidFill>
                    <w14:schemeClr w14:val="tx1"/>
                  </w14:solidFill>
                </w14:textFill>
              </w:rPr>
            </w:pPr>
            <w:r>
              <w:rPr>
                <w:rFonts w:hint="eastAsia" w:ascii="宋体" w:hAnsi="宋体"/>
                <w:color w:val="000000" w:themeColor="text1"/>
                <w:kern w:val="0"/>
                <w:sz w:val="24"/>
                <w:szCs w:val="21"/>
                <w:highlight w:val="none"/>
                <w14:textFill>
                  <w14:solidFill>
                    <w14:schemeClr w14:val="tx1"/>
                  </w14:solidFill>
                </w14:textFill>
              </w:rPr>
              <w:t>2分</w:t>
            </w:r>
          </w:p>
        </w:tc>
        <w:tc>
          <w:tcPr>
            <w:tcW w:w="52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themeColor="text1"/>
                <w:kern w:val="0"/>
                <w:sz w:val="24"/>
                <w:szCs w:val="21"/>
                <w:highlight w:val="none"/>
                <w14:textFill>
                  <w14:solidFill>
                    <w14:schemeClr w14:val="tx1"/>
                  </w14:solidFill>
                </w14:textFill>
              </w:rPr>
            </w:pPr>
            <w:r>
              <w:rPr>
                <w:rFonts w:hint="eastAsia" w:ascii="宋体" w:hAnsi="宋体"/>
                <w:color w:val="000000" w:themeColor="text1"/>
                <w:kern w:val="0"/>
                <w:sz w:val="24"/>
                <w:szCs w:val="21"/>
                <w:highlight w:val="none"/>
                <w14:textFill>
                  <w14:solidFill>
                    <w14:schemeClr w14:val="tx1"/>
                  </w14:solidFill>
                </w14:textFill>
              </w:rPr>
              <w:t>投标人具有国家卫健委（或原卫计委、卫生部）数字化医院信息化研究实践经验，承建了通过国家“数字化试点示范医院”评定医院的信息化建设，满足得2分；具有被评定为省级相关经验的，得1分。需提供项目医院出具的证明文件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7"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18.</w:t>
            </w:r>
          </w:p>
        </w:tc>
        <w:tc>
          <w:tcPr>
            <w:tcW w:w="1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highlight w:val="none"/>
                <w14:textFill>
                  <w14:solidFill>
                    <w14:schemeClr w14:val="tx1"/>
                  </w14:solidFill>
                </w14:textFill>
              </w:rPr>
            </w:pPr>
          </w:p>
        </w:tc>
        <w:tc>
          <w:tcPr>
            <w:tcW w:w="8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5分</w:t>
            </w:r>
          </w:p>
        </w:tc>
        <w:tc>
          <w:tcPr>
            <w:tcW w:w="5217" w:type="dxa"/>
            <w:tcBorders>
              <w:top w:val="single" w:color="auto" w:sz="4" w:space="0"/>
              <w:left w:val="single" w:color="auto" w:sz="4" w:space="0"/>
              <w:bottom w:val="single" w:color="auto" w:sz="4" w:space="0"/>
              <w:right w:val="single" w:color="auto" w:sz="4" w:space="0"/>
            </w:tcBorders>
            <w:vAlign w:val="center"/>
          </w:tcPr>
          <w:p>
            <w:pPr>
              <w:pStyle w:val="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需具有电子病历应用水平五级信息化建设项目成功案例，以国家卫计委五级或以上电子病历应用水平认证证书为准，每提供1个案例得0.5分，最高2分。以上案例中，有通过国家卫计委医院信息互联互通成熟度四级甲等或以上评价的成功案例，1个加0.5分，最多加3分。（需提供项目合同、客户通过医院互联互通四级甲等或以上等级测评证明、电子病历应用水平5级或以上等级评价证明和用户出具的相关证明材料复印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7"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olor w:val="000000" w:themeColor="text1"/>
                <w:kern w:val="0"/>
                <w:sz w:val="24"/>
                <w:szCs w:val="21"/>
                <w:highlight w:val="none"/>
                <w14:textFill>
                  <w14:solidFill>
                    <w14:schemeClr w14:val="tx1"/>
                  </w14:solidFill>
                </w14:textFill>
              </w:rPr>
            </w:pPr>
            <w:r>
              <w:rPr>
                <w:rFonts w:hint="eastAsia" w:ascii="宋体" w:hAnsi="宋体"/>
                <w:color w:val="000000" w:themeColor="text1"/>
                <w:kern w:val="0"/>
                <w:sz w:val="24"/>
                <w:szCs w:val="21"/>
                <w:highlight w:val="none"/>
                <w14:textFill>
                  <w14:solidFill>
                    <w14:schemeClr w14:val="tx1"/>
                  </w14:solidFill>
                </w14:textFill>
              </w:rPr>
              <w:t>19.</w:t>
            </w:r>
          </w:p>
        </w:tc>
        <w:tc>
          <w:tcPr>
            <w:tcW w:w="1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4"/>
                <w:szCs w:val="21"/>
                <w:highlight w:val="none"/>
                <w14:textFill>
                  <w14:solidFill>
                    <w14:schemeClr w14:val="tx1"/>
                  </w14:solidFill>
                </w14:textFill>
              </w:rPr>
            </w:pPr>
          </w:p>
        </w:tc>
        <w:tc>
          <w:tcPr>
            <w:tcW w:w="8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000000" w:themeColor="text1"/>
                <w:kern w:val="0"/>
                <w:sz w:val="24"/>
                <w:szCs w:val="21"/>
                <w:highlight w:val="none"/>
                <w14:textFill>
                  <w14:solidFill>
                    <w14:schemeClr w14:val="tx1"/>
                  </w14:solidFill>
                </w14:textFill>
              </w:rPr>
            </w:pPr>
            <w:r>
              <w:rPr>
                <w:rFonts w:hint="eastAsia" w:ascii="宋体" w:hAnsi="宋体"/>
                <w:color w:val="000000" w:themeColor="text1"/>
                <w:kern w:val="0"/>
                <w:sz w:val="24"/>
                <w:szCs w:val="21"/>
                <w:highlight w:val="none"/>
                <w14:textFill>
                  <w14:solidFill>
                    <w14:schemeClr w14:val="tx1"/>
                  </w14:solidFill>
                </w14:textFill>
              </w:rPr>
              <w:t>2分</w:t>
            </w:r>
          </w:p>
        </w:tc>
        <w:tc>
          <w:tcPr>
            <w:tcW w:w="52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themeColor="text1"/>
                <w:kern w:val="0"/>
                <w:sz w:val="24"/>
                <w:szCs w:val="21"/>
                <w:highlight w:val="none"/>
                <w14:textFill>
                  <w14:solidFill>
                    <w14:schemeClr w14:val="tx1"/>
                  </w14:solidFill>
                </w14:textFill>
              </w:rPr>
            </w:pPr>
            <w:r>
              <w:rPr>
                <w:rFonts w:hint="eastAsia" w:ascii="宋体" w:hAnsi="宋体"/>
                <w:color w:val="000000" w:themeColor="text1"/>
                <w:kern w:val="0"/>
                <w:sz w:val="24"/>
                <w:szCs w:val="21"/>
                <w:highlight w:val="none"/>
                <w14:textFill>
                  <w14:solidFill>
                    <w14:schemeClr w14:val="tx1"/>
                  </w14:solidFill>
                </w14:textFill>
              </w:rPr>
              <w:t>投标人具有参与国家卫健委（或原卫生部）《电子病历基本架构和数据标准》等医疗卫生信息相关标准规范研制工作。每参与一项得0.5分，满分2分。需提供国家卫计委（或原卫生部）统计信息中心出具的相关证明文件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 w:hRule="atLeast"/>
        </w:trPr>
        <w:tc>
          <w:tcPr>
            <w:tcW w:w="83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olor w:val="000000" w:themeColor="text1"/>
                <w:kern w:val="0"/>
                <w:sz w:val="24"/>
                <w:szCs w:val="21"/>
                <w:highlight w:val="none"/>
                <w14:textFill>
                  <w14:solidFill>
                    <w14:schemeClr w14:val="tx1"/>
                  </w14:solidFill>
                </w14:textFill>
              </w:rPr>
            </w:pPr>
            <w:r>
              <w:rPr>
                <w:rFonts w:hint="eastAsia" w:ascii="宋体" w:hAnsi="宋体"/>
                <w:color w:val="000000" w:themeColor="text1"/>
                <w:kern w:val="0"/>
                <w:sz w:val="24"/>
                <w:szCs w:val="21"/>
                <w:highlight w:val="none"/>
                <w14:textFill>
                  <w14:solidFill>
                    <w14:schemeClr w14:val="tx1"/>
                  </w14:solidFill>
                </w14:textFill>
              </w:rPr>
              <w:t>20.</w:t>
            </w:r>
          </w:p>
        </w:tc>
        <w:tc>
          <w:tcPr>
            <w:tcW w:w="159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000000" w:themeColor="text1"/>
                <w:kern w:val="0"/>
                <w:sz w:val="24"/>
                <w:szCs w:val="21"/>
                <w:highlight w:val="none"/>
                <w14:textFill>
                  <w14:solidFill>
                    <w14:schemeClr w14:val="tx1"/>
                  </w14:solidFill>
                </w14:textFill>
              </w:rPr>
            </w:pPr>
            <w:r>
              <w:rPr>
                <w:rFonts w:hint="eastAsia" w:ascii="宋体" w:hAnsi="宋体"/>
                <w:color w:val="000000" w:themeColor="text1"/>
                <w:kern w:val="0"/>
                <w:sz w:val="24"/>
                <w:szCs w:val="21"/>
                <w:highlight w:val="none"/>
                <w14:textFill>
                  <w14:solidFill>
                    <w14:schemeClr w14:val="tx1"/>
                  </w14:solidFill>
                </w14:textFill>
              </w:rPr>
              <w:t>研发能力</w:t>
            </w:r>
          </w:p>
        </w:tc>
        <w:tc>
          <w:tcPr>
            <w:tcW w:w="87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000000" w:themeColor="text1"/>
                <w:kern w:val="0"/>
                <w:sz w:val="24"/>
                <w:szCs w:val="21"/>
                <w:highlight w:val="none"/>
                <w14:textFill>
                  <w14:solidFill>
                    <w14:schemeClr w14:val="tx1"/>
                  </w14:solidFill>
                </w14:textFill>
              </w:rPr>
            </w:pPr>
            <w:r>
              <w:rPr>
                <w:rFonts w:hint="eastAsia" w:ascii="宋体" w:hAnsi="宋体"/>
                <w:color w:val="000000" w:themeColor="text1"/>
                <w:kern w:val="0"/>
                <w:sz w:val="24"/>
                <w:szCs w:val="21"/>
                <w:highlight w:val="none"/>
                <w14:textFill>
                  <w14:solidFill>
                    <w14:schemeClr w14:val="tx1"/>
                  </w14:solidFill>
                </w14:textFill>
              </w:rPr>
              <w:t>5分</w:t>
            </w:r>
          </w:p>
        </w:tc>
        <w:tc>
          <w:tcPr>
            <w:tcW w:w="5217"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宋体" w:hAnsi="宋体"/>
                <w:color w:val="000000" w:themeColor="text1"/>
                <w:kern w:val="0"/>
                <w:sz w:val="24"/>
                <w:szCs w:val="21"/>
                <w:highlight w:val="none"/>
                <w14:textFill>
                  <w14:solidFill>
                    <w14:schemeClr w14:val="tx1"/>
                  </w14:solidFill>
                </w14:textFill>
              </w:rPr>
            </w:pPr>
            <w:r>
              <w:rPr>
                <w:rFonts w:hint="eastAsia" w:ascii="宋体" w:hAnsi="宋体"/>
                <w:color w:val="000000" w:themeColor="text1"/>
                <w:kern w:val="0"/>
                <w:sz w:val="24"/>
                <w:szCs w:val="21"/>
                <w:highlight w:val="none"/>
                <w14:textFill>
                  <w14:solidFill>
                    <w14:schemeClr w14:val="tx1"/>
                  </w14:solidFill>
                </w14:textFill>
              </w:rPr>
              <w:t>投标人具有完整的本项目产品相关软件自主知识产权：医院集成平台、临床数据中心、主索引管理、电子病历浏览器、HL7引擎、全文检索、医院管理决策支持、医疗卫生信息安全著作权证书。满分3分，每少一张证书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3" w:hRule="atLeast"/>
        </w:trPr>
        <w:tc>
          <w:tcPr>
            <w:tcW w:w="8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4"/>
                <w:szCs w:val="21"/>
                <w:highlight w:val="none"/>
                <w14:textFill>
                  <w14:solidFill>
                    <w14:schemeClr w14:val="tx1"/>
                  </w14:solidFill>
                </w14:textFill>
              </w:rPr>
            </w:pPr>
          </w:p>
        </w:tc>
        <w:tc>
          <w:tcPr>
            <w:tcW w:w="1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4"/>
                <w:szCs w:val="21"/>
                <w:highlight w:val="none"/>
                <w14:textFill>
                  <w14:solidFill>
                    <w14:schemeClr w14:val="tx1"/>
                  </w14:solidFill>
                </w14:textFill>
              </w:rPr>
            </w:pPr>
          </w:p>
        </w:tc>
        <w:tc>
          <w:tcPr>
            <w:tcW w:w="87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4"/>
                <w:szCs w:val="21"/>
                <w:highlight w:val="none"/>
                <w14:textFill>
                  <w14:solidFill>
                    <w14:schemeClr w14:val="tx1"/>
                  </w14:solidFill>
                </w14:textFill>
              </w:rPr>
            </w:pPr>
          </w:p>
        </w:tc>
        <w:tc>
          <w:tcPr>
            <w:tcW w:w="5217"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宋体" w:hAnsi="宋体"/>
                <w:color w:val="000000" w:themeColor="text1"/>
                <w:kern w:val="0"/>
                <w:sz w:val="24"/>
                <w:szCs w:val="21"/>
                <w:highlight w:val="none"/>
                <w14:textFill>
                  <w14:solidFill>
                    <w14:schemeClr w14:val="tx1"/>
                  </w14:solidFill>
                </w14:textFill>
              </w:rPr>
            </w:pPr>
            <w:r>
              <w:rPr>
                <w:rFonts w:hint="eastAsia" w:ascii="宋体" w:hAnsi="宋体"/>
                <w:color w:val="000000" w:themeColor="text1"/>
                <w:kern w:val="0"/>
                <w:sz w:val="24"/>
                <w:szCs w:val="21"/>
                <w:highlight w:val="none"/>
                <w14:textFill>
                  <w14:solidFill>
                    <w14:schemeClr w14:val="tx1"/>
                  </w14:solidFill>
                </w14:textFill>
              </w:rPr>
              <w:t>投标人具有与医院共同开发医疗卫生信息系统相关产品经验，须提供软件著作权登记证书（以软件著作权登记证书中著作权人能体现医院和投标人名称的证书为准，）复印件，每具有一个经验的得1分，同一个医院多个证书不累计计分，最高得2分。否则不得分，以提供的证书复印件为准。</w:t>
            </w:r>
          </w:p>
        </w:tc>
      </w:tr>
    </w:tbl>
    <w:p>
      <w:pPr>
        <w:spacing w:line="360" w:lineRule="auto"/>
        <w:ind w:left="838" w:leftChars="228" w:hanging="359" w:hangingChars="149"/>
        <w:jc w:val="left"/>
        <w:rPr>
          <w:rFonts w:ascii="宋体" w:hAnsi="宋体"/>
          <w:b/>
          <w:bCs/>
          <w:color w:val="000000" w:themeColor="text1"/>
          <w:sz w:val="24"/>
          <w:highlight w:val="none"/>
          <w14:textFill>
            <w14:solidFill>
              <w14:schemeClr w14:val="tx1"/>
            </w14:solidFill>
          </w14:textFill>
        </w:rPr>
      </w:pPr>
    </w:p>
    <w:p>
      <w:pPr>
        <w:spacing w:line="360" w:lineRule="auto"/>
        <w:rPr>
          <w:rFonts w:asciiTheme="minorEastAsia" w:hAnsiTheme="minorEastAsia" w:eastAsiaTheme="minorEastAsia"/>
          <w:b/>
          <w:color w:val="000000" w:themeColor="text1"/>
          <w:sz w:val="28"/>
          <w:szCs w:val="28"/>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numPr>
          <w:ilvl w:val="0"/>
          <w:numId w:val="4"/>
        </w:numPr>
        <w:spacing w:line="360" w:lineRule="auto"/>
        <w:jc w:val="center"/>
        <w:rPr>
          <w:rFonts w:asciiTheme="minorEastAsia" w:hAnsiTheme="minorEastAsia" w:eastAsiaTheme="minorEastAsia"/>
          <w:b/>
          <w:color w:val="000000" w:themeColor="text1"/>
          <w:sz w:val="36"/>
          <w:szCs w:val="36"/>
          <w:highlight w:val="none"/>
          <w14:textFill>
            <w14:solidFill>
              <w14:schemeClr w14:val="tx1"/>
            </w14:solidFill>
          </w14:textFill>
        </w:rPr>
      </w:pPr>
      <w:r>
        <w:rPr>
          <w:rFonts w:hint="eastAsia" w:asciiTheme="minorEastAsia" w:hAnsiTheme="minorEastAsia" w:eastAsiaTheme="minorEastAsia"/>
          <w:b/>
          <w:color w:val="000000" w:themeColor="text1"/>
          <w:sz w:val="36"/>
          <w:szCs w:val="36"/>
          <w:highlight w:val="none"/>
          <w14:textFill>
            <w14:solidFill>
              <w14:schemeClr w14:val="tx1"/>
            </w14:solidFill>
          </w14:textFill>
        </w:rPr>
        <w:t>公开招标需求</w:t>
      </w:r>
    </w:p>
    <w:p>
      <w:pPr>
        <w:pStyle w:val="4"/>
        <w:spacing w:line="400" w:lineRule="exact"/>
        <w:jc w:val="both"/>
        <w:rPr>
          <w:rFonts w:ascii="宋体" w:hAnsi="宋体" w:eastAsia="宋体" w:cs="宋体"/>
          <w:color w:val="000000" w:themeColor="text1"/>
          <w:sz w:val="24"/>
          <w:highlight w:val="none"/>
          <w14:textFill>
            <w14:solidFill>
              <w14:schemeClr w14:val="tx1"/>
            </w14:solidFill>
          </w14:textFill>
        </w:rPr>
      </w:pPr>
      <w:bookmarkStart w:id="1" w:name="_Toc157410887"/>
      <w:r>
        <w:rPr>
          <w:rFonts w:hint="eastAsia" w:ascii="宋体" w:hAnsi="宋体" w:eastAsia="宋体" w:cs="宋体"/>
          <w:color w:val="000000" w:themeColor="text1"/>
          <w:sz w:val="24"/>
          <w:highlight w:val="none"/>
          <w14:textFill>
            <w14:solidFill>
              <w14:schemeClr w14:val="tx1"/>
            </w14:solidFill>
          </w14:textFill>
        </w:rPr>
        <w:t>1、采购清单</w:t>
      </w:r>
    </w:p>
    <w:tbl>
      <w:tblPr>
        <w:tblStyle w:val="20"/>
        <w:tblW w:w="8970" w:type="dxa"/>
        <w:tblInd w:w="-246" w:type="dxa"/>
        <w:tblLayout w:type="fixed"/>
        <w:tblCellMar>
          <w:top w:w="0" w:type="dxa"/>
          <w:left w:w="108" w:type="dxa"/>
          <w:bottom w:w="0" w:type="dxa"/>
          <w:right w:w="108" w:type="dxa"/>
        </w:tblCellMar>
      </w:tblPr>
      <w:tblGrid>
        <w:gridCol w:w="2197"/>
        <w:gridCol w:w="3968"/>
        <w:gridCol w:w="2805"/>
      </w:tblGrid>
      <w:tr>
        <w:tblPrEx>
          <w:tblLayout w:type="fixed"/>
          <w:tblCellMar>
            <w:top w:w="0" w:type="dxa"/>
            <w:left w:w="108" w:type="dxa"/>
            <w:bottom w:w="0" w:type="dxa"/>
            <w:right w:w="108" w:type="dxa"/>
          </w:tblCellMar>
        </w:tblPrEx>
        <w:trPr>
          <w:trHeight w:val="330" w:hRule="atLeast"/>
        </w:trPr>
        <w:tc>
          <w:tcPr>
            <w:tcW w:w="219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00" w:lineRule="exact"/>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分类</w:t>
            </w:r>
          </w:p>
        </w:tc>
        <w:tc>
          <w:tcPr>
            <w:tcW w:w="3968" w:type="dxa"/>
            <w:tcBorders>
              <w:top w:val="single" w:color="auto" w:sz="4" w:space="0"/>
              <w:left w:val="nil"/>
              <w:bottom w:val="single" w:color="auto" w:sz="4" w:space="0"/>
              <w:right w:val="single" w:color="auto" w:sz="4" w:space="0"/>
            </w:tcBorders>
            <w:shd w:val="clear" w:color="000000" w:fill="FFFFFF"/>
            <w:vAlign w:val="center"/>
          </w:tcPr>
          <w:p>
            <w:pPr>
              <w:widowControl/>
              <w:spacing w:line="400" w:lineRule="exact"/>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模块系统</w:t>
            </w:r>
          </w:p>
        </w:tc>
        <w:tc>
          <w:tcPr>
            <w:tcW w:w="2805" w:type="dxa"/>
            <w:tcBorders>
              <w:top w:val="single" w:color="auto" w:sz="4" w:space="0"/>
              <w:left w:val="nil"/>
              <w:bottom w:val="single" w:color="auto" w:sz="4" w:space="0"/>
              <w:right w:val="single" w:color="auto" w:sz="4" w:space="0"/>
            </w:tcBorders>
            <w:shd w:val="clear" w:color="000000" w:fill="FFFFFF"/>
            <w:vAlign w:val="center"/>
          </w:tcPr>
          <w:p>
            <w:pPr>
              <w:widowControl/>
              <w:spacing w:line="400" w:lineRule="exact"/>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备注</w:t>
            </w:r>
          </w:p>
        </w:tc>
      </w:tr>
      <w:tr>
        <w:tblPrEx>
          <w:tblLayout w:type="fixed"/>
          <w:tblCellMar>
            <w:top w:w="0" w:type="dxa"/>
            <w:left w:w="108" w:type="dxa"/>
            <w:bottom w:w="0" w:type="dxa"/>
            <w:right w:w="108" w:type="dxa"/>
          </w:tblCellMar>
        </w:tblPrEx>
        <w:trPr>
          <w:trHeight w:val="330" w:hRule="atLeast"/>
        </w:trPr>
        <w:tc>
          <w:tcPr>
            <w:tcW w:w="2197" w:type="dxa"/>
            <w:vMerge w:val="restart"/>
            <w:tcBorders>
              <w:left w:val="single" w:color="auto" w:sz="4" w:space="0"/>
              <w:right w:val="single" w:color="auto" w:sz="4" w:space="0"/>
            </w:tcBorders>
            <w:shd w:val="clear" w:color="000000" w:fill="FFFFFF"/>
            <w:vAlign w:val="center"/>
          </w:tcPr>
          <w:p>
            <w:pPr>
              <w:widowControl/>
              <w:spacing w:line="400" w:lineRule="exact"/>
              <w:jc w:val="center"/>
              <w:rPr>
                <w:rFonts w:ascii="宋体" w:hAnsi="宋体" w:cs="宋体"/>
                <w:bCs/>
                <w:color w:val="000000" w:themeColor="text1"/>
                <w:kern w:val="0"/>
                <w:sz w:val="24"/>
                <w:highlight w:val="none"/>
                <w14:textFill>
                  <w14:solidFill>
                    <w14:schemeClr w14:val="tx1"/>
                  </w14:solidFill>
                </w14:textFill>
              </w:rPr>
            </w:pPr>
          </w:p>
        </w:tc>
        <w:tc>
          <w:tcPr>
            <w:tcW w:w="3968" w:type="dxa"/>
            <w:tcBorders>
              <w:top w:val="nil"/>
              <w:left w:val="nil"/>
              <w:bottom w:val="single" w:color="auto" w:sz="4" w:space="0"/>
              <w:right w:val="single" w:color="auto" w:sz="4" w:space="0"/>
            </w:tcBorders>
            <w:shd w:val="clear" w:color="000000" w:fill="FFFFFF"/>
            <w:vAlign w:val="center"/>
          </w:tcPr>
          <w:p>
            <w:pPr>
              <w:widowControl/>
              <w:spacing w:line="40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中/西药库管理系统</w:t>
            </w:r>
          </w:p>
        </w:tc>
        <w:tc>
          <w:tcPr>
            <w:tcW w:w="2805"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升级或更换</w:t>
            </w:r>
          </w:p>
        </w:tc>
      </w:tr>
      <w:tr>
        <w:tblPrEx>
          <w:tblLayout w:type="fixed"/>
          <w:tblCellMar>
            <w:top w:w="0" w:type="dxa"/>
            <w:left w:w="108" w:type="dxa"/>
            <w:bottom w:w="0" w:type="dxa"/>
            <w:right w:w="108" w:type="dxa"/>
          </w:tblCellMar>
        </w:tblPrEx>
        <w:trPr>
          <w:trHeight w:val="330" w:hRule="atLeast"/>
        </w:trPr>
        <w:tc>
          <w:tcPr>
            <w:tcW w:w="2197" w:type="dxa"/>
            <w:vMerge w:val="continue"/>
            <w:tcBorders>
              <w:left w:val="single" w:color="auto" w:sz="4" w:space="0"/>
              <w:right w:val="single" w:color="auto" w:sz="4" w:space="0"/>
            </w:tcBorders>
            <w:vAlign w:val="center"/>
          </w:tcPr>
          <w:p>
            <w:pPr>
              <w:widowControl/>
              <w:spacing w:line="400" w:lineRule="exact"/>
              <w:jc w:val="left"/>
              <w:rPr>
                <w:rFonts w:ascii="宋体" w:hAnsi="宋体" w:cs="宋体"/>
                <w:b/>
                <w:bCs/>
                <w:color w:val="000000" w:themeColor="text1"/>
                <w:kern w:val="0"/>
                <w:sz w:val="24"/>
                <w:highlight w:val="none"/>
                <w14:textFill>
                  <w14:solidFill>
                    <w14:schemeClr w14:val="tx1"/>
                  </w14:solidFill>
                </w14:textFill>
              </w:rPr>
            </w:pPr>
          </w:p>
        </w:tc>
        <w:tc>
          <w:tcPr>
            <w:tcW w:w="3968" w:type="dxa"/>
            <w:tcBorders>
              <w:top w:val="nil"/>
              <w:left w:val="nil"/>
              <w:bottom w:val="single" w:color="auto" w:sz="4" w:space="0"/>
              <w:right w:val="single" w:color="auto" w:sz="4" w:space="0"/>
            </w:tcBorders>
            <w:shd w:val="clear" w:color="000000" w:fill="FFFFFF"/>
            <w:vAlign w:val="center"/>
          </w:tcPr>
          <w:p>
            <w:pPr>
              <w:widowControl/>
              <w:spacing w:line="40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门诊中/西药房管理系统</w:t>
            </w:r>
          </w:p>
        </w:tc>
        <w:tc>
          <w:tcPr>
            <w:tcW w:w="2805"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升级或更换</w:t>
            </w:r>
          </w:p>
        </w:tc>
      </w:tr>
      <w:tr>
        <w:tblPrEx>
          <w:tblLayout w:type="fixed"/>
          <w:tblCellMar>
            <w:top w:w="0" w:type="dxa"/>
            <w:left w:w="108" w:type="dxa"/>
            <w:bottom w:w="0" w:type="dxa"/>
            <w:right w:w="108" w:type="dxa"/>
          </w:tblCellMar>
        </w:tblPrEx>
        <w:trPr>
          <w:trHeight w:val="330" w:hRule="atLeast"/>
        </w:trPr>
        <w:tc>
          <w:tcPr>
            <w:tcW w:w="2197" w:type="dxa"/>
            <w:vMerge w:val="continue"/>
            <w:tcBorders>
              <w:left w:val="single" w:color="auto" w:sz="4" w:space="0"/>
              <w:right w:val="single" w:color="auto" w:sz="4" w:space="0"/>
            </w:tcBorders>
            <w:vAlign w:val="center"/>
          </w:tcPr>
          <w:p>
            <w:pPr>
              <w:widowControl/>
              <w:spacing w:line="400" w:lineRule="exact"/>
              <w:jc w:val="left"/>
              <w:rPr>
                <w:rFonts w:ascii="宋体" w:hAnsi="宋体" w:cs="宋体"/>
                <w:b/>
                <w:bCs/>
                <w:color w:val="000000" w:themeColor="text1"/>
                <w:kern w:val="0"/>
                <w:sz w:val="24"/>
                <w:highlight w:val="none"/>
                <w14:textFill>
                  <w14:solidFill>
                    <w14:schemeClr w14:val="tx1"/>
                  </w14:solidFill>
                </w14:textFill>
              </w:rPr>
            </w:pPr>
          </w:p>
        </w:tc>
        <w:tc>
          <w:tcPr>
            <w:tcW w:w="3968" w:type="dxa"/>
            <w:tcBorders>
              <w:top w:val="nil"/>
              <w:left w:val="nil"/>
              <w:bottom w:val="single" w:color="auto" w:sz="4" w:space="0"/>
              <w:right w:val="single" w:color="auto" w:sz="4" w:space="0"/>
            </w:tcBorders>
            <w:shd w:val="clear" w:color="000000" w:fill="FFFFFF"/>
            <w:vAlign w:val="center"/>
          </w:tcPr>
          <w:p>
            <w:pPr>
              <w:widowControl/>
              <w:spacing w:line="40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病区药房管理系统</w:t>
            </w:r>
          </w:p>
        </w:tc>
        <w:tc>
          <w:tcPr>
            <w:tcW w:w="2805"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升级或更换</w:t>
            </w:r>
          </w:p>
        </w:tc>
      </w:tr>
      <w:tr>
        <w:tblPrEx>
          <w:tblLayout w:type="fixed"/>
          <w:tblCellMar>
            <w:top w:w="0" w:type="dxa"/>
            <w:left w:w="108" w:type="dxa"/>
            <w:bottom w:w="0" w:type="dxa"/>
            <w:right w:w="108" w:type="dxa"/>
          </w:tblCellMar>
        </w:tblPrEx>
        <w:trPr>
          <w:trHeight w:val="330" w:hRule="atLeast"/>
        </w:trPr>
        <w:tc>
          <w:tcPr>
            <w:tcW w:w="2197" w:type="dxa"/>
            <w:vMerge w:val="continue"/>
            <w:tcBorders>
              <w:left w:val="single" w:color="auto" w:sz="4" w:space="0"/>
              <w:right w:val="single" w:color="auto" w:sz="4" w:space="0"/>
            </w:tcBorders>
            <w:vAlign w:val="center"/>
          </w:tcPr>
          <w:p>
            <w:pPr>
              <w:widowControl/>
              <w:spacing w:line="400" w:lineRule="exact"/>
              <w:jc w:val="left"/>
              <w:rPr>
                <w:rFonts w:ascii="宋体" w:hAnsi="宋体" w:cs="宋体"/>
                <w:b/>
                <w:bCs/>
                <w:color w:val="000000" w:themeColor="text1"/>
                <w:kern w:val="0"/>
                <w:sz w:val="24"/>
                <w:highlight w:val="none"/>
                <w14:textFill>
                  <w14:solidFill>
                    <w14:schemeClr w14:val="tx1"/>
                  </w14:solidFill>
                </w14:textFill>
              </w:rPr>
            </w:pPr>
          </w:p>
        </w:tc>
        <w:tc>
          <w:tcPr>
            <w:tcW w:w="3968" w:type="dxa"/>
            <w:tcBorders>
              <w:top w:val="nil"/>
              <w:left w:val="nil"/>
              <w:bottom w:val="single" w:color="auto" w:sz="4" w:space="0"/>
              <w:right w:val="single" w:color="auto" w:sz="4" w:space="0"/>
            </w:tcBorders>
            <w:shd w:val="clear" w:color="000000" w:fill="FFFFFF"/>
            <w:vAlign w:val="center"/>
          </w:tcPr>
          <w:p>
            <w:pPr>
              <w:widowControl/>
              <w:spacing w:line="40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门诊挂号划价收费系统</w:t>
            </w:r>
          </w:p>
        </w:tc>
        <w:tc>
          <w:tcPr>
            <w:tcW w:w="2805"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升级或更换</w:t>
            </w:r>
          </w:p>
        </w:tc>
      </w:tr>
      <w:tr>
        <w:tblPrEx>
          <w:tblLayout w:type="fixed"/>
          <w:tblCellMar>
            <w:top w:w="0" w:type="dxa"/>
            <w:left w:w="108" w:type="dxa"/>
            <w:bottom w:w="0" w:type="dxa"/>
            <w:right w:w="108" w:type="dxa"/>
          </w:tblCellMar>
        </w:tblPrEx>
        <w:trPr>
          <w:trHeight w:val="90" w:hRule="atLeast"/>
        </w:trPr>
        <w:tc>
          <w:tcPr>
            <w:tcW w:w="2197" w:type="dxa"/>
            <w:vMerge w:val="continue"/>
            <w:tcBorders>
              <w:left w:val="single" w:color="auto" w:sz="4" w:space="0"/>
              <w:right w:val="single" w:color="auto" w:sz="4" w:space="0"/>
            </w:tcBorders>
            <w:vAlign w:val="center"/>
          </w:tcPr>
          <w:p>
            <w:pPr>
              <w:widowControl/>
              <w:spacing w:line="400" w:lineRule="exact"/>
              <w:jc w:val="left"/>
              <w:rPr>
                <w:rFonts w:ascii="宋体" w:hAnsi="宋体" w:cs="宋体"/>
                <w:b/>
                <w:bCs/>
                <w:color w:val="000000" w:themeColor="text1"/>
                <w:kern w:val="0"/>
                <w:sz w:val="24"/>
                <w:highlight w:val="none"/>
                <w14:textFill>
                  <w14:solidFill>
                    <w14:schemeClr w14:val="tx1"/>
                  </w14:solidFill>
                </w14:textFill>
              </w:rPr>
            </w:pPr>
          </w:p>
        </w:tc>
        <w:tc>
          <w:tcPr>
            <w:tcW w:w="3968" w:type="dxa"/>
            <w:tcBorders>
              <w:top w:val="nil"/>
              <w:left w:val="nil"/>
              <w:bottom w:val="single" w:color="auto" w:sz="4" w:space="0"/>
              <w:right w:val="single" w:color="auto" w:sz="4" w:space="0"/>
            </w:tcBorders>
            <w:shd w:val="clear" w:color="000000" w:fill="FFFFFF"/>
            <w:vAlign w:val="center"/>
          </w:tcPr>
          <w:p>
            <w:pPr>
              <w:widowControl/>
              <w:spacing w:line="40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门诊预约挂号</w:t>
            </w:r>
          </w:p>
        </w:tc>
        <w:tc>
          <w:tcPr>
            <w:tcW w:w="2805"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升级或更换</w:t>
            </w:r>
          </w:p>
        </w:tc>
      </w:tr>
      <w:tr>
        <w:tblPrEx>
          <w:tblLayout w:type="fixed"/>
          <w:tblCellMar>
            <w:top w:w="0" w:type="dxa"/>
            <w:left w:w="108" w:type="dxa"/>
            <w:bottom w:w="0" w:type="dxa"/>
            <w:right w:w="108" w:type="dxa"/>
          </w:tblCellMar>
        </w:tblPrEx>
        <w:trPr>
          <w:trHeight w:val="330" w:hRule="atLeast"/>
        </w:trPr>
        <w:tc>
          <w:tcPr>
            <w:tcW w:w="2197" w:type="dxa"/>
            <w:vMerge w:val="continue"/>
            <w:tcBorders>
              <w:left w:val="single" w:color="auto" w:sz="4" w:space="0"/>
              <w:right w:val="single" w:color="auto" w:sz="4" w:space="0"/>
            </w:tcBorders>
            <w:vAlign w:val="center"/>
          </w:tcPr>
          <w:p>
            <w:pPr>
              <w:widowControl/>
              <w:spacing w:line="400" w:lineRule="exact"/>
              <w:jc w:val="left"/>
              <w:rPr>
                <w:rFonts w:ascii="宋体" w:hAnsi="宋体" w:cs="宋体"/>
                <w:b/>
                <w:bCs/>
                <w:color w:val="000000" w:themeColor="text1"/>
                <w:kern w:val="0"/>
                <w:sz w:val="24"/>
                <w:highlight w:val="none"/>
                <w14:textFill>
                  <w14:solidFill>
                    <w14:schemeClr w14:val="tx1"/>
                  </w14:solidFill>
                </w14:textFill>
              </w:rPr>
            </w:pPr>
          </w:p>
        </w:tc>
        <w:tc>
          <w:tcPr>
            <w:tcW w:w="3968" w:type="dxa"/>
            <w:tcBorders>
              <w:top w:val="nil"/>
              <w:left w:val="nil"/>
              <w:bottom w:val="single" w:color="auto" w:sz="4" w:space="0"/>
              <w:right w:val="single" w:color="auto" w:sz="4" w:space="0"/>
            </w:tcBorders>
            <w:shd w:val="clear" w:color="000000" w:fill="FFFFFF"/>
            <w:vAlign w:val="center"/>
          </w:tcPr>
          <w:p>
            <w:pPr>
              <w:widowControl/>
              <w:spacing w:line="40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排队叫号系统（诊间）</w:t>
            </w:r>
          </w:p>
        </w:tc>
        <w:tc>
          <w:tcPr>
            <w:tcW w:w="2805"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升级或更换</w:t>
            </w:r>
          </w:p>
        </w:tc>
      </w:tr>
      <w:tr>
        <w:tblPrEx>
          <w:tblLayout w:type="fixed"/>
          <w:tblCellMar>
            <w:top w:w="0" w:type="dxa"/>
            <w:left w:w="108" w:type="dxa"/>
            <w:bottom w:w="0" w:type="dxa"/>
            <w:right w:w="108" w:type="dxa"/>
          </w:tblCellMar>
        </w:tblPrEx>
        <w:trPr>
          <w:trHeight w:val="330" w:hRule="atLeast"/>
        </w:trPr>
        <w:tc>
          <w:tcPr>
            <w:tcW w:w="2197" w:type="dxa"/>
            <w:vMerge w:val="continue"/>
            <w:tcBorders>
              <w:left w:val="single" w:color="auto" w:sz="4" w:space="0"/>
              <w:right w:val="single" w:color="auto" w:sz="4" w:space="0"/>
            </w:tcBorders>
            <w:vAlign w:val="center"/>
          </w:tcPr>
          <w:p>
            <w:pPr>
              <w:widowControl/>
              <w:spacing w:line="400" w:lineRule="exact"/>
              <w:jc w:val="left"/>
              <w:rPr>
                <w:rFonts w:ascii="宋体" w:hAnsi="宋体" w:cs="宋体"/>
                <w:b/>
                <w:bCs/>
                <w:color w:val="000000" w:themeColor="text1"/>
                <w:kern w:val="0"/>
                <w:sz w:val="24"/>
                <w:highlight w:val="none"/>
                <w14:textFill>
                  <w14:solidFill>
                    <w14:schemeClr w14:val="tx1"/>
                  </w14:solidFill>
                </w14:textFill>
              </w:rPr>
            </w:pPr>
          </w:p>
        </w:tc>
        <w:tc>
          <w:tcPr>
            <w:tcW w:w="3968" w:type="dxa"/>
            <w:tcBorders>
              <w:top w:val="nil"/>
              <w:left w:val="nil"/>
              <w:bottom w:val="single" w:color="auto" w:sz="4" w:space="0"/>
              <w:right w:val="single" w:color="auto" w:sz="4" w:space="0"/>
            </w:tcBorders>
            <w:shd w:val="clear" w:color="000000" w:fill="FFFFFF"/>
            <w:vAlign w:val="center"/>
          </w:tcPr>
          <w:p>
            <w:pPr>
              <w:widowControl/>
              <w:spacing w:line="40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皮试系统（注射系统）</w:t>
            </w:r>
          </w:p>
        </w:tc>
        <w:tc>
          <w:tcPr>
            <w:tcW w:w="2805"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升级或更换</w:t>
            </w:r>
          </w:p>
        </w:tc>
      </w:tr>
      <w:tr>
        <w:tblPrEx>
          <w:tblLayout w:type="fixed"/>
          <w:tblCellMar>
            <w:top w:w="0" w:type="dxa"/>
            <w:left w:w="108" w:type="dxa"/>
            <w:bottom w:w="0" w:type="dxa"/>
            <w:right w:w="108" w:type="dxa"/>
          </w:tblCellMar>
        </w:tblPrEx>
        <w:trPr>
          <w:trHeight w:val="330" w:hRule="atLeast"/>
        </w:trPr>
        <w:tc>
          <w:tcPr>
            <w:tcW w:w="2197" w:type="dxa"/>
            <w:vMerge w:val="continue"/>
            <w:tcBorders>
              <w:left w:val="single" w:color="auto" w:sz="4" w:space="0"/>
              <w:right w:val="single" w:color="auto" w:sz="4" w:space="0"/>
            </w:tcBorders>
            <w:vAlign w:val="center"/>
          </w:tcPr>
          <w:p>
            <w:pPr>
              <w:widowControl/>
              <w:spacing w:line="400" w:lineRule="exact"/>
              <w:jc w:val="left"/>
              <w:rPr>
                <w:rFonts w:ascii="宋体" w:hAnsi="宋体" w:cs="宋体"/>
                <w:b/>
                <w:bCs/>
                <w:color w:val="000000" w:themeColor="text1"/>
                <w:kern w:val="0"/>
                <w:sz w:val="24"/>
                <w:highlight w:val="none"/>
                <w14:textFill>
                  <w14:solidFill>
                    <w14:schemeClr w14:val="tx1"/>
                  </w14:solidFill>
                </w14:textFill>
              </w:rPr>
            </w:pPr>
          </w:p>
        </w:tc>
        <w:tc>
          <w:tcPr>
            <w:tcW w:w="3968" w:type="dxa"/>
            <w:tcBorders>
              <w:top w:val="nil"/>
              <w:left w:val="nil"/>
              <w:bottom w:val="single" w:color="auto" w:sz="4" w:space="0"/>
              <w:right w:val="single" w:color="auto" w:sz="4" w:space="0"/>
            </w:tcBorders>
            <w:shd w:val="clear" w:color="000000" w:fill="FFFFFF"/>
            <w:vAlign w:val="center"/>
          </w:tcPr>
          <w:p>
            <w:pPr>
              <w:widowControl/>
              <w:spacing w:line="40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诊间结算</w:t>
            </w:r>
          </w:p>
        </w:tc>
        <w:tc>
          <w:tcPr>
            <w:tcW w:w="2805"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升级或更换</w:t>
            </w:r>
          </w:p>
        </w:tc>
      </w:tr>
      <w:tr>
        <w:tblPrEx>
          <w:tblLayout w:type="fixed"/>
          <w:tblCellMar>
            <w:top w:w="0" w:type="dxa"/>
            <w:left w:w="108" w:type="dxa"/>
            <w:bottom w:w="0" w:type="dxa"/>
            <w:right w:w="108" w:type="dxa"/>
          </w:tblCellMar>
        </w:tblPrEx>
        <w:trPr>
          <w:trHeight w:val="330" w:hRule="atLeast"/>
        </w:trPr>
        <w:tc>
          <w:tcPr>
            <w:tcW w:w="2197" w:type="dxa"/>
            <w:vMerge w:val="continue"/>
            <w:tcBorders>
              <w:left w:val="single" w:color="auto" w:sz="4" w:space="0"/>
              <w:right w:val="single" w:color="auto" w:sz="4" w:space="0"/>
            </w:tcBorders>
            <w:vAlign w:val="center"/>
          </w:tcPr>
          <w:p>
            <w:pPr>
              <w:widowControl/>
              <w:spacing w:line="400" w:lineRule="exact"/>
              <w:jc w:val="left"/>
              <w:rPr>
                <w:rFonts w:ascii="宋体" w:hAnsi="宋体" w:cs="宋体"/>
                <w:b/>
                <w:bCs/>
                <w:color w:val="000000" w:themeColor="text1"/>
                <w:kern w:val="0"/>
                <w:sz w:val="24"/>
                <w:highlight w:val="none"/>
                <w14:textFill>
                  <w14:solidFill>
                    <w14:schemeClr w14:val="tx1"/>
                  </w14:solidFill>
                </w14:textFill>
              </w:rPr>
            </w:pPr>
          </w:p>
        </w:tc>
        <w:tc>
          <w:tcPr>
            <w:tcW w:w="3968" w:type="dxa"/>
            <w:tcBorders>
              <w:top w:val="nil"/>
              <w:left w:val="nil"/>
              <w:bottom w:val="single" w:color="auto" w:sz="4" w:space="0"/>
              <w:right w:val="single" w:color="auto" w:sz="4" w:space="0"/>
            </w:tcBorders>
            <w:shd w:val="clear" w:color="000000" w:fill="FFFFFF"/>
            <w:vAlign w:val="center"/>
          </w:tcPr>
          <w:p>
            <w:pPr>
              <w:widowControl/>
              <w:spacing w:line="40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医技科室计费管理系统</w:t>
            </w:r>
          </w:p>
        </w:tc>
        <w:tc>
          <w:tcPr>
            <w:tcW w:w="2805"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升级或更换</w:t>
            </w:r>
          </w:p>
        </w:tc>
      </w:tr>
      <w:tr>
        <w:tblPrEx>
          <w:tblLayout w:type="fixed"/>
          <w:tblCellMar>
            <w:top w:w="0" w:type="dxa"/>
            <w:left w:w="108" w:type="dxa"/>
            <w:bottom w:w="0" w:type="dxa"/>
            <w:right w:w="108" w:type="dxa"/>
          </w:tblCellMar>
        </w:tblPrEx>
        <w:trPr>
          <w:trHeight w:val="330" w:hRule="atLeast"/>
        </w:trPr>
        <w:tc>
          <w:tcPr>
            <w:tcW w:w="2197" w:type="dxa"/>
            <w:vMerge w:val="continue"/>
            <w:tcBorders>
              <w:left w:val="single" w:color="auto" w:sz="4" w:space="0"/>
              <w:right w:val="single" w:color="auto" w:sz="4" w:space="0"/>
            </w:tcBorders>
            <w:vAlign w:val="center"/>
          </w:tcPr>
          <w:p>
            <w:pPr>
              <w:widowControl/>
              <w:spacing w:line="400" w:lineRule="exact"/>
              <w:jc w:val="left"/>
              <w:rPr>
                <w:rFonts w:ascii="宋体" w:hAnsi="宋体" w:cs="宋体"/>
                <w:b/>
                <w:bCs/>
                <w:color w:val="000000" w:themeColor="text1"/>
                <w:kern w:val="0"/>
                <w:sz w:val="24"/>
                <w:highlight w:val="none"/>
                <w14:textFill>
                  <w14:solidFill>
                    <w14:schemeClr w14:val="tx1"/>
                  </w14:solidFill>
                </w14:textFill>
              </w:rPr>
            </w:pPr>
          </w:p>
        </w:tc>
        <w:tc>
          <w:tcPr>
            <w:tcW w:w="3968" w:type="dxa"/>
            <w:tcBorders>
              <w:top w:val="nil"/>
              <w:left w:val="nil"/>
              <w:bottom w:val="single" w:color="auto" w:sz="4" w:space="0"/>
              <w:right w:val="single" w:color="auto" w:sz="4" w:space="0"/>
            </w:tcBorders>
            <w:shd w:val="clear" w:color="000000" w:fill="FFFFFF"/>
            <w:vAlign w:val="center"/>
          </w:tcPr>
          <w:p>
            <w:pPr>
              <w:widowControl/>
              <w:spacing w:line="40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住院入出院登记结算系统</w:t>
            </w:r>
          </w:p>
        </w:tc>
        <w:tc>
          <w:tcPr>
            <w:tcW w:w="2805"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升级或更换</w:t>
            </w:r>
          </w:p>
        </w:tc>
      </w:tr>
      <w:tr>
        <w:tblPrEx>
          <w:tblLayout w:type="fixed"/>
          <w:tblCellMar>
            <w:top w:w="0" w:type="dxa"/>
            <w:left w:w="108" w:type="dxa"/>
            <w:bottom w:w="0" w:type="dxa"/>
            <w:right w:w="108" w:type="dxa"/>
          </w:tblCellMar>
        </w:tblPrEx>
        <w:trPr>
          <w:trHeight w:val="330" w:hRule="atLeast"/>
        </w:trPr>
        <w:tc>
          <w:tcPr>
            <w:tcW w:w="2197" w:type="dxa"/>
            <w:vMerge w:val="continue"/>
            <w:tcBorders>
              <w:left w:val="single" w:color="auto" w:sz="4" w:space="0"/>
              <w:right w:val="single" w:color="auto" w:sz="4" w:space="0"/>
            </w:tcBorders>
            <w:vAlign w:val="center"/>
          </w:tcPr>
          <w:p>
            <w:pPr>
              <w:widowControl/>
              <w:spacing w:line="400" w:lineRule="exact"/>
              <w:jc w:val="left"/>
              <w:rPr>
                <w:rFonts w:ascii="宋体" w:hAnsi="宋体" w:cs="宋体"/>
                <w:b/>
                <w:bCs/>
                <w:color w:val="000000" w:themeColor="text1"/>
                <w:kern w:val="0"/>
                <w:sz w:val="24"/>
                <w:highlight w:val="none"/>
                <w14:textFill>
                  <w14:solidFill>
                    <w14:schemeClr w14:val="tx1"/>
                  </w14:solidFill>
                </w14:textFill>
              </w:rPr>
            </w:pPr>
          </w:p>
        </w:tc>
        <w:tc>
          <w:tcPr>
            <w:tcW w:w="3968" w:type="dxa"/>
            <w:tcBorders>
              <w:top w:val="nil"/>
              <w:left w:val="nil"/>
              <w:bottom w:val="single" w:color="auto" w:sz="4" w:space="0"/>
              <w:right w:val="single" w:color="auto" w:sz="4" w:space="0"/>
            </w:tcBorders>
            <w:shd w:val="clear" w:color="000000" w:fill="FFFFFF"/>
            <w:vAlign w:val="center"/>
          </w:tcPr>
          <w:p>
            <w:pPr>
              <w:widowControl/>
              <w:spacing w:line="40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一体化病区护理工作站系统</w:t>
            </w:r>
          </w:p>
        </w:tc>
        <w:tc>
          <w:tcPr>
            <w:tcW w:w="2805"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升级或更换</w:t>
            </w:r>
          </w:p>
        </w:tc>
      </w:tr>
      <w:tr>
        <w:tblPrEx>
          <w:tblLayout w:type="fixed"/>
          <w:tblCellMar>
            <w:top w:w="0" w:type="dxa"/>
            <w:left w:w="108" w:type="dxa"/>
            <w:bottom w:w="0" w:type="dxa"/>
            <w:right w:w="108" w:type="dxa"/>
          </w:tblCellMar>
        </w:tblPrEx>
        <w:trPr>
          <w:trHeight w:val="330" w:hRule="atLeast"/>
        </w:trPr>
        <w:tc>
          <w:tcPr>
            <w:tcW w:w="2197" w:type="dxa"/>
            <w:vMerge w:val="continue"/>
            <w:tcBorders>
              <w:left w:val="single" w:color="auto" w:sz="4" w:space="0"/>
              <w:right w:val="single" w:color="auto" w:sz="4" w:space="0"/>
            </w:tcBorders>
            <w:vAlign w:val="center"/>
          </w:tcPr>
          <w:p>
            <w:pPr>
              <w:widowControl/>
              <w:spacing w:line="400" w:lineRule="exact"/>
              <w:jc w:val="left"/>
              <w:rPr>
                <w:rFonts w:ascii="宋体" w:hAnsi="宋体" w:cs="宋体"/>
                <w:b/>
                <w:bCs/>
                <w:color w:val="000000" w:themeColor="text1"/>
                <w:kern w:val="0"/>
                <w:sz w:val="24"/>
                <w:highlight w:val="none"/>
                <w14:textFill>
                  <w14:solidFill>
                    <w14:schemeClr w14:val="tx1"/>
                  </w14:solidFill>
                </w14:textFill>
              </w:rPr>
            </w:pPr>
          </w:p>
        </w:tc>
        <w:tc>
          <w:tcPr>
            <w:tcW w:w="3968" w:type="dxa"/>
            <w:tcBorders>
              <w:top w:val="nil"/>
              <w:left w:val="nil"/>
              <w:bottom w:val="single" w:color="auto" w:sz="4" w:space="0"/>
              <w:right w:val="single" w:color="auto" w:sz="4" w:space="0"/>
            </w:tcBorders>
            <w:shd w:val="clear" w:color="000000" w:fill="FFFFFF"/>
            <w:vAlign w:val="center"/>
          </w:tcPr>
          <w:p>
            <w:pPr>
              <w:widowControl/>
              <w:spacing w:line="40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手术麻醉计费信息系统</w:t>
            </w:r>
          </w:p>
        </w:tc>
        <w:tc>
          <w:tcPr>
            <w:tcW w:w="2805"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升级或更换</w:t>
            </w:r>
          </w:p>
        </w:tc>
      </w:tr>
      <w:tr>
        <w:tblPrEx>
          <w:tblLayout w:type="fixed"/>
          <w:tblCellMar>
            <w:top w:w="0" w:type="dxa"/>
            <w:left w:w="108" w:type="dxa"/>
            <w:bottom w:w="0" w:type="dxa"/>
            <w:right w:w="108" w:type="dxa"/>
          </w:tblCellMar>
        </w:tblPrEx>
        <w:trPr>
          <w:trHeight w:val="330" w:hRule="atLeast"/>
        </w:trPr>
        <w:tc>
          <w:tcPr>
            <w:tcW w:w="2197" w:type="dxa"/>
            <w:vMerge w:val="continue"/>
            <w:tcBorders>
              <w:left w:val="single" w:color="auto" w:sz="4" w:space="0"/>
              <w:right w:val="single" w:color="auto" w:sz="4" w:space="0"/>
            </w:tcBorders>
            <w:vAlign w:val="center"/>
          </w:tcPr>
          <w:p>
            <w:pPr>
              <w:widowControl/>
              <w:spacing w:line="400" w:lineRule="exact"/>
              <w:jc w:val="left"/>
              <w:rPr>
                <w:rFonts w:ascii="宋体" w:hAnsi="宋体" w:cs="宋体"/>
                <w:b/>
                <w:bCs/>
                <w:color w:val="000000" w:themeColor="text1"/>
                <w:kern w:val="0"/>
                <w:sz w:val="24"/>
                <w:highlight w:val="none"/>
                <w14:textFill>
                  <w14:solidFill>
                    <w14:schemeClr w14:val="tx1"/>
                  </w14:solidFill>
                </w14:textFill>
              </w:rPr>
            </w:pPr>
          </w:p>
        </w:tc>
        <w:tc>
          <w:tcPr>
            <w:tcW w:w="3968"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公共数据管理平台</w:t>
            </w:r>
          </w:p>
        </w:tc>
        <w:tc>
          <w:tcPr>
            <w:tcW w:w="2805" w:type="dxa"/>
            <w:tcBorders>
              <w:top w:val="nil"/>
              <w:left w:val="nil"/>
              <w:bottom w:val="single" w:color="auto" w:sz="4" w:space="0"/>
              <w:right w:val="single" w:color="auto" w:sz="4" w:space="0"/>
            </w:tcBorders>
            <w:shd w:val="clear" w:color="000000" w:fill="FFFFFF"/>
            <w:vAlign w:val="center"/>
          </w:tcPr>
          <w:p>
            <w:pPr>
              <w:widowControl/>
              <w:spacing w:line="40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管理员维护系统，升级或更换</w:t>
            </w:r>
          </w:p>
        </w:tc>
      </w:tr>
      <w:tr>
        <w:tblPrEx>
          <w:tblLayout w:type="fixed"/>
          <w:tblCellMar>
            <w:top w:w="0" w:type="dxa"/>
            <w:left w:w="108" w:type="dxa"/>
            <w:bottom w:w="0" w:type="dxa"/>
            <w:right w:w="108" w:type="dxa"/>
          </w:tblCellMar>
        </w:tblPrEx>
        <w:trPr>
          <w:trHeight w:val="330" w:hRule="atLeast"/>
        </w:trPr>
        <w:tc>
          <w:tcPr>
            <w:tcW w:w="2197" w:type="dxa"/>
            <w:vMerge w:val="continue"/>
            <w:tcBorders>
              <w:left w:val="single" w:color="auto" w:sz="4" w:space="0"/>
              <w:right w:val="single" w:color="auto" w:sz="4" w:space="0"/>
            </w:tcBorders>
            <w:vAlign w:val="center"/>
          </w:tcPr>
          <w:p>
            <w:pPr>
              <w:widowControl/>
              <w:spacing w:line="400" w:lineRule="exact"/>
              <w:jc w:val="left"/>
              <w:rPr>
                <w:rFonts w:ascii="宋体" w:hAnsi="宋体" w:cs="宋体"/>
                <w:b/>
                <w:bCs/>
                <w:color w:val="000000" w:themeColor="text1"/>
                <w:kern w:val="0"/>
                <w:sz w:val="24"/>
                <w:highlight w:val="none"/>
                <w14:textFill>
                  <w14:solidFill>
                    <w14:schemeClr w14:val="tx1"/>
                  </w14:solidFill>
                </w14:textFill>
              </w:rPr>
            </w:pPr>
          </w:p>
        </w:tc>
        <w:tc>
          <w:tcPr>
            <w:tcW w:w="3968"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院长查询管理系统</w:t>
            </w:r>
          </w:p>
        </w:tc>
        <w:tc>
          <w:tcPr>
            <w:tcW w:w="2805"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升级或更换</w:t>
            </w:r>
          </w:p>
        </w:tc>
      </w:tr>
      <w:tr>
        <w:tblPrEx>
          <w:tblLayout w:type="fixed"/>
          <w:tblCellMar>
            <w:top w:w="0" w:type="dxa"/>
            <w:left w:w="108" w:type="dxa"/>
            <w:bottom w:w="0" w:type="dxa"/>
            <w:right w:w="108" w:type="dxa"/>
          </w:tblCellMar>
        </w:tblPrEx>
        <w:trPr>
          <w:trHeight w:val="330" w:hRule="atLeast"/>
        </w:trPr>
        <w:tc>
          <w:tcPr>
            <w:tcW w:w="2197" w:type="dxa"/>
            <w:vMerge w:val="continue"/>
            <w:tcBorders>
              <w:left w:val="single" w:color="auto" w:sz="4" w:space="0"/>
              <w:right w:val="single" w:color="auto" w:sz="4" w:space="0"/>
            </w:tcBorders>
            <w:vAlign w:val="center"/>
          </w:tcPr>
          <w:p>
            <w:pPr>
              <w:widowControl/>
              <w:spacing w:line="400" w:lineRule="exact"/>
              <w:jc w:val="left"/>
              <w:rPr>
                <w:rFonts w:ascii="宋体" w:hAnsi="宋体" w:cs="宋体"/>
                <w:b/>
                <w:bCs/>
                <w:color w:val="000000" w:themeColor="text1"/>
                <w:kern w:val="0"/>
                <w:sz w:val="24"/>
                <w:highlight w:val="none"/>
                <w14:textFill>
                  <w14:solidFill>
                    <w14:schemeClr w14:val="tx1"/>
                  </w14:solidFill>
                </w14:textFill>
              </w:rPr>
            </w:pPr>
          </w:p>
        </w:tc>
        <w:tc>
          <w:tcPr>
            <w:tcW w:w="3968"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住院医生工作站</w:t>
            </w:r>
          </w:p>
        </w:tc>
        <w:tc>
          <w:tcPr>
            <w:tcW w:w="2805"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升级或更换</w:t>
            </w:r>
          </w:p>
        </w:tc>
      </w:tr>
      <w:tr>
        <w:tblPrEx>
          <w:tblLayout w:type="fixed"/>
          <w:tblCellMar>
            <w:top w:w="0" w:type="dxa"/>
            <w:left w:w="108" w:type="dxa"/>
            <w:bottom w:w="0" w:type="dxa"/>
            <w:right w:w="108" w:type="dxa"/>
          </w:tblCellMar>
        </w:tblPrEx>
        <w:trPr>
          <w:trHeight w:val="330" w:hRule="atLeast"/>
        </w:trPr>
        <w:tc>
          <w:tcPr>
            <w:tcW w:w="2197" w:type="dxa"/>
            <w:vMerge w:val="continue"/>
            <w:tcBorders>
              <w:left w:val="single" w:color="auto" w:sz="4" w:space="0"/>
              <w:right w:val="single" w:color="auto" w:sz="4" w:space="0"/>
            </w:tcBorders>
            <w:vAlign w:val="center"/>
          </w:tcPr>
          <w:p>
            <w:pPr>
              <w:widowControl/>
              <w:spacing w:line="400" w:lineRule="exact"/>
              <w:jc w:val="left"/>
              <w:rPr>
                <w:rFonts w:ascii="宋体" w:hAnsi="宋体" w:cs="宋体"/>
                <w:b/>
                <w:bCs/>
                <w:color w:val="000000" w:themeColor="text1"/>
                <w:kern w:val="0"/>
                <w:sz w:val="24"/>
                <w:highlight w:val="none"/>
                <w14:textFill>
                  <w14:solidFill>
                    <w14:schemeClr w14:val="tx1"/>
                  </w14:solidFill>
                </w14:textFill>
              </w:rPr>
            </w:pPr>
          </w:p>
        </w:tc>
        <w:tc>
          <w:tcPr>
            <w:tcW w:w="3968"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入院准备中心管理系统</w:t>
            </w:r>
          </w:p>
        </w:tc>
        <w:tc>
          <w:tcPr>
            <w:tcW w:w="2805" w:type="dxa"/>
            <w:tcBorders>
              <w:top w:val="nil"/>
              <w:left w:val="nil"/>
              <w:bottom w:val="single" w:color="auto" w:sz="4" w:space="0"/>
              <w:right w:val="single" w:color="auto" w:sz="4" w:space="0"/>
            </w:tcBorders>
            <w:shd w:val="clear" w:color="000000" w:fill="FFFFFF"/>
            <w:vAlign w:val="center"/>
          </w:tcPr>
          <w:p>
            <w:pPr>
              <w:widowControl/>
              <w:spacing w:line="40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含“一日病房”，新增</w:t>
            </w:r>
          </w:p>
        </w:tc>
      </w:tr>
      <w:tr>
        <w:tblPrEx>
          <w:tblLayout w:type="fixed"/>
          <w:tblCellMar>
            <w:top w:w="0" w:type="dxa"/>
            <w:left w:w="108" w:type="dxa"/>
            <w:bottom w:w="0" w:type="dxa"/>
            <w:right w:w="108" w:type="dxa"/>
          </w:tblCellMar>
        </w:tblPrEx>
        <w:trPr>
          <w:trHeight w:val="330" w:hRule="atLeast"/>
        </w:trPr>
        <w:tc>
          <w:tcPr>
            <w:tcW w:w="2197" w:type="dxa"/>
            <w:vMerge w:val="continue"/>
            <w:tcBorders>
              <w:left w:val="single" w:color="auto" w:sz="4" w:space="0"/>
              <w:right w:val="single" w:color="auto" w:sz="4" w:space="0"/>
            </w:tcBorders>
            <w:vAlign w:val="center"/>
          </w:tcPr>
          <w:p>
            <w:pPr>
              <w:widowControl/>
              <w:spacing w:line="400" w:lineRule="exact"/>
              <w:jc w:val="left"/>
              <w:rPr>
                <w:rFonts w:ascii="宋体" w:hAnsi="宋体" w:cs="宋体"/>
                <w:b/>
                <w:bCs/>
                <w:color w:val="000000" w:themeColor="text1"/>
                <w:kern w:val="0"/>
                <w:sz w:val="24"/>
                <w:highlight w:val="none"/>
                <w14:textFill>
                  <w14:solidFill>
                    <w14:schemeClr w14:val="tx1"/>
                  </w14:solidFill>
                </w14:textFill>
              </w:rPr>
            </w:pPr>
          </w:p>
        </w:tc>
        <w:tc>
          <w:tcPr>
            <w:tcW w:w="3968"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疾病报卡系统</w:t>
            </w:r>
          </w:p>
        </w:tc>
        <w:tc>
          <w:tcPr>
            <w:tcW w:w="2805"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升级或更换</w:t>
            </w:r>
          </w:p>
        </w:tc>
      </w:tr>
      <w:tr>
        <w:tblPrEx>
          <w:tblLayout w:type="fixed"/>
          <w:tblCellMar>
            <w:top w:w="0" w:type="dxa"/>
            <w:left w:w="108" w:type="dxa"/>
            <w:bottom w:w="0" w:type="dxa"/>
            <w:right w:w="108" w:type="dxa"/>
          </w:tblCellMar>
        </w:tblPrEx>
        <w:trPr>
          <w:trHeight w:val="330" w:hRule="atLeast"/>
        </w:trPr>
        <w:tc>
          <w:tcPr>
            <w:tcW w:w="2197" w:type="dxa"/>
            <w:vMerge w:val="continue"/>
            <w:tcBorders>
              <w:left w:val="single" w:color="auto" w:sz="4" w:space="0"/>
              <w:right w:val="single" w:color="auto" w:sz="4" w:space="0"/>
            </w:tcBorders>
            <w:vAlign w:val="center"/>
          </w:tcPr>
          <w:p>
            <w:pPr>
              <w:widowControl/>
              <w:spacing w:line="400" w:lineRule="exact"/>
              <w:jc w:val="left"/>
              <w:rPr>
                <w:rFonts w:ascii="宋体" w:hAnsi="宋体" w:cs="宋体"/>
                <w:b/>
                <w:bCs/>
                <w:color w:val="000000" w:themeColor="text1"/>
                <w:kern w:val="0"/>
                <w:sz w:val="24"/>
                <w:highlight w:val="none"/>
                <w14:textFill>
                  <w14:solidFill>
                    <w14:schemeClr w14:val="tx1"/>
                  </w14:solidFill>
                </w14:textFill>
              </w:rPr>
            </w:pPr>
          </w:p>
        </w:tc>
        <w:tc>
          <w:tcPr>
            <w:tcW w:w="3968"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急诊分诊系统</w:t>
            </w:r>
          </w:p>
        </w:tc>
        <w:tc>
          <w:tcPr>
            <w:tcW w:w="2805" w:type="dxa"/>
            <w:tcBorders>
              <w:top w:val="nil"/>
              <w:left w:val="nil"/>
              <w:bottom w:val="single" w:color="auto" w:sz="4" w:space="0"/>
              <w:right w:val="single" w:color="auto" w:sz="4" w:space="0"/>
            </w:tcBorders>
            <w:shd w:val="clear" w:color="000000" w:fill="FFFFFF"/>
            <w:vAlign w:val="center"/>
          </w:tcPr>
          <w:p>
            <w:pPr>
              <w:widowControl/>
              <w:spacing w:line="40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含绿色通道病人管理。新增</w:t>
            </w:r>
          </w:p>
        </w:tc>
      </w:tr>
      <w:tr>
        <w:tblPrEx>
          <w:tblLayout w:type="fixed"/>
          <w:tblCellMar>
            <w:top w:w="0" w:type="dxa"/>
            <w:left w:w="108" w:type="dxa"/>
            <w:bottom w:w="0" w:type="dxa"/>
            <w:right w:w="108" w:type="dxa"/>
          </w:tblCellMar>
        </w:tblPrEx>
        <w:trPr>
          <w:trHeight w:val="330" w:hRule="atLeast"/>
        </w:trPr>
        <w:tc>
          <w:tcPr>
            <w:tcW w:w="2197" w:type="dxa"/>
            <w:vMerge w:val="continue"/>
            <w:tcBorders>
              <w:left w:val="single" w:color="auto" w:sz="4" w:space="0"/>
              <w:right w:val="single" w:color="auto" w:sz="4" w:space="0"/>
            </w:tcBorders>
            <w:vAlign w:val="center"/>
          </w:tcPr>
          <w:p>
            <w:pPr>
              <w:widowControl/>
              <w:spacing w:line="400" w:lineRule="exact"/>
              <w:jc w:val="left"/>
              <w:rPr>
                <w:rFonts w:ascii="宋体" w:hAnsi="宋体" w:cs="宋体"/>
                <w:b/>
                <w:bCs/>
                <w:color w:val="000000" w:themeColor="text1"/>
                <w:kern w:val="0"/>
                <w:sz w:val="24"/>
                <w:highlight w:val="none"/>
                <w14:textFill>
                  <w14:solidFill>
                    <w14:schemeClr w14:val="tx1"/>
                  </w14:solidFill>
                </w14:textFill>
              </w:rPr>
            </w:pPr>
          </w:p>
        </w:tc>
        <w:tc>
          <w:tcPr>
            <w:tcW w:w="3968" w:type="dxa"/>
            <w:tcBorders>
              <w:top w:val="nil"/>
              <w:left w:val="nil"/>
              <w:bottom w:val="single" w:color="auto" w:sz="4" w:space="0"/>
              <w:right w:val="single" w:color="auto" w:sz="4" w:space="0"/>
            </w:tcBorders>
            <w:shd w:val="clear" w:color="000000" w:fill="FFFFFF"/>
            <w:vAlign w:val="center"/>
          </w:tcPr>
          <w:p>
            <w:pPr>
              <w:widowControl/>
              <w:spacing w:line="40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抗菌用药管理系统</w:t>
            </w:r>
          </w:p>
        </w:tc>
        <w:tc>
          <w:tcPr>
            <w:tcW w:w="2805"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新增</w:t>
            </w:r>
          </w:p>
        </w:tc>
      </w:tr>
      <w:tr>
        <w:tblPrEx>
          <w:tblLayout w:type="fixed"/>
          <w:tblCellMar>
            <w:top w:w="0" w:type="dxa"/>
            <w:left w:w="108" w:type="dxa"/>
            <w:bottom w:w="0" w:type="dxa"/>
            <w:right w:w="108" w:type="dxa"/>
          </w:tblCellMar>
        </w:tblPrEx>
        <w:trPr>
          <w:trHeight w:val="330" w:hRule="atLeast"/>
        </w:trPr>
        <w:tc>
          <w:tcPr>
            <w:tcW w:w="2197" w:type="dxa"/>
            <w:vMerge w:val="continue"/>
            <w:tcBorders>
              <w:left w:val="single" w:color="auto" w:sz="4" w:space="0"/>
              <w:right w:val="single" w:color="auto" w:sz="4" w:space="0"/>
            </w:tcBorders>
            <w:vAlign w:val="center"/>
          </w:tcPr>
          <w:p>
            <w:pPr>
              <w:widowControl/>
              <w:spacing w:line="400" w:lineRule="exact"/>
              <w:jc w:val="left"/>
              <w:rPr>
                <w:rFonts w:ascii="宋体" w:hAnsi="宋体" w:cs="宋体"/>
                <w:b/>
                <w:bCs/>
                <w:color w:val="000000" w:themeColor="text1"/>
                <w:kern w:val="0"/>
                <w:sz w:val="24"/>
                <w:highlight w:val="none"/>
                <w14:textFill>
                  <w14:solidFill>
                    <w14:schemeClr w14:val="tx1"/>
                  </w14:solidFill>
                </w14:textFill>
              </w:rPr>
            </w:pPr>
          </w:p>
        </w:tc>
        <w:tc>
          <w:tcPr>
            <w:tcW w:w="3968" w:type="dxa"/>
            <w:tcBorders>
              <w:top w:val="nil"/>
              <w:left w:val="nil"/>
              <w:bottom w:val="single" w:color="auto" w:sz="4" w:space="0"/>
              <w:right w:val="single" w:color="auto" w:sz="4" w:space="0"/>
            </w:tcBorders>
            <w:shd w:val="clear" w:color="000000" w:fill="FFFFFF"/>
            <w:vAlign w:val="center"/>
          </w:tcPr>
          <w:p>
            <w:pPr>
              <w:widowControl/>
              <w:spacing w:line="40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医疗规则库管理系统</w:t>
            </w:r>
          </w:p>
        </w:tc>
        <w:tc>
          <w:tcPr>
            <w:tcW w:w="2805"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新增</w:t>
            </w:r>
          </w:p>
        </w:tc>
      </w:tr>
      <w:tr>
        <w:tblPrEx>
          <w:tblLayout w:type="fixed"/>
          <w:tblCellMar>
            <w:top w:w="0" w:type="dxa"/>
            <w:left w:w="108" w:type="dxa"/>
            <w:bottom w:w="0" w:type="dxa"/>
            <w:right w:w="108" w:type="dxa"/>
          </w:tblCellMar>
        </w:tblPrEx>
        <w:trPr>
          <w:trHeight w:val="330" w:hRule="atLeast"/>
        </w:trPr>
        <w:tc>
          <w:tcPr>
            <w:tcW w:w="2197" w:type="dxa"/>
            <w:vMerge w:val="continue"/>
            <w:tcBorders>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b/>
                <w:bCs/>
                <w:color w:val="000000" w:themeColor="text1"/>
                <w:kern w:val="0"/>
                <w:sz w:val="24"/>
                <w:highlight w:val="none"/>
                <w14:textFill>
                  <w14:solidFill>
                    <w14:schemeClr w14:val="tx1"/>
                  </w14:solidFill>
                </w14:textFill>
              </w:rPr>
            </w:pPr>
          </w:p>
        </w:tc>
        <w:tc>
          <w:tcPr>
            <w:tcW w:w="3968" w:type="dxa"/>
            <w:tcBorders>
              <w:top w:val="nil"/>
              <w:left w:val="nil"/>
              <w:bottom w:val="single" w:color="auto" w:sz="4" w:space="0"/>
              <w:right w:val="single" w:color="auto" w:sz="4" w:space="0"/>
            </w:tcBorders>
            <w:shd w:val="clear" w:color="000000" w:fill="FFFFFF"/>
            <w:vAlign w:val="center"/>
          </w:tcPr>
          <w:p>
            <w:pPr>
              <w:widowControl/>
              <w:spacing w:line="40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门诊应急系统</w:t>
            </w:r>
          </w:p>
        </w:tc>
        <w:tc>
          <w:tcPr>
            <w:tcW w:w="2805"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新增</w:t>
            </w:r>
          </w:p>
        </w:tc>
      </w:tr>
      <w:tr>
        <w:tblPrEx>
          <w:tblLayout w:type="fixed"/>
          <w:tblCellMar>
            <w:top w:w="0" w:type="dxa"/>
            <w:left w:w="108" w:type="dxa"/>
            <w:bottom w:w="0" w:type="dxa"/>
            <w:right w:w="108" w:type="dxa"/>
          </w:tblCellMar>
        </w:tblPrEx>
        <w:trPr>
          <w:trHeight w:val="570" w:hRule="atLeast"/>
        </w:trPr>
        <w:tc>
          <w:tcPr>
            <w:tcW w:w="219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0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健共体信息基础平台</w:t>
            </w:r>
          </w:p>
        </w:tc>
        <w:tc>
          <w:tcPr>
            <w:tcW w:w="396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0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医院应用门户管理</w:t>
            </w:r>
          </w:p>
        </w:tc>
        <w:tc>
          <w:tcPr>
            <w:tcW w:w="2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0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建立单点门户，实现单点登录</w:t>
            </w:r>
          </w:p>
        </w:tc>
      </w:tr>
      <w:tr>
        <w:tblPrEx>
          <w:tblLayout w:type="fixed"/>
          <w:tblCellMar>
            <w:top w:w="0" w:type="dxa"/>
            <w:left w:w="108" w:type="dxa"/>
            <w:bottom w:w="0" w:type="dxa"/>
            <w:right w:w="108" w:type="dxa"/>
          </w:tblCellMar>
        </w:tblPrEx>
        <w:trPr>
          <w:trHeight w:val="330" w:hRule="atLeast"/>
        </w:trPr>
        <w:tc>
          <w:tcPr>
            <w:tcW w:w="219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themeColor="text1"/>
                <w:kern w:val="0"/>
                <w:sz w:val="24"/>
                <w:highlight w:val="none"/>
                <w14:textFill>
                  <w14:solidFill>
                    <w14:schemeClr w14:val="tx1"/>
                  </w14:solidFill>
                </w14:textFill>
              </w:rPr>
            </w:pPr>
          </w:p>
        </w:tc>
        <w:tc>
          <w:tcPr>
            <w:tcW w:w="396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0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主数据管理</w:t>
            </w:r>
          </w:p>
        </w:tc>
        <w:tc>
          <w:tcPr>
            <w:tcW w:w="2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0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新增</w:t>
            </w:r>
          </w:p>
        </w:tc>
      </w:tr>
      <w:tr>
        <w:tblPrEx>
          <w:tblLayout w:type="fixed"/>
          <w:tblCellMar>
            <w:top w:w="0" w:type="dxa"/>
            <w:left w:w="108" w:type="dxa"/>
            <w:bottom w:w="0" w:type="dxa"/>
            <w:right w:w="108" w:type="dxa"/>
          </w:tblCellMar>
        </w:tblPrEx>
        <w:trPr>
          <w:trHeight w:val="330" w:hRule="atLeast"/>
        </w:trPr>
        <w:tc>
          <w:tcPr>
            <w:tcW w:w="219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themeColor="text1"/>
                <w:kern w:val="0"/>
                <w:sz w:val="24"/>
                <w:highlight w:val="none"/>
                <w14:textFill>
                  <w14:solidFill>
                    <w14:schemeClr w14:val="tx1"/>
                  </w14:solidFill>
                </w14:textFill>
              </w:rPr>
            </w:pPr>
          </w:p>
        </w:tc>
        <w:tc>
          <w:tcPr>
            <w:tcW w:w="396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0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数据采集工具</w:t>
            </w:r>
          </w:p>
        </w:tc>
        <w:tc>
          <w:tcPr>
            <w:tcW w:w="2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0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新增</w:t>
            </w:r>
          </w:p>
        </w:tc>
      </w:tr>
      <w:tr>
        <w:tblPrEx>
          <w:tblLayout w:type="fixed"/>
          <w:tblCellMar>
            <w:top w:w="0" w:type="dxa"/>
            <w:left w:w="108" w:type="dxa"/>
            <w:bottom w:w="0" w:type="dxa"/>
            <w:right w:w="108" w:type="dxa"/>
          </w:tblCellMar>
        </w:tblPrEx>
        <w:trPr>
          <w:trHeight w:val="330" w:hRule="atLeast"/>
        </w:trPr>
        <w:tc>
          <w:tcPr>
            <w:tcW w:w="219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themeColor="text1"/>
                <w:kern w:val="0"/>
                <w:sz w:val="24"/>
                <w:highlight w:val="none"/>
                <w14:textFill>
                  <w14:solidFill>
                    <w14:schemeClr w14:val="tx1"/>
                  </w14:solidFill>
                </w14:textFill>
              </w:rPr>
            </w:pPr>
          </w:p>
        </w:tc>
        <w:tc>
          <w:tcPr>
            <w:tcW w:w="396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0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主索引管理</w:t>
            </w:r>
          </w:p>
        </w:tc>
        <w:tc>
          <w:tcPr>
            <w:tcW w:w="2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0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新增</w:t>
            </w:r>
          </w:p>
        </w:tc>
      </w:tr>
      <w:tr>
        <w:tblPrEx>
          <w:tblLayout w:type="fixed"/>
          <w:tblCellMar>
            <w:top w:w="0" w:type="dxa"/>
            <w:left w:w="108" w:type="dxa"/>
            <w:bottom w:w="0" w:type="dxa"/>
            <w:right w:w="108" w:type="dxa"/>
          </w:tblCellMar>
        </w:tblPrEx>
        <w:trPr>
          <w:trHeight w:val="330" w:hRule="atLeast"/>
        </w:trPr>
        <w:tc>
          <w:tcPr>
            <w:tcW w:w="219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themeColor="text1"/>
                <w:kern w:val="0"/>
                <w:sz w:val="24"/>
                <w:highlight w:val="none"/>
                <w14:textFill>
                  <w14:solidFill>
                    <w14:schemeClr w14:val="tx1"/>
                  </w14:solidFill>
                </w14:textFill>
              </w:rPr>
            </w:pPr>
          </w:p>
        </w:tc>
        <w:tc>
          <w:tcPr>
            <w:tcW w:w="396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0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配置管理</w:t>
            </w:r>
          </w:p>
        </w:tc>
        <w:tc>
          <w:tcPr>
            <w:tcW w:w="2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0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新增</w:t>
            </w:r>
          </w:p>
        </w:tc>
      </w:tr>
      <w:tr>
        <w:tblPrEx>
          <w:tblLayout w:type="fixed"/>
          <w:tblCellMar>
            <w:top w:w="0" w:type="dxa"/>
            <w:left w:w="108" w:type="dxa"/>
            <w:bottom w:w="0" w:type="dxa"/>
            <w:right w:w="108" w:type="dxa"/>
          </w:tblCellMar>
        </w:tblPrEx>
        <w:trPr>
          <w:trHeight w:val="330" w:hRule="atLeast"/>
        </w:trPr>
        <w:tc>
          <w:tcPr>
            <w:tcW w:w="219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themeColor="text1"/>
                <w:kern w:val="0"/>
                <w:sz w:val="24"/>
                <w:highlight w:val="none"/>
                <w14:textFill>
                  <w14:solidFill>
                    <w14:schemeClr w14:val="tx1"/>
                  </w14:solidFill>
                </w14:textFill>
              </w:rPr>
            </w:pPr>
          </w:p>
        </w:tc>
        <w:tc>
          <w:tcPr>
            <w:tcW w:w="396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0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安全管理</w:t>
            </w:r>
          </w:p>
        </w:tc>
        <w:tc>
          <w:tcPr>
            <w:tcW w:w="2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0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新增</w:t>
            </w:r>
          </w:p>
        </w:tc>
      </w:tr>
      <w:tr>
        <w:tblPrEx>
          <w:tblLayout w:type="fixed"/>
          <w:tblCellMar>
            <w:top w:w="0" w:type="dxa"/>
            <w:left w:w="108" w:type="dxa"/>
            <w:bottom w:w="0" w:type="dxa"/>
            <w:right w:w="108" w:type="dxa"/>
          </w:tblCellMar>
        </w:tblPrEx>
        <w:trPr>
          <w:trHeight w:val="330" w:hRule="atLeast"/>
        </w:trPr>
        <w:tc>
          <w:tcPr>
            <w:tcW w:w="2197" w:type="dxa"/>
            <w:vMerge w:val="restart"/>
            <w:tcBorders>
              <w:top w:val="single" w:color="auto" w:sz="4" w:space="0"/>
              <w:left w:val="single" w:color="auto" w:sz="4" w:space="0"/>
              <w:right w:val="single" w:color="auto" w:sz="4" w:space="0"/>
            </w:tcBorders>
            <w:shd w:val="clear" w:color="000000" w:fill="FFFFFF"/>
            <w:vAlign w:val="center"/>
          </w:tcPr>
          <w:p>
            <w:pPr>
              <w:widowControl/>
              <w:spacing w:line="40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健共体数据中心及应用</w:t>
            </w:r>
          </w:p>
        </w:tc>
        <w:tc>
          <w:tcPr>
            <w:tcW w:w="3968" w:type="dxa"/>
            <w:tcBorders>
              <w:top w:val="single" w:color="auto" w:sz="4" w:space="0"/>
              <w:left w:val="nil"/>
              <w:bottom w:val="single" w:color="auto" w:sz="4" w:space="0"/>
              <w:right w:val="single" w:color="auto" w:sz="4" w:space="0"/>
            </w:tcBorders>
            <w:shd w:val="clear" w:color="000000" w:fill="FFFFFF"/>
            <w:vAlign w:val="center"/>
          </w:tcPr>
          <w:p>
            <w:pPr>
              <w:widowControl/>
              <w:spacing w:line="40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临床数据中心</w:t>
            </w:r>
          </w:p>
        </w:tc>
        <w:tc>
          <w:tcPr>
            <w:tcW w:w="2805" w:type="dxa"/>
            <w:tcBorders>
              <w:top w:val="single" w:color="auto" w:sz="4" w:space="0"/>
              <w:left w:val="nil"/>
              <w:bottom w:val="single" w:color="auto" w:sz="4" w:space="0"/>
              <w:right w:val="single" w:color="auto" w:sz="4" w:space="0"/>
            </w:tcBorders>
            <w:shd w:val="clear" w:color="000000" w:fill="FFFFFF"/>
            <w:vAlign w:val="center"/>
          </w:tcPr>
          <w:p>
            <w:pPr>
              <w:widowControl/>
              <w:spacing w:line="40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新增</w:t>
            </w:r>
          </w:p>
        </w:tc>
      </w:tr>
      <w:tr>
        <w:tblPrEx>
          <w:tblLayout w:type="fixed"/>
          <w:tblCellMar>
            <w:top w:w="0" w:type="dxa"/>
            <w:left w:w="108" w:type="dxa"/>
            <w:bottom w:w="0" w:type="dxa"/>
            <w:right w:w="108" w:type="dxa"/>
          </w:tblCellMar>
        </w:tblPrEx>
        <w:trPr>
          <w:trHeight w:val="330" w:hRule="atLeast"/>
        </w:trPr>
        <w:tc>
          <w:tcPr>
            <w:tcW w:w="2197" w:type="dxa"/>
            <w:vMerge w:val="continue"/>
            <w:tcBorders>
              <w:left w:val="single" w:color="auto" w:sz="4" w:space="0"/>
              <w:right w:val="single" w:color="auto" w:sz="4" w:space="0"/>
            </w:tcBorders>
            <w:vAlign w:val="center"/>
          </w:tcPr>
          <w:p>
            <w:pPr>
              <w:widowControl/>
              <w:spacing w:line="400" w:lineRule="exact"/>
              <w:jc w:val="left"/>
              <w:rPr>
                <w:rFonts w:ascii="宋体" w:hAnsi="宋体" w:cs="宋体"/>
                <w:color w:val="000000" w:themeColor="text1"/>
                <w:kern w:val="0"/>
                <w:sz w:val="24"/>
                <w:highlight w:val="none"/>
                <w14:textFill>
                  <w14:solidFill>
                    <w14:schemeClr w14:val="tx1"/>
                  </w14:solidFill>
                </w14:textFill>
              </w:rPr>
            </w:pPr>
          </w:p>
        </w:tc>
        <w:tc>
          <w:tcPr>
            <w:tcW w:w="3968" w:type="dxa"/>
            <w:tcBorders>
              <w:top w:val="nil"/>
              <w:left w:val="nil"/>
              <w:bottom w:val="single" w:color="auto" w:sz="4" w:space="0"/>
              <w:right w:val="single" w:color="auto" w:sz="4" w:space="0"/>
            </w:tcBorders>
            <w:shd w:val="clear" w:color="000000" w:fill="FFFFFF"/>
            <w:vAlign w:val="center"/>
          </w:tcPr>
          <w:p>
            <w:pPr>
              <w:widowControl/>
              <w:spacing w:line="40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管理指标中心</w:t>
            </w:r>
          </w:p>
        </w:tc>
        <w:tc>
          <w:tcPr>
            <w:tcW w:w="2805"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新增</w:t>
            </w:r>
          </w:p>
        </w:tc>
      </w:tr>
      <w:tr>
        <w:tblPrEx>
          <w:tblLayout w:type="fixed"/>
          <w:tblCellMar>
            <w:top w:w="0" w:type="dxa"/>
            <w:left w:w="108" w:type="dxa"/>
            <w:bottom w:w="0" w:type="dxa"/>
            <w:right w:w="108" w:type="dxa"/>
          </w:tblCellMar>
        </w:tblPrEx>
        <w:trPr>
          <w:trHeight w:val="330" w:hRule="atLeast"/>
        </w:trPr>
        <w:tc>
          <w:tcPr>
            <w:tcW w:w="2197" w:type="dxa"/>
            <w:vMerge w:val="continue"/>
            <w:tcBorders>
              <w:left w:val="single" w:color="auto" w:sz="4" w:space="0"/>
              <w:right w:val="single" w:color="auto" w:sz="4" w:space="0"/>
            </w:tcBorders>
            <w:vAlign w:val="center"/>
          </w:tcPr>
          <w:p>
            <w:pPr>
              <w:widowControl/>
              <w:spacing w:line="400" w:lineRule="exact"/>
              <w:jc w:val="left"/>
              <w:rPr>
                <w:rFonts w:ascii="宋体" w:hAnsi="宋体" w:cs="宋体"/>
                <w:color w:val="000000" w:themeColor="text1"/>
                <w:kern w:val="0"/>
                <w:sz w:val="24"/>
                <w:highlight w:val="none"/>
                <w14:textFill>
                  <w14:solidFill>
                    <w14:schemeClr w14:val="tx1"/>
                  </w14:solidFill>
                </w14:textFill>
              </w:rPr>
            </w:pPr>
          </w:p>
        </w:tc>
        <w:tc>
          <w:tcPr>
            <w:tcW w:w="3968" w:type="dxa"/>
            <w:tcBorders>
              <w:top w:val="nil"/>
              <w:left w:val="nil"/>
              <w:bottom w:val="single" w:color="auto" w:sz="4" w:space="0"/>
              <w:right w:val="single" w:color="auto" w:sz="4" w:space="0"/>
            </w:tcBorders>
            <w:shd w:val="clear" w:color="000000" w:fill="FFFFFF"/>
            <w:vAlign w:val="center"/>
          </w:tcPr>
          <w:p>
            <w:pPr>
              <w:widowControl/>
              <w:spacing w:line="40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临床集成视图（电子病历浏览器）</w:t>
            </w:r>
          </w:p>
        </w:tc>
        <w:tc>
          <w:tcPr>
            <w:tcW w:w="2805"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新增</w:t>
            </w:r>
          </w:p>
        </w:tc>
      </w:tr>
      <w:tr>
        <w:tblPrEx>
          <w:tblLayout w:type="fixed"/>
          <w:tblCellMar>
            <w:top w:w="0" w:type="dxa"/>
            <w:left w:w="108" w:type="dxa"/>
            <w:bottom w:w="0" w:type="dxa"/>
            <w:right w:w="108" w:type="dxa"/>
          </w:tblCellMar>
        </w:tblPrEx>
        <w:trPr>
          <w:trHeight w:val="330" w:hRule="atLeast"/>
        </w:trPr>
        <w:tc>
          <w:tcPr>
            <w:tcW w:w="2197" w:type="dxa"/>
            <w:vMerge w:val="continue"/>
            <w:tcBorders>
              <w:left w:val="single" w:color="auto" w:sz="4" w:space="0"/>
              <w:right w:val="single" w:color="auto" w:sz="4" w:space="0"/>
            </w:tcBorders>
            <w:vAlign w:val="center"/>
          </w:tcPr>
          <w:p>
            <w:pPr>
              <w:widowControl/>
              <w:spacing w:line="400" w:lineRule="exact"/>
              <w:jc w:val="left"/>
              <w:rPr>
                <w:rFonts w:ascii="宋体" w:hAnsi="宋体" w:cs="宋体"/>
                <w:color w:val="000000" w:themeColor="text1"/>
                <w:kern w:val="0"/>
                <w:sz w:val="24"/>
                <w:highlight w:val="none"/>
                <w14:textFill>
                  <w14:solidFill>
                    <w14:schemeClr w14:val="tx1"/>
                  </w14:solidFill>
                </w14:textFill>
              </w:rPr>
            </w:pPr>
          </w:p>
        </w:tc>
        <w:tc>
          <w:tcPr>
            <w:tcW w:w="3968" w:type="dxa"/>
            <w:tcBorders>
              <w:top w:val="nil"/>
              <w:left w:val="nil"/>
              <w:bottom w:val="single" w:color="auto" w:sz="4" w:space="0"/>
              <w:right w:val="single" w:color="auto" w:sz="4" w:space="0"/>
            </w:tcBorders>
            <w:shd w:val="clear" w:color="000000" w:fill="FFFFFF"/>
            <w:vAlign w:val="center"/>
          </w:tcPr>
          <w:p>
            <w:pPr>
              <w:widowControl/>
              <w:spacing w:line="400" w:lineRule="exact"/>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运营决策分析系统及集成视图(含集团、总院、分院)</w:t>
            </w:r>
          </w:p>
        </w:tc>
        <w:tc>
          <w:tcPr>
            <w:tcW w:w="2805"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新增</w:t>
            </w:r>
          </w:p>
        </w:tc>
      </w:tr>
      <w:tr>
        <w:tblPrEx>
          <w:tblLayout w:type="fixed"/>
          <w:tblCellMar>
            <w:top w:w="0" w:type="dxa"/>
            <w:left w:w="108" w:type="dxa"/>
            <w:bottom w:w="0" w:type="dxa"/>
            <w:right w:w="108" w:type="dxa"/>
          </w:tblCellMar>
        </w:tblPrEx>
        <w:trPr>
          <w:trHeight w:val="330" w:hRule="atLeast"/>
        </w:trPr>
        <w:tc>
          <w:tcPr>
            <w:tcW w:w="2197" w:type="dxa"/>
            <w:vMerge w:val="continue"/>
            <w:tcBorders>
              <w:left w:val="single" w:color="auto" w:sz="4" w:space="0"/>
              <w:right w:val="single" w:color="auto" w:sz="4" w:space="0"/>
            </w:tcBorders>
            <w:vAlign w:val="center"/>
          </w:tcPr>
          <w:p>
            <w:pPr>
              <w:widowControl/>
              <w:spacing w:line="400" w:lineRule="exact"/>
              <w:jc w:val="left"/>
              <w:rPr>
                <w:rFonts w:ascii="宋体" w:hAnsi="宋体" w:cs="宋体"/>
                <w:color w:val="000000" w:themeColor="text1"/>
                <w:kern w:val="0"/>
                <w:sz w:val="24"/>
                <w:highlight w:val="none"/>
                <w14:textFill>
                  <w14:solidFill>
                    <w14:schemeClr w14:val="tx1"/>
                  </w14:solidFill>
                </w14:textFill>
              </w:rPr>
            </w:pPr>
          </w:p>
        </w:tc>
        <w:tc>
          <w:tcPr>
            <w:tcW w:w="3968" w:type="dxa"/>
            <w:tcBorders>
              <w:top w:val="nil"/>
              <w:left w:val="nil"/>
              <w:bottom w:val="single" w:color="auto" w:sz="4" w:space="0"/>
              <w:right w:val="single" w:color="auto" w:sz="4" w:space="0"/>
            </w:tcBorders>
            <w:shd w:val="clear" w:color="000000" w:fill="FFFFFF"/>
            <w:vAlign w:val="center"/>
          </w:tcPr>
          <w:p>
            <w:pPr>
              <w:widowControl/>
              <w:spacing w:line="40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医疗质量决策分析系统</w:t>
            </w:r>
          </w:p>
        </w:tc>
        <w:tc>
          <w:tcPr>
            <w:tcW w:w="2805"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新增</w:t>
            </w:r>
          </w:p>
        </w:tc>
      </w:tr>
      <w:tr>
        <w:tblPrEx>
          <w:tblLayout w:type="fixed"/>
          <w:tblCellMar>
            <w:top w:w="0" w:type="dxa"/>
            <w:left w:w="108" w:type="dxa"/>
            <w:bottom w:w="0" w:type="dxa"/>
            <w:right w:w="108" w:type="dxa"/>
          </w:tblCellMar>
        </w:tblPrEx>
        <w:trPr>
          <w:trHeight w:val="330" w:hRule="atLeast"/>
        </w:trPr>
        <w:tc>
          <w:tcPr>
            <w:tcW w:w="219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0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健共体信息集成平台及业务集成</w:t>
            </w:r>
          </w:p>
        </w:tc>
        <w:tc>
          <w:tcPr>
            <w:tcW w:w="396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0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集成引擎</w:t>
            </w:r>
          </w:p>
        </w:tc>
        <w:tc>
          <w:tcPr>
            <w:tcW w:w="2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0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新增</w:t>
            </w:r>
          </w:p>
        </w:tc>
      </w:tr>
      <w:tr>
        <w:tblPrEx>
          <w:tblLayout w:type="fixed"/>
          <w:tblCellMar>
            <w:top w:w="0" w:type="dxa"/>
            <w:left w:w="108" w:type="dxa"/>
            <w:bottom w:w="0" w:type="dxa"/>
            <w:right w:w="108" w:type="dxa"/>
          </w:tblCellMar>
        </w:tblPrEx>
        <w:trPr>
          <w:trHeight w:val="330" w:hRule="atLeast"/>
        </w:trPr>
        <w:tc>
          <w:tcPr>
            <w:tcW w:w="219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themeColor="text1"/>
                <w:kern w:val="0"/>
                <w:sz w:val="24"/>
                <w:highlight w:val="none"/>
                <w14:textFill>
                  <w14:solidFill>
                    <w14:schemeClr w14:val="tx1"/>
                  </w14:solidFill>
                </w14:textFill>
              </w:rPr>
            </w:pPr>
          </w:p>
        </w:tc>
        <w:tc>
          <w:tcPr>
            <w:tcW w:w="396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0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临床服务系统集成</w:t>
            </w:r>
          </w:p>
        </w:tc>
        <w:tc>
          <w:tcPr>
            <w:tcW w:w="2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0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新增</w:t>
            </w:r>
          </w:p>
        </w:tc>
      </w:tr>
      <w:tr>
        <w:tblPrEx>
          <w:tblLayout w:type="fixed"/>
          <w:tblCellMar>
            <w:top w:w="0" w:type="dxa"/>
            <w:left w:w="108" w:type="dxa"/>
            <w:bottom w:w="0" w:type="dxa"/>
            <w:right w:w="108" w:type="dxa"/>
          </w:tblCellMar>
        </w:tblPrEx>
        <w:trPr>
          <w:trHeight w:val="330" w:hRule="atLeast"/>
        </w:trPr>
        <w:tc>
          <w:tcPr>
            <w:tcW w:w="219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themeColor="text1"/>
                <w:kern w:val="0"/>
                <w:sz w:val="24"/>
                <w:highlight w:val="none"/>
                <w14:textFill>
                  <w14:solidFill>
                    <w14:schemeClr w14:val="tx1"/>
                  </w14:solidFill>
                </w14:textFill>
              </w:rPr>
            </w:pPr>
          </w:p>
        </w:tc>
        <w:tc>
          <w:tcPr>
            <w:tcW w:w="396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0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医疗管理系统整合</w:t>
            </w:r>
          </w:p>
        </w:tc>
        <w:tc>
          <w:tcPr>
            <w:tcW w:w="2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0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新增</w:t>
            </w:r>
          </w:p>
        </w:tc>
      </w:tr>
      <w:tr>
        <w:tblPrEx>
          <w:tblLayout w:type="fixed"/>
          <w:tblCellMar>
            <w:top w:w="0" w:type="dxa"/>
            <w:left w:w="108" w:type="dxa"/>
            <w:bottom w:w="0" w:type="dxa"/>
            <w:right w:w="108" w:type="dxa"/>
          </w:tblCellMar>
        </w:tblPrEx>
        <w:trPr>
          <w:trHeight w:val="380" w:hRule="atLeast"/>
        </w:trPr>
        <w:tc>
          <w:tcPr>
            <w:tcW w:w="219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themeColor="text1"/>
                <w:kern w:val="0"/>
                <w:sz w:val="24"/>
                <w:highlight w:val="none"/>
                <w14:textFill>
                  <w14:solidFill>
                    <w14:schemeClr w14:val="tx1"/>
                  </w14:solidFill>
                </w14:textFill>
              </w:rPr>
            </w:pPr>
          </w:p>
        </w:tc>
        <w:tc>
          <w:tcPr>
            <w:tcW w:w="396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0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运营管理系统整合</w:t>
            </w:r>
          </w:p>
        </w:tc>
        <w:tc>
          <w:tcPr>
            <w:tcW w:w="2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0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新增</w:t>
            </w:r>
          </w:p>
        </w:tc>
      </w:tr>
      <w:tr>
        <w:tblPrEx>
          <w:tblLayout w:type="fixed"/>
          <w:tblCellMar>
            <w:top w:w="0" w:type="dxa"/>
            <w:left w:w="108" w:type="dxa"/>
            <w:bottom w:w="0" w:type="dxa"/>
            <w:right w:w="108" w:type="dxa"/>
          </w:tblCellMar>
        </w:tblPrEx>
        <w:trPr>
          <w:trHeight w:val="735" w:hRule="atLeast"/>
        </w:trPr>
        <w:tc>
          <w:tcPr>
            <w:tcW w:w="219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themeColor="text1"/>
                <w:kern w:val="0"/>
                <w:sz w:val="24"/>
                <w:highlight w:val="none"/>
                <w14:textFill>
                  <w14:solidFill>
                    <w14:schemeClr w14:val="tx1"/>
                  </w14:solidFill>
                </w14:textFill>
              </w:rPr>
            </w:pPr>
          </w:p>
        </w:tc>
        <w:tc>
          <w:tcPr>
            <w:tcW w:w="396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0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病人自助终端应用服务整合</w:t>
            </w:r>
          </w:p>
        </w:tc>
        <w:tc>
          <w:tcPr>
            <w:tcW w:w="2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0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参照互联互通成熟度四甲的标准要求</w:t>
            </w:r>
          </w:p>
        </w:tc>
      </w:tr>
      <w:tr>
        <w:tblPrEx>
          <w:tblLayout w:type="fixed"/>
          <w:tblCellMar>
            <w:top w:w="0" w:type="dxa"/>
            <w:left w:w="108" w:type="dxa"/>
            <w:bottom w:w="0" w:type="dxa"/>
            <w:right w:w="108" w:type="dxa"/>
          </w:tblCellMar>
        </w:tblPrEx>
        <w:trPr>
          <w:trHeight w:val="570" w:hRule="atLeast"/>
        </w:trPr>
        <w:tc>
          <w:tcPr>
            <w:tcW w:w="219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themeColor="text1"/>
                <w:kern w:val="0"/>
                <w:sz w:val="24"/>
                <w:highlight w:val="none"/>
                <w14:textFill>
                  <w14:solidFill>
                    <w14:schemeClr w14:val="tx1"/>
                  </w14:solidFill>
                </w14:textFill>
              </w:rPr>
            </w:pPr>
          </w:p>
        </w:tc>
        <w:tc>
          <w:tcPr>
            <w:tcW w:w="396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0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手机无线应用系统服务整合</w:t>
            </w:r>
          </w:p>
        </w:tc>
        <w:tc>
          <w:tcPr>
            <w:tcW w:w="2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0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参照互联互通成熟度四甲的标准要求</w:t>
            </w:r>
          </w:p>
        </w:tc>
      </w:tr>
      <w:tr>
        <w:tblPrEx>
          <w:tblLayout w:type="fixed"/>
          <w:tblCellMar>
            <w:top w:w="0" w:type="dxa"/>
            <w:left w:w="108" w:type="dxa"/>
            <w:bottom w:w="0" w:type="dxa"/>
            <w:right w:w="108" w:type="dxa"/>
          </w:tblCellMar>
        </w:tblPrEx>
        <w:trPr>
          <w:trHeight w:val="570" w:hRule="atLeast"/>
        </w:trPr>
        <w:tc>
          <w:tcPr>
            <w:tcW w:w="2197" w:type="dxa"/>
            <w:vMerge w:val="restart"/>
            <w:tcBorders>
              <w:top w:val="single" w:color="auto" w:sz="4" w:space="0"/>
              <w:left w:val="single" w:color="auto" w:sz="4" w:space="0"/>
              <w:right w:val="single" w:color="auto" w:sz="4" w:space="0"/>
            </w:tcBorders>
            <w:vAlign w:val="center"/>
          </w:tcPr>
          <w:p>
            <w:pPr>
              <w:widowControl/>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电子病历系统</w:t>
            </w:r>
          </w:p>
          <w:p>
            <w:pPr>
              <w:pStyle w:val="2"/>
              <w:rPr>
                <w:color w:val="000000" w:themeColor="text1"/>
                <w:sz w:val="48"/>
                <w:szCs w:val="48"/>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（健共体单位全覆盖）</w:t>
            </w:r>
          </w:p>
        </w:tc>
        <w:tc>
          <w:tcPr>
            <w:tcW w:w="396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00" w:lineRule="exact"/>
              <w:jc w:val="left"/>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医师电子病历</w:t>
            </w:r>
          </w:p>
        </w:tc>
        <w:tc>
          <w:tcPr>
            <w:tcW w:w="2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00" w:lineRule="exact"/>
              <w:jc w:val="center"/>
              <w:rPr>
                <w:rFonts w:ascii="宋体" w:hAnsi="宋体" w:cs="宋体"/>
                <w:b/>
                <w:bCs/>
                <w:color w:val="000000" w:themeColor="text1"/>
                <w:kern w:val="0"/>
                <w:sz w:val="24"/>
                <w:highlight w:val="none"/>
                <w14:textFill>
                  <w14:solidFill>
                    <w14:schemeClr w14:val="tx1"/>
                  </w14:solidFill>
                </w14:textFill>
              </w:rPr>
            </w:pPr>
            <w:r>
              <w:rPr>
                <w:rFonts w:ascii="宋体" w:hAnsi="宋体" w:cs="宋体"/>
                <w:b/>
                <w:bCs/>
                <w:color w:val="000000" w:themeColor="text1"/>
                <w:kern w:val="0"/>
                <w:sz w:val="24"/>
                <w:highlight w:val="none"/>
                <w14:textFill>
                  <w14:solidFill>
                    <w14:schemeClr w14:val="tx1"/>
                  </w14:solidFill>
                </w14:textFill>
              </w:rPr>
              <w:t>新增</w:t>
            </w:r>
          </w:p>
        </w:tc>
      </w:tr>
      <w:tr>
        <w:tblPrEx>
          <w:tblLayout w:type="fixed"/>
          <w:tblCellMar>
            <w:top w:w="0" w:type="dxa"/>
            <w:left w:w="108" w:type="dxa"/>
            <w:bottom w:w="0" w:type="dxa"/>
            <w:right w:w="108" w:type="dxa"/>
          </w:tblCellMar>
        </w:tblPrEx>
        <w:trPr>
          <w:trHeight w:val="570" w:hRule="atLeast"/>
        </w:trPr>
        <w:tc>
          <w:tcPr>
            <w:tcW w:w="2197" w:type="dxa"/>
            <w:vMerge w:val="continue"/>
            <w:tcBorders>
              <w:left w:val="single" w:color="auto" w:sz="4" w:space="0"/>
              <w:right w:val="single" w:color="auto" w:sz="4" w:space="0"/>
            </w:tcBorders>
            <w:vAlign w:val="center"/>
          </w:tcPr>
          <w:p>
            <w:pPr>
              <w:widowControl/>
              <w:spacing w:line="400" w:lineRule="exact"/>
              <w:jc w:val="left"/>
              <w:rPr>
                <w:rFonts w:ascii="宋体" w:hAnsi="宋体" w:cs="宋体"/>
                <w:b/>
                <w:bCs/>
                <w:color w:val="000000" w:themeColor="text1"/>
                <w:kern w:val="0"/>
                <w:sz w:val="24"/>
                <w:highlight w:val="none"/>
                <w14:textFill>
                  <w14:solidFill>
                    <w14:schemeClr w14:val="tx1"/>
                  </w14:solidFill>
                </w14:textFill>
              </w:rPr>
            </w:pPr>
          </w:p>
        </w:tc>
        <w:tc>
          <w:tcPr>
            <w:tcW w:w="396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00" w:lineRule="exact"/>
              <w:jc w:val="left"/>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护理电子病历及移动护理系统</w:t>
            </w:r>
          </w:p>
        </w:tc>
        <w:tc>
          <w:tcPr>
            <w:tcW w:w="2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00" w:lineRule="exact"/>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新增</w:t>
            </w:r>
          </w:p>
        </w:tc>
      </w:tr>
      <w:tr>
        <w:tblPrEx>
          <w:tblLayout w:type="fixed"/>
          <w:tblCellMar>
            <w:top w:w="0" w:type="dxa"/>
            <w:left w:w="108" w:type="dxa"/>
            <w:bottom w:w="0" w:type="dxa"/>
            <w:right w:w="108" w:type="dxa"/>
          </w:tblCellMar>
        </w:tblPrEx>
        <w:trPr>
          <w:trHeight w:val="570" w:hRule="atLeast"/>
        </w:trPr>
        <w:tc>
          <w:tcPr>
            <w:tcW w:w="2197" w:type="dxa"/>
            <w:vMerge w:val="continue"/>
            <w:tcBorders>
              <w:left w:val="single" w:color="auto" w:sz="4" w:space="0"/>
              <w:right w:val="single" w:color="auto" w:sz="4" w:space="0"/>
            </w:tcBorders>
            <w:vAlign w:val="center"/>
          </w:tcPr>
          <w:p>
            <w:pPr>
              <w:widowControl/>
              <w:spacing w:line="400" w:lineRule="exact"/>
              <w:jc w:val="left"/>
              <w:rPr>
                <w:rFonts w:ascii="宋体" w:hAnsi="宋体" w:cs="宋体"/>
                <w:b/>
                <w:bCs/>
                <w:color w:val="000000" w:themeColor="text1"/>
                <w:kern w:val="0"/>
                <w:sz w:val="24"/>
                <w:highlight w:val="none"/>
                <w14:textFill>
                  <w14:solidFill>
                    <w14:schemeClr w14:val="tx1"/>
                  </w14:solidFill>
                </w14:textFill>
              </w:rPr>
            </w:pPr>
          </w:p>
        </w:tc>
        <w:tc>
          <w:tcPr>
            <w:tcW w:w="396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00" w:lineRule="exact"/>
              <w:jc w:val="left"/>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临床路径及管理系统</w:t>
            </w:r>
          </w:p>
        </w:tc>
        <w:tc>
          <w:tcPr>
            <w:tcW w:w="2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00" w:lineRule="exact"/>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更换</w:t>
            </w:r>
          </w:p>
        </w:tc>
      </w:tr>
      <w:tr>
        <w:tblPrEx>
          <w:tblLayout w:type="fixed"/>
          <w:tblCellMar>
            <w:top w:w="0" w:type="dxa"/>
            <w:left w:w="108" w:type="dxa"/>
            <w:bottom w:w="0" w:type="dxa"/>
            <w:right w:w="108" w:type="dxa"/>
          </w:tblCellMar>
        </w:tblPrEx>
        <w:trPr>
          <w:trHeight w:val="570" w:hRule="atLeast"/>
        </w:trPr>
        <w:tc>
          <w:tcPr>
            <w:tcW w:w="2197" w:type="dxa"/>
            <w:vMerge w:val="continue"/>
            <w:tcBorders>
              <w:left w:val="single" w:color="auto" w:sz="4" w:space="0"/>
              <w:right w:val="single" w:color="auto" w:sz="4" w:space="0"/>
            </w:tcBorders>
            <w:vAlign w:val="center"/>
          </w:tcPr>
          <w:p>
            <w:pPr>
              <w:widowControl/>
              <w:spacing w:line="400" w:lineRule="exact"/>
              <w:jc w:val="left"/>
              <w:rPr>
                <w:rFonts w:ascii="宋体" w:hAnsi="宋体" w:cs="宋体"/>
                <w:b/>
                <w:bCs/>
                <w:color w:val="000000" w:themeColor="text1"/>
                <w:kern w:val="0"/>
                <w:sz w:val="24"/>
                <w:highlight w:val="none"/>
                <w14:textFill>
                  <w14:solidFill>
                    <w14:schemeClr w14:val="tx1"/>
                  </w14:solidFill>
                </w14:textFill>
              </w:rPr>
            </w:pPr>
          </w:p>
        </w:tc>
        <w:tc>
          <w:tcPr>
            <w:tcW w:w="396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00" w:lineRule="exact"/>
              <w:jc w:val="left"/>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病历质控及管理系统</w:t>
            </w:r>
          </w:p>
        </w:tc>
        <w:tc>
          <w:tcPr>
            <w:tcW w:w="2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00" w:lineRule="exact"/>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新增</w:t>
            </w:r>
          </w:p>
        </w:tc>
      </w:tr>
      <w:tr>
        <w:tblPrEx>
          <w:tblLayout w:type="fixed"/>
          <w:tblCellMar>
            <w:top w:w="0" w:type="dxa"/>
            <w:left w:w="108" w:type="dxa"/>
            <w:bottom w:w="0" w:type="dxa"/>
            <w:right w:w="108" w:type="dxa"/>
          </w:tblCellMar>
        </w:tblPrEx>
        <w:trPr>
          <w:trHeight w:val="570" w:hRule="atLeast"/>
        </w:trPr>
        <w:tc>
          <w:tcPr>
            <w:tcW w:w="2197" w:type="dxa"/>
            <w:vMerge w:val="continue"/>
            <w:tcBorders>
              <w:left w:val="single" w:color="auto" w:sz="4" w:space="0"/>
              <w:right w:val="single" w:color="auto" w:sz="4" w:space="0"/>
            </w:tcBorders>
            <w:vAlign w:val="center"/>
          </w:tcPr>
          <w:p>
            <w:pPr>
              <w:widowControl/>
              <w:spacing w:line="400" w:lineRule="exact"/>
              <w:jc w:val="left"/>
              <w:rPr>
                <w:rFonts w:ascii="宋体" w:hAnsi="宋体" w:cs="宋体"/>
                <w:b/>
                <w:bCs/>
                <w:color w:val="000000" w:themeColor="text1"/>
                <w:kern w:val="0"/>
                <w:sz w:val="24"/>
                <w:highlight w:val="none"/>
                <w14:textFill>
                  <w14:solidFill>
                    <w14:schemeClr w14:val="tx1"/>
                  </w14:solidFill>
                </w14:textFill>
              </w:rPr>
            </w:pPr>
          </w:p>
        </w:tc>
        <w:tc>
          <w:tcPr>
            <w:tcW w:w="396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00" w:lineRule="exact"/>
              <w:jc w:val="left"/>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闭环管理（详见模块需求）</w:t>
            </w:r>
          </w:p>
        </w:tc>
        <w:tc>
          <w:tcPr>
            <w:tcW w:w="2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00" w:lineRule="exact"/>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新增</w:t>
            </w:r>
          </w:p>
        </w:tc>
      </w:tr>
      <w:tr>
        <w:tblPrEx>
          <w:tblLayout w:type="fixed"/>
          <w:tblCellMar>
            <w:top w:w="0" w:type="dxa"/>
            <w:left w:w="108" w:type="dxa"/>
            <w:bottom w:w="0" w:type="dxa"/>
            <w:right w:w="108" w:type="dxa"/>
          </w:tblCellMar>
        </w:tblPrEx>
        <w:trPr>
          <w:trHeight w:val="570" w:hRule="atLeast"/>
        </w:trPr>
        <w:tc>
          <w:tcPr>
            <w:tcW w:w="219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接口改造</w:t>
            </w:r>
          </w:p>
        </w:tc>
        <w:tc>
          <w:tcPr>
            <w:tcW w:w="396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00" w:lineRule="exact"/>
              <w:jc w:val="left"/>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与HIS及集成平台对接的所有第三方软件系统接口改造</w:t>
            </w:r>
          </w:p>
        </w:tc>
        <w:tc>
          <w:tcPr>
            <w:tcW w:w="2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00" w:lineRule="exact"/>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费用包含在报价中</w:t>
            </w:r>
          </w:p>
        </w:tc>
      </w:tr>
    </w:tbl>
    <w:p>
      <w:pPr>
        <w:spacing w:line="400" w:lineRule="exact"/>
        <w:jc w:val="left"/>
        <w:rPr>
          <w:rFonts w:ascii="宋体" w:hAnsi="宋体" w:cs="宋体"/>
          <w:color w:val="000000" w:themeColor="text1"/>
          <w:sz w:val="24"/>
          <w:highlight w:val="none"/>
          <w14:textFill>
            <w14:solidFill>
              <w14:schemeClr w14:val="tx1"/>
            </w14:solidFill>
          </w14:textFill>
        </w:rPr>
      </w:pPr>
    </w:p>
    <w:p>
      <w:pPr>
        <w:pStyle w:val="4"/>
        <w:spacing w:line="400" w:lineRule="exact"/>
        <w:jc w:val="both"/>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2、建设原则</w:t>
      </w:r>
    </w:p>
    <w:p>
      <w:pPr>
        <w:numPr>
          <w:ilvl w:val="0"/>
          <w:numId w:val="8"/>
        </w:numPr>
        <w:autoSpaceDE w:val="0"/>
        <w:autoSpaceDN w:val="0"/>
        <w:spacing w:line="400" w:lineRule="exact"/>
        <w:ind w:firstLine="424" w:firstLineChars="176"/>
        <w:rPr>
          <w:rFonts w:ascii="宋体" w:hAnsi="宋体" w:cs="宋体"/>
          <w:b/>
          <w:color w:val="000000" w:themeColor="text1"/>
          <w:sz w:val="24"/>
          <w:highlight w:val="none"/>
          <w:lang w:val="zh-CN"/>
          <w14:textFill>
            <w14:solidFill>
              <w14:schemeClr w14:val="tx1"/>
            </w14:solidFill>
          </w14:textFill>
        </w:rPr>
      </w:pPr>
      <w:r>
        <w:rPr>
          <w:rFonts w:hint="eastAsia" w:ascii="宋体" w:hAnsi="宋体" w:cs="宋体"/>
          <w:b/>
          <w:color w:val="000000" w:themeColor="text1"/>
          <w:sz w:val="24"/>
          <w:highlight w:val="none"/>
          <w:lang w:val="zh-CN"/>
          <w14:textFill>
            <w14:solidFill>
              <w14:schemeClr w14:val="tx1"/>
            </w14:solidFill>
          </w14:textFill>
        </w:rPr>
        <w:t>标准化原则</w:t>
      </w:r>
    </w:p>
    <w:p>
      <w:pPr>
        <w:spacing w:line="400" w:lineRule="exact"/>
        <w:ind w:firstLine="454"/>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遵循国际通用标准和行业规范。按照国际、国家、行业、企业相关标准，建设适合医院现状和发展的标准规范体系，创建信息共享、系统集成环境。</w:t>
      </w:r>
    </w:p>
    <w:p>
      <w:pPr>
        <w:numPr>
          <w:ilvl w:val="0"/>
          <w:numId w:val="8"/>
        </w:numPr>
        <w:autoSpaceDE w:val="0"/>
        <w:autoSpaceDN w:val="0"/>
        <w:spacing w:line="400" w:lineRule="exact"/>
        <w:ind w:firstLine="424" w:firstLineChars="176"/>
        <w:rPr>
          <w:rFonts w:ascii="宋体" w:hAnsi="宋体" w:cs="宋体"/>
          <w:b/>
          <w:color w:val="000000" w:themeColor="text1"/>
          <w:sz w:val="24"/>
          <w:highlight w:val="none"/>
          <w:lang w:val="zh-CN"/>
          <w14:textFill>
            <w14:solidFill>
              <w14:schemeClr w14:val="tx1"/>
            </w14:solidFill>
          </w14:textFill>
        </w:rPr>
      </w:pPr>
      <w:r>
        <w:rPr>
          <w:rFonts w:hint="eastAsia" w:ascii="宋体" w:hAnsi="宋体" w:cs="宋体"/>
          <w:b/>
          <w:color w:val="000000" w:themeColor="text1"/>
          <w:sz w:val="24"/>
          <w:highlight w:val="none"/>
          <w:lang w:val="zh-CN"/>
          <w14:textFill>
            <w14:solidFill>
              <w14:schemeClr w14:val="tx1"/>
            </w14:solidFill>
          </w14:textFill>
        </w:rPr>
        <w:t>统一设计原则</w:t>
      </w:r>
    </w:p>
    <w:p>
      <w:pPr>
        <w:spacing w:line="400" w:lineRule="exact"/>
        <w:ind w:firstLine="454"/>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从医院的现实需求出发，确定完整的系统建设方案，统一规划、统一设计。</w:t>
      </w:r>
    </w:p>
    <w:p>
      <w:pPr>
        <w:numPr>
          <w:ilvl w:val="0"/>
          <w:numId w:val="8"/>
        </w:numPr>
        <w:autoSpaceDE w:val="0"/>
        <w:autoSpaceDN w:val="0"/>
        <w:spacing w:line="400" w:lineRule="exact"/>
        <w:ind w:firstLine="424" w:firstLineChars="176"/>
        <w:rPr>
          <w:rFonts w:ascii="宋体" w:hAnsi="宋体" w:cs="宋体"/>
          <w:b/>
          <w:color w:val="000000" w:themeColor="text1"/>
          <w:sz w:val="24"/>
          <w:highlight w:val="none"/>
          <w:lang w:val="zh-CN"/>
          <w14:textFill>
            <w14:solidFill>
              <w14:schemeClr w14:val="tx1"/>
            </w14:solidFill>
          </w14:textFill>
        </w:rPr>
      </w:pPr>
      <w:r>
        <w:rPr>
          <w:rFonts w:hint="eastAsia" w:ascii="宋体" w:hAnsi="宋体" w:cs="宋体"/>
          <w:b/>
          <w:color w:val="000000" w:themeColor="text1"/>
          <w:sz w:val="24"/>
          <w:highlight w:val="none"/>
          <w:lang w:val="zh-CN"/>
          <w14:textFill>
            <w14:solidFill>
              <w14:schemeClr w14:val="tx1"/>
            </w14:solidFill>
          </w14:textFill>
        </w:rPr>
        <w:t>安全性原则</w:t>
      </w:r>
    </w:p>
    <w:p>
      <w:pPr>
        <w:spacing w:line="400" w:lineRule="exact"/>
        <w:ind w:firstLine="454"/>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采用的软件开发技术和方法将充分考虑医院所面临的安全性要求，建立适应的安全管理保障机制。</w:t>
      </w:r>
    </w:p>
    <w:p>
      <w:pPr>
        <w:numPr>
          <w:ilvl w:val="0"/>
          <w:numId w:val="8"/>
        </w:numPr>
        <w:autoSpaceDE w:val="0"/>
        <w:autoSpaceDN w:val="0"/>
        <w:spacing w:line="400" w:lineRule="exact"/>
        <w:ind w:firstLine="424" w:firstLineChars="176"/>
        <w:rPr>
          <w:rFonts w:ascii="宋体" w:hAnsi="宋体" w:cs="宋体"/>
          <w:b/>
          <w:color w:val="000000" w:themeColor="text1"/>
          <w:sz w:val="24"/>
          <w:highlight w:val="none"/>
          <w:lang w:val="zh-CN"/>
          <w14:textFill>
            <w14:solidFill>
              <w14:schemeClr w14:val="tx1"/>
            </w14:solidFill>
          </w14:textFill>
        </w:rPr>
      </w:pPr>
      <w:r>
        <w:rPr>
          <w:rFonts w:hint="eastAsia" w:ascii="宋体" w:hAnsi="宋体" w:cs="宋体"/>
          <w:b/>
          <w:color w:val="000000" w:themeColor="text1"/>
          <w:sz w:val="24"/>
          <w:highlight w:val="none"/>
          <w:lang w:val="zh-CN"/>
          <w14:textFill>
            <w14:solidFill>
              <w14:schemeClr w14:val="tx1"/>
            </w14:solidFill>
          </w14:textFill>
        </w:rPr>
        <w:t>先进性与可靠性原则</w:t>
      </w:r>
    </w:p>
    <w:p>
      <w:pPr>
        <w:spacing w:line="400" w:lineRule="exact"/>
        <w:ind w:firstLine="454"/>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选择成熟、可靠的主流技术和产品，即保证技术和产品的先进性，又充分考虑实用性和高可靠性，有良好的售后服务和承诺支持。</w:t>
      </w:r>
    </w:p>
    <w:p>
      <w:pPr>
        <w:numPr>
          <w:ilvl w:val="0"/>
          <w:numId w:val="8"/>
        </w:numPr>
        <w:autoSpaceDE w:val="0"/>
        <w:autoSpaceDN w:val="0"/>
        <w:spacing w:line="400" w:lineRule="exact"/>
        <w:ind w:firstLine="424" w:firstLineChars="176"/>
        <w:rPr>
          <w:rFonts w:ascii="宋体" w:hAnsi="宋体" w:cs="宋体"/>
          <w:b/>
          <w:color w:val="000000" w:themeColor="text1"/>
          <w:sz w:val="24"/>
          <w:highlight w:val="none"/>
          <w:lang w:val="zh-CN"/>
          <w14:textFill>
            <w14:solidFill>
              <w14:schemeClr w14:val="tx1"/>
            </w14:solidFill>
          </w14:textFill>
        </w:rPr>
      </w:pPr>
      <w:r>
        <w:rPr>
          <w:rFonts w:hint="eastAsia" w:ascii="宋体" w:hAnsi="宋体" w:cs="宋体"/>
          <w:b/>
          <w:color w:val="000000" w:themeColor="text1"/>
          <w:sz w:val="24"/>
          <w:highlight w:val="none"/>
          <w:lang w:val="zh-CN"/>
          <w14:textFill>
            <w14:solidFill>
              <w14:schemeClr w14:val="tx1"/>
            </w14:solidFill>
          </w14:textFill>
        </w:rPr>
        <w:t>兼容性与可扩展性原则</w:t>
      </w:r>
    </w:p>
    <w:p>
      <w:pPr>
        <w:spacing w:line="400" w:lineRule="exact"/>
        <w:ind w:firstLine="454"/>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从整个医院角度出发，坚持开放性原则，考虑各种软硬系统的兼容性和可扩展性。</w:t>
      </w:r>
    </w:p>
    <w:p>
      <w:pPr>
        <w:numPr>
          <w:ilvl w:val="0"/>
          <w:numId w:val="8"/>
        </w:numPr>
        <w:autoSpaceDE w:val="0"/>
        <w:autoSpaceDN w:val="0"/>
        <w:spacing w:line="400" w:lineRule="exact"/>
        <w:ind w:firstLine="424" w:firstLineChars="176"/>
        <w:rPr>
          <w:rFonts w:ascii="宋体" w:hAnsi="宋体" w:cs="宋体"/>
          <w:b/>
          <w:color w:val="000000" w:themeColor="text1"/>
          <w:sz w:val="24"/>
          <w:highlight w:val="none"/>
          <w:lang w:val="zh-CN"/>
          <w14:textFill>
            <w14:solidFill>
              <w14:schemeClr w14:val="tx1"/>
            </w14:solidFill>
          </w14:textFill>
        </w:rPr>
      </w:pPr>
      <w:r>
        <w:rPr>
          <w:rFonts w:hint="eastAsia" w:ascii="宋体" w:hAnsi="宋体" w:cs="宋体"/>
          <w:b/>
          <w:color w:val="000000" w:themeColor="text1"/>
          <w:sz w:val="24"/>
          <w:highlight w:val="none"/>
          <w:lang w:val="zh-CN"/>
          <w14:textFill>
            <w14:solidFill>
              <w14:schemeClr w14:val="tx1"/>
            </w14:solidFill>
          </w14:textFill>
        </w:rPr>
        <w:t>易使用、易维护与可配置性原则</w:t>
      </w:r>
    </w:p>
    <w:p>
      <w:pPr>
        <w:spacing w:line="400" w:lineRule="exact"/>
        <w:ind w:firstLine="454"/>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应用系统开发充分体现结构化、模块化的设计思想，采用先进的设计和开发工具，同时按照便于管理和易维护原则，对于管理和维护有专门的考虑。</w:t>
      </w:r>
    </w:p>
    <w:p>
      <w:pPr>
        <w:spacing w:line="400" w:lineRule="exact"/>
        <w:ind w:firstLine="454"/>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系统使用方便、维护简单。提供联机的帮助手段，应用界面简捷、直观，用户使用一目了然，简单易学；系统提供丰富灵活的配置手段，适应多种应用的需要。</w:t>
      </w:r>
    </w:p>
    <w:p>
      <w:pPr>
        <w:pStyle w:val="4"/>
        <w:spacing w:line="400" w:lineRule="exact"/>
        <w:jc w:val="both"/>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3、建设目标</w:t>
      </w:r>
    </w:p>
    <w:p>
      <w:pPr>
        <w:pStyle w:val="53"/>
        <w:spacing w:line="400" w:lineRule="exact"/>
        <w:ind w:firstLine="482"/>
        <w:rPr>
          <w:rFonts w:ascii="宋体" w:hAnsi="宋体" w:cs="宋体"/>
          <w:color w:val="000000" w:themeColor="text1"/>
          <w:highlight w:val="none"/>
          <w14:textFill>
            <w14:solidFill>
              <w14:schemeClr w14:val="tx1"/>
            </w14:solidFill>
          </w14:textFill>
        </w:rPr>
      </w:pPr>
      <w:r>
        <w:rPr>
          <w:rFonts w:hint="eastAsia" w:ascii="宋体" w:hAnsi="宋体" w:cs="宋体"/>
          <w:b/>
          <w:bCs/>
          <w:color w:val="000000" w:themeColor="text1"/>
          <w:highlight w:val="none"/>
          <w:u w:val="single"/>
          <w14:textFill>
            <w14:solidFill>
              <w14:schemeClr w14:val="tx1"/>
            </w14:solidFill>
          </w14:textFill>
        </w:rPr>
        <w:t>▲本次玉环市人民医院健共体集团健共体集团玉环市人民医院健共体集团基于集成平台的信息系统建设项目，将根据“现代智慧医院”的建设发展战略要求，以县域医共体信息一体化建设为思路，以</w:t>
      </w:r>
      <w:r>
        <w:rPr>
          <w:rFonts w:hint="eastAsia" w:ascii="宋体" w:hAnsi="宋体" w:cs="宋体"/>
          <w:b/>
          <w:bCs/>
          <w:color w:val="000000" w:themeColor="text1"/>
          <w:spacing w:val="-2"/>
          <w:highlight w:val="none"/>
          <w:u w:val="single"/>
          <w14:textFill>
            <w14:solidFill>
              <w14:schemeClr w14:val="tx1"/>
            </w14:solidFill>
          </w14:textFill>
        </w:rPr>
        <w:t>居</w:t>
      </w:r>
      <w:r>
        <w:rPr>
          <w:rFonts w:hint="eastAsia" w:ascii="宋体" w:hAnsi="宋体" w:cs="宋体"/>
          <w:b/>
          <w:bCs/>
          <w:color w:val="000000" w:themeColor="text1"/>
          <w:highlight w:val="none"/>
          <w:u w:val="single"/>
          <w14:textFill>
            <w14:solidFill>
              <w14:schemeClr w14:val="tx1"/>
            </w14:solidFill>
          </w14:textFill>
        </w:rPr>
        <w:t>民</w:t>
      </w:r>
      <w:r>
        <w:rPr>
          <w:rFonts w:hint="eastAsia" w:ascii="宋体" w:hAnsi="宋体" w:cs="宋体"/>
          <w:b/>
          <w:bCs/>
          <w:color w:val="000000" w:themeColor="text1"/>
          <w:spacing w:val="-2"/>
          <w:highlight w:val="none"/>
          <w:u w:val="single"/>
          <w14:textFill>
            <w14:solidFill>
              <w14:schemeClr w14:val="tx1"/>
            </w14:solidFill>
          </w14:textFill>
        </w:rPr>
        <w:t>为</w:t>
      </w:r>
      <w:r>
        <w:rPr>
          <w:rFonts w:hint="eastAsia" w:ascii="宋体" w:hAnsi="宋体" w:cs="宋体"/>
          <w:b/>
          <w:bCs/>
          <w:color w:val="000000" w:themeColor="text1"/>
          <w:highlight w:val="none"/>
          <w:u w:val="single"/>
          <w14:textFill>
            <w14:solidFill>
              <w14:schemeClr w14:val="tx1"/>
            </w14:solidFill>
          </w14:textFill>
        </w:rPr>
        <w:t>中</w:t>
      </w:r>
      <w:r>
        <w:rPr>
          <w:rFonts w:hint="eastAsia" w:ascii="宋体" w:hAnsi="宋体" w:cs="宋体"/>
          <w:b/>
          <w:bCs/>
          <w:color w:val="000000" w:themeColor="text1"/>
          <w:spacing w:val="-2"/>
          <w:highlight w:val="none"/>
          <w:u w:val="single"/>
          <w14:textFill>
            <w14:solidFill>
              <w14:schemeClr w14:val="tx1"/>
            </w14:solidFill>
          </w14:textFill>
        </w:rPr>
        <w:t>心</w:t>
      </w:r>
      <w:r>
        <w:rPr>
          <w:rFonts w:hint="eastAsia" w:ascii="宋体" w:hAnsi="宋体" w:cs="宋体"/>
          <w:b/>
          <w:bCs/>
          <w:color w:val="000000" w:themeColor="text1"/>
          <w:spacing w:val="-21"/>
          <w:highlight w:val="none"/>
          <w:u w:val="single"/>
          <w14:textFill>
            <w14:solidFill>
              <w14:schemeClr w14:val="tx1"/>
            </w14:solidFill>
          </w14:textFill>
        </w:rPr>
        <w:t>，</w:t>
      </w:r>
      <w:r>
        <w:rPr>
          <w:rFonts w:hint="eastAsia" w:ascii="宋体" w:hAnsi="宋体" w:cs="宋体"/>
          <w:b/>
          <w:bCs/>
          <w:color w:val="000000" w:themeColor="text1"/>
          <w:spacing w:val="-2"/>
          <w:highlight w:val="none"/>
          <w:u w:val="single"/>
          <w14:textFill>
            <w14:solidFill>
              <w14:schemeClr w14:val="tx1"/>
            </w14:solidFill>
          </w14:textFill>
        </w:rPr>
        <w:t>医院信息系统升级改造</w:t>
      </w:r>
      <w:r>
        <w:rPr>
          <w:rFonts w:hint="eastAsia" w:ascii="宋体" w:hAnsi="宋体" w:cs="宋体"/>
          <w:b/>
          <w:bCs/>
          <w:color w:val="000000" w:themeColor="text1"/>
          <w:highlight w:val="none"/>
          <w:u w:val="single"/>
          <w14:textFill>
            <w14:solidFill>
              <w14:schemeClr w14:val="tx1"/>
            </w14:solidFill>
          </w14:textFill>
        </w:rPr>
        <w:t>为</w:t>
      </w:r>
      <w:r>
        <w:rPr>
          <w:rFonts w:hint="eastAsia" w:ascii="宋体" w:hAnsi="宋体" w:cs="宋体"/>
          <w:b/>
          <w:bCs/>
          <w:color w:val="000000" w:themeColor="text1"/>
          <w:spacing w:val="-2"/>
          <w:highlight w:val="none"/>
          <w:u w:val="single"/>
          <w14:textFill>
            <w14:solidFill>
              <w14:schemeClr w14:val="tx1"/>
            </w14:solidFill>
          </w14:textFill>
        </w:rPr>
        <w:t>契机</w:t>
      </w:r>
      <w:r>
        <w:rPr>
          <w:rFonts w:hint="eastAsia" w:ascii="宋体" w:hAnsi="宋体" w:cs="宋体"/>
          <w:b/>
          <w:bCs/>
          <w:color w:val="000000" w:themeColor="text1"/>
          <w:spacing w:val="-21"/>
          <w:highlight w:val="none"/>
          <w:u w:val="single"/>
          <w14:textFill>
            <w14:solidFill>
              <w14:schemeClr w14:val="tx1"/>
            </w14:solidFill>
          </w14:textFill>
        </w:rPr>
        <w:t>，</w:t>
      </w:r>
      <w:r>
        <w:rPr>
          <w:rFonts w:hint="eastAsia" w:ascii="宋体" w:hAnsi="宋体" w:cs="宋体"/>
          <w:b/>
          <w:bCs/>
          <w:color w:val="000000" w:themeColor="text1"/>
          <w:spacing w:val="-2"/>
          <w:highlight w:val="none"/>
          <w:u w:val="single"/>
          <w14:textFill>
            <w14:solidFill>
              <w14:schemeClr w14:val="tx1"/>
            </w14:solidFill>
          </w14:textFill>
        </w:rPr>
        <w:t>以</w:t>
      </w:r>
      <w:r>
        <w:rPr>
          <w:rFonts w:hint="eastAsia" w:ascii="宋体" w:hAnsi="宋体" w:cs="宋体"/>
          <w:b/>
          <w:bCs/>
          <w:color w:val="000000" w:themeColor="text1"/>
          <w:highlight w:val="none"/>
          <w:u w:val="single"/>
          <w14:textFill>
            <w14:solidFill>
              <w14:schemeClr w14:val="tx1"/>
            </w14:solidFill>
          </w14:textFill>
        </w:rPr>
        <w:t>建</w:t>
      </w:r>
      <w:r>
        <w:rPr>
          <w:rFonts w:hint="eastAsia" w:ascii="宋体" w:hAnsi="宋体" w:cs="宋体"/>
          <w:b/>
          <w:bCs/>
          <w:color w:val="000000" w:themeColor="text1"/>
          <w:spacing w:val="-2"/>
          <w:highlight w:val="none"/>
          <w:u w:val="single"/>
          <w14:textFill>
            <w14:solidFill>
              <w14:schemeClr w14:val="tx1"/>
            </w14:solidFill>
          </w14:textFill>
        </w:rPr>
        <w:t>设达到电子病历应用高等级水平（五级）和</w:t>
      </w:r>
      <w:r>
        <w:rPr>
          <w:rFonts w:hint="eastAsia" w:ascii="宋体" w:hAnsi="宋体" w:cs="宋体"/>
          <w:b/>
          <w:bCs/>
          <w:color w:val="000000" w:themeColor="text1"/>
          <w:highlight w:val="none"/>
          <w:u w:val="single"/>
          <w14:textFill>
            <w14:solidFill>
              <w14:schemeClr w14:val="tx1"/>
            </w14:solidFill>
          </w14:textFill>
        </w:rPr>
        <w:t>通</w:t>
      </w:r>
      <w:r>
        <w:rPr>
          <w:rFonts w:hint="eastAsia" w:ascii="宋体" w:hAnsi="宋体" w:cs="宋体"/>
          <w:b/>
          <w:bCs/>
          <w:color w:val="000000" w:themeColor="text1"/>
          <w:spacing w:val="-2"/>
          <w:highlight w:val="none"/>
          <w:u w:val="single"/>
          <w14:textFill>
            <w14:solidFill>
              <w14:schemeClr w14:val="tx1"/>
            </w14:solidFill>
          </w14:textFill>
        </w:rPr>
        <w:t>过</w:t>
      </w:r>
      <w:r>
        <w:rPr>
          <w:rFonts w:hint="eastAsia" w:ascii="宋体" w:hAnsi="宋体" w:cs="宋体"/>
          <w:b/>
          <w:bCs/>
          <w:color w:val="000000" w:themeColor="text1"/>
          <w:highlight w:val="none"/>
          <w:u w:val="single"/>
          <w14:textFill>
            <w14:solidFill>
              <w14:schemeClr w14:val="tx1"/>
            </w14:solidFill>
          </w14:textFill>
        </w:rPr>
        <w:t>医</w:t>
      </w:r>
      <w:r>
        <w:rPr>
          <w:rFonts w:hint="eastAsia" w:ascii="宋体" w:hAnsi="宋体" w:cs="宋体"/>
          <w:b/>
          <w:bCs/>
          <w:color w:val="000000" w:themeColor="text1"/>
          <w:spacing w:val="-2"/>
          <w:highlight w:val="none"/>
          <w:u w:val="single"/>
          <w14:textFill>
            <w14:solidFill>
              <w14:schemeClr w14:val="tx1"/>
            </w14:solidFill>
          </w14:textFill>
        </w:rPr>
        <w:t>院信</w:t>
      </w:r>
      <w:r>
        <w:rPr>
          <w:rFonts w:hint="eastAsia" w:ascii="宋体" w:hAnsi="宋体" w:cs="宋体"/>
          <w:b/>
          <w:bCs/>
          <w:color w:val="000000" w:themeColor="text1"/>
          <w:highlight w:val="none"/>
          <w:u w:val="single"/>
          <w14:textFill>
            <w14:solidFill>
              <w14:schemeClr w14:val="tx1"/>
            </w14:solidFill>
          </w14:textFill>
        </w:rPr>
        <w:t>息互</w:t>
      </w:r>
      <w:r>
        <w:rPr>
          <w:rFonts w:hint="eastAsia" w:ascii="宋体" w:hAnsi="宋体" w:cs="宋体"/>
          <w:b/>
          <w:bCs/>
          <w:color w:val="000000" w:themeColor="text1"/>
          <w:spacing w:val="-2"/>
          <w:highlight w:val="none"/>
          <w:u w:val="single"/>
          <w14:textFill>
            <w14:solidFill>
              <w14:schemeClr w14:val="tx1"/>
            </w14:solidFill>
          </w14:textFill>
        </w:rPr>
        <w:t>联</w:t>
      </w:r>
      <w:r>
        <w:rPr>
          <w:rFonts w:hint="eastAsia" w:ascii="宋体" w:hAnsi="宋体" w:cs="宋体"/>
          <w:b/>
          <w:bCs/>
          <w:color w:val="000000" w:themeColor="text1"/>
          <w:highlight w:val="none"/>
          <w:u w:val="single"/>
          <w14:textFill>
            <w14:solidFill>
              <w14:schemeClr w14:val="tx1"/>
            </w14:solidFill>
          </w14:textFill>
        </w:rPr>
        <w:t>互</w:t>
      </w:r>
      <w:r>
        <w:rPr>
          <w:rFonts w:hint="eastAsia" w:ascii="宋体" w:hAnsi="宋体" w:cs="宋体"/>
          <w:b/>
          <w:bCs/>
          <w:color w:val="000000" w:themeColor="text1"/>
          <w:spacing w:val="-2"/>
          <w:highlight w:val="none"/>
          <w:u w:val="single"/>
          <w14:textFill>
            <w14:solidFill>
              <w14:schemeClr w14:val="tx1"/>
            </w14:solidFill>
          </w14:textFill>
        </w:rPr>
        <w:t>通</w:t>
      </w:r>
      <w:r>
        <w:rPr>
          <w:rFonts w:hint="eastAsia" w:ascii="宋体" w:hAnsi="宋体" w:cs="宋体"/>
          <w:b/>
          <w:bCs/>
          <w:color w:val="000000" w:themeColor="text1"/>
          <w:highlight w:val="none"/>
          <w:u w:val="single"/>
          <w14:textFill>
            <w14:solidFill>
              <w14:schemeClr w14:val="tx1"/>
            </w14:solidFill>
          </w14:textFill>
        </w:rPr>
        <w:t>标准化成</w:t>
      </w:r>
      <w:r>
        <w:rPr>
          <w:rFonts w:hint="eastAsia" w:ascii="宋体" w:hAnsi="宋体" w:cs="宋体"/>
          <w:b/>
          <w:bCs/>
          <w:color w:val="000000" w:themeColor="text1"/>
          <w:spacing w:val="-2"/>
          <w:highlight w:val="none"/>
          <w:u w:val="single"/>
          <w14:textFill>
            <w14:solidFill>
              <w14:schemeClr w14:val="tx1"/>
            </w14:solidFill>
          </w14:textFill>
        </w:rPr>
        <w:t>熟</w:t>
      </w:r>
      <w:r>
        <w:rPr>
          <w:rFonts w:hint="eastAsia" w:ascii="宋体" w:hAnsi="宋体" w:cs="宋体"/>
          <w:b/>
          <w:bCs/>
          <w:color w:val="000000" w:themeColor="text1"/>
          <w:highlight w:val="none"/>
          <w:u w:val="single"/>
          <w14:textFill>
            <w14:solidFill>
              <w14:schemeClr w14:val="tx1"/>
            </w14:solidFill>
          </w14:textFill>
        </w:rPr>
        <w:t>度</w:t>
      </w:r>
      <w:r>
        <w:rPr>
          <w:rFonts w:hint="eastAsia" w:ascii="宋体" w:hAnsi="宋体" w:cs="宋体"/>
          <w:b/>
          <w:bCs/>
          <w:color w:val="000000" w:themeColor="text1"/>
          <w:spacing w:val="-2"/>
          <w:highlight w:val="none"/>
          <w:u w:val="single"/>
          <w14:textFill>
            <w14:solidFill>
              <w14:schemeClr w14:val="tx1"/>
            </w14:solidFill>
          </w14:textFill>
        </w:rPr>
        <w:t>测</w:t>
      </w:r>
      <w:r>
        <w:rPr>
          <w:rFonts w:hint="eastAsia" w:ascii="宋体" w:hAnsi="宋体" w:cs="宋体"/>
          <w:b/>
          <w:bCs/>
          <w:color w:val="000000" w:themeColor="text1"/>
          <w:highlight w:val="none"/>
          <w:u w:val="single"/>
          <w14:textFill>
            <w14:solidFill>
              <w14:schemeClr w14:val="tx1"/>
            </w14:solidFill>
          </w14:textFill>
        </w:rPr>
        <w:t>评（</w:t>
      </w:r>
      <w:r>
        <w:rPr>
          <w:rFonts w:hint="eastAsia" w:ascii="宋体" w:hAnsi="宋体" w:cs="宋体"/>
          <w:b/>
          <w:bCs/>
          <w:color w:val="000000" w:themeColor="text1"/>
          <w:spacing w:val="-2"/>
          <w:highlight w:val="none"/>
          <w:u w:val="single"/>
          <w14:textFill>
            <w14:solidFill>
              <w14:schemeClr w14:val="tx1"/>
            </w14:solidFill>
          </w14:textFill>
        </w:rPr>
        <w:t>四</w:t>
      </w:r>
      <w:r>
        <w:rPr>
          <w:rFonts w:hint="eastAsia" w:ascii="宋体" w:hAnsi="宋体" w:cs="宋体"/>
          <w:b/>
          <w:bCs/>
          <w:color w:val="000000" w:themeColor="text1"/>
          <w:highlight w:val="none"/>
          <w:u w:val="single"/>
          <w14:textFill>
            <w14:solidFill>
              <w14:schemeClr w14:val="tx1"/>
            </w14:solidFill>
          </w14:textFill>
        </w:rPr>
        <w:t>级</w:t>
      </w:r>
      <w:r>
        <w:rPr>
          <w:rFonts w:hint="eastAsia" w:ascii="宋体" w:hAnsi="宋体" w:cs="宋体"/>
          <w:b/>
          <w:bCs/>
          <w:color w:val="000000" w:themeColor="text1"/>
          <w:spacing w:val="-2"/>
          <w:highlight w:val="none"/>
          <w:u w:val="single"/>
          <w14:textFill>
            <w14:solidFill>
              <w14:schemeClr w14:val="tx1"/>
            </w14:solidFill>
          </w14:textFill>
        </w:rPr>
        <w:t>甲</w:t>
      </w:r>
      <w:r>
        <w:rPr>
          <w:rFonts w:hint="eastAsia" w:ascii="宋体" w:hAnsi="宋体" w:cs="宋体"/>
          <w:b/>
          <w:bCs/>
          <w:color w:val="000000" w:themeColor="text1"/>
          <w:highlight w:val="none"/>
          <w:u w:val="single"/>
          <w14:textFill>
            <w14:solidFill>
              <w14:schemeClr w14:val="tx1"/>
            </w14:solidFill>
          </w14:textFill>
        </w:rPr>
        <w:t>等）、</w:t>
      </w:r>
      <w:r>
        <w:rPr>
          <w:rFonts w:hint="eastAsia" w:ascii="宋体" w:hAnsi="宋体" w:cs="宋体"/>
          <w:b/>
          <w:bCs/>
          <w:color w:val="000000" w:themeColor="text1"/>
          <w:kern w:val="0"/>
          <w:highlight w:val="none"/>
          <w:u w:val="single"/>
          <w14:textFill>
            <w14:solidFill>
              <w14:schemeClr w14:val="tx1"/>
            </w14:solidFill>
          </w14:textFill>
        </w:rPr>
        <w:t>智慧医院服务分级评估（三级），并完成最多跑一次、医共体信息一体化建设等政府指令性任务及三级乙等医院信息建设技术</w:t>
      </w:r>
      <w:r>
        <w:rPr>
          <w:rFonts w:hint="eastAsia" w:ascii="宋体" w:hAnsi="宋体" w:cs="宋体"/>
          <w:b/>
          <w:bCs/>
          <w:color w:val="000000" w:themeColor="text1"/>
          <w:highlight w:val="none"/>
          <w:u w:val="single"/>
          <w14:textFill>
            <w14:solidFill>
              <w14:schemeClr w14:val="tx1"/>
            </w14:solidFill>
          </w14:textFill>
        </w:rPr>
        <w:t>目标，并符合信息安全等级保护三级</w:t>
      </w:r>
      <w:r>
        <w:rPr>
          <w:rFonts w:hint="eastAsia" w:ascii="宋体" w:hAnsi="宋体" w:cs="宋体"/>
          <w:b/>
          <w:bCs/>
          <w:color w:val="000000" w:themeColor="text1"/>
          <w:spacing w:val="-2"/>
          <w:highlight w:val="none"/>
          <w:u w:val="singl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在</w:t>
      </w:r>
      <w:r>
        <w:rPr>
          <w:rFonts w:hint="eastAsia" w:ascii="宋体" w:hAnsi="宋体" w:cs="宋体"/>
          <w:color w:val="000000" w:themeColor="text1"/>
          <w:spacing w:val="-2"/>
          <w:highlight w:val="none"/>
          <w14:textFill>
            <w14:solidFill>
              <w14:schemeClr w14:val="tx1"/>
            </w14:solidFill>
          </w14:textFill>
        </w:rPr>
        <w:t>医共体（健共体）内</w:t>
      </w:r>
      <w:r>
        <w:rPr>
          <w:rFonts w:hint="eastAsia" w:ascii="宋体" w:hAnsi="宋体" w:cs="宋体"/>
          <w:color w:val="000000" w:themeColor="text1"/>
          <w:highlight w:val="none"/>
          <w14:textFill>
            <w14:solidFill>
              <w14:schemeClr w14:val="tx1"/>
            </w14:solidFill>
          </w14:textFill>
        </w:rPr>
        <w:t>部以</w:t>
      </w:r>
      <w:r>
        <w:rPr>
          <w:rFonts w:hint="eastAsia" w:ascii="宋体" w:hAnsi="宋体" w:cs="宋体"/>
          <w:color w:val="000000" w:themeColor="text1"/>
          <w:spacing w:val="-2"/>
          <w:highlight w:val="none"/>
          <w14:textFill>
            <w14:solidFill>
              <w14:schemeClr w14:val="tx1"/>
            </w14:solidFill>
          </w14:textFill>
        </w:rPr>
        <w:t>电</w:t>
      </w:r>
      <w:r>
        <w:rPr>
          <w:rFonts w:hint="eastAsia" w:ascii="宋体" w:hAnsi="宋体" w:cs="宋体"/>
          <w:color w:val="000000" w:themeColor="text1"/>
          <w:highlight w:val="none"/>
          <w14:textFill>
            <w14:solidFill>
              <w14:schemeClr w14:val="tx1"/>
            </w14:solidFill>
          </w14:textFill>
        </w:rPr>
        <w:t>子</w:t>
      </w:r>
      <w:r>
        <w:rPr>
          <w:rFonts w:hint="eastAsia" w:ascii="宋体" w:hAnsi="宋体" w:cs="宋体"/>
          <w:color w:val="000000" w:themeColor="text1"/>
          <w:spacing w:val="-2"/>
          <w:highlight w:val="none"/>
          <w14:textFill>
            <w14:solidFill>
              <w14:schemeClr w14:val="tx1"/>
            </w14:solidFill>
          </w14:textFill>
        </w:rPr>
        <w:t>病历</w:t>
      </w:r>
      <w:r>
        <w:rPr>
          <w:rFonts w:hint="eastAsia" w:ascii="宋体" w:hAnsi="宋体" w:cs="宋体"/>
          <w:color w:val="000000" w:themeColor="text1"/>
          <w:highlight w:val="none"/>
          <w14:textFill>
            <w14:solidFill>
              <w14:schemeClr w14:val="tx1"/>
            </w14:solidFill>
          </w14:textFill>
        </w:rPr>
        <w:t>、医院</w:t>
      </w:r>
      <w:r>
        <w:rPr>
          <w:rFonts w:hint="eastAsia" w:ascii="宋体" w:hAnsi="宋体" w:cs="宋体"/>
          <w:color w:val="000000" w:themeColor="text1"/>
          <w:spacing w:val="-2"/>
          <w:highlight w:val="none"/>
          <w14:textFill>
            <w14:solidFill>
              <w14:schemeClr w14:val="tx1"/>
            </w14:solidFill>
          </w14:textFill>
        </w:rPr>
        <w:t>信</w:t>
      </w:r>
      <w:r>
        <w:rPr>
          <w:rFonts w:hint="eastAsia" w:ascii="宋体" w:hAnsi="宋体" w:cs="宋体"/>
          <w:color w:val="000000" w:themeColor="text1"/>
          <w:highlight w:val="none"/>
          <w14:textFill>
            <w14:solidFill>
              <w14:schemeClr w14:val="tx1"/>
            </w14:solidFill>
          </w14:textFill>
        </w:rPr>
        <w:t>息集成平台为核心，实现医疗、护理、医技、科研、运营、行政等一体化建设，辅助医院提升医疗服务能力、改善医疗服务质量，提高精细化管理水平；本次项目建设参照浙江省医疗卫生服务领域深化，最多跑一次改革行动方案的要求，本项目通过病人自助终端应用服务整合和手机无线应用系统服务整合，以及门诊和住院业务流程优化改造，从看病少排队、付费更便捷、检查少跑腿等角度出发，最大程度的方便居民看病就医，并符合省市对最多跑一次的检查要求；项目通过对系统内部及外部系统进行整合，遵循县域医共体信息化建设标准要求，建立资源共享与业务协同为核心的紧密联结型综合医院，实现医生、病人、检查检验等资源整合和信息互通，进一步优化医疗资源，协调内部资源调度与分配，更好的为居民提供优质、高效医疗服务，并为最终实现以玉环市人民医院健共体集团为牵头医院，整合城乡医疗卫生资源，实施集团化运营管理，促进县域内医疗卫生资源合理配置，着力改革完善县级医院、乡镇卫生院（社区卫生服务中心）的管理体制和运行机制，形成服务共同体、责任共同体、利益共同体、管理共同体奠定坚实的基础。</w:t>
      </w:r>
    </w:p>
    <w:p>
      <w:pPr>
        <w:pStyle w:val="4"/>
        <w:spacing w:line="400" w:lineRule="exact"/>
        <w:jc w:val="both"/>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4、总体要求</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为了满足可适应性、易操作性、以及适应医院未来的发展，应用系统需满足以下特性：</w:t>
      </w:r>
    </w:p>
    <w:p>
      <w:pPr>
        <w:numPr>
          <w:ilvl w:val="0"/>
          <w:numId w:val="9"/>
        </w:numPr>
        <w:tabs>
          <w:tab w:val="left" w:pos="900"/>
          <w:tab w:val="left" w:pos="960"/>
        </w:tabs>
        <w:spacing w:line="400" w:lineRule="exact"/>
        <w:ind w:left="5" w:firstLine="6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系统需同时支持主动推送PUSH和主动获取GET两种机制获取消息，以满足信息的传递和互通。</w:t>
      </w:r>
    </w:p>
    <w:p>
      <w:pPr>
        <w:numPr>
          <w:ilvl w:val="0"/>
          <w:numId w:val="9"/>
        </w:numPr>
        <w:tabs>
          <w:tab w:val="left" w:pos="900"/>
          <w:tab w:val="left" w:pos="960"/>
        </w:tabs>
        <w:spacing w:line="400" w:lineRule="exact"/>
        <w:ind w:left="5" w:firstLine="6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系统支持用户可以按自己的需求而设置用户的首页界面展示风格和展示内容。</w:t>
      </w:r>
    </w:p>
    <w:p>
      <w:pPr>
        <w:numPr>
          <w:ilvl w:val="0"/>
          <w:numId w:val="9"/>
        </w:numPr>
        <w:tabs>
          <w:tab w:val="left" w:pos="900"/>
          <w:tab w:val="left" w:pos="960"/>
        </w:tabs>
        <w:spacing w:line="400" w:lineRule="exact"/>
        <w:ind w:left="5" w:firstLine="6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平台需提供统一的门户访问平台以获取患者的信息和数据中心的数据。</w:t>
      </w:r>
    </w:p>
    <w:p>
      <w:pPr>
        <w:numPr>
          <w:ilvl w:val="0"/>
          <w:numId w:val="9"/>
        </w:numPr>
        <w:tabs>
          <w:tab w:val="left" w:pos="900"/>
          <w:tab w:val="left" w:pos="960"/>
        </w:tabs>
        <w:spacing w:line="400" w:lineRule="exact"/>
        <w:ind w:left="5" w:firstLine="6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平台需提供对患者的隐私保护，保护患者的姓名、身份证号、健康信息等。对患者的隐私实现隐私保护机制。</w:t>
      </w:r>
    </w:p>
    <w:p>
      <w:pPr>
        <w:numPr>
          <w:ilvl w:val="0"/>
          <w:numId w:val="9"/>
        </w:numPr>
        <w:tabs>
          <w:tab w:val="left" w:pos="900"/>
          <w:tab w:val="left" w:pos="960"/>
        </w:tabs>
        <w:spacing w:line="400" w:lineRule="exact"/>
        <w:ind w:left="5" w:firstLine="6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平台的系统安全需具备每一个接入节点认证机制，对每一个节点实现追踪、记录。并具有审计功能。</w:t>
      </w:r>
    </w:p>
    <w:p>
      <w:pPr>
        <w:numPr>
          <w:ilvl w:val="0"/>
          <w:numId w:val="9"/>
        </w:numPr>
        <w:tabs>
          <w:tab w:val="left" w:pos="900"/>
          <w:tab w:val="left" w:pos="960"/>
        </w:tabs>
        <w:spacing w:line="400" w:lineRule="exact"/>
        <w:ind w:left="5" w:firstLine="6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平台对第三方或者其他外界系统能够提供统一的应用开发框架，其他系统可以通过服务的注册、加载、调阅获取信息。</w:t>
      </w:r>
    </w:p>
    <w:p>
      <w:pPr>
        <w:pStyle w:val="2"/>
        <w:rPr>
          <w:b/>
          <w:bCs/>
          <w:color w:val="000000" w:themeColor="text1"/>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 xml:space="preserve">     7）实施期间需保障医院现HIS等信息系统的正常运行，并按要求完成政府指令性任务，系统切换上线期间需保障原数据信息的延续性。</w:t>
      </w:r>
    </w:p>
    <w:p>
      <w:pPr>
        <w:spacing w:line="400" w:lineRule="exact"/>
        <w:rPr>
          <w:rFonts w:ascii="宋体" w:hAnsi="宋体" w:cs="宋体"/>
          <w:color w:val="000000" w:themeColor="text1"/>
          <w:sz w:val="24"/>
          <w:highlight w:val="none"/>
          <w14:textFill>
            <w14:solidFill>
              <w14:schemeClr w14:val="tx1"/>
            </w14:solidFill>
          </w14:textFill>
        </w:rPr>
      </w:pPr>
    </w:p>
    <w:p>
      <w:pPr>
        <w:pStyle w:val="4"/>
        <w:spacing w:line="400" w:lineRule="exact"/>
        <w:jc w:val="both"/>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5.功能模块要求</w:t>
      </w:r>
    </w:p>
    <w:p>
      <w:pPr>
        <w:pStyle w:val="5"/>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5.1  HIS替换或升级改造(基于同一数据库的总分院模式)</w:t>
      </w:r>
    </w:p>
    <w:p>
      <w:pPr>
        <w:pStyle w:val="6"/>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5.1.1  中/西药库管理系统</w:t>
      </w:r>
    </w:p>
    <w:p>
      <w:pPr>
        <w:snapToGrid w:val="0"/>
        <w:spacing w:line="400" w:lineRule="exact"/>
        <w:ind w:firstLine="42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西药库系统掌握了全院的药品来源，围绕“金额管理、数量统计、实耗实销”的管理目标，药库提供了药品的入库，出库，调价，帐务处理，计划编制，药品质量控制等业务功能，并能对其进行综合的统计分析与查询。保证了医院药品的供给，加强了对药品流转的控制，从而提高了整个医院的经济效益。系统主要功能应包括：</w:t>
      </w:r>
    </w:p>
    <w:p>
      <w:pPr>
        <w:spacing w:line="40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入库处理</w:t>
      </w:r>
    </w:p>
    <w:p>
      <w:pPr>
        <w:spacing w:line="400" w:lineRule="exact"/>
        <w:ind w:firstLine="42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该功能主要包括入库单处理及库房验收、财务验收子功能、付款处理、采购历史查询等功能。记账标准有进货价格，批发价格，零售价格三种方式供选择。</w:t>
      </w:r>
    </w:p>
    <w:p>
      <w:pPr>
        <w:spacing w:line="40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出库处理</w:t>
      </w:r>
    </w:p>
    <w:p>
      <w:pPr>
        <w:spacing w:line="400" w:lineRule="exact"/>
        <w:ind w:firstLine="42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对药品进行出库处理（科室领用、盘亏等），药房退回药库药品的出库处理，出库方式的汇总、科室消耗的汇总等功能</w:t>
      </w:r>
    </w:p>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调价处理</w:t>
      </w:r>
    </w:p>
    <w:p>
      <w:pPr>
        <w:spacing w:line="400" w:lineRule="exact"/>
        <w:ind w:firstLine="42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调价主要包括调价处理、调价历史、调价差额汇总三个子功能，调价方式有：国家调价、企业调价、进货调价；调价支持实时调价和定时调价；调价后将药品信息和药库、药房在库药品价格进行调整。</w:t>
      </w:r>
    </w:p>
    <w:p>
      <w:pPr>
        <w:spacing w:line="40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采购计划</w:t>
      </w:r>
    </w:p>
    <w:p>
      <w:pPr>
        <w:spacing w:line="400" w:lineRule="exact"/>
        <w:ind w:firstLine="42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根据药库实际情况进行采购计划的制定，包括计划编制、计划审批、计划执行、计划评估四个子功能。</w:t>
      </w:r>
    </w:p>
    <w:p>
      <w:pPr>
        <w:spacing w:line="40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库存管理</w:t>
      </w:r>
    </w:p>
    <w:p>
      <w:pPr>
        <w:spacing w:line="400" w:lineRule="exact"/>
        <w:ind w:firstLine="42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处理药库药品的养护、盘点，药品养护包括按库位与类别对药品进行养护。药品的盘点支持ABC分类法，随机抽样法两种盘点方法。</w:t>
      </w:r>
    </w:p>
    <w:p>
      <w:pPr>
        <w:spacing w:line="40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月结处理</w:t>
      </w:r>
    </w:p>
    <w:p>
      <w:pPr>
        <w:spacing w:line="400" w:lineRule="exact"/>
        <w:ind w:firstLine="42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统计药库所有药品当月的结存数量与结存金额，将本月结存作为下一月的上月结存，下一月的发生金额从零开始。</w:t>
      </w:r>
    </w:p>
    <w:p>
      <w:pPr>
        <w:spacing w:line="40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综合查询</w:t>
      </w:r>
    </w:p>
    <w:p>
      <w:pPr>
        <w:spacing w:line="400" w:lineRule="exact"/>
        <w:ind w:firstLine="42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提供各药库与全院药品库存查询，以及采购历史、会计账簿、保管员账簿、财务月报、收发存表、采购销售分析、失效药品查询、基本药物统计、特殊药品统计、抗生素统计等统计查询功能。支持财务账和实物账的分开处理，对应账簿分别为会计账簿与保管员账簿。</w:t>
      </w:r>
    </w:p>
    <w:p>
      <w:pPr>
        <w:spacing w:line="40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系统维护</w:t>
      </w:r>
    </w:p>
    <w:p>
      <w:pPr>
        <w:spacing w:line="400" w:lineRule="exact"/>
        <w:ind w:firstLine="42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药品信息可维护自选产地，特殊人群用药以及用药限制，药品政策等，药品政策可手动添加，政策可维护其限制条件（提醒和控制）。此外，药库、账簿、剂型类别，生产厂家，供货单位，药库、库位编码等均可维护。</w:t>
      </w:r>
    </w:p>
    <w:p>
      <w:pPr>
        <w:pStyle w:val="6"/>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5.1.2 门诊中/西药房管理系统</w:t>
      </w:r>
    </w:p>
    <w:p>
      <w:pPr>
        <w:snapToGrid w:val="0"/>
        <w:spacing w:line="400" w:lineRule="exact"/>
        <w:ind w:firstLine="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门诊中西药房系统是对门诊处方发发药处理、对药品价格划价，以及库房药品的入库和出库、药品数量的盘点、药房药品库存及维护药品的基本信息和药品使用权限。系统主要功能应包括：</w:t>
      </w:r>
    </w:p>
    <w:p>
      <w:pPr>
        <w:tabs>
          <w:tab w:val="left" w:pos="4759"/>
        </w:tabs>
        <w:spacing w:line="400" w:lineRule="exact"/>
        <w:ind w:left="-2"/>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发药处理</w:t>
      </w:r>
      <w:r>
        <w:rPr>
          <w:rFonts w:hint="eastAsia" w:ascii="宋体" w:hAnsi="宋体" w:cs="宋体"/>
          <w:b/>
          <w:color w:val="000000" w:themeColor="text1"/>
          <w:sz w:val="24"/>
          <w:highlight w:val="none"/>
          <w14:textFill>
            <w14:solidFill>
              <w14:schemeClr w14:val="tx1"/>
            </w14:solidFill>
          </w14:textFill>
        </w:rPr>
        <w:tab/>
      </w:r>
    </w:p>
    <w:p>
      <w:pPr>
        <w:spacing w:line="400" w:lineRule="exact"/>
        <w:ind w:left="-2"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提供处方审核、门诊窗口发药、窗口取消发药、处方划价、退药处理等功能。发药方式可分为配药模式和直接发药式。支持处方发药窗口转移。</w:t>
      </w:r>
    </w:p>
    <w:p>
      <w:pPr>
        <w:spacing w:line="400" w:lineRule="exact"/>
        <w:ind w:left="-2"/>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药品入库</w:t>
      </w:r>
    </w:p>
    <w:p>
      <w:pPr>
        <w:spacing w:line="400" w:lineRule="exact"/>
        <w:ind w:left="-2"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提供门诊中西药房向药库申领药品、其它方式入库等功能。</w:t>
      </w:r>
    </w:p>
    <w:p>
      <w:pPr>
        <w:spacing w:line="400" w:lineRule="exact"/>
        <w:ind w:left="-2"/>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药品出库</w:t>
      </w:r>
    </w:p>
    <w:p>
      <w:pPr>
        <w:spacing w:line="400" w:lineRule="exact"/>
        <w:ind w:left="-2"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提供门诊中西药房其它方式的出库处理。</w:t>
      </w:r>
    </w:p>
    <w:p>
      <w:pPr>
        <w:spacing w:line="400" w:lineRule="exact"/>
        <w:ind w:left="-2"/>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调拨处理</w:t>
      </w:r>
    </w:p>
    <w:p>
      <w:pPr>
        <w:spacing w:line="400" w:lineRule="exact"/>
        <w:ind w:left="-2"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提供门诊中西药房间的调拨申请、调拨退药、调拨出库处理等功能。</w:t>
      </w:r>
    </w:p>
    <w:p>
      <w:pPr>
        <w:spacing w:after="120" w:line="40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调拨退药</w:t>
      </w:r>
    </w:p>
    <w:p>
      <w:pPr>
        <w:spacing w:after="120" w:line="400" w:lineRule="exact"/>
        <w:ind w:left="420" w:left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提供病区药房向调拨目标药房进行退药的功能。</w:t>
      </w:r>
    </w:p>
    <w:p>
      <w:pPr>
        <w:spacing w:line="400" w:lineRule="exact"/>
        <w:ind w:left="-2"/>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盘点处理</w:t>
      </w:r>
    </w:p>
    <w:p>
      <w:pPr>
        <w:spacing w:line="400" w:lineRule="exact"/>
        <w:ind w:left="-2" w:leftChars="-1"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完成门诊中西药房库存的盘点处理。</w:t>
      </w:r>
    </w:p>
    <w:p>
      <w:pPr>
        <w:spacing w:line="400" w:lineRule="exact"/>
        <w:ind w:left="-2"/>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月结处理</w:t>
      </w:r>
    </w:p>
    <w:p>
      <w:pPr>
        <w:spacing w:line="400" w:lineRule="exact"/>
        <w:ind w:left="-2" w:leftChars="-1"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完成门诊中西药房的月结处理。</w:t>
      </w:r>
    </w:p>
    <w:p>
      <w:pPr>
        <w:spacing w:after="120" w:line="40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特殊药品日报</w:t>
      </w:r>
    </w:p>
    <w:p>
      <w:pPr>
        <w:spacing w:after="120" w:line="400" w:lineRule="exact"/>
        <w:ind w:left="420" w:left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提供贵重、麻醉、毒等特殊药品的药房日报统计功能</w:t>
      </w:r>
    </w:p>
    <w:p>
      <w:pPr>
        <w:spacing w:after="120" w:line="40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药房汇总月报</w:t>
      </w:r>
    </w:p>
    <w:p>
      <w:pPr>
        <w:spacing w:after="120" w:line="400" w:lineRule="exact"/>
        <w:ind w:left="420" w:left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统计查询门诊药房药品各种入出库方式下的入出库金额</w:t>
      </w:r>
    </w:p>
    <w:p>
      <w:pPr>
        <w:tabs>
          <w:tab w:val="left" w:pos="10506"/>
        </w:tabs>
        <w:spacing w:line="40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发药统计</w:t>
      </w:r>
    </w:p>
    <w:p>
      <w:pPr>
        <w:tabs>
          <w:tab w:val="left" w:pos="10506"/>
        </w:tabs>
        <w:spacing w:line="400" w:lineRule="exact"/>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统计各个门诊科室的发药、退药情况</w:t>
      </w:r>
    </w:p>
    <w:p>
      <w:pPr>
        <w:spacing w:line="400" w:lineRule="exact"/>
        <w:ind w:left="-2"/>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统计查询</w:t>
      </w:r>
    </w:p>
    <w:p>
      <w:pPr>
        <w:spacing w:line="400" w:lineRule="exact"/>
        <w:ind w:left="-2"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提供门诊中西药房库存查询、药品最新价格查询、调价历史查询、高/低储报警、失效报警、药房账册查询、药房汇总月报表等功能。</w:t>
      </w:r>
    </w:p>
    <w:p>
      <w:pPr>
        <w:pStyle w:val="6"/>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5.1.3病区药房管理系统</w:t>
      </w:r>
    </w:p>
    <w:p>
      <w:pPr>
        <w:snapToGrid w:val="0"/>
        <w:spacing w:line="400" w:lineRule="exact"/>
        <w:ind w:firstLine="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病区药房系统是对病区医嘱发发药处理以及库房药品的入库和出库、药品数量的盘点、药房药品库存及维护药品的基本信息和药品使用权限。系统主要功能应包括：</w:t>
      </w:r>
    </w:p>
    <w:p>
      <w:pPr>
        <w:tabs>
          <w:tab w:val="left" w:pos="4759"/>
        </w:tabs>
        <w:spacing w:line="400" w:lineRule="exact"/>
        <w:ind w:left="-2"/>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发药处理</w:t>
      </w:r>
      <w:r>
        <w:rPr>
          <w:rFonts w:hint="eastAsia" w:ascii="宋体" w:hAnsi="宋体" w:cs="宋体"/>
          <w:b/>
          <w:color w:val="000000" w:themeColor="text1"/>
          <w:sz w:val="24"/>
          <w:highlight w:val="none"/>
          <w14:textFill>
            <w14:solidFill>
              <w14:schemeClr w14:val="tx1"/>
            </w14:solidFill>
          </w14:textFill>
        </w:rPr>
        <w:tab/>
      </w:r>
    </w:p>
    <w:p>
      <w:pPr>
        <w:spacing w:line="400" w:lineRule="exact"/>
        <w:ind w:left="-2"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提供住院发药、摆药（支持包药机发药），急诊用药，出院带药、取药，病区退药等基本退发药功能。提供住院医嘱审核、病区实物冲抵功能</w:t>
      </w:r>
    </w:p>
    <w:p>
      <w:pPr>
        <w:spacing w:line="400" w:lineRule="exact"/>
        <w:ind w:left="-2"/>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药品入库</w:t>
      </w:r>
    </w:p>
    <w:p>
      <w:pPr>
        <w:spacing w:line="400" w:lineRule="exact"/>
        <w:ind w:firstLine="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提供住院中西药房向药库申领药品、其它方式入库等功能。</w:t>
      </w:r>
    </w:p>
    <w:p>
      <w:pPr>
        <w:spacing w:line="400" w:lineRule="exact"/>
        <w:ind w:left="-2"/>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药品出库</w:t>
      </w:r>
    </w:p>
    <w:p>
      <w:pPr>
        <w:spacing w:line="400" w:lineRule="exact"/>
        <w:ind w:firstLine="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提供病区药房其它方式的出库功能，如盘亏、报损等。</w:t>
      </w:r>
    </w:p>
    <w:p>
      <w:pPr>
        <w:spacing w:line="400" w:lineRule="exact"/>
        <w:ind w:left="-2"/>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调拨处理</w:t>
      </w:r>
    </w:p>
    <w:p>
      <w:pPr>
        <w:spacing w:line="400" w:lineRule="exact"/>
        <w:ind w:left="-2"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提供住院中西药房间的调拨申请、调拨退药、调拨出库处理等功能。</w:t>
      </w:r>
    </w:p>
    <w:p>
      <w:pPr>
        <w:spacing w:after="120" w:line="40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调拨退药</w:t>
      </w:r>
    </w:p>
    <w:p>
      <w:pPr>
        <w:spacing w:after="120" w:line="400" w:lineRule="exact"/>
        <w:ind w:left="420" w:left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提供住院药房向调拨目标药房进行退药的功能。</w:t>
      </w:r>
    </w:p>
    <w:p>
      <w:pPr>
        <w:spacing w:line="400" w:lineRule="exact"/>
        <w:ind w:left="-2"/>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盘点处理</w:t>
      </w:r>
    </w:p>
    <w:p>
      <w:pPr>
        <w:spacing w:line="400" w:lineRule="exact"/>
        <w:ind w:left="-2" w:leftChars="-1"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完成住院中西药房库存的盘点处理。</w:t>
      </w:r>
    </w:p>
    <w:p>
      <w:pPr>
        <w:spacing w:line="400" w:lineRule="exact"/>
        <w:ind w:left="-2"/>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月结处理</w:t>
      </w:r>
    </w:p>
    <w:p>
      <w:pPr>
        <w:spacing w:line="400" w:lineRule="exact"/>
        <w:ind w:left="-2" w:leftChars="-1"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完成住院中西药房的月结处理。</w:t>
      </w:r>
    </w:p>
    <w:p>
      <w:pPr>
        <w:spacing w:after="120" w:line="40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特殊药品日报</w:t>
      </w:r>
    </w:p>
    <w:p>
      <w:pPr>
        <w:spacing w:after="120" w:line="400" w:lineRule="exact"/>
        <w:ind w:left="420" w:left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提供贵重、麻醉、毒等特殊药品的药房日报统计功能。</w:t>
      </w:r>
    </w:p>
    <w:p>
      <w:pPr>
        <w:spacing w:after="120" w:line="40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药房汇总月报</w:t>
      </w:r>
    </w:p>
    <w:p>
      <w:pPr>
        <w:spacing w:after="120" w:line="400" w:lineRule="exact"/>
        <w:ind w:left="420" w:left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统计查询住院药房药品各种入出库方式下的入出库金额。</w:t>
      </w:r>
    </w:p>
    <w:p>
      <w:pPr>
        <w:tabs>
          <w:tab w:val="left" w:pos="10506"/>
        </w:tabs>
        <w:spacing w:line="40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发药统计</w:t>
      </w:r>
    </w:p>
    <w:p>
      <w:pPr>
        <w:tabs>
          <w:tab w:val="left" w:pos="10506"/>
        </w:tabs>
        <w:spacing w:line="400" w:lineRule="exact"/>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统计各个病区的发药、退药情况。</w:t>
      </w:r>
    </w:p>
    <w:p>
      <w:pPr>
        <w:spacing w:line="400" w:lineRule="exact"/>
        <w:ind w:left="-2"/>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统计查询</w:t>
      </w:r>
    </w:p>
    <w:p>
      <w:pPr>
        <w:tabs>
          <w:tab w:val="left" w:pos="10506"/>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提供病区发药统计、病区发药查询、病区退药查询、历史发药查询、病区药房库存查询、药品最新价格查询、调价历史查询、高/低储报警、失效报警、药房账册查询、药房汇总月报表等功能。</w:t>
      </w:r>
    </w:p>
    <w:p>
      <w:pPr>
        <w:spacing w:line="400" w:lineRule="exact"/>
        <w:rPr>
          <w:rFonts w:ascii="宋体" w:hAnsi="宋体" w:cs="宋体"/>
          <w:color w:val="000000" w:themeColor="text1"/>
          <w:sz w:val="24"/>
          <w:highlight w:val="none"/>
          <w14:textFill>
            <w14:solidFill>
              <w14:schemeClr w14:val="tx1"/>
            </w14:solidFill>
          </w14:textFill>
        </w:rPr>
      </w:pPr>
    </w:p>
    <w:p>
      <w:pPr>
        <w:pStyle w:val="6"/>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5.1.4门诊挂号划价收费系统</w:t>
      </w:r>
    </w:p>
    <w:p>
      <w:pPr>
        <w:spacing w:line="40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收费结算处理</w:t>
      </w:r>
    </w:p>
    <w:p>
      <w:pPr>
        <w:spacing w:line="400" w:lineRule="exact"/>
        <w:ind w:firstLine="42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提供收费划价单据预保存、收费结算、发票作废处理、病人退费处理、操作员收费日报表、门诊收费日报表等功能。支持一个医生对应多个科室、支持根据门诊号、就诊号或者就诊卡号自动从医生站调入处方，支持同一界面录入中药方、成药方、草药方、医技项目，处方录入支持套餐，皮试提示等功能，一次结算支持现金、支票、银行卡、IC卡、预交金等多种收费方式。</w:t>
      </w:r>
    </w:p>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查询</w:t>
      </w:r>
    </w:p>
    <w:p>
      <w:pPr>
        <w:spacing w:line="400" w:lineRule="exact"/>
        <w:ind w:firstLine="352" w:firstLineChars="14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提供挂号信息查询、收费发票查询、帐户信息查询等功能。</w:t>
      </w:r>
    </w:p>
    <w:p>
      <w:pPr>
        <w:spacing w:line="40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统计报表</w:t>
      </w:r>
    </w:p>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提供性质费用汇总表、单位费用汇总表、医生挂号统计表、科室医生核算表、帐户卡发放统计报表等报表。</w:t>
      </w:r>
    </w:p>
    <w:p>
      <w:pPr>
        <w:spacing w:line="40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系统维护</w:t>
      </w:r>
    </w:p>
    <w:p>
      <w:pPr>
        <w:spacing w:line="400" w:lineRule="exact"/>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对挂号科室、科室排班、医师排班、发药药房、票据号码（门诊号、处方号、发票号）、常用地址、常用单位、病人证号报表格式、医生科室对照等进行维护管理。</w:t>
      </w:r>
    </w:p>
    <w:p>
      <w:pPr>
        <w:pStyle w:val="6"/>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5.1.5门诊预约挂号</w:t>
      </w:r>
    </w:p>
    <w:p>
      <w:pPr>
        <w:tabs>
          <w:tab w:val="left" w:pos="941"/>
          <w:tab w:val="left" w:pos="3941"/>
        </w:tabs>
        <w:spacing w:line="40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门诊挂号系统的主要功能是根据医生的排班情况对病人预约挂号和现场挂号，同时也提供退号、换号、病人信息修改等功能，使挂号员能够方便快捷地完成挂号操作。并提供准确的挂号日报与挂号统计报表。系统应支持IC卡，磁卡，帐户等支付方式，加快挂号的速度，并同时为病人的后续就诊和综合统计提供基础数据。根据调入医生站传送的各种收费单据，也可对收费项目和药品进行划价，并按照相关政策计算各种病人的费用结算信息，系统也提供退费，发票作废重打等功能，从而使收费员能更方便快捷地完成门诊收费结算工作。系统功能应包括：</w:t>
      </w:r>
    </w:p>
    <w:p>
      <w:pPr>
        <w:spacing w:line="40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病人基本信息登记</w:t>
      </w:r>
    </w:p>
    <w:p>
      <w:pPr>
        <w:spacing w:line="400" w:lineRule="exact"/>
        <w:ind w:firstLine="42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对病人的基本信息进行采集登记，包括：门诊病人必需的基本信息，医疗保险人员的参保信息。</w:t>
      </w:r>
    </w:p>
    <w:p>
      <w:pPr>
        <w:spacing w:line="40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挂号处理</w:t>
      </w:r>
    </w:p>
    <w:p>
      <w:pPr>
        <w:spacing w:line="400" w:lineRule="exact"/>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建立门诊病人档案，处理门诊病人挂号、退号、转科、预约挂号及操作员挂号日报表、支持就诊卡、银行卡等多种操作。</w:t>
      </w:r>
    </w:p>
    <w:p>
      <w:pPr>
        <w:pStyle w:val="6"/>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5.1.6排队叫号系统（诊间）</w:t>
      </w:r>
    </w:p>
    <w:p>
      <w:pPr>
        <w:tabs>
          <w:tab w:val="left" w:pos="1330"/>
        </w:tabs>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诊间排队叫号系统通过各科室的门诊护士站，并与大屏幕相连，用来管理本科室排队叫号。针对医院病人在就诊过程中会出现复诊、病人选医生、被叫病人不在等特殊情况就诊以及在病人要退号、弃号等不确定情况下，为了使排队叫号系统更科学、更有效的管理而设计的可由护士人工干预排队顺序。系统的主要功能应包括：</w:t>
      </w:r>
    </w:p>
    <w:p>
      <w:pPr>
        <w:snapToGrid w:val="0"/>
        <w:spacing w:line="40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队列管理</w:t>
      </w:r>
    </w:p>
    <w:p>
      <w:pPr>
        <w:snapToGrid w:val="0"/>
        <w:spacing w:line="400" w:lineRule="exact"/>
        <w:ind w:firstLine="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队列信息包括排队人数、排队号、姓名、科室、医生、排队开始时间、等待时间、状态等。系统对病人进行分配、转发、插队、放弃、暂停等操作，支持队列顺序调整。支持定时自动刷新队列，可设置刷新时间。</w:t>
      </w:r>
    </w:p>
    <w:p>
      <w:pPr>
        <w:snapToGrid w:val="0"/>
        <w:spacing w:line="40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队列转换（转科）</w:t>
      </w:r>
    </w:p>
    <w:p>
      <w:pPr>
        <w:snapToGrid w:val="0"/>
        <w:spacing w:line="400" w:lineRule="exact"/>
        <w:ind w:firstLine="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在某种特殊下，如临下班前，某科还有很多病人，可以把该科的病人转移到相近的科室就诊。</w:t>
      </w:r>
    </w:p>
    <w:p>
      <w:pPr>
        <w:snapToGrid w:val="0"/>
        <w:spacing w:line="40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病人选医生（分配医生）</w:t>
      </w:r>
    </w:p>
    <w:p>
      <w:pPr>
        <w:snapToGrid w:val="0"/>
        <w:spacing w:line="400" w:lineRule="exact"/>
        <w:ind w:firstLine="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当病人要求选择医生时，护士在系统上的已就诊队列中找到该病人的信息，然后在该病人信息的医生栏选上要选的医生，系统能自动将该病人转到由他选择的医生处就诊。</w:t>
      </w:r>
    </w:p>
    <w:p>
      <w:pPr>
        <w:spacing w:line="40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医生呼叫</w:t>
      </w:r>
    </w:p>
    <w:p>
      <w:pPr>
        <w:spacing w:line="400" w:lineRule="exact"/>
        <w:ind w:firstLine="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医生根据自己登陆的就诊队列，对队列中患者进行呼叫、暂停、患者解锁等处理，能够看到队列的排队信息。</w:t>
      </w:r>
    </w:p>
    <w:p>
      <w:pPr>
        <w:spacing w:line="40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批量呼叫</w:t>
      </w:r>
    </w:p>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护士可以一次性从候诊队列中叫入多名患者进入医生待诊序列中，方便医生叫入下一位操作。</w:t>
      </w:r>
    </w:p>
    <w:p>
      <w:pPr>
        <w:spacing w:line="40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屏幕输出</w:t>
      </w:r>
    </w:p>
    <w:p>
      <w:pPr>
        <w:spacing w:line="400" w:lineRule="exact"/>
        <w:ind w:firstLine="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显示屏用来展示队列信息和被呼叫的患者信息，向等候的患者给出就诊提示，系统应支持LED同步屏输出和异步屏输出，也支持终端电视机显示输出。</w:t>
      </w:r>
    </w:p>
    <w:p>
      <w:pPr>
        <w:spacing w:line="40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查询统计</w:t>
      </w:r>
    </w:p>
    <w:p>
      <w:pPr>
        <w:snapToGrid w:val="0"/>
        <w:spacing w:line="400" w:lineRule="exact"/>
        <w:ind w:firstLine="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提供插队记录查询、历史队列查询、屏幕显示查询；提供按队列和医生进行排队统计，包括合计人数，平均等待时间，平均就诊时间和平均在院时间；提供查询分配，转发，放弃，取消等多类型的队列调整记录，包括调整日期，排队号，姓名，起始队列，目的队列等信息。</w:t>
      </w:r>
    </w:p>
    <w:p>
      <w:pPr>
        <w:pStyle w:val="6"/>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5.1.7皮试系统（注射系统）</w:t>
      </w:r>
    </w:p>
    <w:p>
      <w:pPr>
        <w:snapToGrid w:val="0"/>
        <w:spacing w:line="400" w:lineRule="exact"/>
        <w:ind w:firstLine="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皮试系统主要功能有皮试处理，对需要皮试的病人，做相应药品的皮试处理，以及取消皮试结果。主要功能包括：</w:t>
      </w:r>
    </w:p>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皮试处理</w:t>
      </w:r>
    </w:p>
    <w:p>
      <w:pPr>
        <w:spacing w:line="400" w:lineRule="exact"/>
        <w:ind w:firstLine="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对需要皮试的病人，做相应药品的皮试处理，以及取消皮试结果。</w:t>
      </w:r>
    </w:p>
    <w:p>
      <w:pPr>
        <w:spacing w:line="40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皮试查询</w:t>
      </w:r>
    </w:p>
    <w:p>
      <w:pPr>
        <w:spacing w:line="400" w:lineRule="exact"/>
        <w:ind w:firstLine="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提供皮试结果历史查询。</w:t>
      </w:r>
    </w:p>
    <w:p>
      <w:pPr>
        <w:spacing w:line="40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系统维护</w:t>
      </w:r>
    </w:p>
    <w:p>
      <w:pPr>
        <w:spacing w:line="400" w:lineRule="exact"/>
        <w:ind w:firstLine="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维护皮试时间、系统参数设置、注射室。</w:t>
      </w:r>
    </w:p>
    <w:p>
      <w:pPr>
        <w:spacing w:line="400" w:lineRule="exact"/>
        <w:rPr>
          <w:rFonts w:ascii="宋体" w:hAnsi="宋体" w:cs="宋体"/>
          <w:color w:val="000000" w:themeColor="text1"/>
          <w:sz w:val="24"/>
          <w:highlight w:val="none"/>
          <w14:textFill>
            <w14:solidFill>
              <w14:schemeClr w14:val="tx1"/>
            </w14:solidFill>
          </w14:textFill>
        </w:rPr>
      </w:pPr>
    </w:p>
    <w:p>
      <w:pPr>
        <w:pStyle w:val="6"/>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5.1.8诊间结算</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诊间结算系统是使用就诊卡，实现以卡为核心的管理、收费、查询等功能。以卡为主线，关联医院应用系统各个模块，配合预交金系统使持卡人在医院就诊能够一卡通行，实现‘边诊疗边结算’的就医模式，最大限度地缩短病人就医时间，提高工作效率。系统需要支持以下医嘱执行点的费用结算：门诊医生站、诊区分诊台、门诊治疗室、门诊化验室、检查科室、门诊药房等。功能需包括：费用获取和试算、费用结算和结算凭证、发票打印功能。</w:t>
      </w:r>
    </w:p>
    <w:p>
      <w:pPr>
        <w:pStyle w:val="6"/>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5.1.9医技科室计费管理系统</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医技科室计费管理系统是辅助医院放射科、检验室、理疗科等非临床科室对门诊处置和病区医嘱进行执行记费操作。以及对医院设备使用情况、使用效益、技师工作量进行统计，辅助医院管理决策。系统主要应分为二大块内容，分别是病人医技项目执行、记帐和结果报告单的填写和医技物品药品的三级库房管理，主要功能应包括：</w:t>
      </w:r>
    </w:p>
    <w:p>
      <w:pPr>
        <w:spacing w:line="40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医技业务处理</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对门诊和住院两种类型的检查、化验申请单进行接收，并对相应的医技业务分别进行执行记费，医技执行记费后支持取消。医技执行中使用到的耗材会直接扣减物资库存。</w:t>
      </w:r>
    </w:p>
    <w:p>
      <w:pPr>
        <w:spacing w:line="40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预约申请</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支持门诊、住院医技预约申请，门诊医技预约后在划价收费处能够调入。</w:t>
      </w:r>
    </w:p>
    <w:p>
      <w:pPr>
        <w:spacing w:line="40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医技用药申领</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医技使用药品的申领。</w:t>
      </w:r>
    </w:p>
    <w:p>
      <w:pPr>
        <w:spacing w:line="40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编辑结果报告</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填写病人的医技结果报告。</w:t>
      </w:r>
    </w:p>
    <w:p>
      <w:pPr>
        <w:spacing w:line="40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医技批量执行</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支持门诊、住院医技业务多项同时执行。</w:t>
      </w:r>
    </w:p>
    <w:p>
      <w:pPr>
        <w:spacing w:line="40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科室经济核算</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按部门查询经济收入情况。</w:t>
      </w:r>
    </w:p>
    <w:p>
      <w:pPr>
        <w:spacing w:line="40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查询结果报告</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根据用户设置的条件查询病人的医技结果报告。</w:t>
      </w:r>
    </w:p>
    <w:p>
      <w:pPr>
        <w:spacing w:line="40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检索科室档案</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根据住院或门诊号码查询病人结果报告。</w:t>
      </w:r>
    </w:p>
    <w:p>
      <w:pPr>
        <w:spacing w:line="40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住院医技清单</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查询某一住院病人的医技情况。</w:t>
      </w:r>
    </w:p>
    <w:p>
      <w:pPr>
        <w:spacing w:line="40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信息查询</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提供医技清单，医技用药，结果报告，科室工作情况，设备效益时段、总和分析，诊断结果统计分析等查询功能。可按检查项目，申检医生，申检科室，执行医生等分别统计科室经济核算情况。</w:t>
      </w:r>
    </w:p>
    <w:p>
      <w:pPr>
        <w:pStyle w:val="6"/>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5.1.10住院入出院登记结算系统</w:t>
      </w:r>
    </w:p>
    <w:p>
      <w:pPr>
        <w:spacing w:line="400" w:lineRule="exact"/>
        <w:ind w:firstLine="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系统可以细分为住院登记、住院收费、出院结算、床位管理。提供对住院患者入院登记和分诊及押金管理、费用结算等功能。系统主要功能应包含：</w:t>
      </w:r>
    </w:p>
    <w:p>
      <w:pPr>
        <w:spacing w:line="40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入院登记</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提供一般入院登记、预约调入登记、根据病人档案调入病人等入院方式</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，支持门诊病人、新病人、老病人调入登记。入院登记时允许分配床位和预缴款。入院登记信息包含：患者基本信息登记、入住科室、病区、入院日期、入院情况、预交款信息等。</w:t>
      </w:r>
    </w:p>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预约登记</w:t>
      </w:r>
    </w:p>
    <w:p>
      <w:pPr>
        <w:spacing w:line="400" w:lineRule="exact"/>
        <w:ind w:firstLine="42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系统应提供预约登记功能，对于不及时住院或者没有闲空床位的患者，允许提前预约入院，预约登记信息包含：患者基本信息、预约科室、预约日期、入院日期等。</w:t>
      </w:r>
    </w:p>
    <w:p>
      <w:pPr>
        <w:spacing w:line="40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档案管理</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提供新建患者档案、查询档案、修改档案、删除档案功能，住院档案和门诊档案需统一管理，同一个病人只允许有一份档案。</w:t>
      </w:r>
    </w:p>
    <w:p>
      <w:pPr>
        <w:spacing w:line="40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病人管理</w:t>
      </w:r>
    </w:p>
    <w:p>
      <w:pPr>
        <w:spacing w:line="400" w:lineRule="exact"/>
        <w:ind w:firstLine="425"/>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提供对全院在院病人的统一管理功能，包括病人性质转换、已登记病人注销、首页修改/查询、病人帐卡查询、费用修正、入院日期变更等功能。</w:t>
      </w:r>
    </w:p>
    <w:p>
      <w:pPr>
        <w:spacing w:line="40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床位管理</w:t>
      </w:r>
    </w:p>
    <w:p>
      <w:pPr>
        <w:spacing w:line="400" w:lineRule="exact"/>
        <w:ind w:firstLine="425"/>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提供对全院床位维护、分配功能，包括床位设置、分配床位、转床转科、包床处理、退床处理、床位使用率的统计以及房间设置等功能。</w:t>
      </w:r>
    </w:p>
    <w:p>
      <w:pPr>
        <w:spacing w:line="40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缴款管理</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提供缴款处理和缴款查询两块功能、支持现金、发票、刷卡等多种缴款方式。</w:t>
      </w:r>
    </w:p>
    <w:p>
      <w:pPr>
        <w:spacing w:line="40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费用记帐</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提供按病人记帐、按项目记帐、批量记帐、退费记帐及记帐查询功能，主要对于漏计费的费用进行记账或者对于多记的费用进行退费处理。</w:t>
      </w:r>
    </w:p>
    <w:p>
      <w:pPr>
        <w:spacing w:line="40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催款管理</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提供欠费清单和催款清单，对各病区或各科室已欠费的病人进行查询、对每一欠费病人的催款单进行打印。</w:t>
      </w:r>
    </w:p>
    <w:p>
      <w:pPr>
        <w:spacing w:line="40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帐户冻结管理和解冻管理</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帐户冻结管理按照系统设置的欠费标准自动冻结欠费病人帐户。解冻管理对某些特殊病人进行解除帐户冻结管理，允许欠费诊疗。</w:t>
      </w:r>
    </w:p>
    <w:p>
      <w:pPr>
        <w:spacing w:line="40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结算管理</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提供中出院结算、中途结算、合并结算、退费结算、出院预结、出院终结、发票作废、取消预结，住院结算时允许调整收费精度，可以精确到元，角，分，默认为分。一次结算支持现金、支票、POS机等多种付款方式。</w:t>
      </w:r>
    </w:p>
    <w:p>
      <w:pPr>
        <w:spacing w:line="40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退费结算</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提供已出院结算开票的病人进行已记费部分的退费处理功能，也可对出院结算的病人进行补记费处理。</w:t>
      </w:r>
    </w:p>
    <w:p>
      <w:pPr>
        <w:spacing w:line="40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结账报表</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包括日终结帐、日结汇总、月终结帐，取消日终结帐、取消日结汇总、取消月终结帐等功能。日终结账是每个操作员对本人至上次结账后收取的预缴金、结算发票进行统计，允许多日的业务进行合并日结；日结汇总是由一个操作员对所有操作员的个人日终结账进行汇总。取消结账是对结账的反向操作。</w:t>
      </w:r>
    </w:p>
    <w:p>
      <w:pPr>
        <w:spacing w:line="40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住院报表</w:t>
      </w:r>
    </w:p>
    <w:p>
      <w:pPr>
        <w:tabs>
          <w:tab w:val="left" w:pos="360"/>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提供在院资金对比表、结帐汇总统计表、收入汇总统计表、医疗保险统计表、性质费用汇总表、单位费用汇总表、在院病人汇总表、出院病人汇总表、欠费病人汇总表、月结病人汇总表、住院收入核算表、医技收入核算表。</w:t>
      </w:r>
    </w:p>
    <w:p>
      <w:pPr>
        <w:spacing w:line="40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信息查询</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提供在院病人费用查询、在院费用清单查询、历史结算查询、发票合并打印、票据使用查询、住院病人查询、预约病人查询、病人档案查询。</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在院费用清单查询：将病人的所有费用清单进行汇总处理并打印。</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发票合并打印：将多个病人因特殊情况（例如车祸、食物中毒等事件发生）而需要将发票合并打印处理。</w:t>
      </w:r>
    </w:p>
    <w:p>
      <w:pPr>
        <w:spacing w:line="400" w:lineRule="exact"/>
        <w:rPr>
          <w:rFonts w:ascii="宋体" w:hAnsi="宋体" w:cs="宋体"/>
          <w:color w:val="000000" w:themeColor="text1"/>
          <w:sz w:val="24"/>
          <w:highlight w:val="none"/>
          <w14:textFill>
            <w14:solidFill>
              <w14:schemeClr w14:val="tx1"/>
            </w14:solidFill>
          </w14:textFill>
        </w:rPr>
      </w:pPr>
    </w:p>
    <w:p>
      <w:pPr>
        <w:pStyle w:val="6"/>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5.1.11一体化病区护理工作站系统</w:t>
      </w:r>
    </w:p>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床位管理</w:t>
      </w:r>
    </w:p>
    <w:p>
      <w:pPr>
        <w:spacing w:after="120"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对病人的床位情况进行管理，主要包括为病人分配床位，进行包床、转床、换床、借床、转科等操作。病区借床需经对方病区的允许。</w:t>
      </w:r>
    </w:p>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医嘱处理</w:t>
      </w:r>
    </w:p>
    <w:p>
      <w:pPr>
        <w:spacing w:after="120"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医嘱处理是病区护士工作站的主要功能，支持医生医嘱复核、批量复核、医嘱录入、停嘱、护士医嘱复核操作。医嘱区分普通医嘱、急诊医嘱、出院带药三种类型。如医嘱中有需皮试的药品，支持皮试结果录入。</w:t>
      </w:r>
    </w:p>
    <w:p>
      <w:pPr>
        <w:spacing w:line="40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医嘱提交和执行</w:t>
      </w:r>
    </w:p>
    <w:p>
      <w:pPr>
        <w:spacing w:after="120"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将全院病人医嘱提交、项目提交、项目医嘱记费、药品附加记费、嘱托附加记费、药品医嘱执行、项目医嘱执行、嘱托医嘱执行，即病区常用工作集成在一个界面执行，方便快捷，一目了然。提交和执行支持按单病人、多病人操作。</w:t>
      </w:r>
    </w:p>
    <w:p>
      <w:pPr>
        <w:spacing w:line="40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退药与退费</w:t>
      </w:r>
    </w:p>
    <w:p>
      <w:pPr>
        <w:spacing w:after="120"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对于药房已发药的药品医嘱，若要进行退药，需先进行退药申请，对于本病区记费的项目（包括发药属性为病区发的药品，费用医嘱及附加计价中的药品和费用），可直接在本病区退费。支持按药品、记费日期、费用日期进行退药、退费，清晰展示每天已发数量、已退数量、可退数量，可明细退指定日期的数量。</w:t>
      </w:r>
    </w:p>
    <w:p>
      <w:pPr>
        <w:spacing w:line="40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医嘱卡片</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根据医嘱的给药途径，自动生成不同类型的医嘱卡片，包括护理卡、口服卡、注射卡、静滴卡、饮食卡、临时医嘱卡，输液巡视卡等卡片。支持选择日期进行医嘱卡片打印。</w:t>
      </w:r>
    </w:p>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其它业务</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处理除床位管理与医嘱处理以外的病区日常业务。如：病人信息、护理记录、体温单、查看住院帐户、查看结果报告、出院证明、会诊处理等。支持妇产病区新生儿登记，大人、婴儿医嘱或费用可分开。支持它科治疗，即本病区的病人可以由其他科室进行开医嘱治疗。</w:t>
      </w:r>
    </w:p>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病区管理</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对病区日常事务进行管理，主要包括护士排班、催款处理、费用清单查询等功能。</w:t>
      </w:r>
    </w:p>
    <w:p>
      <w:pPr>
        <w:spacing w:line="40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病区药品管理</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管理本病区的药品的入出库情况，统计药品的收支信息，包括本病区药品维护设置，药品出入库管理，本病区医嘱发药处理、本病区盘点处理、月底过帐、收支查询及本病区三级库房的初始化等功能。物品消耗采用医嘱执行自动减库存的方式，方便而又准确。</w:t>
      </w:r>
    </w:p>
    <w:p>
      <w:pPr>
        <w:spacing w:line="40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病区物品管理</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管理本病区的物品的入出库情况，统计物品的收支信息，包括：物品费用对照维护，物品申领处理，物品入出库处理，收支查询及本病区三级库房的初始化、物品盘点、月底过帐等功能。</w:t>
      </w:r>
    </w:p>
    <w:p>
      <w:pPr>
        <w:spacing w:line="40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手术管理</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手术管理包括病人手术申请、申请单管理、手术安排查询、综合信息查询四个功能</w:t>
      </w:r>
    </w:p>
    <w:p>
      <w:pPr>
        <w:spacing w:line="40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查询</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查询病区各项信息，如在院、出院病人信息，发药退药情况、病区日报表、医院未执行单查询、医院病区收入核算、病区饮食医嘱统计、病区收入核算、护士工作评估等。</w:t>
      </w:r>
    </w:p>
    <w:p>
      <w:pPr>
        <w:spacing w:line="40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系统维护</w:t>
      </w:r>
    </w:p>
    <w:p>
      <w:pPr>
        <w:spacing w:line="400" w:lineRule="exact"/>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维护医嘱发药药房的设置、药品用法、给药途径的设置、医嘱组套、排斥医嘱、值班类别的设置、数据字典的设置、报表设置、项目关联设置等。</w:t>
      </w:r>
    </w:p>
    <w:p>
      <w:pPr>
        <w:pStyle w:val="6"/>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5.1.12手术麻醉计费信息系统</w:t>
      </w:r>
    </w:p>
    <w:p>
      <w:pPr>
        <w:pStyle w:val="53"/>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手术麻醉计费信息系统主要完成对手术病人的手术申请，手术安排，以及手术、麻醉过程中其它的相关信息和所发生的费用和消耗的物品进行管理。另外还应包含有对无菌信息的管理。</w:t>
      </w:r>
    </w:p>
    <w:p>
      <w:pPr>
        <w:spacing w:line="40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手术申请</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由医生站提交手术申请，也可以由手麻系统补录手术申请，根据住院号码或者床号调出患者基本信息，手术申请包含：手术名称、申请日期、申请科室、申请医师、手术名称、手术医师、助手一、助手二、助手三、麻醉方法、麻醉医师、附加手术。</w:t>
      </w:r>
    </w:p>
    <w:p>
      <w:pPr>
        <w:spacing w:line="40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手术安排</w:t>
      </w:r>
    </w:p>
    <w:p>
      <w:pPr>
        <w:spacing w:line="400" w:lineRule="exact"/>
        <w:ind w:firstLine="42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将病区提交的手术申请进行统一安排或取消安排，手术安排包含:安排日期、手术日期、手术房间、手术台号、手术要求等。</w:t>
      </w:r>
    </w:p>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手术通知</w:t>
      </w:r>
      <w:r>
        <w:rPr>
          <w:rFonts w:hint="eastAsia" w:ascii="宋体" w:hAnsi="宋体" w:cs="宋体"/>
          <w:color w:val="000000" w:themeColor="text1"/>
          <w:sz w:val="24"/>
          <w:highlight w:val="none"/>
          <w14:textFill>
            <w14:solidFill>
              <w14:schemeClr w14:val="tx1"/>
            </w14:solidFill>
          </w14:textFill>
        </w:rPr>
        <w:t>，</w:t>
      </w:r>
    </w:p>
    <w:p>
      <w:pPr>
        <w:spacing w:line="400" w:lineRule="exact"/>
        <w:ind w:firstLine="42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将已经安排的手术申请单通知到医生工作站和护士工作站。</w:t>
      </w:r>
    </w:p>
    <w:p>
      <w:pPr>
        <w:spacing w:line="40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手术记录</w:t>
      </w:r>
    </w:p>
    <w:p>
      <w:pPr>
        <w:spacing w:line="400" w:lineRule="exact"/>
        <w:ind w:left="-2"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管理手术记录信息。包括手术名称，开始时间，结束时间，手术医生，助手一，助手二，助手三，洗手护士，巡回护士，输血血型，输血量，术前诊断，术后诊断,切口等级，愈合类别，附加手术；并可进行器械清点。</w:t>
      </w:r>
    </w:p>
    <w:p>
      <w:pPr>
        <w:spacing w:line="40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会诊记录</w:t>
      </w:r>
    </w:p>
    <w:p>
      <w:pPr>
        <w:spacing w:line="400" w:lineRule="exact"/>
        <w:ind w:left="-2"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管理会诊记录信息，对会诊结果进行记录。</w:t>
      </w:r>
    </w:p>
    <w:p>
      <w:pPr>
        <w:spacing w:line="40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麻醉记录</w:t>
      </w:r>
    </w:p>
    <w:p>
      <w:pPr>
        <w:spacing w:line="400" w:lineRule="exact"/>
        <w:ind w:left="-2"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管理麻醉记录信息，包括麻醉方法，麻醉医生，巡回护士，麻醉效果，麻醉评分，记录事项。</w:t>
      </w:r>
    </w:p>
    <w:p>
      <w:pPr>
        <w:spacing w:line="40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谈话记录</w:t>
      </w:r>
    </w:p>
    <w:p>
      <w:pPr>
        <w:spacing w:line="400" w:lineRule="exact"/>
        <w:ind w:left="-2"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管理麻醉谈话记录信息，包括麻醉方法，麻醉医生，麻醉日期，谈话内容，家属签字，家属与病人关系。</w:t>
      </w:r>
    </w:p>
    <w:p>
      <w:pPr>
        <w:spacing w:line="400" w:lineRule="exact"/>
        <w:ind w:left="-2"/>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术后医嘱</w:t>
      </w:r>
    </w:p>
    <w:p>
      <w:pPr>
        <w:spacing w:line="400" w:lineRule="exact"/>
        <w:ind w:left="-2" w:firstLine="42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管理手术后的病人医嘱 ，并可提交到药房，从药房拿药。</w:t>
      </w:r>
    </w:p>
    <w:p>
      <w:pPr>
        <w:spacing w:line="400" w:lineRule="exact"/>
        <w:ind w:left="-2"/>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手术记费</w:t>
      </w:r>
    </w:p>
    <w:p>
      <w:pPr>
        <w:spacing w:line="400" w:lineRule="exact"/>
        <w:ind w:left="-2"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对手术过程中发生的费用进行记费或退费，并传至病人帐卡上 。</w:t>
      </w:r>
    </w:p>
    <w:p>
      <w:pPr>
        <w:spacing w:after="120" w:line="40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退药与退费</w:t>
      </w:r>
    </w:p>
    <w:p>
      <w:pPr>
        <w:spacing w:line="400" w:lineRule="exact"/>
        <w:ind w:left="-2" w:firstLine="42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对于手麻系统已发药的药品医嘱，若要进行退药，需先进行退药申请并提交到发药药房；对于本系统记费的项目，可直接进行退费处理。</w:t>
      </w:r>
    </w:p>
    <w:p>
      <w:pPr>
        <w:spacing w:line="40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无菌管理</w:t>
      </w:r>
    </w:p>
    <w:p>
      <w:pPr>
        <w:spacing w:line="400" w:lineRule="exact"/>
        <w:ind w:firstLine="42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包括紫外线消毒记录、手指无菌培养、物品无菌检查、空气无菌检查、手术中空气无菌检查。</w:t>
      </w:r>
    </w:p>
    <w:p>
      <w:pPr>
        <w:spacing w:line="40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库房管理</w:t>
      </w:r>
    </w:p>
    <w:p>
      <w:pPr>
        <w:spacing w:line="400" w:lineRule="exact"/>
        <w:ind w:firstLine="42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库房管理指手麻麻醉的三级库房，包括手术药品管理和手术物品管理。</w:t>
      </w:r>
    </w:p>
    <w:p>
      <w:pPr>
        <w:spacing w:line="40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查询统计</w:t>
      </w:r>
    </w:p>
    <w:p>
      <w:pPr>
        <w:spacing w:line="400" w:lineRule="exact"/>
        <w:ind w:firstLine="42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支持按住院号码，床号，姓名等多种方式查询手术信息、无菌消毒记录查。提供手术统计，麻醉统计，术后统计等多种统计报表。支持按科室、医生、护士等统计手术报表。</w:t>
      </w:r>
    </w:p>
    <w:p>
      <w:pPr>
        <w:spacing w:line="40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系统维护</w:t>
      </w:r>
    </w:p>
    <w:p>
      <w:pPr>
        <w:spacing w:line="400" w:lineRule="exact"/>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设置用户及用户权限、手术科室设置、科室权限设置、手术科室切换、手术代码设置、手术登记设置、手术器械。</w:t>
      </w:r>
    </w:p>
    <w:p>
      <w:pPr>
        <w:pStyle w:val="6"/>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5.1.13公共数据管理平台（管理员维护系统）</w:t>
      </w:r>
    </w:p>
    <w:p>
      <w:pPr>
        <w:numPr>
          <w:ilvl w:val="0"/>
          <w:numId w:val="10"/>
        </w:numPr>
        <w:spacing w:line="400" w:lineRule="exact"/>
        <w:ind w:left="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系统应为管理员提供了各种各样的系统管理工具。包括对整个系统的监控，用户管理和权限管理，数据转储，系统业务数据的校验，版本修改记录，系统各种参数的设置及各类公共数据的维护等。</w:t>
      </w:r>
    </w:p>
    <w:p>
      <w:pPr>
        <w:numPr>
          <w:ilvl w:val="0"/>
          <w:numId w:val="10"/>
        </w:numPr>
        <w:spacing w:line="400" w:lineRule="exact"/>
        <w:ind w:left="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应提供系统管理、字典维护、系统初始化等功能。</w:t>
      </w:r>
    </w:p>
    <w:p>
      <w:pPr>
        <w:numPr>
          <w:ilvl w:val="0"/>
          <w:numId w:val="10"/>
        </w:numPr>
        <w:spacing w:line="400" w:lineRule="exact"/>
        <w:ind w:left="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应提供完成财务收费项目的管理和维护。</w:t>
      </w:r>
    </w:p>
    <w:p>
      <w:pPr>
        <w:spacing w:line="400" w:lineRule="exact"/>
        <w:ind w:firstLine="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应提供分级权限管理：在系统工作组的基础上,可由各工作组管理员对本工作组各类操作员设置其工作范围的工作权限。</w:t>
      </w:r>
    </w:p>
    <w:p>
      <w:pPr>
        <w:pStyle w:val="6"/>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5.1.14院长查询管理系统</w:t>
      </w:r>
    </w:p>
    <w:p>
      <w:pPr>
        <w:spacing w:line="400" w:lineRule="exact"/>
        <w:ind w:firstLine="468" w:firstLineChars="19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本系统从医院信息系统中加工处理出有关医院管理的医、教、研和人、财、物分析决策信息，以便为院长及各级管理者决策提供依据。含集团总院查询管理系统，总院及各分院单独的院长查询管理系统。</w:t>
      </w:r>
    </w:p>
    <w:p>
      <w:pPr>
        <w:spacing w:line="400" w:lineRule="exact"/>
        <w:ind w:firstLine="468" w:firstLineChars="19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应提供临床医疗统计分析信息查询（含日门诊量、床位利用率等），医院各科室收支情况查询，医院各科室收支情况分析查询，财务管理统计、收支执行情况和科室核算分配信息，药品情况查询，医院药品出入库情况分析查询，药品会计核算和统计分析信息，各科工作量查询，住院病人情况查询，后勤保障物资供应情况查询，展示方式，对各种数据可以以报表形式显示，且可以直方图、饼图、线型图等直观的方式展示，支持各种Excel文件的方式导出。</w:t>
      </w:r>
    </w:p>
    <w:p>
      <w:pPr>
        <w:spacing w:line="400" w:lineRule="exact"/>
        <w:ind w:firstLine="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综合查询与分析系统的基本功能：</w:t>
      </w:r>
    </w:p>
    <w:p>
      <w:pPr>
        <w:spacing w:line="400" w:lineRule="exact"/>
        <w:ind w:firstLine="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1．临床医疗统计分析信息。</w:t>
      </w:r>
    </w:p>
    <w:p>
      <w:pPr>
        <w:spacing w:line="400" w:lineRule="exact"/>
        <w:ind w:firstLine="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2．医院财务管理分析、统计、收支执行情况和科室核算分配信息。</w:t>
      </w:r>
    </w:p>
    <w:p>
      <w:pPr>
        <w:spacing w:line="400" w:lineRule="exact"/>
        <w:ind w:firstLine="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3．医院药品进出库额管理，药品会计核算和统计分析。</w:t>
      </w:r>
    </w:p>
    <w:p>
      <w:pPr>
        <w:spacing w:line="400" w:lineRule="exact"/>
        <w:ind w:firstLine="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4．重要仪器设备使用效率和完好率信息。</w:t>
      </w:r>
    </w:p>
    <w:p>
      <w:pPr>
        <w:spacing w:line="400" w:lineRule="exact"/>
        <w:ind w:firstLine="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5．后勤保障物资供应情况和经济核算。</w:t>
      </w:r>
    </w:p>
    <w:p>
      <w:pPr>
        <w:spacing w:line="400" w:lineRule="exact"/>
        <w:ind w:firstLine="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6．医务、质量和分析信息。</w:t>
      </w:r>
    </w:p>
    <w:p>
      <w:pPr>
        <w:spacing w:line="400" w:lineRule="exact"/>
        <w:ind w:firstLine="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7．教学、科研管理有关决策分析信息。</w:t>
      </w:r>
    </w:p>
    <w:p>
      <w:pPr>
        <w:spacing w:line="400" w:lineRule="exact"/>
        <w:ind w:firstLine="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8．人事管理：各级各类卫生技术人员和其他技术人员总额、比例、分布、相点、使用情况。</w:t>
      </w:r>
    </w:p>
    <w:p>
      <w:pPr>
        <w:spacing w:line="400" w:lineRule="exact"/>
        <w:ind w:firstLine="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9．科室设置、重点学科、医疗水平有关决策信息。</w:t>
      </w:r>
    </w:p>
    <w:p>
      <w:pPr>
        <w:spacing w:line="400" w:lineRule="exact"/>
        <w:ind w:firstLine="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10，学术交流、国际交往有关信息。</w:t>
      </w:r>
    </w:p>
    <w:p>
      <w:pPr>
        <w:spacing w:line="400" w:lineRule="exact"/>
        <w:ind w:firstLine="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11．门诊挂号统计、收费分项结算、科室核算信息及门诊月报。</w:t>
      </w:r>
    </w:p>
    <w:p>
      <w:pPr>
        <w:spacing w:line="400" w:lineRule="exact"/>
        <w:ind w:firstLine="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12．住院收费分项核算、各科月核算、患者费用查询、病人分类统计信息。</w:t>
      </w:r>
    </w:p>
    <w:p>
      <w:pPr>
        <w:spacing w:line="400" w:lineRule="exact"/>
        <w:ind w:firstLine="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13．医院社会及经济效益年报信息。</w:t>
      </w:r>
    </w:p>
    <w:p>
      <w:pPr>
        <w:spacing w:line="400" w:lineRule="exact"/>
        <w:ind w:firstLine="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14．医技情况报表、医院工作指标、医保费用统计信息。</w:t>
      </w:r>
    </w:p>
    <w:p>
      <w:pPr>
        <w:pStyle w:val="6"/>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5.1.15住院医生工作站</w:t>
      </w:r>
    </w:p>
    <w:p>
      <w:pPr>
        <w:pStyle w:val="53"/>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住院医生工作站系统需符合卫生部颁布的《电子病历基本规范》、《电子病历系统功能规范》等相关要求。支持ICD-10、HL7、CDA、中医疾病证候等标准，为数据交换和信息共享提供有力的保障。住院医生工作站系统需满足以下具体功能需求：</w:t>
      </w:r>
    </w:p>
    <w:tbl>
      <w:tblPr>
        <w:tblStyle w:val="20"/>
        <w:tblW w:w="8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14"/>
        <w:gridCol w:w="1322"/>
        <w:gridCol w:w="6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8" w:hRule="atLeast"/>
        </w:trPr>
        <w:tc>
          <w:tcPr>
            <w:tcW w:w="1414" w:type="dxa"/>
            <w:shd w:val="clear" w:color="auto" w:fill="A6A6A6"/>
            <w:tcMar>
              <w:top w:w="15" w:type="dxa"/>
              <w:left w:w="67" w:type="dxa"/>
              <w:bottom w:w="0" w:type="dxa"/>
              <w:right w:w="67" w:type="dxa"/>
            </w:tcMar>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功能模块</w:t>
            </w:r>
          </w:p>
        </w:tc>
        <w:tc>
          <w:tcPr>
            <w:tcW w:w="1322" w:type="dxa"/>
            <w:shd w:val="clear" w:color="auto" w:fill="A6A6A6"/>
            <w:tcMar>
              <w:top w:w="15" w:type="dxa"/>
              <w:left w:w="67" w:type="dxa"/>
              <w:bottom w:w="0" w:type="dxa"/>
              <w:right w:w="67" w:type="dxa"/>
            </w:tcMar>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功能子模块</w:t>
            </w:r>
          </w:p>
        </w:tc>
        <w:tc>
          <w:tcPr>
            <w:tcW w:w="6234" w:type="dxa"/>
            <w:shd w:val="clear" w:color="auto" w:fill="A6A6A6"/>
            <w:tcMar>
              <w:top w:w="15" w:type="dxa"/>
              <w:left w:w="67" w:type="dxa"/>
              <w:bottom w:w="0" w:type="dxa"/>
              <w:right w:w="67" w:type="dxa"/>
            </w:tcMar>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功能需求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3" w:hRule="atLeast"/>
        </w:trPr>
        <w:tc>
          <w:tcPr>
            <w:tcW w:w="1414" w:type="dxa"/>
            <w:vMerge w:val="restart"/>
            <w:tcMar>
              <w:top w:w="15" w:type="dxa"/>
              <w:left w:w="67" w:type="dxa"/>
              <w:bottom w:w="0" w:type="dxa"/>
              <w:right w:w="67" w:type="dxa"/>
            </w:tcMar>
            <w:vAlign w:val="center"/>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诊疗工作平台</w:t>
            </w:r>
          </w:p>
        </w:tc>
        <w:tc>
          <w:tcPr>
            <w:tcW w:w="1322" w:type="dxa"/>
            <w:tcMar>
              <w:top w:w="15" w:type="dxa"/>
              <w:left w:w="67" w:type="dxa"/>
              <w:bottom w:w="0" w:type="dxa"/>
              <w:right w:w="67" w:type="dxa"/>
            </w:tcMar>
            <w:vAlign w:val="center"/>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主页管理</w:t>
            </w:r>
          </w:p>
        </w:tc>
        <w:tc>
          <w:tcPr>
            <w:tcW w:w="6234" w:type="dxa"/>
            <w:tcMar>
              <w:top w:w="15" w:type="dxa"/>
              <w:left w:w="67" w:type="dxa"/>
              <w:bottom w:w="0" w:type="dxa"/>
              <w:right w:w="67" w:type="dxa"/>
            </w:tcMar>
            <w:vAlign w:val="center"/>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自动为医生生成今日工作列表，包括“病人流向、待会诊病人、待转入病人、待转出病人、问题医嘱、待写病历、质控信息提醒、危急值提醒、待查检验结果”等信息。支持多病人多业务操作。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97" w:hRule="atLeast"/>
        </w:trPr>
        <w:tc>
          <w:tcPr>
            <w:tcW w:w="1414" w:type="dxa"/>
            <w:vMerge w:val="continue"/>
            <w:vAlign w:val="center"/>
          </w:tcPr>
          <w:p>
            <w:pPr>
              <w:spacing w:line="400" w:lineRule="exact"/>
              <w:rPr>
                <w:rFonts w:ascii="宋体" w:hAnsi="宋体" w:cs="宋体"/>
                <w:color w:val="000000" w:themeColor="text1"/>
                <w:sz w:val="24"/>
                <w:highlight w:val="none"/>
                <w14:textFill>
                  <w14:solidFill>
                    <w14:schemeClr w14:val="tx1"/>
                  </w14:solidFill>
                </w14:textFill>
              </w:rPr>
            </w:pPr>
          </w:p>
        </w:tc>
        <w:tc>
          <w:tcPr>
            <w:tcW w:w="1322" w:type="dxa"/>
            <w:tcMar>
              <w:top w:w="15" w:type="dxa"/>
              <w:left w:w="67" w:type="dxa"/>
              <w:bottom w:w="0" w:type="dxa"/>
              <w:right w:w="67" w:type="dxa"/>
            </w:tcMar>
            <w:vAlign w:val="center"/>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病人列表</w:t>
            </w:r>
          </w:p>
        </w:tc>
        <w:tc>
          <w:tcPr>
            <w:tcW w:w="6234" w:type="dxa"/>
            <w:tcMar>
              <w:top w:w="15" w:type="dxa"/>
              <w:left w:w="67" w:type="dxa"/>
              <w:bottom w:w="0" w:type="dxa"/>
              <w:right w:w="67" w:type="dxa"/>
            </w:tcMar>
            <w:vAlign w:val="center"/>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在病人列表中为医护人员提供详尽的病人信息。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1414" w:type="dxa"/>
            <w:vMerge w:val="continue"/>
            <w:vAlign w:val="center"/>
          </w:tcPr>
          <w:p>
            <w:pPr>
              <w:spacing w:line="400" w:lineRule="exact"/>
              <w:rPr>
                <w:rFonts w:ascii="宋体" w:hAnsi="宋体" w:cs="宋体"/>
                <w:color w:val="000000" w:themeColor="text1"/>
                <w:sz w:val="24"/>
                <w:highlight w:val="none"/>
                <w14:textFill>
                  <w14:solidFill>
                    <w14:schemeClr w14:val="tx1"/>
                  </w14:solidFill>
                </w14:textFill>
              </w:rPr>
            </w:pPr>
          </w:p>
        </w:tc>
        <w:tc>
          <w:tcPr>
            <w:tcW w:w="1322" w:type="dxa"/>
            <w:tcMar>
              <w:top w:w="15" w:type="dxa"/>
              <w:left w:w="67" w:type="dxa"/>
              <w:bottom w:w="0" w:type="dxa"/>
              <w:right w:w="67" w:type="dxa"/>
            </w:tcMar>
            <w:vAlign w:val="center"/>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医生查房</w:t>
            </w:r>
          </w:p>
        </w:tc>
        <w:tc>
          <w:tcPr>
            <w:tcW w:w="6234" w:type="dxa"/>
            <w:tcMar>
              <w:top w:w="15" w:type="dxa"/>
              <w:left w:w="67" w:type="dxa"/>
              <w:bottom w:w="0" w:type="dxa"/>
              <w:right w:w="67" w:type="dxa"/>
            </w:tcMar>
            <w:vAlign w:val="center"/>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对既往病史、体温单、体征记录、护理记录、病案首页、病历索引、病情变化、过敏药物、诊断资料、手术资料、APACHE评分、病种质控等内容查阅。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92" w:hRule="atLeast"/>
        </w:trPr>
        <w:tc>
          <w:tcPr>
            <w:tcW w:w="1414" w:type="dxa"/>
            <w:vMerge w:val="continue"/>
            <w:vAlign w:val="center"/>
          </w:tcPr>
          <w:p>
            <w:pPr>
              <w:spacing w:line="400" w:lineRule="exact"/>
              <w:rPr>
                <w:rFonts w:ascii="宋体" w:hAnsi="宋体" w:cs="宋体"/>
                <w:color w:val="000000" w:themeColor="text1"/>
                <w:sz w:val="24"/>
                <w:highlight w:val="none"/>
                <w14:textFill>
                  <w14:solidFill>
                    <w14:schemeClr w14:val="tx1"/>
                  </w14:solidFill>
                </w14:textFill>
              </w:rPr>
            </w:pPr>
          </w:p>
        </w:tc>
        <w:tc>
          <w:tcPr>
            <w:tcW w:w="1322" w:type="dxa"/>
            <w:tcMar>
              <w:top w:w="15" w:type="dxa"/>
              <w:left w:w="67" w:type="dxa"/>
              <w:bottom w:w="0" w:type="dxa"/>
              <w:right w:w="67" w:type="dxa"/>
            </w:tcMar>
            <w:vAlign w:val="center"/>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诊断管理</w:t>
            </w:r>
          </w:p>
        </w:tc>
        <w:tc>
          <w:tcPr>
            <w:tcW w:w="6234" w:type="dxa"/>
            <w:tcMar>
              <w:top w:w="15" w:type="dxa"/>
              <w:left w:w="67" w:type="dxa"/>
              <w:bottom w:w="0" w:type="dxa"/>
              <w:right w:w="67" w:type="dxa"/>
            </w:tcMar>
            <w:vAlign w:val="center"/>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对病人诊断进行集中管理的模式，支持ICD标准编码和自定义诊断两种模式；支持中、西医诊断；系统自动生成当前病人的有效诊断；支持图形化的诊断部位选择；支持知识库临床诊疗指南查阅；支持疾病报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6" w:hRule="atLeast"/>
        </w:trPr>
        <w:tc>
          <w:tcPr>
            <w:tcW w:w="1414" w:type="dxa"/>
            <w:vMerge w:val="continue"/>
            <w:vAlign w:val="center"/>
          </w:tcPr>
          <w:p>
            <w:pPr>
              <w:spacing w:line="400" w:lineRule="exact"/>
              <w:rPr>
                <w:rFonts w:ascii="宋体" w:hAnsi="宋体" w:cs="宋体"/>
                <w:color w:val="000000" w:themeColor="text1"/>
                <w:sz w:val="24"/>
                <w:highlight w:val="none"/>
                <w14:textFill>
                  <w14:solidFill>
                    <w14:schemeClr w14:val="tx1"/>
                  </w14:solidFill>
                </w14:textFill>
              </w:rPr>
            </w:pPr>
          </w:p>
        </w:tc>
        <w:tc>
          <w:tcPr>
            <w:tcW w:w="1322" w:type="dxa"/>
            <w:tcMar>
              <w:top w:w="15" w:type="dxa"/>
              <w:left w:w="67" w:type="dxa"/>
              <w:bottom w:w="0" w:type="dxa"/>
              <w:right w:w="67" w:type="dxa"/>
            </w:tcMar>
            <w:vAlign w:val="center"/>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医嘱处理</w:t>
            </w:r>
          </w:p>
        </w:tc>
        <w:tc>
          <w:tcPr>
            <w:tcW w:w="6234" w:type="dxa"/>
            <w:tcMar>
              <w:top w:w="15" w:type="dxa"/>
              <w:left w:w="67" w:type="dxa"/>
              <w:bottom w:w="0" w:type="dxa"/>
              <w:right w:w="67" w:type="dxa"/>
            </w:tcMar>
            <w:vAlign w:val="center"/>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提供有医嘱录入功能，医生可以直接通过电子病历系统下达医嘱。医嘱信息会传递到护士工作站，由护士直接执行。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70" w:hRule="atLeast"/>
        </w:trPr>
        <w:tc>
          <w:tcPr>
            <w:tcW w:w="1414" w:type="dxa"/>
            <w:vMerge w:val="continue"/>
            <w:vAlign w:val="center"/>
          </w:tcPr>
          <w:p>
            <w:pPr>
              <w:spacing w:line="400" w:lineRule="exact"/>
              <w:rPr>
                <w:rFonts w:ascii="宋体" w:hAnsi="宋体" w:cs="宋体"/>
                <w:color w:val="000000" w:themeColor="text1"/>
                <w:sz w:val="24"/>
                <w:highlight w:val="none"/>
                <w14:textFill>
                  <w14:solidFill>
                    <w14:schemeClr w14:val="tx1"/>
                  </w14:solidFill>
                </w14:textFill>
              </w:rPr>
            </w:pPr>
          </w:p>
        </w:tc>
        <w:tc>
          <w:tcPr>
            <w:tcW w:w="1322" w:type="dxa"/>
            <w:tcMar>
              <w:top w:w="15" w:type="dxa"/>
              <w:left w:w="67" w:type="dxa"/>
              <w:bottom w:w="0" w:type="dxa"/>
              <w:right w:w="67" w:type="dxa"/>
            </w:tcMar>
            <w:vAlign w:val="center"/>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电子申请</w:t>
            </w:r>
          </w:p>
        </w:tc>
        <w:tc>
          <w:tcPr>
            <w:tcW w:w="6234" w:type="dxa"/>
            <w:tcMar>
              <w:top w:w="15" w:type="dxa"/>
              <w:left w:w="67" w:type="dxa"/>
              <w:bottom w:w="0" w:type="dxa"/>
              <w:right w:w="67" w:type="dxa"/>
            </w:tcMar>
            <w:vAlign w:val="center"/>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电子病历系统与实验室信息系统、医学影像信息系统等系统连接后，用户可以直接通过医生站申请检验检查项目，并在系统内查阅检验检查结果，并可实现输血申请、手术申请、会诊申请等，以及申请状态的及时跟踪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4" w:hRule="atLeast"/>
        </w:trPr>
        <w:tc>
          <w:tcPr>
            <w:tcW w:w="1414" w:type="dxa"/>
            <w:vMerge w:val="continue"/>
            <w:vAlign w:val="center"/>
          </w:tcPr>
          <w:p>
            <w:pPr>
              <w:spacing w:line="400" w:lineRule="exact"/>
              <w:rPr>
                <w:rFonts w:ascii="宋体" w:hAnsi="宋体" w:cs="宋体"/>
                <w:color w:val="000000" w:themeColor="text1"/>
                <w:sz w:val="24"/>
                <w:highlight w:val="none"/>
                <w14:textFill>
                  <w14:solidFill>
                    <w14:schemeClr w14:val="tx1"/>
                  </w14:solidFill>
                </w14:textFill>
              </w:rPr>
            </w:pPr>
          </w:p>
        </w:tc>
        <w:tc>
          <w:tcPr>
            <w:tcW w:w="1322" w:type="dxa"/>
            <w:tcMar>
              <w:top w:w="15" w:type="dxa"/>
              <w:left w:w="67" w:type="dxa"/>
              <w:bottom w:w="0" w:type="dxa"/>
              <w:right w:w="67" w:type="dxa"/>
            </w:tcMar>
            <w:vAlign w:val="center"/>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提醒功能</w:t>
            </w:r>
          </w:p>
        </w:tc>
        <w:tc>
          <w:tcPr>
            <w:tcW w:w="6234" w:type="dxa"/>
            <w:tcMar>
              <w:top w:w="15" w:type="dxa"/>
              <w:left w:w="67" w:type="dxa"/>
              <w:bottom w:w="0" w:type="dxa"/>
              <w:right w:w="67" w:type="dxa"/>
            </w:tcMar>
            <w:vAlign w:val="center"/>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为医生提供有多种提醒功能。以帮助医生能够及时填写病历资料，避免医疗差错与纠纷。其中提醒方式包括系统消息、手机短信、邮件等多种提醒方式。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5" w:hRule="atLeast"/>
        </w:trPr>
        <w:tc>
          <w:tcPr>
            <w:tcW w:w="1414" w:type="dxa"/>
            <w:vMerge w:val="restart"/>
            <w:tcMar>
              <w:top w:w="15" w:type="dxa"/>
              <w:left w:w="67" w:type="dxa"/>
              <w:bottom w:w="0" w:type="dxa"/>
              <w:right w:w="67" w:type="dxa"/>
            </w:tcMar>
            <w:vAlign w:val="center"/>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其他辅助功能</w:t>
            </w:r>
          </w:p>
        </w:tc>
        <w:tc>
          <w:tcPr>
            <w:tcW w:w="1322" w:type="dxa"/>
            <w:tcMar>
              <w:top w:w="15" w:type="dxa"/>
              <w:left w:w="67" w:type="dxa"/>
              <w:bottom w:w="0" w:type="dxa"/>
              <w:right w:w="67" w:type="dxa"/>
            </w:tcMar>
            <w:vAlign w:val="center"/>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临床助手</w:t>
            </w:r>
          </w:p>
        </w:tc>
        <w:tc>
          <w:tcPr>
            <w:tcW w:w="6234" w:type="dxa"/>
            <w:tcMar>
              <w:top w:w="15" w:type="dxa"/>
              <w:left w:w="67" w:type="dxa"/>
              <w:bottom w:w="0" w:type="dxa"/>
              <w:right w:w="67" w:type="dxa"/>
            </w:tcMar>
            <w:vAlign w:val="center"/>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临床助手提供如下功能：常用诊疗数据快速引用、临床项目数据字典查询、临床诊疗常用计算公式等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5" w:hRule="atLeast"/>
        </w:trPr>
        <w:tc>
          <w:tcPr>
            <w:tcW w:w="1414" w:type="dxa"/>
            <w:vMerge w:val="continue"/>
            <w:vAlign w:val="center"/>
          </w:tcPr>
          <w:p>
            <w:pPr>
              <w:spacing w:line="400" w:lineRule="exact"/>
              <w:rPr>
                <w:rFonts w:ascii="宋体" w:hAnsi="宋体" w:cs="宋体"/>
                <w:color w:val="000000" w:themeColor="text1"/>
                <w:sz w:val="24"/>
                <w:highlight w:val="none"/>
                <w14:textFill>
                  <w14:solidFill>
                    <w14:schemeClr w14:val="tx1"/>
                  </w14:solidFill>
                </w14:textFill>
              </w:rPr>
            </w:pPr>
          </w:p>
        </w:tc>
        <w:tc>
          <w:tcPr>
            <w:tcW w:w="1322" w:type="dxa"/>
            <w:tcMar>
              <w:top w:w="15" w:type="dxa"/>
              <w:left w:w="67" w:type="dxa"/>
              <w:bottom w:w="0" w:type="dxa"/>
              <w:right w:w="67" w:type="dxa"/>
            </w:tcMar>
            <w:vAlign w:val="center"/>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综合查询</w:t>
            </w:r>
          </w:p>
        </w:tc>
        <w:tc>
          <w:tcPr>
            <w:tcW w:w="6234" w:type="dxa"/>
            <w:tcMar>
              <w:top w:w="15" w:type="dxa"/>
              <w:left w:w="67" w:type="dxa"/>
              <w:bottom w:w="0" w:type="dxa"/>
              <w:right w:w="67" w:type="dxa"/>
            </w:tcMar>
            <w:vAlign w:val="center"/>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提供临床诊疗业务数据的查询功能，包含处方点评结果、临床危急值报告、住院病历查询等。</w:t>
            </w:r>
          </w:p>
        </w:tc>
      </w:tr>
    </w:tbl>
    <w:p>
      <w:pPr>
        <w:spacing w:line="400" w:lineRule="exact"/>
        <w:rPr>
          <w:rFonts w:ascii="宋体" w:hAnsi="宋体" w:cs="宋体"/>
          <w:color w:val="000000" w:themeColor="text1"/>
          <w:sz w:val="24"/>
          <w:highlight w:val="none"/>
          <w14:textFill>
            <w14:solidFill>
              <w14:schemeClr w14:val="tx1"/>
            </w14:solidFill>
          </w14:textFill>
        </w:rPr>
      </w:pPr>
    </w:p>
    <w:p>
      <w:pPr>
        <w:spacing w:line="400" w:lineRule="exact"/>
        <w:rPr>
          <w:rFonts w:ascii="宋体" w:hAnsi="宋体" w:cs="宋体"/>
          <w:color w:val="000000" w:themeColor="text1"/>
          <w:sz w:val="24"/>
          <w:highlight w:val="none"/>
          <w14:textFill>
            <w14:solidFill>
              <w14:schemeClr w14:val="tx1"/>
            </w14:solidFill>
          </w14:textFill>
        </w:rPr>
      </w:pPr>
    </w:p>
    <w:p>
      <w:pPr>
        <w:pStyle w:val="6"/>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5.1.16入院准备中心管理系统</w:t>
      </w:r>
    </w:p>
    <w:p>
      <w:pPr>
        <w:pStyle w:val="53"/>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入院准备中心服务系统是为了解决住院难、医院床位紧缺而建立的医院信息管理系统。系统应实现可以方便病人住院、持续优化服务流程、科学管理医院床位资源等。系统主要功能应包括：</w:t>
      </w:r>
    </w:p>
    <w:p>
      <w:pPr>
        <w:pStyle w:val="53"/>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住院证管理：对门急诊医生开具的电子住院证进行统一管理，对纸质住院证进行补录。</w:t>
      </w:r>
    </w:p>
    <w:p>
      <w:pPr>
        <w:pStyle w:val="53"/>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住院预约登记：对需要住院的患者进行住院预约管理，预约患者的床位日期和手术日期。</w:t>
      </w:r>
    </w:p>
    <w:p>
      <w:pPr>
        <w:pStyle w:val="53"/>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预约通知管理：对已经预约未住院的患者，在预约住院日期前一天通知住院，支持系统批量通知和人工通知。</w:t>
      </w:r>
    </w:p>
    <w:p>
      <w:pPr>
        <w:pStyle w:val="53"/>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入院登记：对需要住院的病人进行住院手续办理，打印腕带、预缴款。</w:t>
      </w:r>
    </w:p>
    <w:p>
      <w:pPr>
        <w:pStyle w:val="53"/>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住院检查安排：对入院患者的住院常规检查进行安排，医技预约。</w:t>
      </w:r>
    </w:p>
    <w:p>
      <w:pPr>
        <w:pStyle w:val="53"/>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准备病区管理：对已经入院住在准备病区的患者进行护理管理，如入院宣教，体征采集，常规护理，医嘱执行等。</w:t>
      </w:r>
    </w:p>
    <w:p>
      <w:pPr>
        <w:pStyle w:val="53"/>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床位协调管理：对全院病人床位安排进行管理，包括床位分配、转床、换床、包床、退床。</w:t>
      </w:r>
    </w:p>
    <w:p>
      <w:pPr>
        <w:pStyle w:val="6"/>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5.1.17疾病报卡系统</w:t>
      </w:r>
    </w:p>
    <w:p>
      <w:pPr>
        <w:pStyle w:val="53"/>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系统需实现以下功能：</w:t>
      </w:r>
    </w:p>
    <w:p>
      <w:pPr>
        <w:pStyle w:val="53"/>
        <w:numPr>
          <w:ilvl w:val="0"/>
          <w:numId w:val="11"/>
        </w:numPr>
        <w:spacing w:line="400" w:lineRule="exact"/>
        <w:ind w:firstLineChars="0"/>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嵌入式报卡</w:t>
      </w:r>
    </w:p>
    <w:p>
      <w:pPr>
        <w:pStyle w:val="53"/>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系统需提供嵌入式报卡，并与诊断、病人信息有效结合，需满足以下功能：</w:t>
      </w:r>
    </w:p>
    <w:p>
      <w:pPr>
        <w:pStyle w:val="53"/>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提供依据国家规范绘制的电子化疫病报卡；</w:t>
      </w:r>
    </w:p>
    <w:p>
      <w:pPr>
        <w:pStyle w:val="53"/>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有效地嵌入临床业务系统中，方便医生及时报卡，包含门急诊医生工作站、住院医生工作站、实验室管理信息系统等；</w:t>
      </w:r>
    </w:p>
    <w:p>
      <w:pPr>
        <w:pStyle w:val="53"/>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支持报卡与疾病诊断的关联控制，实现诊断录入的同时能触发报卡；</w:t>
      </w:r>
    </w:p>
    <w:p>
      <w:pPr>
        <w:pStyle w:val="53"/>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支持病人信息的自动获取；</w:t>
      </w:r>
    </w:p>
    <w:p>
      <w:pPr>
        <w:pStyle w:val="53"/>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支持报卡项目内容通过点选方式选择，减少手动负担；</w:t>
      </w:r>
    </w:p>
    <w:p>
      <w:pPr>
        <w:pStyle w:val="53"/>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支持报卡必填项提醒及项目之间的逻辑控制，如死亡日期不能早于发病日期。</w:t>
      </w:r>
    </w:p>
    <w:p>
      <w:pPr>
        <w:pStyle w:val="53"/>
        <w:numPr>
          <w:ilvl w:val="0"/>
          <w:numId w:val="11"/>
        </w:numPr>
        <w:spacing w:line="400" w:lineRule="exact"/>
        <w:ind w:firstLineChars="0"/>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报卡综合管理</w:t>
      </w:r>
    </w:p>
    <w:p>
      <w:pPr>
        <w:pStyle w:val="53"/>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系统应开放院感科综合管理功能，支持院感人员对报卡的接收、审核、数据导出、上报等，支持院感专职人员对报卡病种及对应报卡的维护或设置。</w:t>
      </w:r>
    </w:p>
    <w:p>
      <w:pPr>
        <w:pStyle w:val="53"/>
        <w:numPr>
          <w:ilvl w:val="0"/>
          <w:numId w:val="11"/>
        </w:numPr>
        <w:spacing w:line="400" w:lineRule="exact"/>
        <w:ind w:firstLineChars="0"/>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统计查询</w:t>
      </w:r>
    </w:p>
    <w:p>
      <w:pPr>
        <w:pStyle w:val="53"/>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系统需提供临床或医技的疾病报卡进行汇总统计的功能，支持按时间段、按科室、按医生、按诊断等多种形式的综合查询功能，支持列表数据的导出、打印功能。</w:t>
      </w:r>
    </w:p>
    <w:p>
      <w:pPr>
        <w:pStyle w:val="53"/>
        <w:numPr>
          <w:ilvl w:val="0"/>
          <w:numId w:val="11"/>
        </w:numPr>
        <w:spacing w:line="400" w:lineRule="exact"/>
        <w:ind w:firstLineChars="0"/>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数据上报</w:t>
      </w:r>
    </w:p>
    <w:p>
      <w:pPr>
        <w:pStyle w:val="53"/>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系统应支持与省市级传染病网络直报系统的无缝对接功能，通过有关数据交换标准和系统接口标准有效地完成数据的及时上报。</w:t>
      </w:r>
    </w:p>
    <w:p>
      <w:pPr>
        <w:pStyle w:val="53"/>
        <w:numPr>
          <w:ilvl w:val="0"/>
          <w:numId w:val="11"/>
        </w:numPr>
        <w:spacing w:line="400" w:lineRule="exact"/>
        <w:ind w:firstLineChars="0"/>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系统接口</w:t>
      </w:r>
    </w:p>
    <w:p>
      <w:pPr>
        <w:pStyle w:val="53"/>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系统应提供与HIS、LIS、EMR系统之间的接口，实现业务系统与报卡系统数据的及时采集、存储、传输、管理和上报。</w:t>
      </w:r>
    </w:p>
    <w:p>
      <w:pPr>
        <w:pStyle w:val="6"/>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5.1.18急诊预检分诊信息系统</w:t>
      </w:r>
    </w:p>
    <w:p>
      <w:pPr>
        <w:pStyle w:val="53"/>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急诊预检分诊系统应支持对急诊病人快速分级分区，以及急诊预检评估。预检分诊病人列表应为急诊预检分诊护士提供一个比较简洁明了的病人主要信息展示功能，方便快速查找病人并对相关的预检分诊处理。</w:t>
      </w:r>
    </w:p>
    <w:p>
      <w:pPr>
        <w:pStyle w:val="53"/>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系统应能实现实现急诊预检分诊分级业务功能，包含分级分诊、预检评估，并参考业内研究标准，在系统中支持按主诉症状、生命体征、MEWS评分等数据智能自动分级，供分诊护士参考，并实现病人信息自动获取、评估表自动按体征值计算总分等功能。</w:t>
      </w:r>
    </w:p>
    <w:p>
      <w:pPr>
        <w:pStyle w:val="53"/>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系统应具有急诊预检病人登记查询（支持数据筛选）、急诊预检人次分科统计、急诊预检人次分时统计，并提供多重条件供用户检索查询等功能</w:t>
      </w:r>
    </w:p>
    <w:p>
      <w:pPr>
        <w:pStyle w:val="53"/>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系统应能实现与急诊预检分诊台使用的分散式或一体式生命体征测量仪的数据对接，实现分诊护士在对急诊病人预检分诊分级时，系统自动获取测量仪记录的体征数据并加载到当前分诊病人的预检分诊记录中而无需再次手工抄录，提高急诊预检分诊系统实用性和预检分诊效率。</w:t>
      </w:r>
    </w:p>
    <w:p>
      <w:pPr>
        <w:pStyle w:val="53"/>
        <w:spacing w:line="400" w:lineRule="exact"/>
        <w:rPr>
          <w:rFonts w:ascii="宋体" w:hAnsi="宋体" w:cs="宋体"/>
          <w:color w:val="000000" w:themeColor="text1"/>
          <w:highlight w:val="none"/>
          <w14:textFill>
            <w14:solidFill>
              <w14:schemeClr w14:val="tx1"/>
            </w14:solidFill>
          </w14:textFill>
        </w:rPr>
      </w:pPr>
    </w:p>
    <w:p>
      <w:pPr>
        <w:pStyle w:val="6"/>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5.1.19抗菌用药管理系统</w:t>
      </w:r>
    </w:p>
    <w:p>
      <w:pPr>
        <w:pStyle w:val="53"/>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系统需提供抗菌药物三级管理功能，具备手术预防用药提示，抗菌药物送检提示，抗菌药物使用统计报表等。系统应满足以下具体功能需求：</w:t>
      </w: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259"/>
        <w:gridCol w:w="4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trPr>
        <w:tc>
          <w:tcPr>
            <w:tcW w:w="4218" w:type="dxa"/>
            <w:gridSpan w:val="2"/>
            <w:shd w:val="clear" w:color="auto" w:fill="DDD9C3"/>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功能模块</w:t>
            </w:r>
          </w:p>
        </w:tc>
        <w:tc>
          <w:tcPr>
            <w:tcW w:w="4304" w:type="dxa"/>
            <w:shd w:val="clear" w:color="auto" w:fill="DDD9C3"/>
            <w:vAlign w:val="center"/>
          </w:tcPr>
          <w:p>
            <w:pPr>
              <w:spacing w:line="400" w:lineRule="exact"/>
              <w:jc w:val="center"/>
              <w:rPr>
                <w:rFonts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功能需求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959" w:type="dxa"/>
            <w:vMerge w:val="restart"/>
            <w:shd w:val="clear" w:color="auto" w:fill="auto"/>
            <w:vAlign w:val="center"/>
          </w:tcPr>
          <w:p>
            <w:pPr>
              <w:pStyle w:val="54"/>
              <w:spacing w:line="400" w:lineRule="exact"/>
              <w:rPr>
                <w:rFonts w:ascii="宋体" w:hAnsi="宋体" w:cs="宋体"/>
                <w:color w:val="000000" w:themeColor="text1"/>
                <w:szCs w:val="24"/>
                <w:highlight w:val="none"/>
                <w:shd w:val="clear" w:color="auto" w:fill="FFFFFF"/>
                <w14:textFill>
                  <w14:solidFill>
                    <w14:schemeClr w14:val="tx1"/>
                  </w14:solidFill>
                </w14:textFill>
              </w:rPr>
            </w:pPr>
            <w:r>
              <w:rPr>
                <w:rFonts w:hint="eastAsia" w:ascii="宋体" w:hAnsi="宋体" w:cs="宋体"/>
                <w:color w:val="000000" w:themeColor="text1"/>
                <w:szCs w:val="24"/>
                <w:highlight w:val="none"/>
                <w:shd w:val="clear" w:color="auto" w:fill="FFFFFF"/>
                <w14:textFill>
                  <w14:solidFill>
                    <w14:schemeClr w14:val="tx1"/>
                  </w14:solidFill>
                </w14:textFill>
              </w:rPr>
              <w:t>临床干预功能</w:t>
            </w:r>
          </w:p>
        </w:tc>
        <w:tc>
          <w:tcPr>
            <w:tcW w:w="3259" w:type="dxa"/>
            <w:vMerge w:val="restart"/>
            <w:shd w:val="clear" w:color="auto" w:fill="auto"/>
            <w:vAlign w:val="center"/>
          </w:tcPr>
          <w:p>
            <w:pPr>
              <w:pStyle w:val="54"/>
              <w:spacing w:line="400" w:lineRule="exact"/>
              <w:rPr>
                <w:rFonts w:ascii="宋体" w:hAnsi="宋体" w:cs="宋体"/>
                <w:color w:val="000000" w:themeColor="text1"/>
                <w:szCs w:val="24"/>
                <w:highlight w:val="none"/>
                <w:shd w:val="clear" w:color="auto" w:fill="FFFFFF"/>
                <w14:textFill>
                  <w14:solidFill>
                    <w14:schemeClr w14:val="tx1"/>
                  </w14:solidFill>
                </w14:textFill>
              </w:rPr>
            </w:pPr>
            <w:r>
              <w:rPr>
                <w:rFonts w:hint="eastAsia" w:ascii="宋体" w:hAnsi="宋体" w:cs="宋体"/>
                <w:color w:val="000000" w:themeColor="text1"/>
                <w:szCs w:val="24"/>
                <w:highlight w:val="none"/>
                <w:shd w:val="clear" w:color="auto" w:fill="FFFFFF"/>
                <w14:textFill>
                  <w14:solidFill>
                    <w14:schemeClr w14:val="tx1"/>
                  </w14:solidFill>
                </w14:textFill>
              </w:rPr>
              <w:t>医嘱干预功能</w:t>
            </w:r>
          </w:p>
        </w:tc>
        <w:tc>
          <w:tcPr>
            <w:tcW w:w="4304" w:type="dxa"/>
            <w:shd w:val="clear" w:color="auto" w:fill="auto"/>
            <w:vAlign w:val="center"/>
          </w:tcPr>
          <w:p>
            <w:pPr>
              <w:pStyle w:val="54"/>
              <w:spacing w:line="400" w:lineRule="exact"/>
              <w:rPr>
                <w:rFonts w:ascii="宋体" w:hAnsi="宋体" w:cs="宋体"/>
                <w:color w:val="000000" w:themeColor="text1"/>
                <w:szCs w:val="24"/>
                <w:highlight w:val="none"/>
                <w:shd w:val="clear" w:color="auto" w:fill="FFFFFF"/>
                <w14:textFill>
                  <w14:solidFill>
                    <w14:schemeClr w14:val="tx1"/>
                  </w14:solidFill>
                </w14:textFill>
              </w:rPr>
            </w:pPr>
            <w:r>
              <w:rPr>
                <w:rFonts w:hint="eastAsia" w:ascii="宋体" w:hAnsi="宋体" w:cs="宋体"/>
                <w:color w:val="000000" w:themeColor="text1"/>
                <w:szCs w:val="24"/>
                <w:highlight w:val="none"/>
                <w:shd w:val="clear" w:color="auto" w:fill="FFFFFF"/>
                <w14:textFill>
                  <w14:solidFill>
                    <w14:schemeClr w14:val="tx1"/>
                  </w14:solidFill>
                </w14:textFill>
              </w:rPr>
              <w:t>抗生素分级管理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959" w:type="dxa"/>
            <w:vMerge w:val="continue"/>
            <w:shd w:val="clear" w:color="auto" w:fill="auto"/>
            <w:vAlign w:val="center"/>
          </w:tcPr>
          <w:p>
            <w:pPr>
              <w:pStyle w:val="54"/>
              <w:spacing w:line="400" w:lineRule="exact"/>
              <w:rPr>
                <w:rFonts w:ascii="宋体" w:hAnsi="宋体" w:cs="宋体"/>
                <w:color w:val="000000" w:themeColor="text1"/>
                <w:szCs w:val="24"/>
                <w:highlight w:val="none"/>
                <w:shd w:val="clear" w:color="auto" w:fill="FFFFFF"/>
                <w14:textFill>
                  <w14:solidFill>
                    <w14:schemeClr w14:val="tx1"/>
                  </w14:solidFill>
                </w14:textFill>
              </w:rPr>
            </w:pPr>
          </w:p>
        </w:tc>
        <w:tc>
          <w:tcPr>
            <w:tcW w:w="3259" w:type="dxa"/>
            <w:vMerge w:val="continue"/>
            <w:shd w:val="clear" w:color="auto" w:fill="auto"/>
            <w:vAlign w:val="center"/>
          </w:tcPr>
          <w:p>
            <w:pPr>
              <w:pStyle w:val="54"/>
              <w:spacing w:line="400" w:lineRule="exact"/>
              <w:rPr>
                <w:rFonts w:ascii="宋体" w:hAnsi="宋体" w:cs="宋体"/>
                <w:color w:val="000000" w:themeColor="text1"/>
                <w:szCs w:val="24"/>
                <w:highlight w:val="none"/>
                <w:shd w:val="clear" w:color="auto" w:fill="FFFFFF"/>
                <w14:textFill>
                  <w14:solidFill>
                    <w14:schemeClr w14:val="tx1"/>
                  </w14:solidFill>
                </w14:textFill>
              </w:rPr>
            </w:pPr>
          </w:p>
        </w:tc>
        <w:tc>
          <w:tcPr>
            <w:tcW w:w="4304" w:type="dxa"/>
            <w:shd w:val="clear" w:color="auto" w:fill="auto"/>
            <w:vAlign w:val="center"/>
          </w:tcPr>
          <w:p>
            <w:pPr>
              <w:pStyle w:val="54"/>
              <w:spacing w:line="400" w:lineRule="exact"/>
              <w:rPr>
                <w:rFonts w:ascii="宋体" w:hAnsi="宋体" w:cs="宋体"/>
                <w:color w:val="000000" w:themeColor="text1"/>
                <w:szCs w:val="24"/>
                <w:highlight w:val="none"/>
                <w:shd w:val="clear" w:color="auto" w:fill="FFFFFF"/>
                <w14:textFill>
                  <w14:solidFill>
                    <w14:schemeClr w14:val="tx1"/>
                  </w14:solidFill>
                </w14:textFill>
              </w:rPr>
            </w:pPr>
            <w:r>
              <w:rPr>
                <w:rFonts w:hint="eastAsia" w:ascii="宋体" w:hAnsi="宋体" w:cs="宋体"/>
                <w:color w:val="000000" w:themeColor="text1"/>
                <w:szCs w:val="24"/>
                <w:highlight w:val="none"/>
                <w:shd w:val="clear" w:color="auto" w:fill="FFFFFF"/>
                <w14:textFill>
                  <w14:solidFill>
                    <w14:schemeClr w14:val="tx1"/>
                  </w14:solidFill>
                </w14:textFill>
              </w:rPr>
              <w:t>联合用药限制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rPr>
        <w:tc>
          <w:tcPr>
            <w:tcW w:w="959" w:type="dxa"/>
            <w:vMerge w:val="continue"/>
            <w:shd w:val="clear" w:color="auto" w:fill="auto"/>
            <w:vAlign w:val="center"/>
          </w:tcPr>
          <w:p>
            <w:pPr>
              <w:pStyle w:val="54"/>
              <w:spacing w:line="400" w:lineRule="exact"/>
              <w:rPr>
                <w:rFonts w:ascii="宋体" w:hAnsi="宋体" w:cs="宋体"/>
                <w:color w:val="000000" w:themeColor="text1"/>
                <w:szCs w:val="24"/>
                <w:highlight w:val="none"/>
                <w:shd w:val="clear" w:color="auto" w:fill="FFFFFF"/>
                <w14:textFill>
                  <w14:solidFill>
                    <w14:schemeClr w14:val="tx1"/>
                  </w14:solidFill>
                </w14:textFill>
              </w:rPr>
            </w:pPr>
          </w:p>
        </w:tc>
        <w:tc>
          <w:tcPr>
            <w:tcW w:w="3259" w:type="dxa"/>
            <w:vMerge w:val="continue"/>
            <w:shd w:val="clear" w:color="auto" w:fill="auto"/>
            <w:vAlign w:val="center"/>
          </w:tcPr>
          <w:p>
            <w:pPr>
              <w:pStyle w:val="54"/>
              <w:spacing w:line="400" w:lineRule="exact"/>
              <w:rPr>
                <w:rFonts w:ascii="宋体" w:hAnsi="宋体" w:cs="宋体"/>
                <w:color w:val="000000" w:themeColor="text1"/>
                <w:szCs w:val="24"/>
                <w:highlight w:val="none"/>
                <w:shd w:val="clear" w:color="auto" w:fill="FFFFFF"/>
                <w14:textFill>
                  <w14:solidFill>
                    <w14:schemeClr w14:val="tx1"/>
                  </w14:solidFill>
                </w14:textFill>
              </w:rPr>
            </w:pPr>
          </w:p>
        </w:tc>
        <w:tc>
          <w:tcPr>
            <w:tcW w:w="4304" w:type="dxa"/>
            <w:shd w:val="clear" w:color="auto" w:fill="auto"/>
            <w:vAlign w:val="center"/>
          </w:tcPr>
          <w:p>
            <w:pPr>
              <w:pStyle w:val="54"/>
              <w:spacing w:line="400" w:lineRule="exact"/>
              <w:rPr>
                <w:rFonts w:ascii="宋体" w:hAnsi="宋体" w:cs="宋体"/>
                <w:color w:val="000000" w:themeColor="text1"/>
                <w:szCs w:val="24"/>
                <w:highlight w:val="none"/>
                <w:shd w:val="clear" w:color="auto" w:fill="FFFFFF"/>
                <w14:textFill>
                  <w14:solidFill>
                    <w14:schemeClr w14:val="tx1"/>
                  </w14:solidFill>
                </w14:textFill>
              </w:rPr>
            </w:pPr>
            <w:r>
              <w:rPr>
                <w:rFonts w:hint="eastAsia" w:ascii="宋体" w:hAnsi="宋体" w:cs="宋体"/>
                <w:color w:val="000000" w:themeColor="text1"/>
                <w:szCs w:val="24"/>
                <w:highlight w:val="none"/>
                <w:shd w:val="clear" w:color="auto" w:fill="FFFFFF"/>
                <w14:textFill>
                  <w14:solidFill>
                    <w14:schemeClr w14:val="tx1"/>
                  </w14:solidFill>
                </w14:textFill>
              </w:rPr>
              <w:t>科室和医生两级用药限制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rPr>
        <w:tc>
          <w:tcPr>
            <w:tcW w:w="959" w:type="dxa"/>
            <w:vMerge w:val="continue"/>
            <w:shd w:val="clear" w:color="auto" w:fill="auto"/>
            <w:vAlign w:val="center"/>
          </w:tcPr>
          <w:p>
            <w:pPr>
              <w:pStyle w:val="54"/>
              <w:spacing w:line="400" w:lineRule="exact"/>
              <w:rPr>
                <w:rFonts w:ascii="宋体" w:hAnsi="宋体" w:cs="宋体"/>
                <w:color w:val="000000" w:themeColor="text1"/>
                <w:szCs w:val="24"/>
                <w:highlight w:val="none"/>
                <w:shd w:val="clear" w:color="auto" w:fill="FFFFFF"/>
                <w14:textFill>
                  <w14:solidFill>
                    <w14:schemeClr w14:val="tx1"/>
                  </w14:solidFill>
                </w14:textFill>
              </w:rPr>
            </w:pPr>
          </w:p>
        </w:tc>
        <w:tc>
          <w:tcPr>
            <w:tcW w:w="3259" w:type="dxa"/>
            <w:vMerge w:val="continue"/>
            <w:shd w:val="clear" w:color="auto" w:fill="auto"/>
            <w:vAlign w:val="center"/>
          </w:tcPr>
          <w:p>
            <w:pPr>
              <w:pStyle w:val="54"/>
              <w:spacing w:line="400" w:lineRule="exact"/>
              <w:rPr>
                <w:rFonts w:ascii="宋体" w:hAnsi="宋体" w:cs="宋体"/>
                <w:color w:val="000000" w:themeColor="text1"/>
                <w:szCs w:val="24"/>
                <w:highlight w:val="none"/>
                <w:shd w:val="clear" w:color="auto" w:fill="FFFFFF"/>
                <w14:textFill>
                  <w14:solidFill>
                    <w14:schemeClr w14:val="tx1"/>
                  </w14:solidFill>
                </w14:textFill>
              </w:rPr>
            </w:pPr>
          </w:p>
        </w:tc>
        <w:tc>
          <w:tcPr>
            <w:tcW w:w="4304" w:type="dxa"/>
            <w:shd w:val="clear" w:color="auto" w:fill="auto"/>
            <w:vAlign w:val="center"/>
          </w:tcPr>
          <w:p>
            <w:pPr>
              <w:pStyle w:val="54"/>
              <w:spacing w:line="400" w:lineRule="exact"/>
              <w:rPr>
                <w:rFonts w:ascii="宋体" w:hAnsi="宋体" w:cs="宋体"/>
                <w:color w:val="000000" w:themeColor="text1"/>
                <w:szCs w:val="24"/>
                <w:highlight w:val="none"/>
                <w:shd w:val="clear" w:color="auto" w:fill="FFFFFF"/>
                <w14:textFill>
                  <w14:solidFill>
                    <w14:schemeClr w14:val="tx1"/>
                  </w14:solidFill>
                </w14:textFill>
              </w:rPr>
            </w:pPr>
            <w:r>
              <w:rPr>
                <w:rFonts w:hint="eastAsia" w:ascii="宋体" w:hAnsi="宋体" w:cs="宋体"/>
                <w:color w:val="000000" w:themeColor="text1"/>
                <w:szCs w:val="24"/>
                <w:highlight w:val="none"/>
                <w:shd w:val="clear" w:color="auto" w:fill="FFFFFF"/>
                <w14:textFill>
                  <w14:solidFill>
                    <w14:schemeClr w14:val="tx1"/>
                  </w14:solidFill>
                </w14:textFill>
              </w:rPr>
              <w:t>Ⅰ类切口用药管理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959" w:type="dxa"/>
            <w:vMerge w:val="continue"/>
            <w:shd w:val="clear" w:color="auto" w:fill="auto"/>
            <w:vAlign w:val="center"/>
          </w:tcPr>
          <w:p>
            <w:pPr>
              <w:pStyle w:val="54"/>
              <w:spacing w:line="400" w:lineRule="exact"/>
              <w:rPr>
                <w:rFonts w:ascii="宋体" w:hAnsi="宋体" w:cs="宋体"/>
                <w:color w:val="000000" w:themeColor="text1"/>
                <w:szCs w:val="24"/>
                <w:highlight w:val="none"/>
                <w:shd w:val="clear" w:color="auto" w:fill="FFFFFF"/>
                <w14:textFill>
                  <w14:solidFill>
                    <w14:schemeClr w14:val="tx1"/>
                  </w14:solidFill>
                </w14:textFill>
              </w:rPr>
            </w:pPr>
          </w:p>
        </w:tc>
        <w:tc>
          <w:tcPr>
            <w:tcW w:w="3259" w:type="dxa"/>
            <w:vMerge w:val="continue"/>
            <w:shd w:val="clear" w:color="auto" w:fill="auto"/>
            <w:vAlign w:val="center"/>
          </w:tcPr>
          <w:p>
            <w:pPr>
              <w:pStyle w:val="54"/>
              <w:spacing w:line="400" w:lineRule="exact"/>
              <w:rPr>
                <w:rFonts w:ascii="宋体" w:hAnsi="宋体" w:cs="宋体"/>
                <w:color w:val="000000" w:themeColor="text1"/>
                <w:szCs w:val="24"/>
                <w:highlight w:val="none"/>
                <w:shd w:val="clear" w:color="auto" w:fill="FFFFFF"/>
                <w14:textFill>
                  <w14:solidFill>
                    <w14:schemeClr w14:val="tx1"/>
                  </w14:solidFill>
                </w14:textFill>
              </w:rPr>
            </w:pPr>
          </w:p>
        </w:tc>
        <w:tc>
          <w:tcPr>
            <w:tcW w:w="4304" w:type="dxa"/>
            <w:shd w:val="clear" w:color="auto" w:fill="auto"/>
            <w:vAlign w:val="center"/>
          </w:tcPr>
          <w:p>
            <w:pPr>
              <w:pStyle w:val="54"/>
              <w:spacing w:line="400" w:lineRule="exact"/>
              <w:rPr>
                <w:rFonts w:ascii="宋体" w:hAnsi="宋体" w:cs="宋体"/>
                <w:color w:val="000000" w:themeColor="text1"/>
                <w:szCs w:val="24"/>
                <w:highlight w:val="none"/>
                <w:shd w:val="clear" w:color="auto" w:fill="FFFFFF"/>
                <w14:textFill>
                  <w14:solidFill>
                    <w14:schemeClr w14:val="tx1"/>
                  </w14:solidFill>
                </w14:textFill>
              </w:rPr>
            </w:pPr>
            <w:r>
              <w:rPr>
                <w:rFonts w:hint="eastAsia" w:ascii="宋体" w:hAnsi="宋体" w:cs="宋体"/>
                <w:color w:val="000000" w:themeColor="text1"/>
                <w:szCs w:val="24"/>
                <w:highlight w:val="none"/>
                <w:shd w:val="clear" w:color="auto" w:fill="FFFFFF"/>
                <w14:textFill>
                  <w14:solidFill>
                    <w14:schemeClr w14:val="tx1"/>
                  </w14:solidFill>
                </w14:textFill>
              </w:rPr>
              <w:t>特殊人群用药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959" w:type="dxa"/>
            <w:vMerge w:val="continue"/>
            <w:shd w:val="clear" w:color="auto" w:fill="auto"/>
            <w:vAlign w:val="center"/>
          </w:tcPr>
          <w:p>
            <w:pPr>
              <w:pStyle w:val="54"/>
              <w:spacing w:line="400" w:lineRule="exact"/>
              <w:rPr>
                <w:rFonts w:ascii="宋体" w:hAnsi="宋体" w:cs="宋体"/>
                <w:color w:val="000000" w:themeColor="text1"/>
                <w:szCs w:val="24"/>
                <w:highlight w:val="none"/>
                <w:shd w:val="clear" w:color="auto" w:fill="FFFFFF"/>
                <w14:textFill>
                  <w14:solidFill>
                    <w14:schemeClr w14:val="tx1"/>
                  </w14:solidFill>
                </w14:textFill>
              </w:rPr>
            </w:pPr>
          </w:p>
        </w:tc>
        <w:tc>
          <w:tcPr>
            <w:tcW w:w="3259" w:type="dxa"/>
            <w:vMerge w:val="continue"/>
            <w:shd w:val="clear" w:color="auto" w:fill="auto"/>
            <w:vAlign w:val="center"/>
          </w:tcPr>
          <w:p>
            <w:pPr>
              <w:pStyle w:val="54"/>
              <w:spacing w:line="400" w:lineRule="exact"/>
              <w:rPr>
                <w:rFonts w:ascii="宋体" w:hAnsi="宋体" w:cs="宋体"/>
                <w:color w:val="000000" w:themeColor="text1"/>
                <w:szCs w:val="24"/>
                <w:highlight w:val="none"/>
                <w:shd w:val="clear" w:color="auto" w:fill="FFFFFF"/>
                <w14:textFill>
                  <w14:solidFill>
                    <w14:schemeClr w14:val="tx1"/>
                  </w14:solidFill>
                </w14:textFill>
              </w:rPr>
            </w:pPr>
          </w:p>
        </w:tc>
        <w:tc>
          <w:tcPr>
            <w:tcW w:w="4304" w:type="dxa"/>
            <w:shd w:val="clear" w:color="auto" w:fill="auto"/>
            <w:vAlign w:val="center"/>
          </w:tcPr>
          <w:p>
            <w:pPr>
              <w:pStyle w:val="54"/>
              <w:spacing w:line="400" w:lineRule="exact"/>
              <w:rPr>
                <w:rFonts w:ascii="宋体" w:hAnsi="宋体" w:cs="宋体"/>
                <w:color w:val="000000" w:themeColor="text1"/>
                <w:szCs w:val="24"/>
                <w:highlight w:val="none"/>
                <w:shd w:val="clear" w:color="auto" w:fill="FFFFFF"/>
                <w14:textFill>
                  <w14:solidFill>
                    <w14:schemeClr w14:val="tx1"/>
                  </w14:solidFill>
                </w14:textFill>
              </w:rPr>
            </w:pPr>
            <w:r>
              <w:rPr>
                <w:rFonts w:hint="eastAsia" w:ascii="宋体" w:hAnsi="宋体" w:cs="宋体"/>
                <w:color w:val="000000" w:themeColor="text1"/>
                <w:szCs w:val="24"/>
                <w:highlight w:val="none"/>
                <w:shd w:val="clear" w:color="auto" w:fill="FFFFFF"/>
                <w14:textFill>
                  <w14:solidFill>
                    <w14:schemeClr w14:val="tx1"/>
                  </w14:solidFill>
                </w14:textFill>
              </w:rPr>
              <w:t>抗菌药物越级审批管理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959" w:type="dxa"/>
            <w:vMerge w:val="continue"/>
            <w:vAlign w:val="center"/>
          </w:tcPr>
          <w:p>
            <w:pPr>
              <w:pStyle w:val="54"/>
              <w:spacing w:line="400" w:lineRule="exact"/>
              <w:rPr>
                <w:rFonts w:ascii="宋体" w:hAnsi="宋体" w:cs="宋体"/>
                <w:color w:val="000000" w:themeColor="text1"/>
                <w:szCs w:val="24"/>
                <w:highlight w:val="none"/>
                <w:shd w:val="clear" w:color="auto" w:fill="FFFFFF"/>
                <w14:textFill>
                  <w14:solidFill>
                    <w14:schemeClr w14:val="tx1"/>
                  </w14:solidFill>
                </w14:textFill>
              </w:rPr>
            </w:pPr>
          </w:p>
        </w:tc>
        <w:tc>
          <w:tcPr>
            <w:tcW w:w="3259" w:type="dxa"/>
            <w:vMerge w:val="restart"/>
            <w:shd w:val="clear" w:color="auto" w:fill="auto"/>
            <w:vAlign w:val="center"/>
          </w:tcPr>
          <w:p>
            <w:pPr>
              <w:pStyle w:val="54"/>
              <w:spacing w:line="400" w:lineRule="exact"/>
              <w:rPr>
                <w:rFonts w:ascii="宋体" w:hAnsi="宋体" w:cs="宋体"/>
                <w:color w:val="000000" w:themeColor="text1"/>
                <w:szCs w:val="24"/>
                <w:highlight w:val="none"/>
                <w:shd w:val="clear" w:color="auto" w:fill="FFFFFF"/>
                <w14:textFill>
                  <w14:solidFill>
                    <w14:schemeClr w14:val="tx1"/>
                  </w14:solidFill>
                </w14:textFill>
              </w:rPr>
            </w:pPr>
            <w:r>
              <w:rPr>
                <w:rFonts w:hint="eastAsia" w:ascii="宋体" w:hAnsi="宋体" w:cs="宋体"/>
                <w:color w:val="000000" w:themeColor="text1"/>
                <w:szCs w:val="24"/>
                <w:highlight w:val="none"/>
                <w:shd w:val="clear" w:color="auto" w:fill="FFFFFF"/>
                <w14:textFill>
                  <w14:solidFill>
                    <w14:schemeClr w14:val="tx1"/>
                  </w14:solidFill>
                </w14:textFill>
              </w:rPr>
              <w:t>处方权限功能</w:t>
            </w:r>
          </w:p>
        </w:tc>
        <w:tc>
          <w:tcPr>
            <w:tcW w:w="4304" w:type="dxa"/>
            <w:shd w:val="clear" w:color="auto" w:fill="auto"/>
            <w:vAlign w:val="center"/>
          </w:tcPr>
          <w:p>
            <w:pPr>
              <w:pStyle w:val="54"/>
              <w:spacing w:line="400" w:lineRule="exact"/>
              <w:rPr>
                <w:rFonts w:ascii="宋体" w:hAnsi="宋体" w:cs="宋体"/>
                <w:color w:val="000000" w:themeColor="text1"/>
                <w:szCs w:val="24"/>
                <w:highlight w:val="none"/>
                <w:shd w:val="clear" w:color="auto" w:fill="FFFFFF"/>
                <w14:textFill>
                  <w14:solidFill>
                    <w14:schemeClr w14:val="tx1"/>
                  </w14:solidFill>
                </w14:textFill>
              </w:rPr>
            </w:pPr>
            <w:r>
              <w:rPr>
                <w:rFonts w:hint="eastAsia" w:ascii="宋体" w:hAnsi="宋体" w:cs="宋体"/>
                <w:color w:val="000000" w:themeColor="text1"/>
                <w:szCs w:val="24"/>
                <w:highlight w:val="none"/>
                <w:shd w:val="clear" w:color="auto" w:fill="FFFFFF"/>
                <w14:textFill>
                  <w14:solidFill>
                    <w14:schemeClr w14:val="tx1"/>
                  </w14:solidFill>
                </w14:textFill>
              </w:rPr>
              <w:t>医生全部药品处方权限管控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959" w:type="dxa"/>
            <w:vMerge w:val="continue"/>
            <w:vAlign w:val="center"/>
          </w:tcPr>
          <w:p>
            <w:pPr>
              <w:pStyle w:val="54"/>
              <w:spacing w:line="400" w:lineRule="exact"/>
              <w:rPr>
                <w:rFonts w:ascii="宋体" w:hAnsi="宋体" w:cs="宋体"/>
                <w:color w:val="000000" w:themeColor="text1"/>
                <w:szCs w:val="24"/>
                <w:highlight w:val="none"/>
                <w:shd w:val="clear" w:color="auto" w:fill="FFFFFF"/>
                <w14:textFill>
                  <w14:solidFill>
                    <w14:schemeClr w14:val="tx1"/>
                  </w14:solidFill>
                </w14:textFill>
              </w:rPr>
            </w:pPr>
          </w:p>
        </w:tc>
        <w:tc>
          <w:tcPr>
            <w:tcW w:w="3259" w:type="dxa"/>
            <w:vMerge w:val="continue"/>
            <w:shd w:val="clear" w:color="auto" w:fill="auto"/>
            <w:vAlign w:val="center"/>
          </w:tcPr>
          <w:p>
            <w:pPr>
              <w:pStyle w:val="54"/>
              <w:spacing w:line="400" w:lineRule="exact"/>
              <w:rPr>
                <w:rFonts w:ascii="宋体" w:hAnsi="宋体" w:cs="宋体"/>
                <w:color w:val="000000" w:themeColor="text1"/>
                <w:szCs w:val="24"/>
                <w:highlight w:val="none"/>
                <w:shd w:val="clear" w:color="auto" w:fill="FFFFFF"/>
                <w14:textFill>
                  <w14:solidFill>
                    <w14:schemeClr w14:val="tx1"/>
                  </w14:solidFill>
                </w14:textFill>
              </w:rPr>
            </w:pPr>
          </w:p>
        </w:tc>
        <w:tc>
          <w:tcPr>
            <w:tcW w:w="4304" w:type="dxa"/>
            <w:shd w:val="clear" w:color="auto" w:fill="auto"/>
            <w:vAlign w:val="center"/>
          </w:tcPr>
          <w:p>
            <w:pPr>
              <w:pStyle w:val="54"/>
              <w:spacing w:line="400" w:lineRule="exact"/>
              <w:rPr>
                <w:rFonts w:ascii="宋体" w:hAnsi="宋体" w:cs="宋体"/>
                <w:color w:val="000000" w:themeColor="text1"/>
                <w:szCs w:val="24"/>
                <w:highlight w:val="none"/>
                <w:shd w:val="clear" w:color="auto" w:fill="FFFFFF"/>
                <w14:textFill>
                  <w14:solidFill>
                    <w14:schemeClr w14:val="tx1"/>
                  </w14:solidFill>
                </w14:textFill>
              </w:rPr>
            </w:pPr>
            <w:r>
              <w:rPr>
                <w:rFonts w:hint="eastAsia" w:ascii="宋体" w:hAnsi="宋体" w:cs="宋体"/>
                <w:color w:val="000000" w:themeColor="text1"/>
                <w:szCs w:val="24"/>
                <w:highlight w:val="none"/>
                <w:shd w:val="clear" w:color="auto" w:fill="FFFFFF"/>
                <w14:textFill>
                  <w14:solidFill>
                    <w14:schemeClr w14:val="tx1"/>
                  </w14:solidFill>
                </w14:textFill>
              </w:rPr>
              <w:t>医生抗菌药品处方权限管控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trPr>
        <w:tc>
          <w:tcPr>
            <w:tcW w:w="959" w:type="dxa"/>
            <w:vMerge w:val="continue"/>
            <w:vAlign w:val="center"/>
          </w:tcPr>
          <w:p>
            <w:pPr>
              <w:pStyle w:val="54"/>
              <w:spacing w:line="400" w:lineRule="exact"/>
              <w:rPr>
                <w:rFonts w:ascii="宋体" w:hAnsi="宋体" w:cs="宋体"/>
                <w:color w:val="000000" w:themeColor="text1"/>
                <w:szCs w:val="24"/>
                <w:highlight w:val="none"/>
                <w:shd w:val="clear" w:color="auto" w:fill="FFFFFF"/>
                <w14:textFill>
                  <w14:solidFill>
                    <w14:schemeClr w14:val="tx1"/>
                  </w14:solidFill>
                </w14:textFill>
              </w:rPr>
            </w:pPr>
          </w:p>
        </w:tc>
        <w:tc>
          <w:tcPr>
            <w:tcW w:w="3259" w:type="dxa"/>
            <w:vMerge w:val="restart"/>
            <w:shd w:val="clear" w:color="auto" w:fill="auto"/>
            <w:vAlign w:val="center"/>
          </w:tcPr>
          <w:p>
            <w:pPr>
              <w:pStyle w:val="54"/>
              <w:spacing w:line="400" w:lineRule="exact"/>
              <w:rPr>
                <w:rFonts w:ascii="宋体" w:hAnsi="宋体" w:cs="宋体"/>
                <w:color w:val="000000" w:themeColor="text1"/>
                <w:szCs w:val="24"/>
                <w:highlight w:val="none"/>
                <w:shd w:val="clear" w:color="auto" w:fill="FFFFFF"/>
                <w14:textFill>
                  <w14:solidFill>
                    <w14:schemeClr w14:val="tx1"/>
                  </w14:solidFill>
                </w14:textFill>
              </w:rPr>
            </w:pPr>
            <w:r>
              <w:rPr>
                <w:rFonts w:hint="eastAsia" w:ascii="宋体" w:hAnsi="宋体" w:cs="宋体"/>
                <w:color w:val="000000" w:themeColor="text1"/>
                <w:szCs w:val="24"/>
                <w:highlight w:val="none"/>
                <w:shd w:val="clear" w:color="auto" w:fill="FFFFFF"/>
                <w14:textFill>
                  <w14:solidFill>
                    <w14:schemeClr w14:val="tx1"/>
                  </w14:solidFill>
                </w14:textFill>
              </w:rPr>
              <w:t>信息查询功能</w:t>
            </w:r>
          </w:p>
        </w:tc>
        <w:tc>
          <w:tcPr>
            <w:tcW w:w="4304" w:type="dxa"/>
            <w:shd w:val="clear" w:color="auto" w:fill="auto"/>
            <w:vAlign w:val="center"/>
          </w:tcPr>
          <w:p>
            <w:pPr>
              <w:pStyle w:val="54"/>
              <w:spacing w:line="400" w:lineRule="exact"/>
              <w:rPr>
                <w:rFonts w:ascii="宋体" w:hAnsi="宋体" w:cs="宋体"/>
                <w:color w:val="000000" w:themeColor="text1"/>
                <w:szCs w:val="24"/>
                <w:highlight w:val="none"/>
                <w:shd w:val="clear" w:color="auto" w:fill="FFFFFF"/>
                <w14:textFill>
                  <w14:solidFill>
                    <w14:schemeClr w14:val="tx1"/>
                  </w14:solidFill>
                </w14:textFill>
              </w:rPr>
            </w:pPr>
            <w:r>
              <w:rPr>
                <w:rFonts w:hint="eastAsia" w:ascii="宋体" w:hAnsi="宋体" w:cs="宋体"/>
                <w:color w:val="000000" w:themeColor="text1"/>
                <w:szCs w:val="24"/>
                <w:highlight w:val="none"/>
                <w:shd w:val="clear" w:color="auto" w:fill="FFFFFF"/>
                <w14:textFill>
                  <w14:solidFill>
                    <w14:schemeClr w14:val="tx1"/>
                  </w14:solidFill>
                </w14:textFill>
              </w:rPr>
              <w:t>费用排名公示查询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959" w:type="dxa"/>
            <w:vMerge w:val="continue"/>
            <w:vAlign w:val="center"/>
          </w:tcPr>
          <w:p>
            <w:pPr>
              <w:pStyle w:val="54"/>
              <w:spacing w:line="400" w:lineRule="exact"/>
              <w:rPr>
                <w:rFonts w:ascii="宋体" w:hAnsi="宋体" w:cs="宋体"/>
                <w:color w:val="000000" w:themeColor="text1"/>
                <w:szCs w:val="24"/>
                <w:highlight w:val="none"/>
                <w:shd w:val="clear" w:color="auto" w:fill="FFFFFF"/>
                <w14:textFill>
                  <w14:solidFill>
                    <w14:schemeClr w14:val="tx1"/>
                  </w14:solidFill>
                </w14:textFill>
              </w:rPr>
            </w:pPr>
          </w:p>
        </w:tc>
        <w:tc>
          <w:tcPr>
            <w:tcW w:w="3259" w:type="dxa"/>
            <w:vMerge w:val="continue"/>
            <w:shd w:val="clear" w:color="auto" w:fill="auto"/>
            <w:vAlign w:val="center"/>
          </w:tcPr>
          <w:p>
            <w:pPr>
              <w:pStyle w:val="54"/>
              <w:spacing w:line="400" w:lineRule="exact"/>
              <w:rPr>
                <w:rFonts w:ascii="宋体" w:hAnsi="宋体" w:cs="宋体"/>
                <w:color w:val="000000" w:themeColor="text1"/>
                <w:szCs w:val="24"/>
                <w:highlight w:val="none"/>
                <w:shd w:val="clear" w:color="auto" w:fill="FFFFFF"/>
                <w14:textFill>
                  <w14:solidFill>
                    <w14:schemeClr w14:val="tx1"/>
                  </w14:solidFill>
                </w14:textFill>
              </w:rPr>
            </w:pPr>
          </w:p>
        </w:tc>
        <w:tc>
          <w:tcPr>
            <w:tcW w:w="4304" w:type="dxa"/>
            <w:shd w:val="clear" w:color="auto" w:fill="auto"/>
            <w:vAlign w:val="center"/>
          </w:tcPr>
          <w:p>
            <w:pPr>
              <w:pStyle w:val="54"/>
              <w:spacing w:line="400" w:lineRule="exact"/>
              <w:rPr>
                <w:rFonts w:ascii="宋体" w:hAnsi="宋体" w:cs="宋体"/>
                <w:color w:val="000000" w:themeColor="text1"/>
                <w:szCs w:val="24"/>
                <w:highlight w:val="none"/>
                <w:shd w:val="clear" w:color="auto" w:fill="FFFFFF"/>
                <w14:textFill>
                  <w14:solidFill>
                    <w14:schemeClr w14:val="tx1"/>
                  </w14:solidFill>
                </w14:textFill>
              </w:rPr>
            </w:pPr>
            <w:r>
              <w:rPr>
                <w:rFonts w:hint="eastAsia" w:ascii="宋体" w:hAnsi="宋体" w:cs="宋体"/>
                <w:color w:val="000000" w:themeColor="text1"/>
                <w:szCs w:val="24"/>
                <w:highlight w:val="none"/>
                <w:shd w:val="clear" w:color="auto" w:fill="FFFFFF"/>
                <w14:textFill>
                  <w14:solidFill>
                    <w14:schemeClr w14:val="tx1"/>
                  </w14:solidFill>
                </w14:textFill>
              </w:rPr>
              <w:t>个人抗生素使用情况查询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959" w:type="dxa"/>
            <w:vMerge w:val="restart"/>
            <w:shd w:val="clear" w:color="auto" w:fill="auto"/>
            <w:vAlign w:val="center"/>
          </w:tcPr>
          <w:p>
            <w:pPr>
              <w:pStyle w:val="54"/>
              <w:spacing w:line="400" w:lineRule="exact"/>
              <w:rPr>
                <w:rFonts w:ascii="宋体" w:hAnsi="宋体" w:cs="宋体"/>
                <w:color w:val="000000" w:themeColor="text1"/>
                <w:szCs w:val="24"/>
                <w:highlight w:val="none"/>
                <w:shd w:val="clear" w:color="auto" w:fill="FFFFFF"/>
                <w14:textFill>
                  <w14:solidFill>
                    <w14:schemeClr w14:val="tx1"/>
                  </w14:solidFill>
                </w14:textFill>
              </w:rPr>
            </w:pPr>
            <w:r>
              <w:rPr>
                <w:rFonts w:hint="eastAsia" w:ascii="宋体" w:hAnsi="宋体" w:cs="宋体"/>
                <w:color w:val="000000" w:themeColor="text1"/>
                <w:szCs w:val="24"/>
                <w:highlight w:val="none"/>
                <w:shd w:val="clear" w:color="auto" w:fill="FFFFFF"/>
                <w14:textFill>
                  <w14:solidFill>
                    <w14:schemeClr w14:val="tx1"/>
                  </w14:solidFill>
                </w14:textFill>
              </w:rPr>
              <w:t>统计分析功能</w:t>
            </w:r>
          </w:p>
        </w:tc>
        <w:tc>
          <w:tcPr>
            <w:tcW w:w="3259" w:type="dxa"/>
            <w:shd w:val="clear" w:color="auto" w:fill="auto"/>
            <w:vAlign w:val="center"/>
          </w:tcPr>
          <w:p>
            <w:pPr>
              <w:pStyle w:val="54"/>
              <w:spacing w:line="400" w:lineRule="exact"/>
              <w:rPr>
                <w:rFonts w:ascii="宋体" w:hAnsi="宋体" w:cs="宋体"/>
                <w:color w:val="000000" w:themeColor="text1"/>
                <w:szCs w:val="24"/>
                <w:highlight w:val="none"/>
                <w:shd w:val="clear" w:color="auto" w:fill="FFFFFF"/>
                <w14:textFill>
                  <w14:solidFill>
                    <w14:schemeClr w14:val="tx1"/>
                  </w14:solidFill>
                </w14:textFill>
              </w:rPr>
            </w:pPr>
            <w:r>
              <w:rPr>
                <w:rFonts w:hint="eastAsia" w:ascii="宋体" w:hAnsi="宋体" w:cs="宋体"/>
                <w:color w:val="000000" w:themeColor="text1"/>
                <w:szCs w:val="24"/>
                <w:highlight w:val="none"/>
                <w:shd w:val="clear" w:color="auto" w:fill="FFFFFF"/>
                <w14:textFill>
                  <w14:solidFill>
                    <w14:schemeClr w14:val="tx1"/>
                  </w14:solidFill>
                </w14:textFill>
              </w:rPr>
              <w:t>住院抗菌药物使用情况</w:t>
            </w:r>
          </w:p>
        </w:tc>
        <w:tc>
          <w:tcPr>
            <w:tcW w:w="4304" w:type="dxa"/>
            <w:vMerge w:val="restart"/>
            <w:shd w:val="clear" w:color="auto" w:fill="auto"/>
            <w:vAlign w:val="center"/>
          </w:tcPr>
          <w:p>
            <w:pPr>
              <w:pStyle w:val="54"/>
              <w:spacing w:line="400" w:lineRule="exact"/>
              <w:rPr>
                <w:rFonts w:ascii="宋体" w:hAnsi="宋体" w:cs="宋体"/>
                <w:color w:val="000000" w:themeColor="text1"/>
                <w:szCs w:val="24"/>
                <w:highlight w:val="none"/>
                <w:shd w:val="clear" w:color="auto" w:fill="FFFFFF"/>
                <w14:textFill>
                  <w14:solidFill>
                    <w14:schemeClr w14:val="tx1"/>
                  </w14:solidFill>
                </w14:textFill>
              </w:rPr>
            </w:pPr>
            <w:r>
              <w:rPr>
                <w:rFonts w:hint="eastAsia" w:ascii="宋体" w:hAnsi="宋体" w:cs="宋体"/>
                <w:color w:val="000000" w:themeColor="text1"/>
                <w:szCs w:val="24"/>
                <w:highlight w:val="none"/>
                <w:shd w:val="clear" w:color="auto" w:fill="FFFFFF"/>
                <w14:textFill>
                  <w14:solidFill>
                    <w14:schemeClr w14:val="tx1"/>
                  </w14:solidFill>
                </w14:textFill>
              </w:rPr>
              <w:t>提供各类指标的统计分析功能，满足医院等级评审和相关检查的要求。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959" w:type="dxa"/>
            <w:vMerge w:val="continue"/>
            <w:vAlign w:val="center"/>
          </w:tcPr>
          <w:p>
            <w:pPr>
              <w:pStyle w:val="54"/>
              <w:spacing w:line="400" w:lineRule="exact"/>
              <w:rPr>
                <w:rFonts w:ascii="宋体" w:hAnsi="宋体" w:cs="宋体"/>
                <w:color w:val="000000" w:themeColor="text1"/>
                <w:szCs w:val="24"/>
                <w:highlight w:val="none"/>
                <w:shd w:val="clear" w:color="auto" w:fill="FFFFFF"/>
                <w14:textFill>
                  <w14:solidFill>
                    <w14:schemeClr w14:val="tx1"/>
                  </w14:solidFill>
                </w14:textFill>
              </w:rPr>
            </w:pPr>
          </w:p>
        </w:tc>
        <w:tc>
          <w:tcPr>
            <w:tcW w:w="3259" w:type="dxa"/>
            <w:shd w:val="clear" w:color="auto" w:fill="auto"/>
            <w:vAlign w:val="center"/>
          </w:tcPr>
          <w:p>
            <w:pPr>
              <w:pStyle w:val="54"/>
              <w:spacing w:line="400" w:lineRule="exact"/>
              <w:rPr>
                <w:rFonts w:ascii="宋体" w:hAnsi="宋体" w:cs="宋体"/>
                <w:color w:val="000000" w:themeColor="text1"/>
                <w:szCs w:val="24"/>
                <w:highlight w:val="none"/>
                <w:shd w:val="clear" w:color="auto" w:fill="FFFFFF"/>
                <w14:textFill>
                  <w14:solidFill>
                    <w14:schemeClr w14:val="tx1"/>
                  </w14:solidFill>
                </w14:textFill>
              </w:rPr>
            </w:pPr>
            <w:r>
              <w:rPr>
                <w:rFonts w:hint="eastAsia" w:ascii="宋体" w:hAnsi="宋体" w:cs="宋体"/>
                <w:color w:val="000000" w:themeColor="text1"/>
                <w:szCs w:val="24"/>
                <w:highlight w:val="none"/>
                <w:shd w:val="clear" w:color="auto" w:fill="FFFFFF"/>
                <w14:textFill>
                  <w14:solidFill>
                    <w14:schemeClr w14:val="tx1"/>
                  </w14:solidFill>
                </w14:textFill>
              </w:rPr>
              <w:t>住院药品费用排名公示</w:t>
            </w:r>
          </w:p>
        </w:tc>
        <w:tc>
          <w:tcPr>
            <w:tcW w:w="4304" w:type="dxa"/>
            <w:vMerge w:val="continue"/>
            <w:shd w:val="clear" w:color="auto" w:fill="auto"/>
            <w:vAlign w:val="center"/>
          </w:tcPr>
          <w:p>
            <w:pPr>
              <w:pStyle w:val="54"/>
              <w:spacing w:line="400" w:lineRule="exact"/>
              <w:rPr>
                <w:rFonts w:ascii="宋体" w:hAnsi="宋体" w:cs="宋体"/>
                <w:color w:val="000000" w:themeColor="text1"/>
                <w:szCs w:val="24"/>
                <w:highlight w:val="none"/>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959" w:type="dxa"/>
            <w:vMerge w:val="continue"/>
            <w:vAlign w:val="center"/>
          </w:tcPr>
          <w:p>
            <w:pPr>
              <w:pStyle w:val="54"/>
              <w:spacing w:line="400" w:lineRule="exact"/>
              <w:rPr>
                <w:rFonts w:ascii="宋体" w:hAnsi="宋体" w:cs="宋体"/>
                <w:color w:val="000000" w:themeColor="text1"/>
                <w:szCs w:val="24"/>
                <w:highlight w:val="none"/>
                <w:shd w:val="clear" w:color="auto" w:fill="FFFFFF"/>
                <w14:textFill>
                  <w14:solidFill>
                    <w14:schemeClr w14:val="tx1"/>
                  </w14:solidFill>
                </w14:textFill>
              </w:rPr>
            </w:pPr>
          </w:p>
        </w:tc>
        <w:tc>
          <w:tcPr>
            <w:tcW w:w="3259" w:type="dxa"/>
            <w:shd w:val="clear" w:color="auto" w:fill="auto"/>
            <w:vAlign w:val="center"/>
          </w:tcPr>
          <w:p>
            <w:pPr>
              <w:pStyle w:val="54"/>
              <w:spacing w:line="400" w:lineRule="exact"/>
              <w:rPr>
                <w:rFonts w:ascii="宋体" w:hAnsi="宋体" w:cs="宋体"/>
                <w:color w:val="000000" w:themeColor="text1"/>
                <w:szCs w:val="24"/>
                <w:highlight w:val="none"/>
                <w:shd w:val="clear" w:color="auto" w:fill="FFFFFF"/>
                <w14:textFill>
                  <w14:solidFill>
                    <w14:schemeClr w14:val="tx1"/>
                  </w14:solidFill>
                </w14:textFill>
              </w:rPr>
            </w:pPr>
            <w:r>
              <w:rPr>
                <w:rFonts w:hint="eastAsia" w:ascii="宋体" w:hAnsi="宋体" w:cs="宋体"/>
                <w:color w:val="000000" w:themeColor="text1"/>
                <w:szCs w:val="24"/>
                <w:highlight w:val="none"/>
                <w:shd w:val="clear" w:color="auto" w:fill="FFFFFF"/>
                <w14:textFill>
                  <w14:solidFill>
                    <w14:schemeClr w14:val="tx1"/>
                  </w14:solidFill>
                </w14:textFill>
              </w:rPr>
              <w:t>抗菌药物使用金额排名</w:t>
            </w:r>
          </w:p>
        </w:tc>
        <w:tc>
          <w:tcPr>
            <w:tcW w:w="4304" w:type="dxa"/>
            <w:vMerge w:val="continue"/>
            <w:shd w:val="clear" w:color="auto" w:fill="auto"/>
            <w:vAlign w:val="center"/>
          </w:tcPr>
          <w:p>
            <w:pPr>
              <w:pStyle w:val="54"/>
              <w:spacing w:line="400" w:lineRule="exact"/>
              <w:rPr>
                <w:rFonts w:ascii="宋体" w:hAnsi="宋体" w:cs="宋体"/>
                <w:color w:val="000000" w:themeColor="text1"/>
                <w:szCs w:val="24"/>
                <w:highlight w:val="none"/>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959" w:type="dxa"/>
            <w:vMerge w:val="continue"/>
            <w:vAlign w:val="center"/>
          </w:tcPr>
          <w:p>
            <w:pPr>
              <w:pStyle w:val="54"/>
              <w:spacing w:line="400" w:lineRule="exact"/>
              <w:rPr>
                <w:rFonts w:ascii="宋体" w:hAnsi="宋体" w:cs="宋体"/>
                <w:color w:val="000000" w:themeColor="text1"/>
                <w:szCs w:val="24"/>
                <w:highlight w:val="none"/>
                <w:shd w:val="clear" w:color="auto" w:fill="FFFFFF"/>
                <w14:textFill>
                  <w14:solidFill>
                    <w14:schemeClr w14:val="tx1"/>
                  </w14:solidFill>
                </w14:textFill>
              </w:rPr>
            </w:pPr>
          </w:p>
        </w:tc>
        <w:tc>
          <w:tcPr>
            <w:tcW w:w="3259" w:type="dxa"/>
            <w:shd w:val="clear" w:color="auto" w:fill="auto"/>
            <w:vAlign w:val="center"/>
          </w:tcPr>
          <w:p>
            <w:pPr>
              <w:pStyle w:val="54"/>
              <w:spacing w:line="400" w:lineRule="exact"/>
              <w:rPr>
                <w:rFonts w:ascii="宋体" w:hAnsi="宋体" w:cs="宋体"/>
                <w:color w:val="000000" w:themeColor="text1"/>
                <w:szCs w:val="24"/>
                <w:highlight w:val="none"/>
                <w:shd w:val="clear" w:color="auto" w:fill="FFFFFF"/>
                <w14:textFill>
                  <w14:solidFill>
                    <w14:schemeClr w14:val="tx1"/>
                  </w14:solidFill>
                </w14:textFill>
              </w:rPr>
            </w:pPr>
            <w:r>
              <w:rPr>
                <w:rFonts w:hint="eastAsia" w:ascii="宋体" w:hAnsi="宋体" w:cs="宋体"/>
                <w:color w:val="000000" w:themeColor="text1"/>
                <w:szCs w:val="24"/>
                <w:highlight w:val="none"/>
                <w:shd w:val="clear" w:color="auto" w:fill="FFFFFF"/>
                <w14:textFill>
                  <w14:solidFill>
                    <w14:schemeClr w14:val="tx1"/>
                  </w14:solidFill>
                </w14:textFill>
              </w:rPr>
              <w:t>出院病人抗菌药物使用情况统计</w:t>
            </w:r>
          </w:p>
        </w:tc>
        <w:tc>
          <w:tcPr>
            <w:tcW w:w="4304" w:type="dxa"/>
            <w:vMerge w:val="continue"/>
            <w:shd w:val="clear" w:color="auto" w:fill="auto"/>
            <w:vAlign w:val="center"/>
          </w:tcPr>
          <w:p>
            <w:pPr>
              <w:pStyle w:val="54"/>
              <w:spacing w:line="400" w:lineRule="exact"/>
              <w:rPr>
                <w:rFonts w:ascii="宋体" w:hAnsi="宋体" w:cs="宋体"/>
                <w:color w:val="000000" w:themeColor="text1"/>
                <w:szCs w:val="24"/>
                <w:highlight w:val="none"/>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959" w:type="dxa"/>
            <w:vMerge w:val="continue"/>
            <w:vAlign w:val="center"/>
          </w:tcPr>
          <w:p>
            <w:pPr>
              <w:pStyle w:val="54"/>
              <w:spacing w:line="400" w:lineRule="exact"/>
              <w:rPr>
                <w:rFonts w:ascii="宋体" w:hAnsi="宋体" w:cs="宋体"/>
                <w:color w:val="000000" w:themeColor="text1"/>
                <w:szCs w:val="24"/>
                <w:highlight w:val="none"/>
                <w:shd w:val="clear" w:color="auto" w:fill="FFFFFF"/>
                <w14:textFill>
                  <w14:solidFill>
                    <w14:schemeClr w14:val="tx1"/>
                  </w14:solidFill>
                </w14:textFill>
              </w:rPr>
            </w:pPr>
          </w:p>
        </w:tc>
        <w:tc>
          <w:tcPr>
            <w:tcW w:w="3259" w:type="dxa"/>
            <w:shd w:val="clear" w:color="auto" w:fill="auto"/>
            <w:vAlign w:val="center"/>
          </w:tcPr>
          <w:p>
            <w:pPr>
              <w:pStyle w:val="54"/>
              <w:spacing w:line="400" w:lineRule="exact"/>
              <w:rPr>
                <w:rFonts w:ascii="宋体" w:hAnsi="宋体" w:cs="宋体"/>
                <w:color w:val="000000" w:themeColor="text1"/>
                <w:szCs w:val="24"/>
                <w:highlight w:val="none"/>
                <w:shd w:val="clear" w:color="auto" w:fill="FFFFFF"/>
                <w14:textFill>
                  <w14:solidFill>
                    <w14:schemeClr w14:val="tx1"/>
                  </w14:solidFill>
                </w14:textFill>
              </w:rPr>
            </w:pPr>
            <w:r>
              <w:rPr>
                <w:rFonts w:hint="eastAsia" w:ascii="宋体" w:hAnsi="宋体" w:cs="宋体"/>
                <w:color w:val="000000" w:themeColor="text1"/>
                <w:szCs w:val="24"/>
                <w:highlight w:val="none"/>
                <w:shd w:val="clear" w:color="auto" w:fill="FFFFFF"/>
                <w14:textFill>
                  <w14:solidFill>
                    <w14:schemeClr w14:val="tx1"/>
                  </w14:solidFill>
                </w14:textFill>
              </w:rPr>
              <w:t>手术预防用药指标统计</w:t>
            </w:r>
          </w:p>
        </w:tc>
        <w:tc>
          <w:tcPr>
            <w:tcW w:w="4304" w:type="dxa"/>
            <w:vMerge w:val="continue"/>
            <w:shd w:val="clear" w:color="auto" w:fill="auto"/>
            <w:vAlign w:val="center"/>
          </w:tcPr>
          <w:p>
            <w:pPr>
              <w:pStyle w:val="54"/>
              <w:spacing w:line="400" w:lineRule="exact"/>
              <w:rPr>
                <w:rFonts w:ascii="宋体" w:hAnsi="宋体" w:cs="宋体"/>
                <w:color w:val="000000" w:themeColor="text1"/>
                <w:szCs w:val="24"/>
                <w:highlight w:val="none"/>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959" w:type="dxa"/>
            <w:vMerge w:val="continue"/>
            <w:vAlign w:val="center"/>
          </w:tcPr>
          <w:p>
            <w:pPr>
              <w:pStyle w:val="54"/>
              <w:spacing w:line="400" w:lineRule="exact"/>
              <w:rPr>
                <w:rFonts w:ascii="宋体" w:hAnsi="宋体" w:cs="宋体"/>
                <w:color w:val="000000" w:themeColor="text1"/>
                <w:szCs w:val="24"/>
                <w:highlight w:val="none"/>
                <w:shd w:val="clear" w:color="auto" w:fill="FFFFFF"/>
                <w14:textFill>
                  <w14:solidFill>
                    <w14:schemeClr w14:val="tx1"/>
                  </w14:solidFill>
                </w14:textFill>
              </w:rPr>
            </w:pPr>
          </w:p>
        </w:tc>
        <w:tc>
          <w:tcPr>
            <w:tcW w:w="3259" w:type="dxa"/>
            <w:shd w:val="clear" w:color="auto" w:fill="auto"/>
            <w:vAlign w:val="center"/>
          </w:tcPr>
          <w:p>
            <w:pPr>
              <w:pStyle w:val="54"/>
              <w:spacing w:line="400" w:lineRule="exact"/>
              <w:rPr>
                <w:rFonts w:ascii="宋体" w:hAnsi="宋体" w:cs="宋体"/>
                <w:color w:val="000000" w:themeColor="text1"/>
                <w:szCs w:val="24"/>
                <w:highlight w:val="none"/>
                <w:shd w:val="clear" w:color="auto" w:fill="FFFFFF"/>
                <w14:textFill>
                  <w14:solidFill>
                    <w14:schemeClr w14:val="tx1"/>
                  </w14:solidFill>
                </w14:textFill>
              </w:rPr>
            </w:pPr>
            <w:r>
              <w:rPr>
                <w:rFonts w:hint="eastAsia" w:ascii="宋体" w:hAnsi="宋体" w:cs="宋体"/>
                <w:color w:val="000000" w:themeColor="text1"/>
                <w:szCs w:val="24"/>
                <w:highlight w:val="none"/>
                <w:shd w:val="clear" w:color="auto" w:fill="FFFFFF"/>
                <w14:textFill>
                  <w14:solidFill>
                    <w14:schemeClr w14:val="tx1"/>
                  </w14:solidFill>
                </w14:textFill>
              </w:rPr>
              <w:t>疾病治疗抗菌药物成本分析</w:t>
            </w:r>
          </w:p>
        </w:tc>
        <w:tc>
          <w:tcPr>
            <w:tcW w:w="4304" w:type="dxa"/>
            <w:vMerge w:val="continue"/>
            <w:shd w:val="clear" w:color="auto" w:fill="auto"/>
            <w:vAlign w:val="center"/>
          </w:tcPr>
          <w:p>
            <w:pPr>
              <w:pStyle w:val="54"/>
              <w:spacing w:line="400" w:lineRule="exact"/>
              <w:rPr>
                <w:rFonts w:ascii="宋体" w:hAnsi="宋体" w:cs="宋体"/>
                <w:color w:val="000000" w:themeColor="text1"/>
                <w:szCs w:val="24"/>
                <w:highlight w:val="none"/>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959" w:type="dxa"/>
            <w:vMerge w:val="continue"/>
            <w:vAlign w:val="center"/>
          </w:tcPr>
          <w:p>
            <w:pPr>
              <w:pStyle w:val="54"/>
              <w:spacing w:line="400" w:lineRule="exact"/>
              <w:rPr>
                <w:rFonts w:ascii="宋体" w:hAnsi="宋体" w:cs="宋体"/>
                <w:color w:val="000000" w:themeColor="text1"/>
                <w:szCs w:val="24"/>
                <w:highlight w:val="none"/>
                <w:shd w:val="clear" w:color="auto" w:fill="FFFFFF"/>
                <w14:textFill>
                  <w14:solidFill>
                    <w14:schemeClr w14:val="tx1"/>
                  </w14:solidFill>
                </w14:textFill>
              </w:rPr>
            </w:pPr>
          </w:p>
        </w:tc>
        <w:tc>
          <w:tcPr>
            <w:tcW w:w="3259" w:type="dxa"/>
            <w:shd w:val="clear" w:color="auto" w:fill="auto"/>
            <w:vAlign w:val="center"/>
          </w:tcPr>
          <w:p>
            <w:pPr>
              <w:pStyle w:val="54"/>
              <w:spacing w:line="400" w:lineRule="exact"/>
              <w:rPr>
                <w:rFonts w:ascii="宋体" w:hAnsi="宋体" w:cs="宋体"/>
                <w:color w:val="000000" w:themeColor="text1"/>
                <w:szCs w:val="24"/>
                <w:highlight w:val="none"/>
                <w:shd w:val="clear" w:color="auto" w:fill="FFFFFF"/>
                <w14:textFill>
                  <w14:solidFill>
                    <w14:schemeClr w14:val="tx1"/>
                  </w14:solidFill>
                </w14:textFill>
              </w:rPr>
            </w:pPr>
            <w:r>
              <w:rPr>
                <w:rFonts w:hint="eastAsia" w:ascii="宋体" w:hAnsi="宋体" w:cs="宋体"/>
                <w:color w:val="000000" w:themeColor="text1"/>
                <w:szCs w:val="24"/>
                <w:highlight w:val="none"/>
                <w:shd w:val="clear" w:color="auto" w:fill="FFFFFF"/>
                <w14:textFill>
                  <w14:solidFill>
                    <w14:schemeClr w14:val="tx1"/>
                  </w14:solidFill>
                </w14:textFill>
              </w:rPr>
              <w:t>医院药品使用强度统计</w:t>
            </w:r>
          </w:p>
        </w:tc>
        <w:tc>
          <w:tcPr>
            <w:tcW w:w="4304" w:type="dxa"/>
            <w:vMerge w:val="continue"/>
            <w:shd w:val="clear" w:color="auto" w:fill="auto"/>
            <w:vAlign w:val="center"/>
          </w:tcPr>
          <w:p>
            <w:pPr>
              <w:pStyle w:val="54"/>
              <w:spacing w:line="400" w:lineRule="exact"/>
              <w:rPr>
                <w:rFonts w:ascii="宋体" w:hAnsi="宋体" w:cs="宋体"/>
                <w:color w:val="000000" w:themeColor="text1"/>
                <w:szCs w:val="24"/>
                <w:highlight w:val="none"/>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959" w:type="dxa"/>
            <w:vMerge w:val="continue"/>
            <w:vAlign w:val="center"/>
          </w:tcPr>
          <w:p>
            <w:pPr>
              <w:pStyle w:val="54"/>
              <w:spacing w:line="400" w:lineRule="exact"/>
              <w:rPr>
                <w:rFonts w:ascii="宋体" w:hAnsi="宋体" w:cs="宋体"/>
                <w:color w:val="000000" w:themeColor="text1"/>
                <w:szCs w:val="24"/>
                <w:highlight w:val="none"/>
                <w:shd w:val="clear" w:color="auto" w:fill="FFFFFF"/>
                <w14:textFill>
                  <w14:solidFill>
                    <w14:schemeClr w14:val="tx1"/>
                  </w14:solidFill>
                </w14:textFill>
              </w:rPr>
            </w:pPr>
          </w:p>
        </w:tc>
        <w:tc>
          <w:tcPr>
            <w:tcW w:w="3259" w:type="dxa"/>
            <w:shd w:val="clear" w:color="auto" w:fill="auto"/>
            <w:vAlign w:val="center"/>
          </w:tcPr>
          <w:p>
            <w:pPr>
              <w:pStyle w:val="54"/>
              <w:spacing w:line="400" w:lineRule="exact"/>
              <w:rPr>
                <w:rFonts w:ascii="宋体" w:hAnsi="宋体" w:cs="宋体"/>
                <w:color w:val="000000" w:themeColor="text1"/>
                <w:szCs w:val="24"/>
                <w:highlight w:val="none"/>
                <w:shd w:val="clear" w:color="auto" w:fill="FFFFFF"/>
                <w14:textFill>
                  <w14:solidFill>
                    <w14:schemeClr w14:val="tx1"/>
                  </w14:solidFill>
                </w14:textFill>
              </w:rPr>
            </w:pPr>
            <w:r>
              <w:rPr>
                <w:rFonts w:hint="eastAsia" w:ascii="宋体" w:hAnsi="宋体" w:cs="宋体"/>
                <w:color w:val="000000" w:themeColor="text1"/>
                <w:szCs w:val="24"/>
                <w:highlight w:val="none"/>
                <w:shd w:val="clear" w:color="auto" w:fill="FFFFFF"/>
                <w14:textFill>
                  <w14:solidFill>
                    <w14:schemeClr w14:val="tx1"/>
                  </w14:solidFill>
                </w14:textFill>
              </w:rPr>
              <w:t>门诊抗菌药物处方统计</w:t>
            </w:r>
          </w:p>
        </w:tc>
        <w:tc>
          <w:tcPr>
            <w:tcW w:w="4304" w:type="dxa"/>
            <w:vMerge w:val="continue"/>
            <w:shd w:val="clear" w:color="auto" w:fill="auto"/>
            <w:vAlign w:val="center"/>
          </w:tcPr>
          <w:p>
            <w:pPr>
              <w:pStyle w:val="54"/>
              <w:spacing w:line="400" w:lineRule="exact"/>
              <w:rPr>
                <w:rFonts w:ascii="宋体" w:hAnsi="宋体" w:cs="宋体"/>
                <w:color w:val="000000" w:themeColor="text1"/>
                <w:szCs w:val="24"/>
                <w:highlight w:val="none"/>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959" w:type="dxa"/>
            <w:vMerge w:val="continue"/>
            <w:vAlign w:val="center"/>
          </w:tcPr>
          <w:p>
            <w:pPr>
              <w:pStyle w:val="54"/>
              <w:spacing w:line="400" w:lineRule="exact"/>
              <w:rPr>
                <w:rFonts w:ascii="宋体" w:hAnsi="宋体" w:cs="宋体"/>
                <w:color w:val="000000" w:themeColor="text1"/>
                <w:szCs w:val="24"/>
                <w:highlight w:val="none"/>
                <w:shd w:val="clear" w:color="auto" w:fill="FFFFFF"/>
                <w14:textFill>
                  <w14:solidFill>
                    <w14:schemeClr w14:val="tx1"/>
                  </w14:solidFill>
                </w14:textFill>
              </w:rPr>
            </w:pPr>
          </w:p>
        </w:tc>
        <w:tc>
          <w:tcPr>
            <w:tcW w:w="3259" w:type="dxa"/>
            <w:shd w:val="clear" w:color="auto" w:fill="auto"/>
            <w:vAlign w:val="center"/>
          </w:tcPr>
          <w:p>
            <w:pPr>
              <w:pStyle w:val="54"/>
              <w:spacing w:line="400" w:lineRule="exact"/>
              <w:rPr>
                <w:rFonts w:ascii="宋体" w:hAnsi="宋体" w:cs="宋体"/>
                <w:color w:val="000000" w:themeColor="text1"/>
                <w:szCs w:val="24"/>
                <w:highlight w:val="none"/>
                <w:shd w:val="clear" w:color="auto" w:fill="FFFFFF"/>
                <w14:textFill>
                  <w14:solidFill>
                    <w14:schemeClr w14:val="tx1"/>
                  </w14:solidFill>
                </w14:textFill>
              </w:rPr>
            </w:pPr>
            <w:r>
              <w:rPr>
                <w:rFonts w:hint="eastAsia" w:ascii="宋体" w:hAnsi="宋体" w:cs="宋体"/>
                <w:color w:val="000000" w:themeColor="text1"/>
                <w:szCs w:val="24"/>
                <w:highlight w:val="none"/>
                <w:shd w:val="clear" w:color="auto" w:fill="FFFFFF"/>
                <w14:textFill>
                  <w14:solidFill>
                    <w14:schemeClr w14:val="tx1"/>
                  </w14:solidFill>
                </w14:textFill>
              </w:rPr>
              <w:t>门诊药品与抗菌药物使用情况统计</w:t>
            </w:r>
          </w:p>
        </w:tc>
        <w:tc>
          <w:tcPr>
            <w:tcW w:w="4304" w:type="dxa"/>
            <w:vMerge w:val="continue"/>
            <w:shd w:val="clear" w:color="auto" w:fill="auto"/>
            <w:vAlign w:val="center"/>
          </w:tcPr>
          <w:p>
            <w:pPr>
              <w:pStyle w:val="54"/>
              <w:spacing w:line="400" w:lineRule="exact"/>
              <w:rPr>
                <w:rFonts w:ascii="宋体" w:hAnsi="宋体" w:cs="宋体"/>
                <w:color w:val="000000" w:themeColor="text1"/>
                <w:szCs w:val="24"/>
                <w:highlight w:val="none"/>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959" w:type="dxa"/>
            <w:vMerge w:val="continue"/>
            <w:vAlign w:val="center"/>
          </w:tcPr>
          <w:p>
            <w:pPr>
              <w:pStyle w:val="54"/>
              <w:spacing w:line="400" w:lineRule="exact"/>
              <w:rPr>
                <w:rFonts w:ascii="宋体" w:hAnsi="宋体" w:cs="宋体"/>
                <w:color w:val="000000" w:themeColor="text1"/>
                <w:szCs w:val="24"/>
                <w:highlight w:val="none"/>
                <w:shd w:val="clear" w:color="auto" w:fill="FFFFFF"/>
                <w14:textFill>
                  <w14:solidFill>
                    <w14:schemeClr w14:val="tx1"/>
                  </w14:solidFill>
                </w14:textFill>
              </w:rPr>
            </w:pPr>
          </w:p>
        </w:tc>
        <w:tc>
          <w:tcPr>
            <w:tcW w:w="3259" w:type="dxa"/>
            <w:shd w:val="clear" w:color="auto" w:fill="auto"/>
            <w:vAlign w:val="center"/>
          </w:tcPr>
          <w:p>
            <w:pPr>
              <w:pStyle w:val="54"/>
              <w:spacing w:line="400" w:lineRule="exact"/>
              <w:rPr>
                <w:rFonts w:ascii="宋体" w:hAnsi="宋体" w:cs="宋体"/>
                <w:color w:val="000000" w:themeColor="text1"/>
                <w:szCs w:val="24"/>
                <w:highlight w:val="none"/>
                <w:shd w:val="clear" w:color="auto" w:fill="FFFFFF"/>
                <w14:textFill>
                  <w14:solidFill>
                    <w14:schemeClr w14:val="tx1"/>
                  </w14:solidFill>
                </w14:textFill>
              </w:rPr>
            </w:pPr>
            <w:r>
              <w:rPr>
                <w:rFonts w:hint="eastAsia" w:ascii="宋体" w:hAnsi="宋体" w:cs="宋体"/>
                <w:color w:val="000000" w:themeColor="text1"/>
                <w:szCs w:val="24"/>
                <w:highlight w:val="none"/>
                <w:shd w:val="clear" w:color="auto" w:fill="FFFFFF"/>
                <w14:textFill>
                  <w14:solidFill>
                    <w14:schemeClr w14:val="tx1"/>
                  </w14:solidFill>
                </w14:textFill>
              </w:rPr>
              <w:t>越权使用抗菌药物汇总</w:t>
            </w:r>
          </w:p>
        </w:tc>
        <w:tc>
          <w:tcPr>
            <w:tcW w:w="4304" w:type="dxa"/>
            <w:vMerge w:val="continue"/>
            <w:shd w:val="clear" w:color="auto" w:fill="auto"/>
            <w:vAlign w:val="center"/>
          </w:tcPr>
          <w:p>
            <w:pPr>
              <w:pStyle w:val="54"/>
              <w:spacing w:line="400" w:lineRule="exact"/>
              <w:rPr>
                <w:rFonts w:ascii="宋体" w:hAnsi="宋体" w:cs="宋体"/>
                <w:color w:val="000000" w:themeColor="text1"/>
                <w:szCs w:val="24"/>
                <w:highlight w:val="none"/>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959" w:type="dxa"/>
            <w:vMerge w:val="continue"/>
            <w:vAlign w:val="center"/>
          </w:tcPr>
          <w:p>
            <w:pPr>
              <w:pStyle w:val="54"/>
              <w:spacing w:line="400" w:lineRule="exact"/>
              <w:rPr>
                <w:rFonts w:ascii="宋体" w:hAnsi="宋体" w:cs="宋体"/>
                <w:color w:val="000000" w:themeColor="text1"/>
                <w:szCs w:val="24"/>
                <w:highlight w:val="none"/>
                <w:shd w:val="clear" w:color="auto" w:fill="FFFFFF"/>
                <w14:textFill>
                  <w14:solidFill>
                    <w14:schemeClr w14:val="tx1"/>
                  </w14:solidFill>
                </w14:textFill>
              </w:rPr>
            </w:pPr>
          </w:p>
        </w:tc>
        <w:tc>
          <w:tcPr>
            <w:tcW w:w="3259" w:type="dxa"/>
            <w:shd w:val="clear" w:color="auto" w:fill="auto"/>
            <w:vAlign w:val="center"/>
          </w:tcPr>
          <w:p>
            <w:pPr>
              <w:pStyle w:val="54"/>
              <w:spacing w:line="400" w:lineRule="exact"/>
              <w:rPr>
                <w:rFonts w:ascii="宋体" w:hAnsi="宋体" w:cs="宋体"/>
                <w:color w:val="000000" w:themeColor="text1"/>
                <w:szCs w:val="24"/>
                <w:highlight w:val="none"/>
                <w:shd w:val="clear" w:color="auto" w:fill="FFFFFF"/>
                <w14:textFill>
                  <w14:solidFill>
                    <w14:schemeClr w14:val="tx1"/>
                  </w14:solidFill>
                </w14:textFill>
              </w:rPr>
            </w:pPr>
            <w:r>
              <w:rPr>
                <w:rFonts w:hint="eastAsia" w:ascii="宋体" w:hAnsi="宋体" w:cs="宋体"/>
                <w:color w:val="000000" w:themeColor="text1"/>
                <w:szCs w:val="24"/>
                <w:highlight w:val="none"/>
                <w:shd w:val="clear" w:color="auto" w:fill="FFFFFF"/>
                <w14:textFill>
                  <w14:solidFill>
                    <w14:schemeClr w14:val="tx1"/>
                  </w14:solidFill>
                </w14:textFill>
              </w:rPr>
              <w:t>抗菌药物预防用药汇总</w:t>
            </w:r>
          </w:p>
        </w:tc>
        <w:tc>
          <w:tcPr>
            <w:tcW w:w="4304" w:type="dxa"/>
            <w:vMerge w:val="continue"/>
            <w:shd w:val="clear" w:color="auto" w:fill="auto"/>
            <w:vAlign w:val="center"/>
          </w:tcPr>
          <w:p>
            <w:pPr>
              <w:pStyle w:val="54"/>
              <w:spacing w:line="400" w:lineRule="exact"/>
              <w:rPr>
                <w:rFonts w:ascii="宋体" w:hAnsi="宋体" w:cs="宋体"/>
                <w:color w:val="000000" w:themeColor="text1"/>
                <w:szCs w:val="24"/>
                <w:highlight w:val="none"/>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959" w:type="dxa"/>
            <w:vMerge w:val="continue"/>
            <w:vAlign w:val="center"/>
          </w:tcPr>
          <w:p>
            <w:pPr>
              <w:pStyle w:val="54"/>
              <w:spacing w:line="400" w:lineRule="exact"/>
              <w:rPr>
                <w:rFonts w:ascii="宋体" w:hAnsi="宋体" w:cs="宋体"/>
                <w:color w:val="000000" w:themeColor="text1"/>
                <w:szCs w:val="24"/>
                <w:highlight w:val="none"/>
                <w:shd w:val="clear" w:color="auto" w:fill="FFFFFF"/>
                <w14:textFill>
                  <w14:solidFill>
                    <w14:schemeClr w14:val="tx1"/>
                  </w14:solidFill>
                </w14:textFill>
              </w:rPr>
            </w:pPr>
          </w:p>
        </w:tc>
        <w:tc>
          <w:tcPr>
            <w:tcW w:w="3259" w:type="dxa"/>
            <w:shd w:val="clear" w:color="auto" w:fill="auto"/>
            <w:vAlign w:val="center"/>
          </w:tcPr>
          <w:p>
            <w:pPr>
              <w:pStyle w:val="54"/>
              <w:spacing w:line="400" w:lineRule="exact"/>
              <w:rPr>
                <w:rFonts w:ascii="宋体" w:hAnsi="宋体" w:cs="宋体"/>
                <w:color w:val="000000" w:themeColor="text1"/>
                <w:szCs w:val="24"/>
                <w:highlight w:val="none"/>
                <w:shd w:val="clear" w:color="auto" w:fill="FFFFFF"/>
                <w14:textFill>
                  <w14:solidFill>
                    <w14:schemeClr w14:val="tx1"/>
                  </w14:solidFill>
                </w14:textFill>
              </w:rPr>
            </w:pPr>
            <w:r>
              <w:rPr>
                <w:rFonts w:hint="eastAsia" w:ascii="宋体" w:hAnsi="宋体" w:cs="宋体"/>
                <w:color w:val="000000" w:themeColor="text1"/>
                <w:szCs w:val="24"/>
                <w:highlight w:val="none"/>
                <w:shd w:val="clear" w:color="auto" w:fill="FFFFFF"/>
                <w14:textFill>
                  <w14:solidFill>
                    <w14:schemeClr w14:val="tx1"/>
                  </w14:solidFill>
                </w14:textFill>
              </w:rPr>
              <w:t>抗菌药物使用同比环比</w:t>
            </w:r>
          </w:p>
        </w:tc>
        <w:tc>
          <w:tcPr>
            <w:tcW w:w="4304" w:type="dxa"/>
            <w:vMerge w:val="continue"/>
            <w:shd w:val="clear" w:color="auto" w:fill="auto"/>
            <w:vAlign w:val="center"/>
          </w:tcPr>
          <w:p>
            <w:pPr>
              <w:pStyle w:val="54"/>
              <w:spacing w:line="400" w:lineRule="exact"/>
              <w:rPr>
                <w:rFonts w:ascii="宋体" w:hAnsi="宋体" w:cs="宋体"/>
                <w:color w:val="000000" w:themeColor="text1"/>
                <w:szCs w:val="24"/>
                <w:highlight w:val="none"/>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959" w:type="dxa"/>
            <w:vMerge w:val="continue"/>
            <w:vAlign w:val="center"/>
          </w:tcPr>
          <w:p>
            <w:pPr>
              <w:pStyle w:val="54"/>
              <w:spacing w:line="400" w:lineRule="exact"/>
              <w:rPr>
                <w:rFonts w:ascii="宋体" w:hAnsi="宋体" w:cs="宋体"/>
                <w:color w:val="000000" w:themeColor="text1"/>
                <w:szCs w:val="24"/>
                <w:highlight w:val="none"/>
                <w:shd w:val="clear" w:color="auto" w:fill="FFFFFF"/>
                <w14:textFill>
                  <w14:solidFill>
                    <w14:schemeClr w14:val="tx1"/>
                  </w14:solidFill>
                </w14:textFill>
              </w:rPr>
            </w:pPr>
          </w:p>
        </w:tc>
        <w:tc>
          <w:tcPr>
            <w:tcW w:w="3259" w:type="dxa"/>
            <w:shd w:val="clear" w:color="auto" w:fill="auto"/>
            <w:vAlign w:val="center"/>
          </w:tcPr>
          <w:p>
            <w:pPr>
              <w:pStyle w:val="54"/>
              <w:spacing w:line="400" w:lineRule="exact"/>
              <w:rPr>
                <w:rFonts w:ascii="宋体" w:hAnsi="宋体" w:cs="宋体"/>
                <w:color w:val="000000" w:themeColor="text1"/>
                <w:szCs w:val="24"/>
                <w:highlight w:val="none"/>
                <w:shd w:val="clear" w:color="auto" w:fill="FFFFFF"/>
                <w14:textFill>
                  <w14:solidFill>
                    <w14:schemeClr w14:val="tx1"/>
                  </w14:solidFill>
                </w14:textFill>
              </w:rPr>
            </w:pPr>
            <w:r>
              <w:rPr>
                <w:rFonts w:hint="eastAsia" w:ascii="宋体" w:hAnsi="宋体" w:cs="宋体"/>
                <w:color w:val="000000" w:themeColor="text1"/>
                <w:szCs w:val="24"/>
                <w:highlight w:val="none"/>
                <w:shd w:val="clear" w:color="auto" w:fill="FFFFFF"/>
                <w14:textFill>
                  <w14:solidFill>
                    <w14:schemeClr w14:val="tx1"/>
                  </w14:solidFill>
                </w14:textFill>
              </w:rPr>
              <w:t>抗菌药物临床应用监测网统计表</w:t>
            </w:r>
          </w:p>
        </w:tc>
        <w:tc>
          <w:tcPr>
            <w:tcW w:w="4304" w:type="dxa"/>
            <w:shd w:val="clear" w:color="auto" w:fill="auto"/>
            <w:vAlign w:val="center"/>
          </w:tcPr>
          <w:p>
            <w:pPr>
              <w:pStyle w:val="54"/>
              <w:spacing w:line="400" w:lineRule="exact"/>
              <w:rPr>
                <w:rFonts w:ascii="宋体" w:hAnsi="宋体" w:cs="宋体"/>
                <w:color w:val="000000" w:themeColor="text1"/>
                <w:szCs w:val="24"/>
                <w:highlight w:val="none"/>
                <w:shd w:val="clear" w:color="auto" w:fill="FFFFFF"/>
                <w14:textFill>
                  <w14:solidFill>
                    <w14:schemeClr w14:val="tx1"/>
                  </w14:solidFill>
                </w14:textFill>
              </w:rPr>
            </w:pPr>
            <w:r>
              <w:rPr>
                <w:rFonts w:hint="eastAsia" w:ascii="宋体" w:hAnsi="宋体" w:cs="宋体"/>
                <w:color w:val="000000" w:themeColor="text1"/>
                <w:szCs w:val="24"/>
                <w:highlight w:val="none"/>
                <w:shd w:val="clear" w:color="auto" w:fill="FFFFFF"/>
                <w14:textFill>
                  <w14:solidFill>
                    <w14:schemeClr w14:val="tx1"/>
                  </w14:solidFill>
                </w14:textFill>
              </w:rPr>
              <w:t>提供卫生部抗菌药物临床应用监测网所需的报表</w:t>
            </w:r>
          </w:p>
        </w:tc>
      </w:tr>
    </w:tbl>
    <w:p>
      <w:pPr>
        <w:pStyle w:val="53"/>
        <w:spacing w:line="400" w:lineRule="exact"/>
        <w:ind w:firstLine="0" w:firstLineChars="0"/>
        <w:rPr>
          <w:rFonts w:ascii="宋体" w:hAnsi="宋体" w:cs="宋体"/>
          <w:color w:val="000000" w:themeColor="text1"/>
          <w:highlight w:val="none"/>
          <w14:textFill>
            <w14:solidFill>
              <w14:schemeClr w14:val="tx1"/>
            </w14:solidFill>
          </w14:textFill>
        </w:rPr>
      </w:pPr>
    </w:p>
    <w:p>
      <w:pPr>
        <w:pStyle w:val="6"/>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5.1.20</w:t>
      </w:r>
      <w:r>
        <w:rPr>
          <w:rFonts w:hint="eastAsia" w:ascii="宋体" w:hAnsi="宋体" w:cs="宋体"/>
          <w:color w:val="000000" w:themeColor="text1"/>
          <w:kern w:val="0"/>
          <w:sz w:val="24"/>
          <w:szCs w:val="24"/>
          <w:highlight w:val="none"/>
          <w14:textFill>
            <w14:solidFill>
              <w14:schemeClr w14:val="tx1"/>
            </w14:solidFill>
          </w14:textFill>
        </w:rPr>
        <w:t>医疗规则库管理系统</w:t>
      </w:r>
      <w:r>
        <w:rPr>
          <w:rFonts w:hint="eastAsia" w:ascii="宋体" w:hAnsi="宋体" w:cs="宋体"/>
          <w:color w:val="000000" w:themeColor="text1"/>
          <w:sz w:val="24"/>
          <w:szCs w:val="24"/>
          <w:highlight w:val="none"/>
          <w14:textFill>
            <w14:solidFill>
              <w14:schemeClr w14:val="tx1"/>
            </w14:solidFill>
          </w14:textFill>
        </w:rPr>
        <w:t> </w:t>
      </w:r>
    </w:p>
    <w:p>
      <w:pPr>
        <w:pStyle w:val="27"/>
        <w:widowControl/>
        <w:spacing w:line="400" w:lineRule="exact"/>
        <w:ind w:firstLine="241" w:firstLineChars="100"/>
        <w:jc w:val="left"/>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医保政策知识库工具</w:t>
      </w:r>
    </w:p>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对于高值耗材、名贵中草药、或者有特殊用途（限定报销）的药品，在各家社保机构都会或多或少的提出各种限制规则(使用条件)。系统配置这些项目和限制规则之间的关系。</w:t>
      </w:r>
    </w:p>
    <w:p>
      <w:pPr>
        <w:pStyle w:val="27"/>
        <w:spacing w:line="400" w:lineRule="exact"/>
        <w:ind w:left="420" w:firstLine="0" w:firstLineChars="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项目库维护</w:t>
      </w:r>
    </w:p>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维护有医保政策限制项目，主要包含项目编码、项目描述、医保政策使用说明、以及项目的项目的控制级别(禁止下达、需审批、需填写理由和提示性警告)等相关信息。</w:t>
      </w:r>
    </w:p>
    <w:p>
      <w:pPr>
        <w:pStyle w:val="27"/>
        <w:spacing w:line="400" w:lineRule="exact"/>
        <w:ind w:left="420" w:firstLine="0" w:firstLineChars="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规则库维护</w:t>
      </w:r>
    </w:p>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可对各种限制规则整理后进行参数化的配置，医保办可以自定义配置。支持以下规则：</w:t>
      </w:r>
    </w:p>
    <w:tbl>
      <w:tblPr>
        <w:tblStyle w:val="21"/>
        <w:tblW w:w="8246" w:type="dxa"/>
        <w:jc w:val="center"/>
        <w:tblInd w:w="-46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1"/>
        <w:gridCol w:w="6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41"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规则分类</w:t>
            </w:r>
          </w:p>
        </w:tc>
        <w:tc>
          <w:tcPr>
            <w:tcW w:w="6005"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规则名称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41" w:type="dxa"/>
            <w:vMerge w:val="restart"/>
            <w:vAlign w:val="center"/>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政策性审核规则</w:t>
            </w:r>
          </w:p>
        </w:tc>
        <w:tc>
          <w:tcPr>
            <w:tcW w:w="6005" w:type="dxa"/>
            <w:vAlign w:val="center"/>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限定医院等级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41" w:type="dxa"/>
            <w:vMerge w:val="continue"/>
            <w:vAlign w:val="center"/>
          </w:tcPr>
          <w:p>
            <w:pPr>
              <w:spacing w:line="400" w:lineRule="exact"/>
              <w:rPr>
                <w:rFonts w:ascii="宋体" w:hAnsi="宋体" w:cs="宋体"/>
                <w:color w:val="000000" w:themeColor="text1"/>
                <w:sz w:val="24"/>
                <w:highlight w:val="none"/>
                <w14:textFill>
                  <w14:solidFill>
                    <w14:schemeClr w14:val="tx1"/>
                  </w14:solidFill>
                </w14:textFill>
              </w:rPr>
            </w:pPr>
          </w:p>
        </w:tc>
        <w:tc>
          <w:tcPr>
            <w:tcW w:w="6005" w:type="dxa"/>
            <w:vAlign w:val="center"/>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限定门诊、急诊、住院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41" w:type="dxa"/>
            <w:vMerge w:val="continue"/>
            <w:vAlign w:val="center"/>
          </w:tcPr>
          <w:p>
            <w:pPr>
              <w:spacing w:line="400" w:lineRule="exact"/>
              <w:rPr>
                <w:rFonts w:ascii="宋体" w:hAnsi="宋体" w:cs="宋体"/>
                <w:color w:val="000000" w:themeColor="text1"/>
                <w:sz w:val="24"/>
                <w:highlight w:val="none"/>
                <w14:textFill>
                  <w14:solidFill>
                    <w14:schemeClr w14:val="tx1"/>
                  </w14:solidFill>
                </w14:textFill>
              </w:rPr>
            </w:pPr>
          </w:p>
        </w:tc>
        <w:tc>
          <w:tcPr>
            <w:tcW w:w="6005" w:type="dxa"/>
            <w:vAlign w:val="center"/>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限定性别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41" w:type="dxa"/>
            <w:vMerge w:val="continue"/>
            <w:vAlign w:val="center"/>
          </w:tcPr>
          <w:p>
            <w:pPr>
              <w:spacing w:line="400" w:lineRule="exact"/>
              <w:rPr>
                <w:rFonts w:ascii="宋体" w:hAnsi="宋体" w:cs="宋体"/>
                <w:color w:val="000000" w:themeColor="text1"/>
                <w:sz w:val="24"/>
                <w:highlight w:val="none"/>
                <w14:textFill>
                  <w14:solidFill>
                    <w14:schemeClr w14:val="tx1"/>
                  </w14:solidFill>
                </w14:textFill>
              </w:rPr>
            </w:pPr>
          </w:p>
        </w:tc>
        <w:tc>
          <w:tcPr>
            <w:tcW w:w="6005" w:type="dxa"/>
            <w:vAlign w:val="center"/>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中药饮片单方不予支付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41" w:type="dxa"/>
            <w:vMerge w:val="continue"/>
            <w:vAlign w:val="center"/>
          </w:tcPr>
          <w:p>
            <w:pPr>
              <w:spacing w:line="400" w:lineRule="exact"/>
              <w:rPr>
                <w:rFonts w:ascii="宋体" w:hAnsi="宋体" w:cs="宋体"/>
                <w:color w:val="000000" w:themeColor="text1"/>
                <w:sz w:val="24"/>
                <w:highlight w:val="none"/>
                <w14:textFill>
                  <w14:solidFill>
                    <w14:schemeClr w14:val="tx1"/>
                  </w14:solidFill>
                </w14:textFill>
              </w:rPr>
            </w:pPr>
          </w:p>
        </w:tc>
        <w:tc>
          <w:tcPr>
            <w:tcW w:w="6005" w:type="dxa"/>
            <w:vAlign w:val="center"/>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单张处方超量取药控制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41" w:type="dxa"/>
            <w:vMerge w:val="continue"/>
            <w:vAlign w:val="center"/>
          </w:tcPr>
          <w:p>
            <w:pPr>
              <w:spacing w:line="400" w:lineRule="exact"/>
              <w:rPr>
                <w:rFonts w:ascii="宋体" w:hAnsi="宋体" w:cs="宋体"/>
                <w:color w:val="000000" w:themeColor="text1"/>
                <w:sz w:val="24"/>
                <w:highlight w:val="none"/>
                <w14:textFill>
                  <w14:solidFill>
                    <w14:schemeClr w14:val="tx1"/>
                  </w14:solidFill>
                </w14:textFill>
              </w:rPr>
            </w:pPr>
          </w:p>
        </w:tc>
        <w:tc>
          <w:tcPr>
            <w:tcW w:w="6005" w:type="dxa"/>
            <w:vAlign w:val="center"/>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超量取药控制（一天）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41" w:type="dxa"/>
            <w:vMerge w:val="continue"/>
            <w:vAlign w:val="center"/>
          </w:tcPr>
          <w:p>
            <w:pPr>
              <w:spacing w:line="400" w:lineRule="exact"/>
              <w:rPr>
                <w:rFonts w:ascii="宋体" w:hAnsi="宋体" w:cs="宋体"/>
                <w:color w:val="000000" w:themeColor="text1"/>
                <w:sz w:val="24"/>
                <w:highlight w:val="none"/>
                <w14:textFill>
                  <w14:solidFill>
                    <w14:schemeClr w14:val="tx1"/>
                  </w14:solidFill>
                </w14:textFill>
              </w:rPr>
            </w:pPr>
          </w:p>
        </w:tc>
        <w:tc>
          <w:tcPr>
            <w:tcW w:w="6005" w:type="dxa"/>
            <w:vAlign w:val="center"/>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超量取药控制（一段时间）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41" w:type="dxa"/>
            <w:vMerge w:val="continue"/>
            <w:vAlign w:val="center"/>
          </w:tcPr>
          <w:p>
            <w:pPr>
              <w:spacing w:line="400" w:lineRule="exact"/>
              <w:rPr>
                <w:rFonts w:ascii="宋体" w:hAnsi="宋体" w:cs="宋体"/>
                <w:color w:val="000000" w:themeColor="text1"/>
                <w:sz w:val="24"/>
                <w:highlight w:val="none"/>
                <w14:textFill>
                  <w14:solidFill>
                    <w14:schemeClr w14:val="tx1"/>
                  </w14:solidFill>
                </w14:textFill>
              </w:rPr>
            </w:pPr>
          </w:p>
        </w:tc>
        <w:tc>
          <w:tcPr>
            <w:tcW w:w="6005" w:type="dxa"/>
            <w:vAlign w:val="center"/>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取药重复超量用药（一天）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41" w:type="dxa"/>
            <w:vMerge w:val="continue"/>
            <w:vAlign w:val="center"/>
          </w:tcPr>
          <w:p>
            <w:pPr>
              <w:spacing w:line="400" w:lineRule="exact"/>
              <w:rPr>
                <w:rFonts w:ascii="宋体" w:hAnsi="宋体" w:cs="宋体"/>
                <w:color w:val="000000" w:themeColor="text1"/>
                <w:sz w:val="24"/>
                <w:highlight w:val="none"/>
                <w14:textFill>
                  <w14:solidFill>
                    <w14:schemeClr w14:val="tx1"/>
                  </w14:solidFill>
                </w14:textFill>
              </w:rPr>
            </w:pPr>
          </w:p>
        </w:tc>
        <w:tc>
          <w:tcPr>
            <w:tcW w:w="6005" w:type="dxa"/>
            <w:vAlign w:val="center"/>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单张单据药品种类限制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41" w:type="dxa"/>
            <w:vMerge w:val="continue"/>
            <w:vAlign w:val="center"/>
          </w:tcPr>
          <w:p>
            <w:pPr>
              <w:spacing w:line="400" w:lineRule="exact"/>
              <w:rPr>
                <w:rFonts w:ascii="宋体" w:hAnsi="宋体" w:cs="宋体"/>
                <w:color w:val="000000" w:themeColor="text1"/>
                <w:sz w:val="24"/>
                <w:highlight w:val="none"/>
                <w14:textFill>
                  <w14:solidFill>
                    <w14:schemeClr w14:val="tx1"/>
                  </w14:solidFill>
                </w14:textFill>
              </w:rPr>
            </w:pPr>
          </w:p>
        </w:tc>
        <w:tc>
          <w:tcPr>
            <w:tcW w:w="6005" w:type="dxa"/>
            <w:vAlign w:val="center"/>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中药饮片超量限制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41" w:type="dxa"/>
            <w:vMerge w:val="continue"/>
            <w:vAlign w:val="center"/>
          </w:tcPr>
          <w:p>
            <w:pPr>
              <w:spacing w:line="400" w:lineRule="exact"/>
              <w:rPr>
                <w:rFonts w:ascii="宋体" w:hAnsi="宋体" w:cs="宋体"/>
                <w:color w:val="000000" w:themeColor="text1"/>
                <w:sz w:val="24"/>
                <w:highlight w:val="none"/>
                <w14:textFill>
                  <w14:solidFill>
                    <w14:schemeClr w14:val="tx1"/>
                  </w14:solidFill>
                </w14:textFill>
              </w:rPr>
            </w:pPr>
          </w:p>
        </w:tc>
        <w:tc>
          <w:tcPr>
            <w:tcW w:w="6005" w:type="dxa"/>
            <w:vAlign w:val="center"/>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诊疗项目超频次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41" w:type="dxa"/>
            <w:vMerge w:val="continue"/>
            <w:vAlign w:val="center"/>
          </w:tcPr>
          <w:p>
            <w:pPr>
              <w:spacing w:line="400" w:lineRule="exact"/>
              <w:rPr>
                <w:rFonts w:ascii="宋体" w:hAnsi="宋体" w:cs="宋体"/>
                <w:color w:val="000000" w:themeColor="text1"/>
                <w:sz w:val="24"/>
                <w:highlight w:val="none"/>
                <w14:textFill>
                  <w14:solidFill>
                    <w14:schemeClr w14:val="tx1"/>
                  </w14:solidFill>
                </w14:textFill>
              </w:rPr>
            </w:pPr>
          </w:p>
        </w:tc>
        <w:tc>
          <w:tcPr>
            <w:tcW w:w="6005" w:type="dxa"/>
            <w:vAlign w:val="center"/>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限定适应症用药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41" w:type="dxa"/>
            <w:vMerge w:val="continue"/>
            <w:vAlign w:val="center"/>
          </w:tcPr>
          <w:p>
            <w:pPr>
              <w:spacing w:line="400" w:lineRule="exact"/>
              <w:rPr>
                <w:rFonts w:ascii="宋体" w:hAnsi="宋体" w:cs="宋体"/>
                <w:color w:val="000000" w:themeColor="text1"/>
                <w:sz w:val="24"/>
                <w:highlight w:val="none"/>
                <w14:textFill>
                  <w14:solidFill>
                    <w14:schemeClr w14:val="tx1"/>
                  </w14:solidFill>
                </w14:textFill>
              </w:rPr>
            </w:pPr>
          </w:p>
        </w:tc>
        <w:tc>
          <w:tcPr>
            <w:tcW w:w="6005" w:type="dxa"/>
            <w:vAlign w:val="center"/>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手术材料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41" w:type="dxa"/>
            <w:vMerge w:val="restart"/>
            <w:vAlign w:val="center"/>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医疗行为异常监控规则</w:t>
            </w:r>
          </w:p>
        </w:tc>
        <w:tc>
          <w:tcPr>
            <w:tcW w:w="6005" w:type="dxa"/>
            <w:vAlign w:val="center"/>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限定科室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41" w:type="dxa"/>
            <w:vMerge w:val="continue"/>
            <w:vAlign w:val="center"/>
          </w:tcPr>
          <w:p>
            <w:pPr>
              <w:spacing w:line="400" w:lineRule="exact"/>
              <w:rPr>
                <w:rFonts w:ascii="宋体" w:hAnsi="宋体" w:cs="宋体"/>
                <w:color w:val="000000" w:themeColor="text1"/>
                <w:sz w:val="24"/>
                <w:highlight w:val="none"/>
                <w14:textFill>
                  <w14:solidFill>
                    <w14:schemeClr w14:val="tx1"/>
                  </w14:solidFill>
                </w14:textFill>
              </w:rPr>
            </w:pPr>
          </w:p>
        </w:tc>
        <w:tc>
          <w:tcPr>
            <w:tcW w:w="6005" w:type="dxa"/>
            <w:vAlign w:val="center"/>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限定医生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41" w:type="dxa"/>
            <w:vMerge w:val="continue"/>
            <w:vAlign w:val="center"/>
          </w:tcPr>
          <w:p>
            <w:pPr>
              <w:spacing w:line="400" w:lineRule="exact"/>
              <w:rPr>
                <w:rFonts w:ascii="宋体" w:hAnsi="宋体" w:cs="宋体"/>
                <w:color w:val="000000" w:themeColor="text1"/>
                <w:sz w:val="24"/>
                <w:highlight w:val="none"/>
                <w14:textFill>
                  <w14:solidFill>
                    <w14:schemeClr w14:val="tx1"/>
                  </w14:solidFill>
                </w14:textFill>
              </w:rPr>
            </w:pPr>
          </w:p>
        </w:tc>
        <w:tc>
          <w:tcPr>
            <w:tcW w:w="6005" w:type="dxa"/>
            <w:vAlign w:val="center"/>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出院带药天数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41" w:type="dxa"/>
            <w:vMerge w:val="continue"/>
            <w:vAlign w:val="center"/>
          </w:tcPr>
          <w:p>
            <w:pPr>
              <w:spacing w:line="400" w:lineRule="exact"/>
              <w:rPr>
                <w:rFonts w:ascii="宋体" w:hAnsi="宋体" w:cs="宋体"/>
                <w:color w:val="000000" w:themeColor="text1"/>
                <w:sz w:val="24"/>
                <w:highlight w:val="none"/>
                <w14:textFill>
                  <w14:solidFill>
                    <w14:schemeClr w14:val="tx1"/>
                  </w14:solidFill>
                </w14:textFill>
              </w:rPr>
            </w:pPr>
          </w:p>
        </w:tc>
        <w:tc>
          <w:tcPr>
            <w:tcW w:w="6005" w:type="dxa"/>
            <w:vAlign w:val="center"/>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贵重材料提示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41" w:type="dxa"/>
            <w:vMerge w:val="continue"/>
            <w:vAlign w:val="center"/>
          </w:tcPr>
          <w:p>
            <w:pPr>
              <w:spacing w:line="400" w:lineRule="exact"/>
              <w:rPr>
                <w:rFonts w:ascii="宋体" w:hAnsi="宋体" w:cs="宋体"/>
                <w:color w:val="000000" w:themeColor="text1"/>
                <w:sz w:val="24"/>
                <w:highlight w:val="none"/>
                <w14:textFill>
                  <w14:solidFill>
                    <w14:schemeClr w14:val="tx1"/>
                  </w14:solidFill>
                </w14:textFill>
              </w:rPr>
            </w:pPr>
          </w:p>
        </w:tc>
        <w:tc>
          <w:tcPr>
            <w:tcW w:w="6005" w:type="dxa"/>
            <w:vAlign w:val="center"/>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自费协议书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41" w:type="dxa"/>
            <w:vMerge w:val="continue"/>
            <w:vAlign w:val="center"/>
          </w:tcPr>
          <w:p>
            <w:pPr>
              <w:spacing w:line="400" w:lineRule="exact"/>
              <w:rPr>
                <w:rFonts w:ascii="宋体" w:hAnsi="宋体" w:cs="宋体"/>
                <w:color w:val="000000" w:themeColor="text1"/>
                <w:sz w:val="24"/>
                <w:highlight w:val="none"/>
                <w14:textFill>
                  <w14:solidFill>
                    <w14:schemeClr w14:val="tx1"/>
                  </w14:solidFill>
                </w14:textFill>
              </w:rPr>
            </w:pPr>
          </w:p>
        </w:tc>
        <w:tc>
          <w:tcPr>
            <w:tcW w:w="6005" w:type="dxa"/>
            <w:vAlign w:val="center"/>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给药途径控制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41" w:type="dxa"/>
            <w:vMerge w:val="continue"/>
            <w:vAlign w:val="center"/>
          </w:tcPr>
          <w:p>
            <w:pPr>
              <w:spacing w:line="400" w:lineRule="exact"/>
              <w:rPr>
                <w:rFonts w:ascii="宋体" w:hAnsi="宋体" w:cs="宋体"/>
                <w:color w:val="000000" w:themeColor="text1"/>
                <w:sz w:val="24"/>
                <w:highlight w:val="none"/>
                <w14:textFill>
                  <w14:solidFill>
                    <w14:schemeClr w14:val="tx1"/>
                  </w14:solidFill>
                </w14:textFill>
              </w:rPr>
            </w:pPr>
          </w:p>
        </w:tc>
        <w:tc>
          <w:tcPr>
            <w:tcW w:w="6005" w:type="dxa"/>
            <w:vAlign w:val="center"/>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适应症提醒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41" w:type="dxa"/>
            <w:vMerge w:val="continue"/>
            <w:vAlign w:val="center"/>
          </w:tcPr>
          <w:p>
            <w:pPr>
              <w:spacing w:line="400" w:lineRule="exact"/>
              <w:rPr>
                <w:rFonts w:ascii="宋体" w:hAnsi="宋体" w:cs="宋体"/>
                <w:color w:val="000000" w:themeColor="text1"/>
                <w:sz w:val="24"/>
                <w:highlight w:val="none"/>
                <w14:textFill>
                  <w14:solidFill>
                    <w14:schemeClr w14:val="tx1"/>
                  </w14:solidFill>
                </w14:textFill>
              </w:rPr>
            </w:pPr>
          </w:p>
        </w:tc>
        <w:tc>
          <w:tcPr>
            <w:tcW w:w="6005" w:type="dxa"/>
            <w:vAlign w:val="center"/>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费用禁用</w:t>
            </w:r>
          </w:p>
        </w:tc>
      </w:tr>
    </w:tbl>
    <w:p>
      <w:pPr>
        <w:pStyle w:val="27"/>
        <w:spacing w:line="400" w:lineRule="exact"/>
        <w:ind w:left="420" w:firstLine="0" w:firstLineChars="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知识库维护</w:t>
      </w:r>
    </w:p>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项目库和知识库关联，产生计算机可识别的使用规则。知识库在医生下医嘱时可以判断医嘱是否违规。若违规可提醒、警告或者控制医生开单行为。</w:t>
      </w:r>
    </w:p>
    <w:p>
      <w:pPr>
        <w:pStyle w:val="27"/>
        <w:spacing w:line="400" w:lineRule="exact"/>
        <w:ind w:left="420" w:firstLine="0" w:firstLineChars="0"/>
        <w:outlineLvl w:val="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项目分类维护</w:t>
      </w:r>
    </w:p>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系统可以把项目进行分类，具有字典的维护功能。</w:t>
      </w:r>
    </w:p>
    <w:p>
      <w:pPr>
        <w:pStyle w:val="27"/>
        <w:spacing w:line="400" w:lineRule="exact"/>
        <w:ind w:left="420" w:firstLine="0" w:firstLineChars="0"/>
        <w:outlineLvl w:val="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规则分类维护</w:t>
      </w:r>
    </w:p>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对处理方式相同的规则进行分类，方便管理和维护。</w:t>
      </w:r>
    </w:p>
    <w:p>
      <w:pPr>
        <w:pStyle w:val="27"/>
        <w:spacing w:line="400" w:lineRule="exact"/>
        <w:ind w:left="420" w:firstLine="0" w:firstLineChars="0"/>
        <w:outlineLvl w:val="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规则等级维护</w:t>
      </w:r>
    </w:p>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规则的等级字典维护功能，支持等级不同，处理的方式不一样。</w:t>
      </w:r>
    </w:p>
    <w:p>
      <w:pPr>
        <w:spacing w:line="400" w:lineRule="exact"/>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控制等级维护</w:t>
      </w:r>
    </w:p>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可维护项目或者策略的控制等级，包含禁止下达、需审批、需填写理由和提示性警告等4个级别。</w:t>
      </w:r>
    </w:p>
    <w:p>
      <w:pPr>
        <w:pStyle w:val="27"/>
        <w:widowControl/>
        <w:spacing w:line="400" w:lineRule="exact"/>
        <w:ind w:left="600" w:firstLine="0" w:firstLineChars="0"/>
        <w:jc w:val="left"/>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医保自动审核管理系统</w:t>
      </w:r>
    </w:p>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医保自动支持包含两方面的功能，一个是门诊医生开医嘱时系统自动进行医保政策验证和合理性验证，另一个是出院时自动审核住院费用。两个功能都应基于医保政策知识库提供的政策规则库、药品规则库 、日常管理规则库 。</w:t>
      </w:r>
    </w:p>
    <w:p>
      <w:pPr>
        <w:pStyle w:val="27"/>
        <w:spacing w:line="400" w:lineRule="exact"/>
        <w:ind w:left="420" w:firstLine="0" w:firstLineChars="0"/>
        <w:outlineLvl w:val="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门诊医生开医嘱时验证</w:t>
      </w:r>
    </w:p>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对于医保患者在门诊医生开医嘱时，根据医保政策知识库配置的策略规则库、药品规则库 、日常管理规则库，可以验证医嘱是否存在违规的情况。如果违规根据违规等级支持进行提醒、警告、控制。</w:t>
      </w:r>
    </w:p>
    <w:p>
      <w:pPr>
        <w:pStyle w:val="27"/>
        <w:spacing w:line="400" w:lineRule="exact"/>
        <w:ind w:left="420" w:firstLine="0" w:firstLineChars="0"/>
        <w:outlineLvl w:val="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护士站审核</w:t>
      </w:r>
    </w:p>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支持护士站办针对已出院患者的费用进行审核，系统支持先根据医保政策知识库中配置的规则自动过滤费用存在违规的患者及其费用信息。</w:t>
      </w:r>
    </w:p>
    <w:p>
      <w:pPr>
        <w:pStyle w:val="27"/>
        <w:spacing w:line="400" w:lineRule="exact"/>
        <w:ind w:left="420" w:firstLine="0" w:firstLineChars="0"/>
        <w:outlineLvl w:val="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医保办审核</w:t>
      </w:r>
    </w:p>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支持医保办针对已出院患者的费用进行审核，系统支持先根据医保政策知识库中配置的规则自动过滤费用存在违规的患者及其费用信息。</w:t>
      </w:r>
    </w:p>
    <w:p>
      <w:pPr>
        <w:pStyle w:val="27"/>
        <w:spacing w:line="400" w:lineRule="exact"/>
        <w:ind w:left="420" w:firstLine="0" w:firstLineChars="0"/>
        <w:outlineLvl w:val="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科室违规排名</w:t>
      </w:r>
    </w:p>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支持分析各个科室的违规情况，按违规金额、违规次数进行排名。</w:t>
      </w:r>
    </w:p>
    <w:p>
      <w:pPr>
        <w:spacing w:line="400" w:lineRule="exact"/>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医生违规排名</w:t>
      </w:r>
    </w:p>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分析各个医生在治疗过程中的违规情况，按违规金额、违规次数进行排名。</w:t>
      </w:r>
    </w:p>
    <w:p>
      <w:pPr>
        <w:spacing w:line="400" w:lineRule="exact"/>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项目违规排名</w:t>
      </w:r>
    </w:p>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支持分析项目的违规情况，根据违规金额、违规次数分析出哪些项目容易违规，方便后期有针对性的培训。</w:t>
      </w:r>
    </w:p>
    <w:p>
      <w:pPr>
        <w:pStyle w:val="27"/>
        <w:widowControl/>
        <w:spacing w:line="400" w:lineRule="exact"/>
        <w:ind w:left="600" w:firstLine="0" w:firstLineChars="0"/>
        <w:jc w:val="left"/>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 xml:space="preserve">知识、规则库引擎 </w:t>
      </w:r>
    </w:p>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全自动审核引擎:从用药规范、医保政策、医疗行为、监控指标等多个维度对药品和费用数据进行全面的自动审查，做到合规、合理医保费用。</w:t>
      </w:r>
    </w:p>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规则引擎含有医保政策审查</w:t>
      </w:r>
    </w:p>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规则引擎含有医疗行为审查</w:t>
      </w:r>
    </w:p>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 xml:space="preserve">规则引擎含有监控指标审查 </w:t>
      </w:r>
    </w:p>
    <w:p>
      <w:pPr>
        <w:pStyle w:val="27"/>
        <w:widowControl/>
        <w:spacing w:line="400" w:lineRule="exact"/>
        <w:ind w:firstLine="120" w:firstLineChars="50"/>
        <w:jc w:val="left"/>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业务集成</w:t>
      </w:r>
    </w:p>
    <w:p>
      <w:pPr>
        <w:spacing w:line="400" w:lineRule="exact"/>
        <w:ind w:firstLine="588" w:firstLineChars="245"/>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与医院现有HIS、EMR系统无缝集成，不影响现有系统的正常运行。</w:t>
      </w:r>
    </w:p>
    <w:p>
      <w:pPr>
        <w:pStyle w:val="53"/>
        <w:spacing w:line="400" w:lineRule="exact"/>
        <w:rPr>
          <w:rFonts w:ascii="宋体" w:hAnsi="宋体" w:cs="宋体"/>
          <w:color w:val="000000" w:themeColor="text1"/>
          <w:highlight w:val="none"/>
          <w14:textFill>
            <w14:solidFill>
              <w14:schemeClr w14:val="tx1"/>
            </w14:solidFill>
          </w14:textFill>
        </w:rPr>
      </w:pPr>
    </w:p>
    <w:p>
      <w:pPr>
        <w:pStyle w:val="6"/>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5.1.21处方点评管理系统</w:t>
      </w:r>
    </w:p>
    <w:p>
      <w:pPr>
        <w:pStyle w:val="53"/>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系统要求以先进的技术架构平台为基础，建设一套基于门户的适应医院服务管理特色的、适合数字化信息处理的医院系统管理模型与工作流程，在应用上达到国际领先水平的处方点评系统。</w:t>
      </w:r>
    </w:p>
    <w:p>
      <w:pPr>
        <w:pStyle w:val="53"/>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系统必须符合《卫生部医院信息系统基本功能规范》，HL7、ICD、XML、SNOMED等行业规范标准，《病历书写基本规范》卫医政发〔2010〕11号，《电子病历基本规范（试行）》卫医政发〔2010〕114号、《医院处方点评管理规范(试行)》卫医管发〔2010〕28号、《处方管理办法》(卫生部令第53号)、《药品不良反应报告与监测管理方法》卫生部令第81号〔2004年〕等等要求。</w:t>
      </w:r>
    </w:p>
    <w:p>
      <w:pPr>
        <w:pStyle w:val="53"/>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系统需具有前瞻性，留有知识库接口，以便实现自动点评功能，支持医院定义报表，具有点评医嘱功能。</w:t>
      </w:r>
    </w:p>
    <w:p>
      <w:pPr>
        <w:pStyle w:val="53"/>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处方点评系统需支持临床知识库接口，能有效利用其药品规则实现处方的智能化点评功能。需支持连接第三方合理用药系统接口，支持处方的科学抽样与自动点评，支持将问题处方筛选呈现。</w:t>
      </w:r>
    </w:p>
    <w:p>
      <w:pPr>
        <w:pStyle w:val="53"/>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需提供门诊处方点评、抗菌药物处方点评、注射药物处方点评等，并生成符合规范的统计报表。</w:t>
      </w:r>
    </w:p>
    <w:p>
      <w:pPr>
        <w:pStyle w:val="53"/>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需提供对出院病人药品医嘱的综合点评功能，包括点评样本的选取、医嘱类型过滤、病历资料查阅和基于知识库系统的点评等功能。</w:t>
      </w:r>
    </w:p>
    <w:p>
      <w:pPr>
        <w:pStyle w:val="53"/>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处方点评系统需支持处方点评和医嘱点评的结果反馈，能提供临床查询或者主动提醒。</w:t>
      </w:r>
    </w:p>
    <w:p>
      <w:pPr>
        <w:pStyle w:val="6"/>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5.1.22门诊应急系统</w:t>
      </w:r>
    </w:p>
    <w:p>
      <w:pPr>
        <w:pStyle w:val="53"/>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门诊应急管理系统应支持在出现服务器、网络故障等这些情况下的提供一个可靠解决办法，能够使医院在出现以上这些情况时简单快速应对，高质量保证门急诊收费处能够正常营业，不影响病人的就诊，同时也不增加操作人员工作量。</w:t>
      </w:r>
    </w:p>
    <w:p>
      <w:pPr>
        <w:pStyle w:val="53"/>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1、数据下传</w:t>
      </w:r>
    </w:p>
    <w:p>
      <w:pPr>
        <w:pStyle w:val="53"/>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提供定期从服务器数据库中下载最新的基础信息到本地应急数据库中。</w:t>
      </w:r>
    </w:p>
    <w:p>
      <w:pPr>
        <w:pStyle w:val="53"/>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2、单机运行系统</w:t>
      </w:r>
    </w:p>
    <w:p>
      <w:pPr>
        <w:pStyle w:val="53"/>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单机版的运行系统主要包括：建卡、挂号、划价三个部分。</w:t>
      </w:r>
    </w:p>
    <w:p>
      <w:pPr>
        <w:pStyle w:val="6"/>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5.1.23住院电子病历系统</w:t>
      </w:r>
    </w:p>
    <w:p>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住院电子病历系统是根据医疗文档的结构特点和交换传输的要求，运用先进的IT技术和国际上流行的XML技术和HL7标准开发而成的医院住院医疗文档的书写，检索和管理等一整套的病历工具。住院电子病历系统不仅能处理图片，文字，声音，表格等多媒体数据，同时还集成了医学图像，检验结果数据等医学专业数据，整个住院电子病历也是基于一个强大的医学知识库体系而构建的，能给医生以智能化的提示，同时集成了数字签名，指纹认证等技术，使住院电子病历更具专业性和人性化，更加的完整，安全和适用。电子病历系统是医院实现“无纸化”的关键系统。医院住院电子病历系统需要的使用采用双轨制，即打印病历手工签名和计算机电子病历两种模式并存。</w:t>
      </w:r>
    </w:p>
    <w:p>
      <w:pPr>
        <w:spacing w:line="360" w:lineRule="auto"/>
        <w:rPr>
          <w:rFonts w:ascii="Calibri" w:hAnsi="Calibri"/>
          <w:b/>
          <w:color w:val="000000" w:themeColor="text1"/>
          <w:sz w:val="24"/>
          <w:highlight w:val="none"/>
          <w14:textFill>
            <w14:solidFill>
              <w14:schemeClr w14:val="tx1"/>
            </w14:solidFill>
          </w14:textFill>
        </w:rPr>
      </w:pPr>
      <w:r>
        <w:rPr>
          <w:rFonts w:hint="eastAsia" w:ascii="Calibri" w:hAnsi="Calibri"/>
          <w:b/>
          <w:color w:val="000000" w:themeColor="text1"/>
          <w:sz w:val="24"/>
          <w:highlight w:val="none"/>
          <w14:textFill>
            <w14:solidFill>
              <w14:schemeClr w14:val="tx1"/>
            </w14:solidFill>
          </w14:textFill>
        </w:rPr>
        <w:t>全结构化</w:t>
      </w:r>
      <w:r>
        <w:rPr>
          <w:rFonts w:ascii="Calibri" w:hAnsi="Calibri"/>
          <w:b/>
          <w:color w:val="000000" w:themeColor="text1"/>
          <w:sz w:val="24"/>
          <w:highlight w:val="none"/>
          <w14:textFill>
            <w14:solidFill>
              <w14:schemeClr w14:val="tx1"/>
            </w14:solidFill>
          </w14:textFill>
        </w:rPr>
        <w:t>病历书写</w:t>
      </w:r>
    </w:p>
    <w:p>
      <w:pPr>
        <w:spacing w:line="360" w:lineRule="auto"/>
        <w:ind w:firstLine="42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书写界面要求为WORD操作界面风格，全结构化</w:t>
      </w:r>
      <w:r>
        <w:rPr>
          <w:rFonts w:ascii="宋体" w:hAnsi="宋体"/>
          <w:color w:val="000000" w:themeColor="text1"/>
          <w:sz w:val="24"/>
          <w:highlight w:val="none"/>
          <w14:textFill>
            <w14:solidFill>
              <w14:schemeClr w14:val="tx1"/>
            </w14:solidFill>
          </w14:textFill>
        </w:rPr>
        <w:t>书写，</w:t>
      </w:r>
      <w:r>
        <w:rPr>
          <w:rFonts w:hint="eastAsia" w:ascii="宋体" w:hAnsi="宋体"/>
          <w:color w:val="000000" w:themeColor="text1"/>
          <w:sz w:val="24"/>
          <w:highlight w:val="none"/>
          <w14:textFill>
            <w14:solidFill>
              <w14:schemeClr w14:val="tx1"/>
            </w14:solidFill>
          </w14:textFill>
        </w:rPr>
        <w:t>所见即所得。医生书写病历，可以直接采用点选方式录入，同时也具备WORD的基本操作功能，包括字体大小、字号、行间距、页边距、颜色，排版，撤消，复制等多种功能，系统支持结构化点选录入和自主研发的医学结构化输入法等多种录入方式，系统提供右键功能，直接操作各个功能，支持病人的数据引用，结构化复制、粘贴；插入特殊符号；支持医嘱信息、检验报告、影像报告、临床</w:t>
      </w:r>
      <w:r>
        <w:rPr>
          <w:rFonts w:ascii="宋体" w:hAnsi="宋体"/>
          <w:color w:val="000000" w:themeColor="text1"/>
          <w:sz w:val="24"/>
          <w:highlight w:val="none"/>
          <w14:textFill>
            <w14:solidFill>
              <w14:schemeClr w14:val="tx1"/>
            </w14:solidFill>
          </w14:textFill>
        </w:rPr>
        <w:t>路径、</w:t>
      </w:r>
      <w:r>
        <w:rPr>
          <w:rFonts w:hint="eastAsia" w:ascii="宋体" w:hAnsi="宋体"/>
          <w:color w:val="000000" w:themeColor="text1"/>
          <w:sz w:val="24"/>
          <w:highlight w:val="none"/>
          <w14:textFill>
            <w14:solidFill>
              <w14:schemeClr w14:val="tx1"/>
            </w14:solidFill>
          </w14:textFill>
        </w:rPr>
        <w:t>手术信息等数据引入；支持自定义医学表达式并且插入操作；支持插入图片，并且可在</w:t>
      </w:r>
      <w:r>
        <w:rPr>
          <w:rFonts w:ascii="宋体" w:hAnsi="宋体"/>
          <w:color w:val="000000" w:themeColor="text1"/>
          <w:sz w:val="24"/>
          <w:highlight w:val="none"/>
          <w14:textFill>
            <w14:solidFill>
              <w14:schemeClr w14:val="tx1"/>
            </w14:solidFill>
          </w14:textFill>
        </w:rPr>
        <w:t>图片上实现病灶标注和语言描述</w:t>
      </w:r>
      <w:r>
        <w:rPr>
          <w:rFonts w:hint="eastAsia" w:ascii="宋体" w:hAnsi="宋体"/>
          <w:color w:val="000000" w:themeColor="text1"/>
          <w:sz w:val="24"/>
          <w:highlight w:val="none"/>
          <w14:textFill>
            <w14:solidFill>
              <w14:schemeClr w14:val="tx1"/>
            </w14:solidFill>
          </w14:textFill>
        </w:rPr>
        <w:t>；通过导出模板，可以设置个人模板或常用语等功能，大大提高医生工作效率。</w:t>
      </w:r>
    </w:p>
    <w:p>
      <w:pPr>
        <w:spacing w:line="360" w:lineRule="auto"/>
        <w:ind w:firstLine="42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病历书写</w:t>
      </w:r>
      <w:r>
        <w:rPr>
          <w:rFonts w:ascii="宋体" w:hAnsi="宋体"/>
          <w:color w:val="000000" w:themeColor="text1"/>
          <w:sz w:val="24"/>
          <w:highlight w:val="none"/>
          <w14:textFill>
            <w14:solidFill>
              <w14:schemeClr w14:val="tx1"/>
            </w14:solidFill>
          </w14:textFill>
        </w:rPr>
        <w:t>时调用的病历模版，</w:t>
      </w:r>
      <w:r>
        <w:rPr>
          <w:rFonts w:hint="eastAsia" w:ascii="宋体" w:hAnsi="宋体"/>
          <w:color w:val="000000" w:themeColor="text1"/>
          <w:sz w:val="24"/>
          <w:highlight w:val="none"/>
          <w14:textFill>
            <w14:solidFill>
              <w14:schemeClr w14:val="tx1"/>
            </w14:solidFill>
          </w14:textFill>
        </w:rPr>
        <w:t>能够</w:t>
      </w:r>
      <w:r>
        <w:rPr>
          <w:rFonts w:ascii="宋体" w:hAnsi="宋体"/>
          <w:color w:val="000000" w:themeColor="text1"/>
          <w:sz w:val="24"/>
          <w:highlight w:val="none"/>
          <w14:textFill>
            <w14:solidFill>
              <w14:schemeClr w14:val="tx1"/>
            </w14:solidFill>
          </w14:textFill>
        </w:rPr>
        <w:t>识别病人性别</w:t>
      </w:r>
      <w:r>
        <w:rPr>
          <w:rFonts w:hint="eastAsia" w:ascii="宋体" w:hAnsi="宋体"/>
          <w:color w:val="000000" w:themeColor="text1"/>
          <w:sz w:val="24"/>
          <w:highlight w:val="none"/>
          <w14:textFill>
            <w14:solidFill>
              <w14:schemeClr w14:val="tx1"/>
            </w14:solidFill>
          </w14:textFill>
        </w:rPr>
        <w:t>自动</w:t>
      </w:r>
      <w:r>
        <w:rPr>
          <w:rFonts w:ascii="宋体" w:hAnsi="宋体"/>
          <w:color w:val="000000" w:themeColor="text1"/>
          <w:sz w:val="24"/>
          <w:highlight w:val="none"/>
          <w14:textFill>
            <w14:solidFill>
              <w14:schemeClr w14:val="tx1"/>
            </w14:solidFill>
          </w14:textFill>
        </w:rPr>
        <w:t>生成相应内容，使用同一份模版，男性病人</w:t>
      </w:r>
      <w:r>
        <w:rPr>
          <w:rFonts w:hint="eastAsia" w:ascii="宋体" w:hAnsi="宋体"/>
          <w:color w:val="000000" w:themeColor="text1"/>
          <w:sz w:val="24"/>
          <w:highlight w:val="none"/>
          <w14:textFill>
            <w14:solidFill>
              <w14:schemeClr w14:val="tx1"/>
            </w14:solidFill>
          </w14:textFill>
        </w:rPr>
        <w:t>自动</w:t>
      </w:r>
      <w:r>
        <w:rPr>
          <w:rFonts w:ascii="宋体" w:hAnsi="宋体"/>
          <w:color w:val="000000" w:themeColor="text1"/>
          <w:sz w:val="24"/>
          <w:highlight w:val="none"/>
          <w14:textFill>
            <w14:solidFill>
              <w14:schemeClr w14:val="tx1"/>
            </w14:solidFill>
          </w14:textFill>
        </w:rPr>
        <w:t>保留婚育史，女性病人</w:t>
      </w:r>
      <w:r>
        <w:rPr>
          <w:rFonts w:hint="eastAsia" w:ascii="宋体" w:hAnsi="宋体"/>
          <w:color w:val="000000" w:themeColor="text1"/>
          <w:sz w:val="24"/>
          <w:highlight w:val="none"/>
          <w14:textFill>
            <w14:solidFill>
              <w14:schemeClr w14:val="tx1"/>
            </w14:solidFill>
          </w14:textFill>
        </w:rPr>
        <w:t>自动</w:t>
      </w:r>
      <w:r>
        <w:rPr>
          <w:rFonts w:ascii="宋体" w:hAnsi="宋体"/>
          <w:color w:val="000000" w:themeColor="text1"/>
          <w:sz w:val="24"/>
          <w:highlight w:val="none"/>
          <w14:textFill>
            <w14:solidFill>
              <w14:schemeClr w14:val="tx1"/>
            </w14:solidFill>
          </w14:textFill>
        </w:rPr>
        <w:t>导入月经及婚育史。支持病种模版，能够根据</w:t>
      </w:r>
      <w:r>
        <w:rPr>
          <w:rFonts w:hint="eastAsia" w:ascii="宋体" w:hAnsi="宋体"/>
          <w:color w:val="000000" w:themeColor="text1"/>
          <w:sz w:val="24"/>
          <w:highlight w:val="none"/>
          <w14:textFill>
            <w14:solidFill>
              <w14:schemeClr w14:val="tx1"/>
            </w14:solidFill>
          </w14:textFill>
        </w:rPr>
        <w:t>不同</w:t>
      </w:r>
      <w:r>
        <w:rPr>
          <w:rFonts w:ascii="宋体" w:hAnsi="宋体"/>
          <w:color w:val="000000" w:themeColor="text1"/>
          <w:sz w:val="24"/>
          <w:highlight w:val="none"/>
          <w14:textFill>
            <w14:solidFill>
              <w14:schemeClr w14:val="tx1"/>
            </w14:solidFill>
          </w14:textFill>
        </w:rPr>
        <w:t>病种生成</w:t>
      </w:r>
      <w:r>
        <w:rPr>
          <w:rFonts w:hint="eastAsia" w:ascii="宋体" w:hAnsi="宋体"/>
          <w:color w:val="000000" w:themeColor="text1"/>
          <w:sz w:val="24"/>
          <w:highlight w:val="none"/>
          <w14:textFill>
            <w14:solidFill>
              <w14:schemeClr w14:val="tx1"/>
            </w14:solidFill>
          </w14:textFill>
        </w:rPr>
        <w:t>不同的</w:t>
      </w:r>
      <w:r>
        <w:rPr>
          <w:rFonts w:ascii="宋体" w:hAnsi="宋体"/>
          <w:color w:val="000000" w:themeColor="text1"/>
          <w:sz w:val="24"/>
          <w:highlight w:val="none"/>
          <w14:textFill>
            <w14:solidFill>
              <w14:schemeClr w14:val="tx1"/>
            </w14:solidFill>
          </w14:textFill>
        </w:rPr>
        <w:t>主诉、现病史、既往史等资料。</w:t>
      </w:r>
    </w:p>
    <w:p>
      <w:pPr>
        <w:spacing w:line="360" w:lineRule="auto"/>
        <w:ind w:firstLine="42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要求提供医学知识库检索功能，在医生书写病历时，选中病历中任何需要查询的关键字，在知识库中搜索到与这个关键字相关联的医学文档，可以查看文档，复制文档内容，以便进行医学指导作用。</w:t>
      </w:r>
    </w:p>
    <w:p>
      <w:pPr>
        <w:spacing w:line="360" w:lineRule="auto"/>
        <w:ind w:firstLine="42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医生书写完成大病历后，首次病程记录内的有关大病历的内容自动生成，不需要医生重复书写，保证内容的一致性。</w:t>
      </w:r>
    </w:p>
    <w:p>
      <w:pPr>
        <w:spacing w:line="360" w:lineRule="auto"/>
        <w:rPr>
          <w:rFonts w:ascii="Calibri" w:hAnsi="Calibri"/>
          <w:b/>
          <w:color w:val="000000" w:themeColor="text1"/>
          <w:sz w:val="24"/>
          <w:highlight w:val="none"/>
          <w14:textFill>
            <w14:solidFill>
              <w14:schemeClr w14:val="tx1"/>
            </w14:solidFill>
          </w14:textFill>
        </w:rPr>
      </w:pPr>
      <w:r>
        <w:rPr>
          <w:rFonts w:hint="eastAsia" w:ascii="Calibri" w:hAnsi="Calibri"/>
          <w:b/>
          <w:color w:val="000000" w:themeColor="text1"/>
          <w:sz w:val="24"/>
          <w:highlight w:val="none"/>
          <w14:textFill>
            <w14:solidFill>
              <w14:schemeClr w14:val="tx1"/>
            </w14:solidFill>
          </w14:textFill>
        </w:rPr>
        <w:t>病历</w:t>
      </w:r>
      <w:r>
        <w:rPr>
          <w:rFonts w:ascii="Calibri" w:hAnsi="Calibri"/>
          <w:b/>
          <w:color w:val="000000" w:themeColor="text1"/>
          <w:sz w:val="24"/>
          <w:highlight w:val="none"/>
          <w14:textFill>
            <w14:solidFill>
              <w14:schemeClr w14:val="tx1"/>
            </w14:solidFill>
          </w14:textFill>
        </w:rPr>
        <w:t>模版编辑器</w:t>
      </w:r>
    </w:p>
    <w:p>
      <w:pPr>
        <w:spacing w:line="360" w:lineRule="auto"/>
        <w:ind w:firstLine="42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住院电子病历系统应提供多科室多病种的病历模板，可以满足大多数临床科室的需要。支持全结构化、标准化的快速模版制作，支持模版中知识库和医学</w:t>
      </w:r>
      <w:r>
        <w:rPr>
          <w:rFonts w:ascii="宋体" w:hAnsi="宋体"/>
          <w:color w:val="000000" w:themeColor="text1"/>
          <w:sz w:val="24"/>
          <w:highlight w:val="none"/>
          <w14:textFill>
            <w14:solidFill>
              <w14:schemeClr w14:val="tx1"/>
            </w14:solidFill>
          </w14:textFill>
        </w:rPr>
        <w:t>片段</w:t>
      </w:r>
      <w:r>
        <w:rPr>
          <w:rFonts w:hint="eastAsia" w:ascii="宋体" w:hAnsi="宋体"/>
          <w:color w:val="000000" w:themeColor="text1"/>
          <w:sz w:val="24"/>
          <w:highlight w:val="none"/>
          <w14:textFill>
            <w14:solidFill>
              <w14:schemeClr w14:val="tx1"/>
            </w14:solidFill>
          </w14:textFill>
        </w:rPr>
        <w:t>模版的维护。</w:t>
      </w:r>
    </w:p>
    <w:p>
      <w:pPr>
        <w:spacing w:line="360" w:lineRule="auto"/>
        <w:ind w:firstLine="42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住院电子病历系统根据《病历书写规范》的要求，将各类病历资料进行结构化处理，提供方便、快捷和准确的书写方式，提供书写的病历资料包括“首次病程记录、入院记录、病程记录（分病程记录、上级医师查房记录、术后病程记录、诊疗操作记录等）、术前小结、手术记录、各种手术治疗同意书、会诊记录、出院小结、死亡记录、病案首页”等。</w:t>
      </w:r>
    </w:p>
    <w:p>
      <w:pPr>
        <w:spacing w:line="360" w:lineRule="auto"/>
        <w:ind w:firstLine="42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病历</w:t>
      </w:r>
      <w:r>
        <w:rPr>
          <w:rFonts w:ascii="宋体" w:hAnsi="宋体"/>
          <w:color w:val="000000" w:themeColor="text1"/>
          <w:sz w:val="24"/>
          <w:highlight w:val="none"/>
          <w14:textFill>
            <w14:solidFill>
              <w14:schemeClr w14:val="tx1"/>
            </w14:solidFill>
          </w14:textFill>
        </w:rPr>
        <w:t>模版支持医院自定义格式和自定义内容，允许具有相应权限的医生编辑修改模版，</w:t>
      </w:r>
      <w:r>
        <w:rPr>
          <w:rFonts w:hint="eastAsia" w:ascii="宋体" w:hAnsi="宋体"/>
          <w:color w:val="000000" w:themeColor="text1"/>
          <w:sz w:val="24"/>
          <w:highlight w:val="none"/>
          <w14:textFill>
            <w14:solidFill>
              <w14:schemeClr w14:val="tx1"/>
            </w14:solidFill>
          </w14:textFill>
        </w:rPr>
        <w:t>模版</w:t>
      </w:r>
      <w:r>
        <w:rPr>
          <w:rFonts w:ascii="宋体" w:hAnsi="宋体"/>
          <w:color w:val="000000" w:themeColor="text1"/>
          <w:sz w:val="24"/>
          <w:highlight w:val="none"/>
          <w14:textFill>
            <w14:solidFill>
              <w14:schemeClr w14:val="tx1"/>
            </w14:solidFill>
          </w14:textFill>
        </w:rPr>
        <w:t>统一管理。支持</w:t>
      </w:r>
      <w:r>
        <w:rPr>
          <w:rFonts w:hint="eastAsia" w:ascii="宋体" w:hAnsi="宋体"/>
          <w:color w:val="000000" w:themeColor="text1"/>
          <w:sz w:val="24"/>
          <w:highlight w:val="none"/>
          <w14:textFill>
            <w14:solidFill>
              <w14:schemeClr w14:val="tx1"/>
            </w14:solidFill>
          </w14:textFill>
        </w:rPr>
        <w:t>医学</w:t>
      </w:r>
      <w:r>
        <w:rPr>
          <w:rFonts w:ascii="宋体" w:hAnsi="宋体"/>
          <w:color w:val="000000" w:themeColor="text1"/>
          <w:sz w:val="24"/>
          <w:highlight w:val="none"/>
          <w14:textFill>
            <w14:solidFill>
              <w14:schemeClr w14:val="tx1"/>
            </w14:solidFill>
          </w14:textFill>
        </w:rPr>
        <w:t>片段编辑</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允许每个医生编辑自己的医学片段</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通过审核后，可以在临床写病历时</w:t>
      </w:r>
      <w:r>
        <w:rPr>
          <w:rFonts w:hint="eastAsia" w:ascii="宋体" w:hAnsi="宋体"/>
          <w:color w:val="000000" w:themeColor="text1"/>
          <w:sz w:val="24"/>
          <w:highlight w:val="none"/>
          <w14:textFill>
            <w14:solidFill>
              <w14:schemeClr w14:val="tx1"/>
            </w14:solidFill>
          </w14:textFill>
        </w:rPr>
        <w:t>引用</w:t>
      </w:r>
      <w:r>
        <w:rPr>
          <w:rFonts w:ascii="宋体" w:hAnsi="宋体"/>
          <w:color w:val="000000" w:themeColor="text1"/>
          <w:sz w:val="24"/>
          <w:highlight w:val="none"/>
          <w14:textFill>
            <w14:solidFill>
              <w14:schemeClr w14:val="tx1"/>
            </w14:solidFill>
          </w14:textFill>
        </w:rPr>
        <w:t>。</w:t>
      </w:r>
    </w:p>
    <w:p>
      <w:pPr>
        <w:spacing w:line="360" w:lineRule="auto"/>
        <w:rPr>
          <w:rFonts w:ascii="Calibri" w:hAnsi="Calibri"/>
          <w:b/>
          <w:color w:val="000000" w:themeColor="text1"/>
          <w:sz w:val="24"/>
          <w:highlight w:val="none"/>
          <w14:textFill>
            <w14:solidFill>
              <w14:schemeClr w14:val="tx1"/>
            </w14:solidFill>
          </w14:textFill>
        </w:rPr>
      </w:pPr>
      <w:r>
        <w:rPr>
          <w:rFonts w:hint="eastAsia" w:ascii="Calibri" w:hAnsi="Calibri"/>
          <w:b/>
          <w:color w:val="000000" w:themeColor="text1"/>
          <w:sz w:val="24"/>
          <w:highlight w:val="none"/>
          <w14:textFill>
            <w14:solidFill>
              <w14:schemeClr w14:val="tx1"/>
            </w14:solidFill>
          </w14:textFill>
        </w:rPr>
        <w:t>住院</w:t>
      </w:r>
      <w:r>
        <w:rPr>
          <w:rFonts w:ascii="Calibri" w:hAnsi="Calibri"/>
          <w:b/>
          <w:color w:val="000000" w:themeColor="text1"/>
          <w:sz w:val="24"/>
          <w:highlight w:val="none"/>
          <w14:textFill>
            <w14:solidFill>
              <w14:schemeClr w14:val="tx1"/>
            </w14:solidFill>
          </w14:textFill>
        </w:rPr>
        <w:t>病历书写质控</w:t>
      </w:r>
    </w:p>
    <w:p>
      <w:pPr>
        <w:spacing w:after="120"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遵守卫生部门的“病历书写规范”，对病历书写时间和书写顺序进行相应的控制。通过设置病历质量控制规则和消息服务，实现住院病历环节时效控制；通过设置病历评分规则，实现住院病历的终末评分质控；通过病历检查和整改通知单，实现医疗和病历质量院级、科室、医生三级实施监控管理。</w:t>
      </w:r>
      <w:r>
        <w:rPr>
          <w:rFonts w:ascii="宋体" w:hAnsi="宋体"/>
          <w:color w:val="000000" w:themeColor="text1"/>
          <w:sz w:val="24"/>
          <w:highlight w:val="none"/>
          <w14:textFill>
            <w14:solidFill>
              <w14:schemeClr w14:val="tx1"/>
            </w14:solidFill>
          </w14:textFill>
        </w:rPr>
        <w:t>评分允许系统</w:t>
      </w:r>
      <w:r>
        <w:rPr>
          <w:rFonts w:hint="eastAsia" w:ascii="宋体" w:hAnsi="宋体"/>
          <w:color w:val="000000" w:themeColor="text1"/>
          <w:sz w:val="24"/>
          <w:highlight w:val="none"/>
          <w14:textFill>
            <w14:solidFill>
              <w14:schemeClr w14:val="tx1"/>
            </w14:solidFill>
          </w14:textFill>
        </w:rPr>
        <w:t>自动</w:t>
      </w:r>
      <w:r>
        <w:rPr>
          <w:rFonts w:ascii="宋体" w:hAnsi="宋体"/>
          <w:color w:val="000000" w:themeColor="text1"/>
          <w:sz w:val="24"/>
          <w:highlight w:val="none"/>
          <w14:textFill>
            <w14:solidFill>
              <w14:schemeClr w14:val="tx1"/>
            </w14:solidFill>
          </w14:textFill>
        </w:rPr>
        <w:t>扣分和手动评分，</w:t>
      </w:r>
      <w:r>
        <w:rPr>
          <w:rFonts w:hint="eastAsia" w:ascii="宋体" w:hAnsi="宋体"/>
          <w:color w:val="000000" w:themeColor="text1"/>
          <w:sz w:val="24"/>
          <w:highlight w:val="none"/>
          <w14:textFill>
            <w14:solidFill>
              <w14:schemeClr w14:val="tx1"/>
            </w14:solidFill>
          </w14:textFill>
        </w:rPr>
        <w:t>对于</w:t>
      </w:r>
      <w:r>
        <w:rPr>
          <w:rFonts w:ascii="宋体" w:hAnsi="宋体"/>
          <w:color w:val="000000" w:themeColor="text1"/>
          <w:sz w:val="24"/>
          <w:highlight w:val="none"/>
          <w14:textFill>
            <w14:solidFill>
              <w14:schemeClr w14:val="tx1"/>
            </w14:solidFill>
          </w14:textFill>
        </w:rPr>
        <w:t>误扣分</w:t>
      </w:r>
      <w:r>
        <w:rPr>
          <w:rFonts w:hint="eastAsia" w:ascii="宋体" w:hAnsi="宋体"/>
          <w:color w:val="000000" w:themeColor="text1"/>
          <w:sz w:val="24"/>
          <w:highlight w:val="none"/>
          <w14:textFill>
            <w14:solidFill>
              <w14:schemeClr w14:val="tx1"/>
            </w14:solidFill>
          </w14:textFill>
        </w:rPr>
        <w:t>项</w:t>
      </w:r>
      <w:r>
        <w:rPr>
          <w:rFonts w:ascii="宋体" w:hAnsi="宋体"/>
          <w:color w:val="000000" w:themeColor="text1"/>
          <w:sz w:val="24"/>
          <w:highlight w:val="none"/>
          <w14:textFill>
            <w14:solidFill>
              <w14:schemeClr w14:val="tx1"/>
            </w14:solidFill>
          </w14:textFill>
        </w:rPr>
        <w:t>，允许医生改正后重新量分。</w:t>
      </w:r>
      <w:r>
        <w:rPr>
          <w:rFonts w:hint="eastAsia" w:ascii="宋体" w:hAnsi="宋体"/>
          <w:color w:val="000000" w:themeColor="text1"/>
          <w:sz w:val="24"/>
          <w:highlight w:val="none"/>
          <w14:textFill>
            <w14:solidFill>
              <w14:schemeClr w14:val="tx1"/>
            </w14:solidFill>
          </w14:textFill>
        </w:rPr>
        <w:t>支持</w:t>
      </w:r>
      <w:r>
        <w:rPr>
          <w:rFonts w:ascii="宋体" w:hAnsi="宋体"/>
          <w:color w:val="000000" w:themeColor="text1"/>
          <w:sz w:val="24"/>
          <w:highlight w:val="none"/>
          <w14:textFill>
            <w14:solidFill>
              <w14:schemeClr w14:val="tx1"/>
            </w14:solidFill>
          </w14:textFill>
        </w:rPr>
        <w:t>病历按照得分</w:t>
      </w:r>
      <w:r>
        <w:rPr>
          <w:rFonts w:hint="eastAsia" w:ascii="宋体" w:hAnsi="宋体"/>
          <w:color w:val="000000" w:themeColor="text1"/>
          <w:sz w:val="24"/>
          <w:highlight w:val="none"/>
          <w14:textFill>
            <w14:solidFill>
              <w14:schemeClr w14:val="tx1"/>
            </w14:solidFill>
          </w14:textFill>
        </w:rPr>
        <w:t>评定病案质量</w:t>
      </w:r>
      <w:r>
        <w:rPr>
          <w:rFonts w:ascii="宋体" w:hAnsi="宋体"/>
          <w:color w:val="000000" w:themeColor="text1"/>
          <w:sz w:val="24"/>
          <w:highlight w:val="none"/>
          <w14:textFill>
            <w14:solidFill>
              <w14:schemeClr w14:val="tx1"/>
            </w14:solidFill>
          </w14:textFill>
        </w:rPr>
        <w:t>。</w:t>
      </w:r>
    </w:p>
    <w:p>
      <w:pPr>
        <w:spacing w:line="360" w:lineRule="auto"/>
        <w:rPr>
          <w:rFonts w:ascii="Calibri" w:hAnsi="Calibri"/>
          <w:b/>
          <w:color w:val="000000" w:themeColor="text1"/>
          <w:sz w:val="24"/>
          <w:highlight w:val="none"/>
          <w14:textFill>
            <w14:solidFill>
              <w14:schemeClr w14:val="tx1"/>
            </w14:solidFill>
          </w14:textFill>
        </w:rPr>
      </w:pPr>
      <w:r>
        <w:rPr>
          <w:rFonts w:hint="eastAsia" w:ascii="Calibri" w:hAnsi="Calibri"/>
          <w:b/>
          <w:color w:val="000000" w:themeColor="text1"/>
          <w:sz w:val="24"/>
          <w:highlight w:val="none"/>
          <w14:textFill>
            <w14:solidFill>
              <w14:schemeClr w14:val="tx1"/>
            </w14:solidFill>
          </w14:textFill>
        </w:rPr>
        <w:t>电子</w:t>
      </w:r>
      <w:r>
        <w:rPr>
          <w:rFonts w:ascii="Calibri" w:hAnsi="Calibri"/>
          <w:b/>
          <w:color w:val="000000" w:themeColor="text1"/>
          <w:sz w:val="24"/>
          <w:highlight w:val="none"/>
          <w14:textFill>
            <w14:solidFill>
              <w14:schemeClr w14:val="tx1"/>
            </w14:solidFill>
          </w14:textFill>
        </w:rPr>
        <w:t>病案归档与调阅管理</w:t>
      </w:r>
    </w:p>
    <w:p>
      <w:pPr>
        <w:spacing w:line="360" w:lineRule="auto"/>
        <w:ind w:firstLine="42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提供电子病案的归档管理和调阅申请。</w:t>
      </w:r>
    </w:p>
    <w:p>
      <w:pPr>
        <w:pStyle w:val="6"/>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5.1.24病历质控系统</w:t>
      </w:r>
    </w:p>
    <w:p>
      <w:pPr>
        <w:autoSpaceDE w:val="0"/>
        <w:autoSpaceDN w:val="0"/>
        <w:adjustRightInd w:val="0"/>
        <w:snapToGrid w:val="0"/>
        <w:spacing w:line="360" w:lineRule="auto"/>
        <w:ind w:left="105" w:leftChars="50" w:right="50"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系统要求以先进的技术架构平台为基础，建设一套基于门户的适应医院服务管理特色的、适合数字化信息处理的医院系统管理模型与工作流程，在应用上达到国际领先水平的病历质控系统。</w:t>
      </w:r>
    </w:p>
    <w:p>
      <w:pPr>
        <w:autoSpaceDE w:val="0"/>
        <w:autoSpaceDN w:val="0"/>
        <w:adjustRightInd w:val="0"/>
        <w:snapToGrid w:val="0"/>
        <w:spacing w:line="360" w:lineRule="auto"/>
        <w:ind w:left="105" w:leftChars="50" w:right="50"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系统必须符合《卫生部医院信息系统基本功能规范》，HL7、ICD、XML、SNOMED等行业规范标准，《病历书写基本规范》卫医政发〔2010〕11号，《电子病历基本规范（试行）》卫医政发〔2010〕114号、《电子病历系统功能规范（试行）》卫医政发〔2010〕114号、《医疗事故处理条例》国务院令第351号〔2002〕等等要求。</w:t>
      </w:r>
    </w:p>
    <w:p>
      <w:pPr>
        <w:autoSpaceDE w:val="0"/>
        <w:autoSpaceDN w:val="0"/>
        <w:adjustRightInd w:val="0"/>
        <w:snapToGrid w:val="0"/>
        <w:spacing w:line="360" w:lineRule="auto"/>
        <w:ind w:left="105" w:leftChars="50" w:right="50"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系统设计须严格执行国家有关软件工程的标准，保证系统质量，应用设计符合国家及医疗卫生行业的相关标准、规范和医院自身的发展规划，遵循现行的或即将发布的涉及病历质控系统的国家法律法规。</w:t>
      </w:r>
    </w:p>
    <w:p>
      <w:pPr>
        <w:spacing w:line="360" w:lineRule="auto"/>
        <w:rPr>
          <w:rFonts w:ascii="Calibri" w:hAnsi="Calibri"/>
          <w:b/>
          <w:color w:val="000000" w:themeColor="text1"/>
          <w:sz w:val="24"/>
          <w:highlight w:val="none"/>
          <w14:textFill>
            <w14:solidFill>
              <w14:schemeClr w14:val="tx1"/>
            </w14:solidFill>
          </w14:textFill>
        </w:rPr>
      </w:pPr>
      <w:r>
        <w:rPr>
          <w:rFonts w:hint="eastAsia" w:ascii="Calibri" w:hAnsi="Calibri"/>
          <w:b/>
          <w:color w:val="000000" w:themeColor="text1"/>
          <w:sz w:val="24"/>
          <w:highlight w:val="none"/>
          <w14:textFill>
            <w14:solidFill>
              <w14:schemeClr w14:val="tx1"/>
            </w14:solidFill>
          </w14:textFill>
        </w:rPr>
        <w:t>病历时限</w:t>
      </w:r>
      <w:r>
        <w:rPr>
          <w:rFonts w:ascii="Calibri" w:hAnsi="Calibri"/>
          <w:b/>
          <w:color w:val="000000" w:themeColor="text1"/>
          <w:sz w:val="24"/>
          <w:highlight w:val="none"/>
          <w14:textFill>
            <w14:solidFill>
              <w14:schemeClr w14:val="tx1"/>
            </w14:solidFill>
          </w14:textFill>
        </w:rPr>
        <w:t>质控</w:t>
      </w:r>
    </w:p>
    <w:p>
      <w:pPr>
        <w:adjustRightInd w:val="0"/>
        <w:snapToGrid w:val="0"/>
        <w:spacing w:line="360" w:lineRule="auto"/>
        <w:ind w:left="105" w:leftChars="50" w:firstLine="600" w:firstLineChars="250"/>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提供</w:t>
      </w:r>
      <w:r>
        <w:rPr>
          <w:rFonts w:ascii="宋体" w:hAnsi="宋体" w:cs="Arial"/>
          <w:color w:val="000000" w:themeColor="text1"/>
          <w:sz w:val="24"/>
          <w:highlight w:val="none"/>
          <w14:textFill>
            <w14:solidFill>
              <w14:schemeClr w14:val="tx1"/>
            </w14:solidFill>
          </w14:textFill>
        </w:rPr>
        <w:t>病历</w:t>
      </w:r>
      <w:r>
        <w:rPr>
          <w:rFonts w:hint="eastAsia" w:ascii="宋体" w:hAnsi="宋体" w:cs="Arial"/>
          <w:color w:val="000000" w:themeColor="text1"/>
          <w:sz w:val="24"/>
          <w:highlight w:val="none"/>
          <w14:textFill>
            <w14:solidFill>
              <w14:schemeClr w14:val="tx1"/>
            </w14:solidFill>
          </w14:textFill>
        </w:rPr>
        <w:t>时限</w:t>
      </w:r>
      <w:r>
        <w:rPr>
          <w:rFonts w:ascii="宋体" w:hAnsi="宋体" w:cs="Arial"/>
          <w:color w:val="000000" w:themeColor="text1"/>
          <w:sz w:val="24"/>
          <w:highlight w:val="none"/>
          <w14:textFill>
            <w14:solidFill>
              <w14:schemeClr w14:val="tx1"/>
            </w14:solidFill>
          </w14:textFill>
        </w:rPr>
        <w:t>监控</w:t>
      </w:r>
      <w:r>
        <w:rPr>
          <w:rFonts w:hint="eastAsia" w:ascii="宋体" w:hAnsi="宋体" w:cs="Arial"/>
          <w:color w:val="000000" w:themeColor="text1"/>
          <w:sz w:val="24"/>
          <w:highlight w:val="none"/>
          <w14:textFill>
            <w14:solidFill>
              <w14:schemeClr w14:val="tx1"/>
            </w14:solidFill>
          </w14:textFill>
        </w:rPr>
        <w:t>提醒</w:t>
      </w:r>
      <w:r>
        <w:rPr>
          <w:rFonts w:ascii="宋体" w:hAnsi="宋体" w:cs="Arial"/>
          <w:color w:val="000000" w:themeColor="text1"/>
          <w:sz w:val="24"/>
          <w:highlight w:val="none"/>
          <w14:textFill>
            <w14:solidFill>
              <w14:schemeClr w14:val="tx1"/>
            </w14:solidFill>
          </w14:textFill>
        </w:rPr>
        <w:t>功能，</w:t>
      </w:r>
      <w:r>
        <w:rPr>
          <w:rFonts w:hint="eastAsia" w:ascii="宋体" w:hAnsi="宋体" w:cs="Arial"/>
          <w:color w:val="000000" w:themeColor="text1"/>
          <w:sz w:val="24"/>
          <w:highlight w:val="none"/>
          <w14:textFill>
            <w14:solidFill>
              <w14:schemeClr w14:val="tx1"/>
            </w14:solidFill>
          </w14:textFill>
        </w:rPr>
        <w:t>自动</w:t>
      </w:r>
      <w:r>
        <w:rPr>
          <w:rFonts w:ascii="宋体" w:hAnsi="宋体" w:cs="Arial"/>
          <w:color w:val="000000" w:themeColor="text1"/>
          <w:sz w:val="24"/>
          <w:highlight w:val="none"/>
          <w14:textFill>
            <w14:solidFill>
              <w14:schemeClr w14:val="tx1"/>
            </w14:solidFill>
          </w14:textFill>
        </w:rPr>
        <w:t>监控病历书写状态，对不符合时间要求的病历</w:t>
      </w:r>
      <w:r>
        <w:rPr>
          <w:rFonts w:hint="eastAsia" w:ascii="宋体" w:hAnsi="宋体" w:cs="Arial"/>
          <w:color w:val="000000" w:themeColor="text1"/>
          <w:sz w:val="24"/>
          <w:highlight w:val="none"/>
          <w14:textFill>
            <w14:solidFill>
              <w14:schemeClr w14:val="tx1"/>
            </w14:solidFill>
          </w14:textFill>
        </w:rPr>
        <w:t>在</w:t>
      </w:r>
      <w:r>
        <w:rPr>
          <w:rFonts w:ascii="宋体" w:hAnsi="宋体" w:cs="Arial"/>
          <w:color w:val="000000" w:themeColor="text1"/>
          <w:sz w:val="24"/>
          <w:highlight w:val="none"/>
          <w14:textFill>
            <w14:solidFill>
              <w14:schemeClr w14:val="tx1"/>
            </w14:solidFill>
          </w14:textFill>
        </w:rPr>
        <w:t>病房医生站予以提示，</w:t>
      </w:r>
      <w:r>
        <w:rPr>
          <w:rFonts w:hint="eastAsia" w:ascii="宋体" w:hAnsi="宋体" w:cs="Arial"/>
          <w:color w:val="000000" w:themeColor="text1"/>
          <w:sz w:val="24"/>
          <w:highlight w:val="none"/>
          <w14:textFill>
            <w14:solidFill>
              <w14:schemeClr w14:val="tx1"/>
            </w14:solidFill>
          </w14:textFill>
        </w:rPr>
        <w:t>并且</w:t>
      </w:r>
      <w:r>
        <w:rPr>
          <w:rFonts w:ascii="宋体" w:hAnsi="宋体" w:cs="Arial"/>
          <w:color w:val="000000" w:themeColor="text1"/>
          <w:sz w:val="24"/>
          <w:highlight w:val="none"/>
          <w14:textFill>
            <w14:solidFill>
              <w14:schemeClr w14:val="tx1"/>
            </w14:solidFill>
          </w14:textFill>
        </w:rPr>
        <w:t>质控科可查</w:t>
      </w:r>
      <w:r>
        <w:rPr>
          <w:rFonts w:hint="eastAsia" w:ascii="宋体" w:hAnsi="宋体" w:cs="Arial"/>
          <w:color w:val="000000" w:themeColor="text1"/>
          <w:sz w:val="24"/>
          <w:highlight w:val="none"/>
          <w14:textFill>
            <w14:solidFill>
              <w14:schemeClr w14:val="tx1"/>
            </w14:solidFill>
          </w14:textFill>
        </w:rPr>
        <w:t>。</w:t>
      </w:r>
    </w:p>
    <w:p>
      <w:pPr>
        <w:spacing w:line="360" w:lineRule="auto"/>
        <w:rPr>
          <w:rFonts w:ascii="Calibri" w:hAnsi="Calibri"/>
          <w:b/>
          <w:color w:val="000000" w:themeColor="text1"/>
          <w:sz w:val="24"/>
          <w:highlight w:val="none"/>
          <w14:textFill>
            <w14:solidFill>
              <w14:schemeClr w14:val="tx1"/>
            </w14:solidFill>
          </w14:textFill>
        </w:rPr>
      </w:pPr>
      <w:r>
        <w:rPr>
          <w:rFonts w:hint="eastAsia" w:ascii="Calibri" w:hAnsi="Calibri"/>
          <w:b/>
          <w:color w:val="000000" w:themeColor="text1"/>
          <w:sz w:val="24"/>
          <w:highlight w:val="none"/>
          <w14:textFill>
            <w14:solidFill>
              <w14:schemeClr w14:val="tx1"/>
            </w14:solidFill>
          </w14:textFill>
        </w:rPr>
        <w:t>病历</w:t>
      </w:r>
      <w:r>
        <w:rPr>
          <w:rFonts w:ascii="Calibri" w:hAnsi="Calibri"/>
          <w:b/>
          <w:color w:val="000000" w:themeColor="text1"/>
          <w:sz w:val="24"/>
          <w:highlight w:val="none"/>
          <w14:textFill>
            <w14:solidFill>
              <w14:schemeClr w14:val="tx1"/>
            </w14:solidFill>
          </w14:textFill>
        </w:rPr>
        <w:t>内容质控</w:t>
      </w:r>
    </w:p>
    <w:p>
      <w:pPr>
        <w:adjustRightInd w:val="0"/>
        <w:snapToGrid w:val="0"/>
        <w:spacing w:line="360" w:lineRule="auto"/>
        <w:ind w:left="105" w:leftChars="50" w:firstLine="600" w:firstLineChars="250"/>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提供</w:t>
      </w:r>
      <w:r>
        <w:rPr>
          <w:rFonts w:ascii="宋体" w:hAnsi="宋体" w:cs="Arial"/>
          <w:color w:val="000000" w:themeColor="text1"/>
          <w:sz w:val="24"/>
          <w:highlight w:val="none"/>
          <w14:textFill>
            <w14:solidFill>
              <w14:schemeClr w14:val="tx1"/>
            </w14:solidFill>
          </w14:textFill>
        </w:rPr>
        <w:t>病历内容检查功能，</w:t>
      </w:r>
      <w:r>
        <w:rPr>
          <w:rFonts w:hint="eastAsia" w:ascii="宋体" w:hAnsi="宋体" w:cs="Arial"/>
          <w:color w:val="000000" w:themeColor="text1"/>
          <w:sz w:val="24"/>
          <w:highlight w:val="none"/>
          <w14:textFill>
            <w14:solidFill>
              <w14:schemeClr w14:val="tx1"/>
            </w14:solidFill>
          </w14:textFill>
        </w:rPr>
        <w:t>支持</w:t>
      </w:r>
      <w:r>
        <w:rPr>
          <w:rFonts w:ascii="宋体" w:hAnsi="宋体" w:cs="Arial"/>
          <w:color w:val="000000" w:themeColor="text1"/>
          <w:sz w:val="24"/>
          <w:highlight w:val="none"/>
          <w14:textFill>
            <w14:solidFill>
              <w14:schemeClr w14:val="tx1"/>
            </w14:solidFill>
          </w14:textFill>
        </w:rPr>
        <w:t>系统设置关键字校验，病历保存时，自动校验病历的正确性，支持审阅病历，发送整改消息，临床医生接收整改消息，</w:t>
      </w:r>
      <w:r>
        <w:rPr>
          <w:rFonts w:hint="eastAsia" w:ascii="宋体" w:hAnsi="宋体" w:cs="Arial"/>
          <w:color w:val="000000" w:themeColor="text1"/>
          <w:sz w:val="24"/>
          <w:highlight w:val="none"/>
          <w14:textFill>
            <w14:solidFill>
              <w14:schemeClr w14:val="tx1"/>
            </w14:solidFill>
          </w14:textFill>
        </w:rPr>
        <w:t>支持</w:t>
      </w:r>
      <w:r>
        <w:rPr>
          <w:rFonts w:ascii="宋体" w:hAnsi="宋体" w:cs="Arial"/>
          <w:color w:val="000000" w:themeColor="text1"/>
          <w:sz w:val="24"/>
          <w:highlight w:val="none"/>
          <w14:textFill>
            <w14:solidFill>
              <w14:schemeClr w14:val="tx1"/>
            </w14:solidFill>
          </w14:textFill>
        </w:rPr>
        <w:t>病历自动打分</w:t>
      </w:r>
      <w:r>
        <w:rPr>
          <w:rFonts w:hint="eastAsia" w:ascii="宋体" w:hAnsi="宋体" w:cs="Arial"/>
          <w:color w:val="000000" w:themeColor="text1"/>
          <w:sz w:val="24"/>
          <w:highlight w:val="none"/>
          <w14:textFill>
            <w14:solidFill>
              <w14:schemeClr w14:val="tx1"/>
            </w14:solidFill>
          </w14:textFill>
        </w:rPr>
        <w:t>、</w:t>
      </w:r>
      <w:r>
        <w:rPr>
          <w:rFonts w:ascii="宋体" w:hAnsi="宋体" w:cs="Arial"/>
          <w:color w:val="000000" w:themeColor="text1"/>
          <w:sz w:val="24"/>
          <w:highlight w:val="none"/>
          <w14:textFill>
            <w14:solidFill>
              <w14:schemeClr w14:val="tx1"/>
            </w14:solidFill>
          </w14:textFill>
        </w:rPr>
        <w:t>重新量分、病历三级审阅、三级评分等</w:t>
      </w:r>
      <w:r>
        <w:rPr>
          <w:rFonts w:hint="eastAsia" w:ascii="宋体" w:hAnsi="宋体" w:cs="Arial"/>
          <w:color w:val="000000" w:themeColor="text1"/>
          <w:sz w:val="24"/>
          <w:highlight w:val="none"/>
          <w14:textFill>
            <w14:solidFill>
              <w14:schemeClr w14:val="tx1"/>
            </w14:solidFill>
          </w14:textFill>
        </w:rPr>
        <w:t>。</w:t>
      </w:r>
    </w:p>
    <w:p>
      <w:pPr>
        <w:spacing w:line="360" w:lineRule="auto"/>
        <w:rPr>
          <w:rFonts w:ascii="Calibri" w:hAnsi="Calibri"/>
          <w:b/>
          <w:color w:val="000000" w:themeColor="text1"/>
          <w:sz w:val="24"/>
          <w:highlight w:val="none"/>
          <w14:textFill>
            <w14:solidFill>
              <w14:schemeClr w14:val="tx1"/>
            </w14:solidFill>
          </w14:textFill>
        </w:rPr>
      </w:pPr>
      <w:r>
        <w:rPr>
          <w:rFonts w:hint="eastAsia" w:ascii="Calibri" w:hAnsi="Calibri"/>
          <w:b/>
          <w:color w:val="000000" w:themeColor="text1"/>
          <w:sz w:val="24"/>
          <w:highlight w:val="none"/>
          <w14:textFill>
            <w14:solidFill>
              <w14:schemeClr w14:val="tx1"/>
            </w14:solidFill>
          </w14:textFill>
        </w:rPr>
        <w:t>统计</w:t>
      </w:r>
      <w:r>
        <w:rPr>
          <w:rFonts w:ascii="Calibri" w:hAnsi="Calibri"/>
          <w:b/>
          <w:color w:val="000000" w:themeColor="text1"/>
          <w:sz w:val="24"/>
          <w:highlight w:val="none"/>
          <w14:textFill>
            <w14:solidFill>
              <w14:schemeClr w14:val="tx1"/>
            </w14:solidFill>
          </w14:textFill>
        </w:rPr>
        <w:t>分析</w:t>
      </w:r>
    </w:p>
    <w:p>
      <w:pPr>
        <w:adjustRightInd w:val="0"/>
        <w:snapToGrid w:val="0"/>
        <w:spacing w:line="360" w:lineRule="auto"/>
        <w:ind w:left="105" w:leftChars="50" w:firstLine="600" w:firstLineChars="250"/>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提供定制</w:t>
      </w:r>
      <w:r>
        <w:rPr>
          <w:rFonts w:ascii="宋体" w:hAnsi="宋体" w:cs="Arial"/>
          <w:color w:val="000000" w:themeColor="text1"/>
          <w:sz w:val="24"/>
          <w:highlight w:val="none"/>
          <w14:textFill>
            <w14:solidFill>
              <w14:schemeClr w14:val="tx1"/>
            </w14:solidFill>
          </w14:textFill>
        </w:rPr>
        <w:t>化报表，</w:t>
      </w:r>
      <w:r>
        <w:rPr>
          <w:rFonts w:hint="eastAsia" w:ascii="宋体" w:hAnsi="宋体" w:cs="Arial"/>
          <w:color w:val="000000" w:themeColor="text1"/>
          <w:sz w:val="24"/>
          <w:highlight w:val="none"/>
          <w14:textFill>
            <w14:solidFill>
              <w14:schemeClr w14:val="tx1"/>
            </w14:solidFill>
          </w14:textFill>
        </w:rPr>
        <w:t>如病案</w:t>
      </w:r>
      <w:r>
        <w:rPr>
          <w:rFonts w:ascii="宋体" w:hAnsi="宋体" w:cs="Arial"/>
          <w:color w:val="000000" w:themeColor="text1"/>
          <w:sz w:val="24"/>
          <w:highlight w:val="none"/>
          <w14:textFill>
            <w14:solidFill>
              <w14:schemeClr w14:val="tx1"/>
            </w14:solidFill>
          </w14:textFill>
        </w:rPr>
        <w:t>质量统计表、病案质量分析报表、</w:t>
      </w:r>
      <w:r>
        <w:rPr>
          <w:rFonts w:hint="eastAsia" w:ascii="宋体" w:hAnsi="宋体" w:cs="Arial"/>
          <w:color w:val="000000" w:themeColor="text1"/>
          <w:sz w:val="24"/>
          <w:highlight w:val="none"/>
          <w14:textFill>
            <w14:solidFill>
              <w14:schemeClr w14:val="tx1"/>
            </w14:solidFill>
          </w14:textFill>
        </w:rPr>
        <w:t>病案</w:t>
      </w:r>
      <w:r>
        <w:rPr>
          <w:rFonts w:ascii="宋体" w:hAnsi="宋体" w:cs="Arial"/>
          <w:color w:val="000000" w:themeColor="text1"/>
          <w:sz w:val="24"/>
          <w:highlight w:val="none"/>
          <w14:textFill>
            <w14:solidFill>
              <w14:schemeClr w14:val="tx1"/>
            </w14:solidFill>
          </w14:textFill>
        </w:rPr>
        <w:t>质量趋势分析</w:t>
      </w:r>
      <w:r>
        <w:rPr>
          <w:rFonts w:hint="eastAsia" w:ascii="宋体" w:hAnsi="宋体" w:cs="Arial"/>
          <w:color w:val="000000" w:themeColor="text1"/>
          <w:sz w:val="24"/>
          <w:highlight w:val="none"/>
          <w14:textFill>
            <w14:solidFill>
              <w14:schemeClr w14:val="tx1"/>
            </w14:solidFill>
          </w14:textFill>
        </w:rPr>
        <w:t>、病历</w:t>
      </w:r>
      <w:r>
        <w:rPr>
          <w:rFonts w:ascii="宋体" w:hAnsi="宋体" w:cs="Arial"/>
          <w:color w:val="000000" w:themeColor="text1"/>
          <w:sz w:val="24"/>
          <w:highlight w:val="none"/>
          <w14:textFill>
            <w14:solidFill>
              <w14:schemeClr w14:val="tx1"/>
            </w14:solidFill>
          </w14:textFill>
        </w:rPr>
        <w:t>整改缺陷列表等。</w:t>
      </w:r>
    </w:p>
    <w:p>
      <w:pPr>
        <w:pStyle w:val="6"/>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5.1.25护理病历系统</w:t>
      </w:r>
    </w:p>
    <w:p>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护理电子病历通过电子化的手段，帮助临床护士及时、高效的书写护理病历，使护士有更多时间用于更重要的临床护理服务。同时在书写的过程中，加入质量控制方法，在整个环节过程中，就能自动发现存在的质量问题并通知护士或管理部门及时采取应对措施。</w:t>
      </w:r>
    </w:p>
    <w:p>
      <w:pPr>
        <w:spacing w:line="360" w:lineRule="auto"/>
        <w:rPr>
          <w:rFonts w:ascii="Calibri" w:hAnsi="Calibri"/>
          <w:b/>
          <w:color w:val="000000" w:themeColor="text1"/>
          <w:sz w:val="24"/>
          <w:highlight w:val="none"/>
          <w14:textFill>
            <w14:solidFill>
              <w14:schemeClr w14:val="tx1"/>
            </w14:solidFill>
          </w14:textFill>
        </w:rPr>
      </w:pPr>
      <w:r>
        <w:rPr>
          <w:rFonts w:hint="eastAsia" w:ascii="Calibri" w:hAnsi="Calibri"/>
          <w:b/>
          <w:color w:val="000000" w:themeColor="text1"/>
          <w:sz w:val="24"/>
          <w:highlight w:val="none"/>
          <w14:textFill>
            <w14:solidFill>
              <w14:schemeClr w14:val="tx1"/>
            </w14:solidFill>
          </w14:textFill>
        </w:rPr>
        <w:t>生命</w:t>
      </w:r>
      <w:r>
        <w:rPr>
          <w:rFonts w:ascii="Calibri" w:hAnsi="Calibri"/>
          <w:b/>
          <w:color w:val="000000" w:themeColor="text1"/>
          <w:sz w:val="24"/>
          <w:highlight w:val="none"/>
          <w14:textFill>
            <w14:solidFill>
              <w14:schemeClr w14:val="tx1"/>
            </w14:solidFill>
          </w14:textFill>
        </w:rPr>
        <w:t>体征记录</w:t>
      </w:r>
    </w:p>
    <w:p>
      <w:pPr>
        <w:spacing w:line="360" w:lineRule="auto"/>
        <w:ind w:firstLine="420"/>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提供护士记录生命体征的功能，系统自动绘制体温单，</w:t>
      </w:r>
      <w:r>
        <w:rPr>
          <w:rFonts w:ascii="宋体" w:hAnsi="宋体" w:cs="Arial"/>
          <w:color w:val="000000" w:themeColor="text1"/>
          <w:sz w:val="24"/>
          <w:highlight w:val="none"/>
          <w14:textFill>
            <w14:solidFill>
              <w14:schemeClr w14:val="tx1"/>
            </w14:solidFill>
          </w14:textFill>
        </w:rPr>
        <w:t>支持</w:t>
      </w:r>
      <w:r>
        <w:rPr>
          <w:rFonts w:hint="eastAsia" w:ascii="宋体" w:hAnsi="宋体" w:cs="Arial"/>
          <w:color w:val="000000" w:themeColor="text1"/>
          <w:sz w:val="24"/>
          <w:highlight w:val="none"/>
          <w14:textFill>
            <w14:solidFill>
              <w14:schemeClr w14:val="tx1"/>
            </w14:solidFill>
          </w14:textFill>
        </w:rPr>
        <w:t>体征集中录入及待测体征</w:t>
      </w:r>
      <w:r>
        <w:rPr>
          <w:rFonts w:ascii="宋体" w:hAnsi="宋体" w:cs="Arial"/>
          <w:color w:val="000000" w:themeColor="text1"/>
          <w:sz w:val="24"/>
          <w:highlight w:val="none"/>
          <w14:textFill>
            <w14:solidFill>
              <w14:schemeClr w14:val="tx1"/>
            </w14:solidFill>
          </w14:textFill>
        </w:rPr>
        <w:t>记录</w:t>
      </w:r>
      <w:r>
        <w:rPr>
          <w:rFonts w:hint="eastAsia" w:ascii="宋体" w:hAnsi="宋体" w:cs="Arial"/>
          <w:color w:val="000000" w:themeColor="text1"/>
          <w:sz w:val="24"/>
          <w:highlight w:val="none"/>
          <w14:textFill>
            <w14:solidFill>
              <w14:schemeClr w14:val="tx1"/>
            </w14:solidFill>
          </w14:textFill>
        </w:rPr>
        <w:t>自动</w:t>
      </w:r>
      <w:r>
        <w:rPr>
          <w:rFonts w:ascii="宋体" w:hAnsi="宋体" w:cs="Arial"/>
          <w:color w:val="000000" w:themeColor="text1"/>
          <w:sz w:val="24"/>
          <w:highlight w:val="none"/>
          <w14:textFill>
            <w14:solidFill>
              <w14:schemeClr w14:val="tx1"/>
            </w14:solidFill>
          </w14:textFill>
        </w:rPr>
        <w:t>生成，</w:t>
      </w:r>
      <w:r>
        <w:rPr>
          <w:rFonts w:hint="eastAsia" w:ascii="宋体" w:hAnsi="宋体" w:cs="Arial"/>
          <w:color w:val="000000" w:themeColor="text1"/>
          <w:sz w:val="24"/>
          <w:highlight w:val="none"/>
          <w14:textFill>
            <w14:solidFill>
              <w14:schemeClr w14:val="tx1"/>
            </w14:solidFill>
          </w14:textFill>
        </w:rPr>
        <w:t>提供</w:t>
      </w:r>
      <w:r>
        <w:rPr>
          <w:rFonts w:ascii="宋体" w:hAnsi="宋体" w:cs="Arial"/>
          <w:color w:val="000000" w:themeColor="text1"/>
          <w:sz w:val="24"/>
          <w:highlight w:val="none"/>
          <w14:textFill>
            <w14:solidFill>
              <w14:schemeClr w14:val="tx1"/>
            </w14:solidFill>
          </w14:textFill>
        </w:rPr>
        <w:t>体征全病区统一录入入口，</w:t>
      </w:r>
      <w:r>
        <w:rPr>
          <w:rFonts w:hint="eastAsia" w:ascii="宋体" w:hAnsi="宋体" w:cs="Arial"/>
          <w:color w:val="000000" w:themeColor="text1"/>
          <w:sz w:val="24"/>
          <w:highlight w:val="none"/>
          <w14:textFill>
            <w14:solidFill>
              <w14:schemeClr w14:val="tx1"/>
            </w14:solidFill>
          </w14:textFill>
        </w:rPr>
        <w:t>预留</w:t>
      </w:r>
      <w:r>
        <w:rPr>
          <w:rFonts w:ascii="宋体" w:hAnsi="宋体" w:cs="Arial"/>
          <w:color w:val="000000" w:themeColor="text1"/>
          <w:sz w:val="24"/>
          <w:highlight w:val="none"/>
          <w14:textFill>
            <w14:solidFill>
              <w14:schemeClr w14:val="tx1"/>
            </w14:solidFill>
          </w14:textFill>
        </w:rPr>
        <w:t>知识库接口，遇到异常体征予以提示，支持脉搏短绌</w:t>
      </w:r>
      <w:r>
        <w:rPr>
          <w:rFonts w:hint="eastAsia" w:ascii="宋体" w:hAnsi="宋体" w:cs="Arial"/>
          <w:color w:val="000000" w:themeColor="text1"/>
          <w:sz w:val="24"/>
          <w:highlight w:val="none"/>
          <w14:textFill>
            <w14:solidFill>
              <w14:schemeClr w14:val="tx1"/>
            </w14:solidFill>
          </w14:textFill>
        </w:rPr>
        <w:t>、起搏心率</w:t>
      </w:r>
      <w:r>
        <w:rPr>
          <w:rFonts w:ascii="宋体" w:hAnsi="宋体" w:cs="Arial"/>
          <w:color w:val="000000" w:themeColor="text1"/>
          <w:sz w:val="24"/>
          <w:highlight w:val="none"/>
          <w14:textFill>
            <w14:solidFill>
              <w14:schemeClr w14:val="tx1"/>
            </w14:solidFill>
          </w14:textFill>
        </w:rPr>
        <w:t>等的自动绘制，支持打印体温单</w:t>
      </w:r>
      <w:r>
        <w:rPr>
          <w:rFonts w:hint="eastAsia" w:ascii="宋体" w:hAnsi="宋体" w:cs="Arial"/>
          <w:color w:val="000000" w:themeColor="text1"/>
          <w:sz w:val="24"/>
          <w:highlight w:val="none"/>
          <w14:textFill>
            <w14:solidFill>
              <w14:schemeClr w14:val="tx1"/>
            </w14:solidFill>
          </w14:textFill>
        </w:rPr>
        <w:t>等</w:t>
      </w:r>
      <w:r>
        <w:rPr>
          <w:rFonts w:ascii="宋体" w:hAnsi="宋体" w:cs="Arial"/>
          <w:color w:val="000000" w:themeColor="text1"/>
          <w:sz w:val="24"/>
          <w:highlight w:val="none"/>
          <w14:textFill>
            <w14:solidFill>
              <w14:schemeClr w14:val="tx1"/>
            </w14:solidFill>
          </w14:textFill>
        </w:rPr>
        <w:t>。</w:t>
      </w:r>
    </w:p>
    <w:p>
      <w:pPr>
        <w:spacing w:line="360" w:lineRule="auto"/>
        <w:rPr>
          <w:rFonts w:ascii="Calibri" w:hAnsi="Calibri"/>
          <w:b/>
          <w:color w:val="000000" w:themeColor="text1"/>
          <w:sz w:val="24"/>
          <w:highlight w:val="none"/>
          <w14:textFill>
            <w14:solidFill>
              <w14:schemeClr w14:val="tx1"/>
            </w14:solidFill>
          </w14:textFill>
        </w:rPr>
      </w:pPr>
      <w:r>
        <w:rPr>
          <w:rFonts w:hint="eastAsia" w:ascii="Calibri" w:hAnsi="Calibri"/>
          <w:b/>
          <w:color w:val="000000" w:themeColor="text1"/>
          <w:sz w:val="24"/>
          <w:highlight w:val="none"/>
          <w14:textFill>
            <w14:solidFill>
              <w14:schemeClr w14:val="tx1"/>
            </w14:solidFill>
          </w14:textFill>
        </w:rPr>
        <w:t>护理病历书写</w:t>
      </w:r>
    </w:p>
    <w:p>
      <w:pPr>
        <w:widowControl/>
        <w:numPr>
          <w:ilvl w:val="0"/>
          <w:numId w:val="12"/>
        </w:numPr>
        <w:spacing w:before="100" w:beforeAutospacing="1" w:after="100" w:afterAutospacing="1" w:line="360" w:lineRule="auto"/>
        <w:jc w:val="left"/>
        <w:rPr>
          <w:rFonts w:ascii="宋体" w:hAnsi="宋体" w:cs="Arial"/>
          <w:color w:val="000000" w:themeColor="text1"/>
          <w:kern w:val="0"/>
          <w:sz w:val="24"/>
          <w:highlight w:val="none"/>
          <w14:textFill>
            <w14:solidFill>
              <w14:schemeClr w14:val="tx1"/>
            </w14:solidFill>
          </w14:textFill>
        </w:rPr>
      </w:pPr>
      <w:r>
        <w:rPr>
          <w:rFonts w:hint="eastAsia" w:ascii="宋体" w:hAnsi="宋体" w:cs="Arial"/>
          <w:color w:val="000000" w:themeColor="text1"/>
          <w:kern w:val="0"/>
          <w:sz w:val="24"/>
          <w:highlight w:val="none"/>
          <w14:textFill>
            <w14:solidFill>
              <w14:schemeClr w14:val="tx1"/>
            </w14:solidFill>
          </w14:textFill>
        </w:rPr>
        <w:t>提供护理病历书写和打印功能；</w:t>
      </w:r>
    </w:p>
    <w:p>
      <w:pPr>
        <w:widowControl/>
        <w:numPr>
          <w:ilvl w:val="0"/>
          <w:numId w:val="12"/>
        </w:numPr>
        <w:spacing w:before="100" w:beforeAutospacing="1" w:after="100" w:afterAutospacing="1" w:line="360" w:lineRule="auto"/>
        <w:jc w:val="left"/>
        <w:rPr>
          <w:rFonts w:ascii="宋体" w:hAnsi="宋体" w:cs="Arial"/>
          <w:color w:val="000000" w:themeColor="text1"/>
          <w:kern w:val="0"/>
          <w:sz w:val="24"/>
          <w:highlight w:val="none"/>
          <w14:textFill>
            <w14:solidFill>
              <w14:schemeClr w14:val="tx1"/>
            </w14:solidFill>
          </w14:textFill>
        </w:rPr>
      </w:pPr>
      <w:r>
        <w:rPr>
          <w:rFonts w:hint="eastAsia" w:ascii="宋体" w:hAnsi="宋体" w:cs="Arial"/>
          <w:color w:val="000000" w:themeColor="text1"/>
          <w:kern w:val="0"/>
          <w:sz w:val="24"/>
          <w:highlight w:val="none"/>
          <w14:textFill>
            <w14:solidFill>
              <w14:schemeClr w14:val="tx1"/>
            </w14:solidFill>
          </w14:textFill>
        </w:rPr>
        <w:t>支持集中录入护理记录；</w:t>
      </w:r>
    </w:p>
    <w:p>
      <w:pPr>
        <w:widowControl/>
        <w:numPr>
          <w:ilvl w:val="0"/>
          <w:numId w:val="12"/>
        </w:numPr>
        <w:spacing w:before="100" w:beforeAutospacing="1" w:after="100" w:afterAutospacing="1" w:line="360" w:lineRule="auto"/>
        <w:jc w:val="left"/>
        <w:rPr>
          <w:rFonts w:ascii="宋体" w:hAnsi="宋体" w:cs="Arial"/>
          <w:color w:val="000000" w:themeColor="text1"/>
          <w:kern w:val="0"/>
          <w:sz w:val="24"/>
          <w:highlight w:val="none"/>
          <w14:textFill>
            <w14:solidFill>
              <w14:schemeClr w14:val="tx1"/>
            </w14:solidFill>
          </w14:textFill>
        </w:rPr>
      </w:pPr>
      <w:r>
        <w:rPr>
          <w:rFonts w:hint="eastAsia" w:ascii="宋体" w:hAnsi="宋体" w:cs="Arial"/>
          <w:color w:val="000000" w:themeColor="text1"/>
          <w:kern w:val="0"/>
          <w:sz w:val="24"/>
          <w:highlight w:val="none"/>
          <w14:textFill>
            <w14:solidFill>
              <w14:schemeClr w14:val="tx1"/>
            </w14:solidFill>
          </w14:textFill>
        </w:rPr>
        <w:t>支持结量与血糖谱；</w:t>
      </w:r>
    </w:p>
    <w:p>
      <w:pPr>
        <w:widowControl/>
        <w:numPr>
          <w:ilvl w:val="0"/>
          <w:numId w:val="12"/>
        </w:numPr>
        <w:spacing w:before="100" w:beforeAutospacing="1" w:after="100" w:afterAutospacing="1" w:line="360" w:lineRule="auto"/>
        <w:jc w:val="left"/>
        <w:rPr>
          <w:rFonts w:ascii="宋体" w:hAnsi="宋体" w:cs="Arial"/>
          <w:color w:val="000000" w:themeColor="text1"/>
          <w:kern w:val="0"/>
          <w:sz w:val="24"/>
          <w:highlight w:val="none"/>
          <w14:textFill>
            <w14:solidFill>
              <w14:schemeClr w14:val="tx1"/>
            </w14:solidFill>
          </w14:textFill>
        </w:rPr>
      </w:pPr>
      <w:r>
        <w:rPr>
          <w:rFonts w:ascii="宋体" w:hAnsi="宋体" w:cs="Arial"/>
          <w:color w:val="000000" w:themeColor="text1"/>
          <w:kern w:val="0"/>
          <w:sz w:val="24"/>
          <w:highlight w:val="none"/>
          <w14:textFill>
            <w14:solidFill>
              <w14:schemeClr w14:val="tx1"/>
            </w14:solidFill>
          </w14:textFill>
        </w:rPr>
        <w:t>具有护理病历的模版管理功能，允许存在科室不同的模版</w:t>
      </w:r>
      <w:r>
        <w:rPr>
          <w:rFonts w:hint="eastAsia" w:ascii="宋体" w:hAnsi="宋体" w:cs="Arial"/>
          <w:color w:val="000000" w:themeColor="text1"/>
          <w:kern w:val="0"/>
          <w:sz w:val="24"/>
          <w:highlight w:val="none"/>
          <w14:textFill>
            <w14:solidFill>
              <w14:schemeClr w14:val="tx1"/>
            </w14:solidFill>
          </w14:textFill>
        </w:rPr>
        <w:t>；</w:t>
      </w:r>
    </w:p>
    <w:p>
      <w:pPr>
        <w:widowControl/>
        <w:numPr>
          <w:ilvl w:val="0"/>
          <w:numId w:val="12"/>
        </w:numPr>
        <w:spacing w:before="100" w:beforeAutospacing="1" w:after="100" w:afterAutospacing="1" w:line="360" w:lineRule="auto"/>
        <w:jc w:val="left"/>
        <w:rPr>
          <w:rFonts w:ascii="宋体" w:hAnsi="宋体" w:cs="Arial"/>
          <w:color w:val="000000" w:themeColor="text1"/>
          <w:kern w:val="0"/>
          <w:sz w:val="24"/>
          <w:highlight w:val="none"/>
          <w14:textFill>
            <w14:solidFill>
              <w14:schemeClr w14:val="tx1"/>
            </w14:solidFill>
          </w14:textFill>
        </w:rPr>
      </w:pPr>
      <w:r>
        <w:rPr>
          <w:rFonts w:ascii="宋体" w:hAnsi="宋体" w:cs="Arial"/>
          <w:color w:val="000000" w:themeColor="text1"/>
          <w:kern w:val="0"/>
          <w:sz w:val="24"/>
          <w:highlight w:val="none"/>
          <w14:textFill>
            <w14:solidFill>
              <w14:schemeClr w14:val="tx1"/>
            </w14:solidFill>
          </w14:textFill>
        </w:rPr>
        <w:t>支持</w:t>
      </w:r>
      <w:r>
        <w:rPr>
          <w:rFonts w:hint="eastAsia" w:ascii="宋体" w:hAnsi="宋体" w:cs="Arial"/>
          <w:color w:val="000000" w:themeColor="text1"/>
          <w:kern w:val="0"/>
          <w:sz w:val="24"/>
          <w:highlight w:val="none"/>
          <w14:textFill>
            <w14:solidFill>
              <w14:schemeClr w14:val="tx1"/>
            </w14:solidFill>
          </w14:textFill>
        </w:rPr>
        <w:t>按照</w:t>
      </w:r>
      <w:r>
        <w:rPr>
          <w:rFonts w:ascii="宋体" w:hAnsi="宋体" w:cs="Arial"/>
          <w:color w:val="000000" w:themeColor="text1"/>
          <w:kern w:val="0"/>
          <w:sz w:val="24"/>
          <w:highlight w:val="none"/>
          <w14:textFill>
            <w14:solidFill>
              <w14:schemeClr w14:val="tx1"/>
            </w14:solidFill>
          </w14:textFill>
        </w:rPr>
        <w:t>医院的模版格式绘制</w:t>
      </w:r>
      <w:r>
        <w:rPr>
          <w:rFonts w:hint="eastAsia" w:ascii="宋体" w:hAnsi="宋体" w:cs="Arial"/>
          <w:color w:val="000000" w:themeColor="text1"/>
          <w:kern w:val="0"/>
          <w:sz w:val="24"/>
          <w:highlight w:val="none"/>
          <w14:textFill>
            <w14:solidFill>
              <w14:schemeClr w14:val="tx1"/>
            </w14:solidFill>
          </w14:textFill>
        </w:rPr>
        <w:t>护理病历</w:t>
      </w:r>
      <w:r>
        <w:rPr>
          <w:rFonts w:ascii="宋体" w:hAnsi="宋体" w:cs="Arial"/>
          <w:color w:val="000000" w:themeColor="text1"/>
          <w:kern w:val="0"/>
          <w:sz w:val="24"/>
          <w:highlight w:val="none"/>
          <w14:textFill>
            <w14:solidFill>
              <w14:schemeClr w14:val="tx1"/>
            </w14:solidFill>
          </w14:textFill>
        </w:rPr>
        <w:t>模版</w:t>
      </w:r>
      <w:r>
        <w:rPr>
          <w:rFonts w:hint="eastAsia" w:ascii="宋体" w:hAnsi="宋体" w:cs="Arial"/>
          <w:color w:val="000000" w:themeColor="text1"/>
          <w:kern w:val="0"/>
          <w:sz w:val="24"/>
          <w:highlight w:val="none"/>
          <w14:textFill>
            <w14:solidFill>
              <w14:schemeClr w14:val="tx1"/>
            </w14:solidFill>
          </w14:textFill>
        </w:rPr>
        <w:t>；</w:t>
      </w:r>
    </w:p>
    <w:p>
      <w:pPr>
        <w:widowControl/>
        <w:numPr>
          <w:ilvl w:val="0"/>
          <w:numId w:val="12"/>
        </w:numPr>
        <w:spacing w:before="100" w:beforeAutospacing="1" w:after="100" w:afterAutospacing="1" w:line="360" w:lineRule="auto"/>
        <w:jc w:val="left"/>
        <w:rPr>
          <w:rFonts w:ascii="宋体" w:hAnsi="宋体" w:cs="Arial"/>
          <w:color w:val="000000" w:themeColor="text1"/>
          <w:kern w:val="0"/>
          <w:sz w:val="24"/>
          <w:highlight w:val="none"/>
          <w14:textFill>
            <w14:solidFill>
              <w14:schemeClr w14:val="tx1"/>
            </w14:solidFill>
          </w14:textFill>
        </w:rPr>
      </w:pPr>
      <w:r>
        <w:rPr>
          <w:rFonts w:ascii="宋体" w:hAnsi="宋体" w:cs="Arial"/>
          <w:color w:val="000000" w:themeColor="text1"/>
          <w:kern w:val="0"/>
          <w:sz w:val="24"/>
          <w:highlight w:val="none"/>
          <w14:textFill>
            <w14:solidFill>
              <w14:schemeClr w14:val="tx1"/>
            </w14:solidFill>
          </w14:textFill>
        </w:rPr>
        <w:t>书写护理病历</w:t>
      </w:r>
      <w:r>
        <w:rPr>
          <w:rFonts w:hint="eastAsia" w:ascii="宋体" w:hAnsi="宋体" w:cs="Arial"/>
          <w:color w:val="000000" w:themeColor="text1"/>
          <w:kern w:val="0"/>
          <w:sz w:val="24"/>
          <w:highlight w:val="none"/>
          <w14:textFill>
            <w14:solidFill>
              <w14:schemeClr w14:val="tx1"/>
            </w14:solidFill>
          </w14:textFill>
        </w:rPr>
        <w:t>或记录</w:t>
      </w:r>
      <w:r>
        <w:rPr>
          <w:rFonts w:ascii="宋体" w:hAnsi="宋体" w:cs="Arial"/>
          <w:color w:val="000000" w:themeColor="text1"/>
          <w:kern w:val="0"/>
          <w:sz w:val="24"/>
          <w:highlight w:val="none"/>
          <w14:textFill>
            <w14:solidFill>
              <w14:schemeClr w14:val="tx1"/>
            </w14:solidFill>
          </w14:textFill>
        </w:rPr>
        <w:t>时，</w:t>
      </w:r>
      <w:r>
        <w:rPr>
          <w:rFonts w:hint="eastAsia" w:ascii="宋体" w:hAnsi="宋体" w:cs="Arial"/>
          <w:color w:val="000000" w:themeColor="text1"/>
          <w:kern w:val="0"/>
          <w:sz w:val="24"/>
          <w:highlight w:val="none"/>
          <w14:textFill>
            <w14:solidFill>
              <w14:schemeClr w14:val="tx1"/>
            </w14:solidFill>
          </w14:textFill>
        </w:rPr>
        <w:t>可引用已有数据及病历，</w:t>
      </w:r>
      <w:r>
        <w:rPr>
          <w:rFonts w:ascii="宋体" w:hAnsi="宋体" w:cs="Arial"/>
          <w:color w:val="000000" w:themeColor="text1"/>
          <w:kern w:val="0"/>
          <w:sz w:val="24"/>
          <w:highlight w:val="none"/>
          <w14:textFill>
            <w14:solidFill>
              <w14:schemeClr w14:val="tx1"/>
            </w14:solidFill>
          </w14:textFill>
        </w:rPr>
        <w:t>并支持</w:t>
      </w:r>
      <w:r>
        <w:rPr>
          <w:rFonts w:hint="eastAsia" w:ascii="宋体" w:hAnsi="宋体" w:cs="Arial"/>
          <w:color w:val="000000" w:themeColor="text1"/>
          <w:kern w:val="0"/>
          <w:sz w:val="24"/>
          <w:highlight w:val="none"/>
          <w14:textFill>
            <w14:solidFill>
              <w14:schemeClr w14:val="tx1"/>
            </w14:solidFill>
          </w14:textFill>
        </w:rPr>
        <w:t>标签功能；</w:t>
      </w:r>
    </w:p>
    <w:p>
      <w:pPr>
        <w:widowControl/>
        <w:numPr>
          <w:ilvl w:val="0"/>
          <w:numId w:val="12"/>
        </w:numPr>
        <w:spacing w:before="100" w:beforeAutospacing="1" w:after="100" w:afterAutospacing="1" w:line="360" w:lineRule="auto"/>
        <w:jc w:val="left"/>
        <w:rPr>
          <w:rFonts w:ascii="宋体" w:hAnsi="宋体" w:cs="Arial"/>
          <w:color w:val="000000" w:themeColor="text1"/>
          <w:kern w:val="0"/>
          <w:sz w:val="24"/>
          <w:highlight w:val="none"/>
          <w14:textFill>
            <w14:solidFill>
              <w14:schemeClr w14:val="tx1"/>
            </w14:solidFill>
          </w14:textFill>
        </w:rPr>
      </w:pPr>
      <w:r>
        <w:rPr>
          <w:rFonts w:ascii="宋体" w:hAnsi="宋体" w:cs="Arial"/>
          <w:color w:val="000000" w:themeColor="text1"/>
          <w:kern w:val="0"/>
          <w:sz w:val="24"/>
          <w:highlight w:val="none"/>
          <w14:textFill>
            <w14:solidFill>
              <w14:schemeClr w14:val="tx1"/>
            </w14:solidFill>
          </w14:textFill>
        </w:rPr>
        <w:t>书写完成</w:t>
      </w:r>
      <w:r>
        <w:rPr>
          <w:rFonts w:hint="eastAsia" w:ascii="宋体" w:hAnsi="宋体" w:cs="Arial"/>
          <w:color w:val="000000" w:themeColor="text1"/>
          <w:kern w:val="0"/>
          <w:sz w:val="24"/>
          <w:highlight w:val="none"/>
          <w14:textFill>
            <w14:solidFill>
              <w14:schemeClr w14:val="tx1"/>
            </w14:solidFill>
          </w14:textFill>
        </w:rPr>
        <w:t>的</w:t>
      </w:r>
      <w:r>
        <w:rPr>
          <w:rFonts w:ascii="宋体" w:hAnsi="宋体" w:cs="Arial"/>
          <w:color w:val="000000" w:themeColor="text1"/>
          <w:kern w:val="0"/>
          <w:sz w:val="24"/>
          <w:highlight w:val="none"/>
          <w14:textFill>
            <w14:solidFill>
              <w14:schemeClr w14:val="tx1"/>
            </w14:solidFill>
          </w14:textFill>
        </w:rPr>
        <w:t>护理病历，支持批量审查和签名</w:t>
      </w:r>
      <w:r>
        <w:rPr>
          <w:rFonts w:hint="eastAsia" w:ascii="宋体" w:hAnsi="宋体" w:cs="Arial"/>
          <w:color w:val="000000" w:themeColor="text1"/>
          <w:kern w:val="0"/>
          <w:sz w:val="24"/>
          <w:highlight w:val="none"/>
          <w14:textFill>
            <w14:solidFill>
              <w14:schemeClr w14:val="tx1"/>
            </w14:solidFill>
          </w14:textFill>
        </w:rPr>
        <w:t>。</w:t>
      </w:r>
    </w:p>
    <w:p>
      <w:pPr>
        <w:widowControl/>
        <w:numPr>
          <w:ilvl w:val="0"/>
          <w:numId w:val="12"/>
        </w:numPr>
        <w:spacing w:before="100" w:beforeAutospacing="1" w:after="100" w:afterAutospacing="1" w:line="360" w:lineRule="auto"/>
        <w:jc w:val="left"/>
        <w:rPr>
          <w:rFonts w:ascii="宋体" w:hAnsi="宋体" w:cs="Arial"/>
          <w:color w:val="000000" w:themeColor="text1"/>
          <w:kern w:val="0"/>
          <w:sz w:val="24"/>
          <w:highlight w:val="none"/>
          <w14:textFill>
            <w14:solidFill>
              <w14:schemeClr w14:val="tx1"/>
            </w14:solidFill>
          </w14:textFill>
        </w:rPr>
      </w:pPr>
      <w:r>
        <w:rPr>
          <w:rFonts w:hint="eastAsia" w:ascii="宋体" w:hAnsi="宋体" w:cs="Arial"/>
          <w:color w:val="000000" w:themeColor="text1"/>
          <w:kern w:val="0"/>
          <w:sz w:val="24"/>
          <w:highlight w:val="none"/>
          <w14:textFill>
            <w14:solidFill>
              <w14:schemeClr w14:val="tx1"/>
            </w14:solidFill>
          </w14:textFill>
        </w:rPr>
        <w:t>支持待完成护理记录文书提醒功能</w:t>
      </w:r>
    </w:p>
    <w:p>
      <w:pPr>
        <w:spacing w:line="360" w:lineRule="auto"/>
        <w:rPr>
          <w:rFonts w:ascii="Calibri" w:hAnsi="Calibri"/>
          <w:b/>
          <w:color w:val="000000" w:themeColor="text1"/>
          <w:sz w:val="24"/>
          <w:highlight w:val="none"/>
          <w14:textFill>
            <w14:solidFill>
              <w14:schemeClr w14:val="tx1"/>
            </w14:solidFill>
          </w14:textFill>
        </w:rPr>
      </w:pPr>
      <w:r>
        <w:rPr>
          <w:rFonts w:hint="eastAsia" w:ascii="Calibri" w:hAnsi="Calibri"/>
          <w:b/>
          <w:color w:val="000000" w:themeColor="text1"/>
          <w:sz w:val="24"/>
          <w:highlight w:val="none"/>
          <w14:textFill>
            <w14:solidFill>
              <w14:schemeClr w14:val="tx1"/>
            </w14:solidFill>
          </w14:textFill>
        </w:rPr>
        <w:t>护理</w:t>
      </w:r>
      <w:r>
        <w:rPr>
          <w:rFonts w:ascii="Calibri" w:hAnsi="Calibri"/>
          <w:b/>
          <w:color w:val="000000" w:themeColor="text1"/>
          <w:sz w:val="24"/>
          <w:highlight w:val="none"/>
          <w14:textFill>
            <w14:solidFill>
              <w14:schemeClr w14:val="tx1"/>
            </w14:solidFill>
          </w14:textFill>
        </w:rPr>
        <w:t>病历质控</w:t>
      </w:r>
    </w:p>
    <w:p>
      <w:pPr>
        <w:spacing w:line="360" w:lineRule="auto"/>
        <w:ind w:firstLine="420"/>
        <w:rPr>
          <w:rFonts w:ascii="Calibri" w:hAnsi="Calibri" w:cs="Arial"/>
          <w:color w:val="000000" w:themeColor="text1"/>
          <w:sz w:val="24"/>
          <w:szCs w:val="22"/>
          <w:highlight w:val="none"/>
          <w14:textFill>
            <w14:solidFill>
              <w14:schemeClr w14:val="tx1"/>
            </w14:solidFill>
          </w14:textFill>
        </w:rPr>
      </w:pPr>
      <w:r>
        <w:rPr>
          <w:rFonts w:hint="eastAsia" w:ascii="Calibri" w:hAnsi="Calibri" w:cs="Arial"/>
          <w:color w:val="000000" w:themeColor="text1"/>
          <w:sz w:val="24"/>
          <w:szCs w:val="22"/>
          <w:highlight w:val="none"/>
          <w14:textFill>
            <w14:solidFill>
              <w14:schemeClr w14:val="tx1"/>
            </w14:solidFill>
          </w14:textFill>
        </w:rPr>
        <w:t>提供护理病历文书的内容质控功能，支持体征录入值的校验以及对异常值的提醒功能。</w:t>
      </w:r>
    </w:p>
    <w:p>
      <w:pPr>
        <w:spacing w:line="360" w:lineRule="auto"/>
        <w:rPr>
          <w:rFonts w:ascii="Calibri" w:hAnsi="Calibri"/>
          <w:b/>
          <w:color w:val="000000" w:themeColor="text1"/>
          <w:sz w:val="24"/>
          <w:highlight w:val="none"/>
          <w14:textFill>
            <w14:solidFill>
              <w14:schemeClr w14:val="tx1"/>
            </w14:solidFill>
          </w14:textFill>
        </w:rPr>
      </w:pPr>
      <w:r>
        <w:rPr>
          <w:rFonts w:hint="eastAsia" w:ascii="Calibri" w:hAnsi="Calibri"/>
          <w:b/>
          <w:color w:val="000000" w:themeColor="text1"/>
          <w:sz w:val="24"/>
          <w:highlight w:val="none"/>
          <w14:textFill>
            <w14:solidFill>
              <w14:schemeClr w14:val="tx1"/>
            </w14:solidFill>
          </w14:textFill>
        </w:rPr>
        <w:t>专项护理评估</w:t>
      </w:r>
    </w:p>
    <w:p>
      <w:pPr>
        <w:spacing w:line="360" w:lineRule="auto"/>
        <w:ind w:firstLine="420"/>
        <w:rPr>
          <w:rFonts w:ascii="Calibri" w:hAnsi="Calibri" w:cs="Arial"/>
          <w:color w:val="000000" w:themeColor="text1"/>
          <w:sz w:val="24"/>
          <w:szCs w:val="22"/>
          <w:highlight w:val="none"/>
          <w14:textFill>
            <w14:solidFill>
              <w14:schemeClr w14:val="tx1"/>
            </w14:solidFill>
          </w14:textFill>
        </w:rPr>
      </w:pPr>
      <w:r>
        <w:rPr>
          <w:rFonts w:hint="eastAsia" w:ascii="Calibri" w:hAnsi="Calibri" w:cs="Arial"/>
          <w:color w:val="000000" w:themeColor="text1"/>
          <w:sz w:val="24"/>
          <w:szCs w:val="22"/>
          <w:highlight w:val="none"/>
          <w14:textFill>
            <w14:solidFill>
              <w14:schemeClr w14:val="tx1"/>
            </w14:solidFill>
          </w14:textFill>
        </w:rPr>
        <w:t>系统需提供对临床护理不良事件发生风险进行及时有效地评估的功能，具体应包含以下功能：</w:t>
      </w:r>
    </w:p>
    <w:p>
      <w:pPr>
        <w:widowControl/>
        <w:numPr>
          <w:ilvl w:val="0"/>
          <w:numId w:val="13"/>
        </w:numPr>
        <w:spacing w:before="100" w:beforeAutospacing="1" w:after="100" w:afterAutospacing="1" w:line="360" w:lineRule="auto"/>
        <w:jc w:val="left"/>
        <w:rPr>
          <w:rFonts w:ascii="宋体" w:hAnsi="宋体" w:cs="Arial"/>
          <w:color w:val="000000" w:themeColor="text1"/>
          <w:kern w:val="0"/>
          <w:sz w:val="24"/>
          <w:highlight w:val="none"/>
          <w14:textFill>
            <w14:solidFill>
              <w14:schemeClr w14:val="tx1"/>
            </w14:solidFill>
          </w14:textFill>
        </w:rPr>
      </w:pPr>
      <w:r>
        <w:rPr>
          <w:rFonts w:hint="eastAsia" w:ascii="宋体" w:hAnsi="宋体" w:cs="Arial"/>
          <w:color w:val="000000" w:themeColor="text1"/>
          <w:kern w:val="0"/>
          <w:sz w:val="24"/>
          <w:highlight w:val="none"/>
          <w14:textFill>
            <w14:solidFill>
              <w14:schemeClr w14:val="tx1"/>
            </w14:solidFill>
          </w14:textFill>
        </w:rPr>
        <w:t>提供跌倒坠床风险评估、导管滑脱风险评估、伤口（压疮、褥疮）风险评估以及疼痛评估四种临床专项护理评估功能；</w:t>
      </w:r>
    </w:p>
    <w:p>
      <w:pPr>
        <w:widowControl/>
        <w:numPr>
          <w:ilvl w:val="0"/>
          <w:numId w:val="13"/>
        </w:numPr>
        <w:spacing w:before="100" w:beforeAutospacing="1" w:after="100" w:afterAutospacing="1" w:line="360" w:lineRule="auto"/>
        <w:jc w:val="left"/>
        <w:rPr>
          <w:rFonts w:ascii="宋体" w:hAnsi="宋体" w:cs="Arial"/>
          <w:color w:val="000000" w:themeColor="text1"/>
          <w:kern w:val="0"/>
          <w:sz w:val="24"/>
          <w:highlight w:val="none"/>
          <w14:textFill>
            <w14:solidFill>
              <w14:schemeClr w14:val="tx1"/>
            </w14:solidFill>
          </w14:textFill>
        </w:rPr>
      </w:pPr>
      <w:r>
        <w:rPr>
          <w:rFonts w:hint="eastAsia" w:ascii="宋体" w:hAnsi="宋体" w:cs="Arial"/>
          <w:color w:val="000000" w:themeColor="text1"/>
          <w:kern w:val="0"/>
          <w:sz w:val="24"/>
          <w:highlight w:val="none"/>
          <w14:textFill>
            <w14:solidFill>
              <w14:schemeClr w14:val="tx1"/>
            </w14:solidFill>
          </w14:textFill>
        </w:rPr>
        <w:t>支持对评估信息的统计查询；</w:t>
      </w:r>
    </w:p>
    <w:p>
      <w:pPr>
        <w:widowControl/>
        <w:numPr>
          <w:ilvl w:val="0"/>
          <w:numId w:val="13"/>
        </w:numPr>
        <w:spacing w:before="100" w:beforeAutospacing="1" w:after="100" w:afterAutospacing="1" w:line="360" w:lineRule="auto"/>
        <w:jc w:val="left"/>
        <w:rPr>
          <w:rFonts w:ascii="宋体" w:hAnsi="宋体" w:cs="Arial"/>
          <w:color w:val="000000" w:themeColor="text1"/>
          <w:kern w:val="0"/>
          <w:sz w:val="24"/>
          <w:highlight w:val="none"/>
          <w14:textFill>
            <w14:solidFill>
              <w14:schemeClr w14:val="tx1"/>
            </w14:solidFill>
          </w14:textFill>
        </w:rPr>
      </w:pPr>
      <w:r>
        <w:rPr>
          <w:rFonts w:hint="eastAsia" w:ascii="宋体" w:hAnsi="宋体" w:cs="Arial"/>
          <w:color w:val="000000" w:themeColor="text1"/>
          <w:kern w:val="0"/>
          <w:sz w:val="24"/>
          <w:highlight w:val="none"/>
          <w14:textFill>
            <w14:solidFill>
              <w14:schemeClr w14:val="tx1"/>
            </w14:solidFill>
          </w14:textFill>
        </w:rPr>
        <w:t>支持在系统适当位置实时提醒风险评估状态及结果；</w:t>
      </w:r>
    </w:p>
    <w:p>
      <w:pPr>
        <w:widowControl/>
        <w:numPr>
          <w:ilvl w:val="0"/>
          <w:numId w:val="13"/>
        </w:numPr>
        <w:spacing w:before="100" w:beforeAutospacing="1" w:after="100" w:afterAutospacing="1" w:line="360" w:lineRule="auto"/>
        <w:jc w:val="left"/>
        <w:rPr>
          <w:rFonts w:ascii="宋体" w:hAnsi="宋体" w:cs="Arial"/>
          <w:b/>
          <w:color w:val="000000" w:themeColor="text1"/>
          <w:kern w:val="0"/>
          <w:sz w:val="24"/>
          <w:highlight w:val="none"/>
          <w14:textFill>
            <w14:solidFill>
              <w14:schemeClr w14:val="tx1"/>
            </w14:solidFill>
          </w14:textFill>
        </w:rPr>
      </w:pPr>
      <w:r>
        <w:rPr>
          <w:rFonts w:hint="eastAsia" w:ascii="宋体" w:hAnsi="宋体" w:cs="Arial"/>
          <w:color w:val="000000" w:themeColor="text1"/>
          <w:kern w:val="0"/>
          <w:sz w:val="24"/>
          <w:highlight w:val="none"/>
          <w14:textFill>
            <w14:solidFill>
              <w14:schemeClr w14:val="tx1"/>
            </w14:solidFill>
          </w14:textFill>
        </w:rPr>
        <w:t>专项护理评估表格支持打印功能</w:t>
      </w:r>
      <w:r>
        <w:rPr>
          <w:rFonts w:ascii="宋体" w:hAnsi="宋体" w:cs="Arial"/>
          <w:b/>
          <w:color w:val="000000" w:themeColor="text1"/>
          <w:kern w:val="0"/>
          <w:sz w:val="24"/>
          <w:highlight w:val="none"/>
          <w14:textFill>
            <w14:solidFill>
              <w14:schemeClr w14:val="tx1"/>
            </w14:solidFill>
          </w14:textFill>
        </w:rPr>
        <w:t xml:space="preserve"> </w:t>
      </w:r>
    </w:p>
    <w:p>
      <w:pPr>
        <w:spacing w:line="360" w:lineRule="auto"/>
        <w:rPr>
          <w:rFonts w:ascii="Calibri" w:hAnsi="Calibri"/>
          <w:b/>
          <w:color w:val="000000" w:themeColor="text1"/>
          <w:sz w:val="24"/>
          <w:highlight w:val="none"/>
          <w14:textFill>
            <w14:solidFill>
              <w14:schemeClr w14:val="tx1"/>
            </w14:solidFill>
          </w14:textFill>
        </w:rPr>
      </w:pPr>
      <w:r>
        <w:rPr>
          <w:rFonts w:hint="eastAsia" w:ascii="Calibri" w:hAnsi="Calibri"/>
          <w:b/>
          <w:color w:val="000000" w:themeColor="text1"/>
          <w:sz w:val="24"/>
          <w:highlight w:val="none"/>
          <w14:textFill>
            <w14:solidFill>
              <w14:schemeClr w14:val="tx1"/>
            </w14:solidFill>
          </w14:textFill>
        </w:rPr>
        <w:t>护理不良事件登记</w:t>
      </w:r>
    </w:p>
    <w:p>
      <w:pPr>
        <w:spacing w:line="360" w:lineRule="auto"/>
        <w:ind w:firstLine="420"/>
        <w:rPr>
          <w:rFonts w:ascii="Calibri" w:hAnsi="Calibri" w:cs="Arial"/>
          <w:color w:val="000000" w:themeColor="text1"/>
          <w:sz w:val="24"/>
          <w:szCs w:val="22"/>
          <w:highlight w:val="none"/>
          <w14:textFill>
            <w14:solidFill>
              <w14:schemeClr w14:val="tx1"/>
            </w14:solidFill>
          </w14:textFill>
        </w:rPr>
      </w:pPr>
      <w:r>
        <w:rPr>
          <w:rFonts w:hint="eastAsia" w:ascii="Calibri" w:hAnsi="Calibri" w:cs="Arial"/>
          <w:color w:val="000000" w:themeColor="text1"/>
          <w:sz w:val="24"/>
          <w:szCs w:val="22"/>
          <w:highlight w:val="none"/>
          <w14:textFill>
            <w14:solidFill>
              <w14:schemeClr w14:val="tx1"/>
            </w14:solidFill>
          </w14:textFill>
        </w:rPr>
        <w:t>系统需提供与医疗不良事件上报系统的接口，支持临床护士方便快捷地对护理不良事件进行登记上报，支持患者基本信息自动获取。</w:t>
      </w:r>
    </w:p>
    <w:p>
      <w:pPr>
        <w:spacing w:line="360" w:lineRule="auto"/>
        <w:rPr>
          <w:rFonts w:ascii="Calibri" w:hAnsi="Calibri"/>
          <w:b/>
          <w:color w:val="000000" w:themeColor="text1"/>
          <w:sz w:val="24"/>
          <w:highlight w:val="none"/>
          <w14:textFill>
            <w14:solidFill>
              <w14:schemeClr w14:val="tx1"/>
            </w14:solidFill>
          </w14:textFill>
        </w:rPr>
      </w:pPr>
      <w:r>
        <w:rPr>
          <w:rFonts w:hint="eastAsia" w:ascii="Calibri" w:hAnsi="Calibri"/>
          <w:b/>
          <w:color w:val="000000" w:themeColor="text1"/>
          <w:sz w:val="24"/>
          <w:highlight w:val="none"/>
          <w14:textFill>
            <w14:solidFill>
              <w14:schemeClr w14:val="tx1"/>
            </w14:solidFill>
          </w14:textFill>
        </w:rPr>
        <w:t>护理综合</w:t>
      </w:r>
      <w:r>
        <w:rPr>
          <w:rFonts w:ascii="Calibri" w:hAnsi="Calibri"/>
          <w:b/>
          <w:color w:val="000000" w:themeColor="text1"/>
          <w:sz w:val="24"/>
          <w:highlight w:val="none"/>
          <w14:textFill>
            <w14:solidFill>
              <w14:schemeClr w14:val="tx1"/>
            </w14:solidFill>
          </w14:textFill>
        </w:rPr>
        <w:t>查询</w:t>
      </w:r>
    </w:p>
    <w:p>
      <w:pPr>
        <w:spacing w:line="360" w:lineRule="auto"/>
        <w:ind w:firstLine="420"/>
        <w:rPr>
          <w:rFonts w:ascii="Calibri" w:hAnsi="Calibri" w:cs="Arial"/>
          <w:color w:val="000000" w:themeColor="text1"/>
          <w:sz w:val="24"/>
          <w:szCs w:val="22"/>
          <w:highlight w:val="none"/>
          <w14:textFill>
            <w14:solidFill>
              <w14:schemeClr w14:val="tx1"/>
            </w14:solidFill>
          </w14:textFill>
        </w:rPr>
      </w:pPr>
      <w:r>
        <w:rPr>
          <w:rFonts w:hint="eastAsia" w:ascii="Calibri" w:hAnsi="Calibri" w:cs="Arial"/>
          <w:color w:val="000000" w:themeColor="text1"/>
          <w:sz w:val="24"/>
          <w:szCs w:val="22"/>
          <w:highlight w:val="none"/>
          <w14:textFill>
            <w14:solidFill>
              <w14:schemeClr w14:val="tx1"/>
            </w14:solidFill>
          </w14:textFill>
        </w:rPr>
        <w:t>系统需提供对护理业务的综合查询功能，主要包含对体征、评估、危重患者等信息的查询功能，具体应包含以下功能：</w:t>
      </w:r>
    </w:p>
    <w:p>
      <w:pPr>
        <w:widowControl/>
        <w:numPr>
          <w:ilvl w:val="0"/>
          <w:numId w:val="14"/>
        </w:numPr>
        <w:spacing w:after="100" w:afterAutospacing="1" w:line="360" w:lineRule="auto"/>
        <w:jc w:val="left"/>
        <w:rPr>
          <w:rFonts w:ascii="宋体" w:hAnsi="宋体" w:cs="Arial"/>
          <w:color w:val="000000" w:themeColor="text1"/>
          <w:kern w:val="0"/>
          <w:sz w:val="24"/>
          <w:highlight w:val="none"/>
          <w14:textFill>
            <w14:solidFill>
              <w14:schemeClr w14:val="tx1"/>
            </w14:solidFill>
          </w14:textFill>
        </w:rPr>
      </w:pPr>
      <w:r>
        <w:rPr>
          <w:rFonts w:hint="eastAsia" w:ascii="宋体" w:hAnsi="宋体" w:cs="Arial"/>
          <w:color w:val="000000" w:themeColor="text1"/>
          <w:kern w:val="0"/>
          <w:sz w:val="24"/>
          <w:highlight w:val="none"/>
          <w14:textFill>
            <w14:solidFill>
              <w14:schemeClr w14:val="tx1"/>
            </w14:solidFill>
          </w14:textFill>
        </w:rPr>
        <w:t>提供三日体征查询、护理记录查询及分析；</w:t>
      </w:r>
    </w:p>
    <w:p>
      <w:pPr>
        <w:widowControl/>
        <w:numPr>
          <w:ilvl w:val="0"/>
          <w:numId w:val="14"/>
        </w:numPr>
        <w:spacing w:before="100" w:beforeAutospacing="1" w:after="100" w:afterAutospacing="1" w:line="360" w:lineRule="auto"/>
        <w:jc w:val="left"/>
        <w:rPr>
          <w:rFonts w:ascii="宋体" w:hAnsi="宋体" w:cs="Arial"/>
          <w:color w:val="000000" w:themeColor="text1"/>
          <w:kern w:val="0"/>
          <w:sz w:val="24"/>
          <w:highlight w:val="none"/>
          <w14:textFill>
            <w14:solidFill>
              <w14:schemeClr w14:val="tx1"/>
            </w14:solidFill>
          </w14:textFill>
        </w:rPr>
      </w:pPr>
      <w:r>
        <w:rPr>
          <w:rFonts w:hint="eastAsia" w:ascii="宋体" w:hAnsi="宋体" w:cs="Arial"/>
          <w:color w:val="000000" w:themeColor="text1"/>
          <w:kern w:val="0"/>
          <w:sz w:val="24"/>
          <w:highlight w:val="none"/>
          <w14:textFill>
            <w14:solidFill>
              <w14:schemeClr w14:val="tx1"/>
            </w14:solidFill>
          </w14:textFill>
        </w:rPr>
        <w:t>支持对病区患者体征记录的综合查询，包含按手术名称、按诊断名称、按异常体征等方式检索；</w:t>
      </w:r>
    </w:p>
    <w:p>
      <w:pPr>
        <w:widowControl/>
        <w:numPr>
          <w:ilvl w:val="0"/>
          <w:numId w:val="14"/>
        </w:numPr>
        <w:spacing w:before="100" w:beforeAutospacing="1" w:after="100" w:afterAutospacing="1" w:line="360" w:lineRule="auto"/>
        <w:jc w:val="left"/>
        <w:rPr>
          <w:rFonts w:ascii="宋体" w:hAnsi="宋体" w:cs="Arial"/>
          <w:color w:val="000000" w:themeColor="text1"/>
          <w:kern w:val="0"/>
          <w:sz w:val="24"/>
          <w:highlight w:val="none"/>
          <w14:textFill>
            <w14:solidFill>
              <w14:schemeClr w14:val="tx1"/>
            </w14:solidFill>
          </w14:textFill>
        </w:rPr>
      </w:pPr>
      <w:r>
        <w:rPr>
          <w:rFonts w:hint="eastAsia" w:ascii="宋体" w:hAnsi="宋体" w:cs="Arial"/>
          <w:color w:val="000000" w:themeColor="text1"/>
          <w:kern w:val="0"/>
          <w:sz w:val="24"/>
          <w:highlight w:val="none"/>
          <w14:textFill>
            <w14:solidFill>
              <w14:schemeClr w14:val="tx1"/>
            </w14:solidFill>
          </w14:textFill>
        </w:rPr>
        <w:t>支持按体征测量规则生成的体征监控信息查询、护理时效记录查询；</w:t>
      </w:r>
    </w:p>
    <w:p>
      <w:pPr>
        <w:widowControl/>
        <w:numPr>
          <w:ilvl w:val="0"/>
          <w:numId w:val="14"/>
        </w:numPr>
        <w:spacing w:before="100" w:beforeAutospacing="1" w:after="100" w:afterAutospacing="1" w:line="360" w:lineRule="auto"/>
        <w:jc w:val="left"/>
        <w:rPr>
          <w:rFonts w:ascii="宋体" w:hAnsi="宋体" w:cs="Arial"/>
          <w:color w:val="000000" w:themeColor="text1"/>
          <w:kern w:val="0"/>
          <w:sz w:val="24"/>
          <w:highlight w:val="none"/>
          <w14:textFill>
            <w14:solidFill>
              <w14:schemeClr w14:val="tx1"/>
            </w14:solidFill>
          </w14:textFill>
        </w:rPr>
      </w:pPr>
      <w:r>
        <w:rPr>
          <w:rFonts w:hint="eastAsia" w:ascii="宋体" w:hAnsi="宋体" w:cs="Arial"/>
          <w:color w:val="000000" w:themeColor="text1"/>
          <w:kern w:val="0"/>
          <w:sz w:val="24"/>
          <w:highlight w:val="none"/>
          <w14:textFill>
            <w14:solidFill>
              <w14:schemeClr w14:val="tx1"/>
            </w14:solidFill>
          </w14:textFill>
        </w:rPr>
        <w:t>支持对专项护理评估信息的综合查询，包含跌倒坠床、导管滑脱、伤口风险、疼痛评估等；</w:t>
      </w:r>
    </w:p>
    <w:p>
      <w:pPr>
        <w:widowControl/>
        <w:numPr>
          <w:ilvl w:val="0"/>
          <w:numId w:val="14"/>
        </w:numPr>
        <w:spacing w:before="100" w:beforeAutospacing="1" w:after="100" w:afterAutospacing="1" w:line="360" w:lineRule="auto"/>
        <w:jc w:val="left"/>
        <w:rPr>
          <w:rFonts w:ascii="宋体" w:hAnsi="宋体" w:cs="Arial"/>
          <w:color w:val="000000" w:themeColor="text1"/>
          <w:kern w:val="0"/>
          <w:sz w:val="24"/>
          <w:highlight w:val="none"/>
          <w14:textFill>
            <w14:solidFill>
              <w14:schemeClr w14:val="tx1"/>
            </w14:solidFill>
          </w14:textFill>
        </w:rPr>
      </w:pPr>
      <w:r>
        <w:rPr>
          <w:rFonts w:hint="eastAsia" w:ascii="宋体" w:hAnsi="宋体" w:cs="Arial"/>
          <w:color w:val="000000" w:themeColor="text1"/>
          <w:kern w:val="0"/>
          <w:sz w:val="24"/>
          <w:highlight w:val="none"/>
          <w14:textFill>
            <w14:solidFill>
              <w14:schemeClr w14:val="tx1"/>
            </w14:solidFill>
          </w14:textFill>
        </w:rPr>
        <w:t>支持对病危重患者呼吸机应用、死亡情况、出入量等信息的查询；</w:t>
      </w:r>
    </w:p>
    <w:p>
      <w:pPr>
        <w:widowControl/>
        <w:numPr>
          <w:ilvl w:val="0"/>
          <w:numId w:val="14"/>
        </w:numPr>
        <w:spacing w:before="100" w:beforeAutospacing="1" w:after="100" w:afterAutospacing="1" w:line="360" w:lineRule="auto"/>
        <w:jc w:val="left"/>
        <w:rPr>
          <w:rFonts w:ascii="宋体" w:hAnsi="宋体" w:cs="Arial"/>
          <w:color w:val="000000" w:themeColor="text1"/>
          <w:kern w:val="0"/>
          <w:sz w:val="24"/>
          <w:highlight w:val="none"/>
          <w14:textFill>
            <w14:solidFill>
              <w14:schemeClr w14:val="tx1"/>
            </w14:solidFill>
          </w14:textFill>
        </w:rPr>
      </w:pPr>
      <w:r>
        <w:rPr>
          <w:rFonts w:hint="eastAsia" w:ascii="宋体" w:hAnsi="宋体" w:cs="Arial"/>
          <w:color w:val="000000" w:themeColor="text1"/>
          <w:kern w:val="0"/>
          <w:sz w:val="24"/>
          <w:highlight w:val="none"/>
          <w14:textFill>
            <w14:solidFill>
              <w14:schemeClr w14:val="tx1"/>
            </w14:solidFill>
          </w14:textFill>
        </w:rPr>
        <w:t>查询后，支持查阅具体患者的体温单、护理记录以及EMRView。</w:t>
      </w:r>
    </w:p>
    <w:p>
      <w:pPr>
        <w:spacing w:line="360" w:lineRule="auto"/>
        <w:rPr>
          <w:rFonts w:ascii="Calibri" w:hAnsi="Calibri"/>
          <w:b/>
          <w:color w:val="000000" w:themeColor="text1"/>
          <w:sz w:val="24"/>
          <w:highlight w:val="none"/>
          <w14:textFill>
            <w14:solidFill>
              <w14:schemeClr w14:val="tx1"/>
            </w14:solidFill>
          </w14:textFill>
        </w:rPr>
      </w:pPr>
      <w:r>
        <w:rPr>
          <w:rFonts w:hint="eastAsia" w:ascii="Calibri" w:hAnsi="Calibri"/>
          <w:b/>
          <w:color w:val="000000" w:themeColor="text1"/>
          <w:sz w:val="24"/>
          <w:highlight w:val="none"/>
          <w14:textFill>
            <w14:solidFill>
              <w14:schemeClr w14:val="tx1"/>
            </w14:solidFill>
          </w14:textFill>
        </w:rPr>
        <w:t>护理交接班</w:t>
      </w:r>
    </w:p>
    <w:p>
      <w:pPr>
        <w:spacing w:line="360" w:lineRule="auto"/>
        <w:ind w:firstLine="420"/>
        <w:rPr>
          <w:rFonts w:ascii="Calibri" w:hAnsi="Calibri" w:cs="Arial"/>
          <w:color w:val="000000" w:themeColor="text1"/>
          <w:sz w:val="24"/>
          <w:szCs w:val="22"/>
          <w:highlight w:val="none"/>
          <w14:textFill>
            <w14:solidFill>
              <w14:schemeClr w14:val="tx1"/>
            </w14:solidFill>
          </w14:textFill>
        </w:rPr>
      </w:pPr>
      <w:r>
        <w:rPr>
          <w:rFonts w:hint="eastAsia" w:ascii="Calibri" w:hAnsi="Calibri" w:cs="Arial"/>
          <w:color w:val="000000" w:themeColor="text1"/>
          <w:sz w:val="24"/>
          <w:szCs w:val="22"/>
          <w:highlight w:val="none"/>
          <w14:textFill>
            <w14:solidFill>
              <w14:schemeClr w14:val="tx1"/>
            </w14:solidFill>
          </w14:textFill>
        </w:rPr>
        <w:t>提供护士交接班报告填写、查看及打印功能，支持</w:t>
      </w:r>
      <w:r>
        <w:rPr>
          <w:rFonts w:ascii="Calibri" w:hAnsi="Calibri" w:cs="Arial"/>
          <w:color w:val="000000" w:themeColor="text1"/>
          <w:sz w:val="24"/>
          <w:szCs w:val="22"/>
          <w:highlight w:val="none"/>
          <w14:textFill>
            <w14:solidFill>
              <w14:schemeClr w14:val="tx1"/>
            </w14:solidFill>
          </w14:textFill>
        </w:rPr>
        <w:t>晨间早报汇总功能</w:t>
      </w:r>
      <w:r>
        <w:rPr>
          <w:rFonts w:hint="eastAsia" w:ascii="Calibri" w:hAnsi="Calibri" w:cs="Arial"/>
          <w:color w:val="000000" w:themeColor="text1"/>
          <w:sz w:val="24"/>
          <w:szCs w:val="22"/>
          <w:highlight w:val="none"/>
          <w14:textFill>
            <w14:solidFill>
              <w14:schemeClr w14:val="tx1"/>
            </w14:solidFill>
          </w14:textFill>
        </w:rPr>
        <w:t>。</w:t>
      </w:r>
    </w:p>
    <w:p>
      <w:pPr>
        <w:spacing w:line="360" w:lineRule="auto"/>
        <w:rPr>
          <w:rFonts w:ascii="Calibri" w:hAnsi="Calibri"/>
          <w:b/>
          <w:color w:val="000000" w:themeColor="text1"/>
          <w:sz w:val="24"/>
          <w:highlight w:val="none"/>
          <w14:textFill>
            <w14:solidFill>
              <w14:schemeClr w14:val="tx1"/>
            </w14:solidFill>
          </w14:textFill>
        </w:rPr>
      </w:pPr>
      <w:r>
        <w:rPr>
          <w:rFonts w:hint="eastAsia" w:ascii="Calibri" w:hAnsi="Calibri"/>
          <w:b/>
          <w:color w:val="000000" w:themeColor="text1"/>
          <w:sz w:val="24"/>
          <w:highlight w:val="none"/>
          <w14:textFill>
            <w14:solidFill>
              <w14:schemeClr w14:val="tx1"/>
            </w14:solidFill>
          </w14:textFill>
        </w:rPr>
        <w:t>护理会诊</w:t>
      </w:r>
    </w:p>
    <w:p>
      <w:pPr>
        <w:spacing w:line="360" w:lineRule="auto"/>
        <w:ind w:firstLine="420"/>
        <w:rPr>
          <w:rFonts w:ascii="Calibri" w:hAnsi="Calibri" w:cs="Arial"/>
          <w:color w:val="000000" w:themeColor="text1"/>
          <w:sz w:val="24"/>
          <w:szCs w:val="22"/>
          <w:highlight w:val="none"/>
          <w14:textFill>
            <w14:solidFill>
              <w14:schemeClr w14:val="tx1"/>
            </w14:solidFill>
          </w14:textFill>
        </w:rPr>
      </w:pPr>
      <w:r>
        <w:rPr>
          <w:rFonts w:hint="eastAsia" w:ascii="Calibri" w:hAnsi="Calibri" w:cs="Arial"/>
          <w:color w:val="000000" w:themeColor="text1"/>
          <w:sz w:val="24"/>
          <w:szCs w:val="22"/>
          <w:highlight w:val="none"/>
          <w14:textFill>
            <w14:solidFill>
              <w14:schemeClr w14:val="tx1"/>
            </w14:solidFill>
          </w14:textFill>
        </w:rPr>
        <w:t>系统支持院内病区之间以及病区与护理专业小组之间针对护理业务的会诊，支持护理会诊专业小组的人员维护，支持对护理会诊业务的统计查询功能。</w:t>
      </w:r>
    </w:p>
    <w:p>
      <w:pPr>
        <w:spacing w:line="360" w:lineRule="auto"/>
        <w:rPr>
          <w:rFonts w:ascii="Calibri" w:hAnsi="Calibri"/>
          <w:b/>
          <w:color w:val="000000" w:themeColor="text1"/>
          <w:sz w:val="24"/>
          <w:highlight w:val="none"/>
          <w14:textFill>
            <w14:solidFill>
              <w14:schemeClr w14:val="tx1"/>
            </w14:solidFill>
          </w14:textFill>
        </w:rPr>
      </w:pPr>
      <w:r>
        <w:rPr>
          <w:rFonts w:hint="eastAsia" w:ascii="Calibri" w:hAnsi="Calibri"/>
          <w:b/>
          <w:color w:val="000000" w:themeColor="text1"/>
          <w:sz w:val="24"/>
          <w:highlight w:val="none"/>
          <w14:textFill>
            <w14:solidFill>
              <w14:schemeClr w14:val="tx1"/>
            </w14:solidFill>
          </w14:textFill>
        </w:rPr>
        <w:t>患者</w:t>
      </w:r>
      <w:r>
        <w:rPr>
          <w:rFonts w:ascii="Calibri" w:hAnsi="Calibri"/>
          <w:b/>
          <w:color w:val="000000" w:themeColor="text1"/>
          <w:sz w:val="24"/>
          <w:highlight w:val="none"/>
          <w14:textFill>
            <w14:solidFill>
              <w14:schemeClr w14:val="tx1"/>
            </w14:solidFill>
          </w14:textFill>
        </w:rPr>
        <w:t>入院评估</w:t>
      </w:r>
    </w:p>
    <w:p>
      <w:pPr>
        <w:spacing w:line="360" w:lineRule="auto"/>
        <w:ind w:firstLine="420"/>
        <w:rPr>
          <w:rFonts w:ascii="Calibri" w:hAnsi="Calibri" w:cs="Arial"/>
          <w:color w:val="000000" w:themeColor="text1"/>
          <w:sz w:val="24"/>
          <w:szCs w:val="22"/>
          <w:highlight w:val="none"/>
          <w14:textFill>
            <w14:solidFill>
              <w14:schemeClr w14:val="tx1"/>
            </w14:solidFill>
          </w14:textFill>
        </w:rPr>
      </w:pPr>
      <w:r>
        <w:rPr>
          <w:rFonts w:hint="eastAsia" w:ascii="Calibri" w:hAnsi="Calibri" w:cs="Arial"/>
          <w:color w:val="000000" w:themeColor="text1"/>
          <w:sz w:val="24"/>
          <w:szCs w:val="22"/>
          <w:highlight w:val="none"/>
          <w14:textFill>
            <w14:solidFill>
              <w14:schemeClr w14:val="tx1"/>
            </w14:solidFill>
          </w14:textFill>
        </w:rPr>
        <w:t>提供患者入院时的智能评估功能，指引护士完成入科的基本流程，包括体征测量、入院评估、护理诊断等。同时指导护士完成患者入院管理，规范患者入院工作流。</w:t>
      </w:r>
    </w:p>
    <w:p>
      <w:pPr>
        <w:spacing w:line="360" w:lineRule="auto"/>
        <w:rPr>
          <w:rFonts w:ascii="Calibri" w:hAnsi="Calibri"/>
          <w:b/>
          <w:color w:val="000000" w:themeColor="text1"/>
          <w:sz w:val="24"/>
          <w:highlight w:val="none"/>
          <w14:textFill>
            <w14:solidFill>
              <w14:schemeClr w14:val="tx1"/>
            </w14:solidFill>
          </w14:textFill>
        </w:rPr>
      </w:pPr>
      <w:r>
        <w:rPr>
          <w:rFonts w:hint="eastAsia" w:ascii="Calibri" w:hAnsi="Calibri"/>
          <w:b/>
          <w:color w:val="000000" w:themeColor="text1"/>
          <w:sz w:val="24"/>
          <w:highlight w:val="none"/>
          <w14:textFill>
            <w14:solidFill>
              <w14:schemeClr w14:val="tx1"/>
            </w14:solidFill>
          </w14:textFill>
        </w:rPr>
        <w:t>护理</w:t>
      </w:r>
      <w:r>
        <w:rPr>
          <w:rFonts w:ascii="Calibri" w:hAnsi="Calibri"/>
          <w:b/>
          <w:color w:val="000000" w:themeColor="text1"/>
          <w:sz w:val="24"/>
          <w:highlight w:val="none"/>
          <w14:textFill>
            <w14:solidFill>
              <w14:schemeClr w14:val="tx1"/>
            </w14:solidFill>
          </w14:textFill>
        </w:rPr>
        <w:t>计划管理</w:t>
      </w:r>
    </w:p>
    <w:p>
      <w:pPr>
        <w:spacing w:line="360" w:lineRule="auto"/>
        <w:ind w:firstLine="420"/>
        <w:rPr>
          <w:rFonts w:ascii="Calibri" w:hAnsi="Calibri" w:cs="Arial"/>
          <w:color w:val="000000" w:themeColor="text1"/>
          <w:sz w:val="24"/>
          <w:szCs w:val="22"/>
          <w:highlight w:val="none"/>
          <w14:textFill>
            <w14:solidFill>
              <w14:schemeClr w14:val="tx1"/>
            </w14:solidFill>
          </w14:textFill>
        </w:rPr>
      </w:pPr>
      <w:r>
        <w:rPr>
          <w:rFonts w:hint="eastAsia" w:ascii="Calibri" w:hAnsi="Calibri" w:cs="Arial"/>
          <w:color w:val="000000" w:themeColor="text1"/>
          <w:sz w:val="24"/>
          <w:szCs w:val="22"/>
          <w:highlight w:val="none"/>
          <w14:textFill>
            <w14:solidFill>
              <w14:schemeClr w14:val="tx1"/>
            </w14:solidFill>
          </w14:textFill>
        </w:rPr>
        <w:t>提供护士制定护理计划的辅助功能，在获取患者治疗信息的基础上进行护理任务的拆分和提醒功能。</w:t>
      </w:r>
    </w:p>
    <w:p>
      <w:pPr>
        <w:spacing w:line="360" w:lineRule="auto"/>
        <w:rPr>
          <w:rFonts w:ascii="Calibri" w:hAnsi="Calibri"/>
          <w:b/>
          <w:color w:val="000000" w:themeColor="text1"/>
          <w:sz w:val="24"/>
          <w:highlight w:val="none"/>
          <w14:textFill>
            <w14:solidFill>
              <w14:schemeClr w14:val="tx1"/>
            </w14:solidFill>
          </w14:textFill>
        </w:rPr>
      </w:pPr>
      <w:r>
        <w:rPr>
          <w:rFonts w:hint="eastAsia" w:ascii="Calibri" w:hAnsi="Calibri"/>
          <w:b/>
          <w:color w:val="000000" w:themeColor="text1"/>
          <w:sz w:val="24"/>
          <w:highlight w:val="none"/>
          <w14:textFill>
            <w14:solidFill>
              <w14:schemeClr w14:val="tx1"/>
            </w14:solidFill>
          </w14:textFill>
        </w:rPr>
        <w:t>系统接口</w:t>
      </w:r>
    </w:p>
    <w:p>
      <w:pPr>
        <w:spacing w:line="360" w:lineRule="auto"/>
        <w:ind w:firstLine="420"/>
        <w:rPr>
          <w:rFonts w:ascii="Calibri" w:hAnsi="Calibri" w:cs="Arial"/>
          <w:color w:val="000000" w:themeColor="text1"/>
          <w:sz w:val="24"/>
          <w:szCs w:val="22"/>
          <w:highlight w:val="none"/>
          <w14:textFill>
            <w14:solidFill>
              <w14:schemeClr w14:val="tx1"/>
            </w14:solidFill>
          </w14:textFill>
        </w:rPr>
      </w:pPr>
      <w:r>
        <w:rPr>
          <w:rFonts w:hint="eastAsia" w:ascii="Calibri" w:hAnsi="Calibri" w:cs="Arial"/>
          <w:color w:val="000000" w:themeColor="text1"/>
          <w:sz w:val="24"/>
          <w:szCs w:val="22"/>
          <w:highlight w:val="none"/>
          <w14:textFill>
            <w14:solidFill>
              <w14:schemeClr w14:val="tx1"/>
            </w14:solidFill>
          </w14:textFill>
        </w:rPr>
        <w:t>提供</w:t>
      </w:r>
      <w:r>
        <w:rPr>
          <w:rFonts w:ascii="Calibri" w:hAnsi="Calibri" w:cs="Arial"/>
          <w:color w:val="000000" w:themeColor="text1"/>
          <w:sz w:val="24"/>
          <w:szCs w:val="22"/>
          <w:highlight w:val="none"/>
          <w14:textFill>
            <w14:solidFill>
              <w14:schemeClr w14:val="tx1"/>
            </w14:solidFill>
          </w14:textFill>
        </w:rPr>
        <w:t>与移动护理系统</w:t>
      </w:r>
      <w:r>
        <w:rPr>
          <w:rFonts w:hint="eastAsia" w:ascii="Calibri" w:hAnsi="Calibri" w:cs="Arial"/>
          <w:color w:val="000000" w:themeColor="text1"/>
          <w:sz w:val="24"/>
          <w:szCs w:val="22"/>
          <w:highlight w:val="none"/>
          <w14:textFill>
            <w14:solidFill>
              <w14:schemeClr w14:val="tx1"/>
            </w14:solidFill>
          </w14:textFill>
        </w:rPr>
        <w:t>、住院电子病历系统、医疗不良事件上报系统等接口，实现系统间信息集成、管理集成。</w:t>
      </w:r>
    </w:p>
    <w:p>
      <w:pPr>
        <w:pStyle w:val="6"/>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5.1.26移动护理系统</w:t>
      </w:r>
    </w:p>
    <w:p>
      <w:pPr>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移动护理系统是通过移动设备（PDA）的使用，实现病区护士日常工作中三查七对以及病人体征等数据的即时录入，保障护理质量安全、提高护士工作效率。</w:t>
      </w:r>
    </w:p>
    <w:p>
      <w:pPr>
        <w:spacing w:line="360" w:lineRule="auto"/>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 xml:space="preserve">   功能需求如下：</w:t>
      </w:r>
    </w:p>
    <w:tbl>
      <w:tblPr>
        <w:tblStyle w:val="20"/>
        <w:tblW w:w="8522" w:type="dxa"/>
        <w:tblInd w:w="0" w:type="dxa"/>
        <w:tblLayout w:type="fixed"/>
        <w:tblCellMar>
          <w:top w:w="0" w:type="dxa"/>
          <w:left w:w="108" w:type="dxa"/>
          <w:bottom w:w="0" w:type="dxa"/>
          <w:right w:w="108" w:type="dxa"/>
        </w:tblCellMar>
      </w:tblPr>
      <w:tblGrid>
        <w:gridCol w:w="699"/>
        <w:gridCol w:w="1392"/>
        <w:gridCol w:w="6431"/>
      </w:tblGrid>
      <w:tr>
        <w:tblPrEx>
          <w:tblLayout w:type="fixed"/>
          <w:tblCellMar>
            <w:top w:w="0" w:type="dxa"/>
            <w:left w:w="108" w:type="dxa"/>
            <w:bottom w:w="0" w:type="dxa"/>
            <w:right w:w="108" w:type="dxa"/>
          </w:tblCellMar>
        </w:tblPrEx>
        <w:trPr>
          <w:trHeight w:val="600"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序号</w:t>
            </w:r>
          </w:p>
        </w:tc>
        <w:tc>
          <w:tcPr>
            <w:tcW w:w="139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功能模块</w:t>
            </w:r>
          </w:p>
        </w:tc>
        <w:tc>
          <w:tcPr>
            <w:tcW w:w="643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详细需求</w:t>
            </w:r>
          </w:p>
        </w:tc>
      </w:tr>
      <w:tr>
        <w:tblPrEx>
          <w:tblLayout w:type="fixed"/>
          <w:tblCellMar>
            <w:top w:w="0" w:type="dxa"/>
            <w:left w:w="108" w:type="dxa"/>
            <w:bottom w:w="0" w:type="dxa"/>
            <w:right w:w="108" w:type="dxa"/>
          </w:tblCellMar>
        </w:tblPrEx>
        <w:trPr>
          <w:trHeight w:val="799" w:hRule="atLeast"/>
        </w:trPr>
        <w:tc>
          <w:tcPr>
            <w:tcW w:w="699" w:type="dxa"/>
            <w:tcBorders>
              <w:top w:val="nil"/>
              <w:left w:val="single" w:color="auto" w:sz="4" w:space="0"/>
              <w:bottom w:val="single" w:color="auto" w:sz="4" w:space="0"/>
              <w:right w:val="single" w:color="auto" w:sz="4" w:space="0"/>
            </w:tcBorders>
            <w:vAlign w:val="center"/>
          </w:tcPr>
          <w:p>
            <w:pPr>
              <w:widowControl/>
              <w:spacing w:line="360" w:lineRule="auto"/>
              <w:ind w:firstLine="120" w:firstLineChars="50"/>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139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软件接口</w:t>
            </w:r>
          </w:p>
        </w:tc>
        <w:tc>
          <w:tcPr>
            <w:tcW w:w="6431"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投标方所提供产品需与医院原HIS、LIS、EMR等系统数据同步，PDA上的移动护理系统的登陆名和密码需与原HIS保持一致。</w:t>
            </w:r>
          </w:p>
        </w:tc>
      </w:tr>
      <w:tr>
        <w:tblPrEx>
          <w:tblLayout w:type="fixed"/>
          <w:tblCellMar>
            <w:top w:w="0" w:type="dxa"/>
            <w:left w:w="108" w:type="dxa"/>
            <w:bottom w:w="0" w:type="dxa"/>
            <w:right w:w="108" w:type="dxa"/>
          </w:tblCellMar>
        </w:tblPrEx>
        <w:trPr>
          <w:trHeight w:val="799" w:hRule="atLeast"/>
        </w:trPr>
        <w:tc>
          <w:tcPr>
            <w:tcW w:w="699"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139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开发环境</w:t>
            </w:r>
          </w:p>
        </w:tc>
        <w:tc>
          <w:tcPr>
            <w:tcW w:w="6431"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移动护理系统是基于C/S架构开发的，支持Android操作系统，通过程序自动监听网络，实现网络断网重连。</w:t>
            </w:r>
          </w:p>
        </w:tc>
      </w:tr>
      <w:tr>
        <w:tblPrEx>
          <w:tblLayout w:type="fixed"/>
          <w:tblCellMar>
            <w:top w:w="0" w:type="dxa"/>
            <w:left w:w="108" w:type="dxa"/>
            <w:bottom w:w="0" w:type="dxa"/>
            <w:right w:w="108" w:type="dxa"/>
          </w:tblCellMar>
        </w:tblPrEx>
        <w:trPr>
          <w:trHeight w:val="799" w:hRule="atLeast"/>
        </w:trPr>
        <w:tc>
          <w:tcPr>
            <w:tcW w:w="699" w:type="dxa"/>
            <w:vMerge w:val="restart"/>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w:t>
            </w:r>
          </w:p>
        </w:tc>
        <w:tc>
          <w:tcPr>
            <w:tcW w:w="1392" w:type="dxa"/>
            <w:vMerge w:val="restart"/>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患者条码    识别</w:t>
            </w:r>
          </w:p>
        </w:tc>
        <w:tc>
          <w:tcPr>
            <w:tcW w:w="6431"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在入院系统上打印出带有患者身份唯一识别号的一维、二维条码、或RFID的腕带（腕带需要达到防水防撕裂效果），腕带打印功能需与现有住院系统整合，实现交完费后即可自动打印。</w:t>
            </w:r>
          </w:p>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支持对已绑定的RFID腕带进行解绑。</w:t>
            </w:r>
          </w:p>
        </w:tc>
      </w:tr>
      <w:tr>
        <w:tblPrEx>
          <w:tblLayout w:type="fixed"/>
          <w:tblCellMar>
            <w:top w:w="0" w:type="dxa"/>
            <w:left w:w="108" w:type="dxa"/>
            <w:bottom w:w="0" w:type="dxa"/>
            <w:right w:w="108" w:type="dxa"/>
          </w:tblCellMar>
        </w:tblPrEx>
        <w:trPr>
          <w:trHeight w:val="600" w:hRule="atLeast"/>
        </w:trPr>
        <w:tc>
          <w:tcPr>
            <w:tcW w:w="699"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139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6431"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为简化条码打印操作步骤，患者腕带打印功能需与医院原住院系统患者管理集成。</w:t>
            </w:r>
          </w:p>
        </w:tc>
      </w:tr>
      <w:tr>
        <w:tblPrEx>
          <w:tblLayout w:type="fixed"/>
          <w:tblCellMar>
            <w:top w:w="0" w:type="dxa"/>
            <w:left w:w="108" w:type="dxa"/>
            <w:bottom w:w="0" w:type="dxa"/>
            <w:right w:w="108" w:type="dxa"/>
          </w:tblCellMar>
        </w:tblPrEx>
        <w:trPr>
          <w:trHeight w:val="600" w:hRule="atLeast"/>
        </w:trPr>
        <w:tc>
          <w:tcPr>
            <w:tcW w:w="699"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139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6431"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在执行各项医疗操作之前，都需要使用移动设备扫描腕带条码，确认所做操作和患者的匹配关系之后进行。</w:t>
            </w:r>
          </w:p>
        </w:tc>
      </w:tr>
      <w:tr>
        <w:tblPrEx>
          <w:tblLayout w:type="fixed"/>
          <w:tblCellMar>
            <w:top w:w="0" w:type="dxa"/>
            <w:left w:w="108" w:type="dxa"/>
            <w:bottom w:w="0" w:type="dxa"/>
            <w:right w:w="108" w:type="dxa"/>
          </w:tblCellMar>
        </w:tblPrEx>
        <w:trPr>
          <w:trHeight w:val="402" w:hRule="atLeast"/>
        </w:trPr>
        <w:tc>
          <w:tcPr>
            <w:tcW w:w="699"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139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6431"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腕带由于不可知原因损坏后，可以进行住院处及病区补打腕带功能。 </w:t>
            </w:r>
          </w:p>
        </w:tc>
      </w:tr>
      <w:tr>
        <w:tblPrEx>
          <w:tblLayout w:type="fixed"/>
          <w:tblCellMar>
            <w:top w:w="0" w:type="dxa"/>
            <w:left w:w="108" w:type="dxa"/>
            <w:bottom w:w="0" w:type="dxa"/>
            <w:right w:w="108" w:type="dxa"/>
          </w:tblCellMar>
        </w:tblPrEx>
        <w:trPr>
          <w:trHeight w:val="600" w:hRule="atLeast"/>
        </w:trPr>
        <w:tc>
          <w:tcPr>
            <w:tcW w:w="699" w:type="dxa"/>
            <w:vMerge w:val="restart"/>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w:t>
            </w:r>
          </w:p>
        </w:tc>
        <w:tc>
          <w:tcPr>
            <w:tcW w:w="1392" w:type="dxa"/>
            <w:vMerge w:val="restart"/>
            <w:tcBorders>
              <w:top w:val="nil"/>
              <w:left w:val="single" w:color="auto" w:sz="4" w:space="0"/>
              <w:bottom w:val="single" w:color="auto" w:sz="4" w:space="0"/>
              <w:right w:val="single" w:color="auto" w:sz="4" w:space="0"/>
            </w:tcBorders>
            <w:vAlign w:val="center"/>
          </w:tcPr>
          <w:p>
            <w:pPr>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患者基本信息查询</w:t>
            </w:r>
          </w:p>
        </w:tc>
        <w:tc>
          <w:tcPr>
            <w:tcW w:w="6431"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患者各项信息查询：包括患者姓名、年龄、床号、护理级别、主治医生、入驻科室，支持查询病人的费用以及费用明细信息。</w:t>
            </w:r>
          </w:p>
        </w:tc>
      </w:tr>
      <w:tr>
        <w:tblPrEx>
          <w:tblLayout w:type="fixed"/>
          <w:tblCellMar>
            <w:top w:w="0" w:type="dxa"/>
            <w:left w:w="108" w:type="dxa"/>
            <w:bottom w:w="0" w:type="dxa"/>
            <w:right w:w="108" w:type="dxa"/>
          </w:tblCellMar>
        </w:tblPrEx>
        <w:trPr>
          <w:trHeight w:val="600" w:hRule="atLeast"/>
        </w:trPr>
        <w:tc>
          <w:tcPr>
            <w:tcW w:w="699"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139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6431"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病区的患者信息实现以列表形式及视图模式展现，一目了然，同时支持病区切换功能。</w:t>
            </w:r>
          </w:p>
        </w:tc>
      </w:tr>
      <w:tr>
        <w:tblPrEx>
          <w:tblLayout w:type="fixed"/>
          <w:tblCellMar>
            <w:top w:w="0" w:type="dxa"/>
            <w:left w:w="108" w:type="dxa"/>
            <w:bottom w:w="0" w:type="dxa"/>
            <w:right w:w="108" w:type="dxa"/>
          </w:tblCellMar>
        </w:tblPrEx>
        <w:trPr>
          <w:trHeight w:val="600" w:hRule="atLeast"/>
        </w:trPr>
        <w:tc>
          <w:tcPr>
            <w:tcW w:w="699"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139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6431"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支持护理级别信息过滤，快速筛选不同护理级别的患者列表信息。</w:t>
            </w:r>
          </w:p>
        </w:tc>
      </w:tr>
      <w:tr>
        <w:tblPrEx>
          <w:tblLayout w:type="fixed"/>
          <w:tblCellMar>
            <w:top w:w="0" w:type="dxa"/>
            <w:left w:w="108" w:type="dxa"/>
            <w:bottom w:w="0" w:type="dxa"/>
            <w:right w:w="108" w:type="dxa"/>
          </w:tblCellMar>
        </w:tblPrEx>
        <w:trPr>
          <w:trHeight w:val="600" w:hRule="atLeast"/>
        </w:trPr>
        <w:tc>
          <w:tcPr>
            <w:tcW w:w="699" w:type="dxa"/>
            <w:vMerge w:val="restart"/>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w:t>
            </w:r>
          </w:p>
        </w:tc>
        <w:tc>
          <w:tcPr>
            <w:tcW w:w="1392" w:type="dxa"/>
            <w:vMerge w:val="restart"/>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医嘱核对执行</w:t>
            </w:r>
          </w:p>
        </w:tc>
        <w:tc>
          <w:tcPr>
            <w:tcW w:w="6431"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与医院原HIS系统对接，自动、实时提取医嘱，包括新开医嘱、临时医嘱，区分长期医嘱、未执行医嘱。</w:t>
            </w:r>
          </w:p>
        </w:tc>
      </w:tr>
      <w:tr>
        <w:tblPrEx>
          <w:tblLayout w:type="fixed"/>
          <w:tblCellMar>
            <w:top w:w="0" w:type="dxa"/>
            <w:left w:w="108" w:type="dxa"/>
            <w:bottom w:w="0" w:type="dxa"/>
            <w:right w:w="108" w:type="dxa"/>
          </w:tblCellMar>
        </w:tblPrEx>
        <w:trPr>
          <w:trHeight w:val="600" w:hRule="atLeast"/>
        </w:trPr>
        <w:tc>
          <w:tcPr>
            <w:tcW w:w="699"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139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6431"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新开医嘱及特殊医嘱信息设有提醒功能，以便保证定时、及时执行。</w:t>
            </w:r>
          </w:p>
        </w:tc>
      </w:tr>
      <w:tr>
        <w:tblPrEx>
          <w:tblLayout w:type="fixed"/>
          <w:tblCellMar>
            <w:top w:w="0" w:type="dxa"/>
            <w:left w:w="108" w:type="dxa"/>
            <w:bottom w:w="0" w:type="dxa"/>
            <w:right w:w="108" w:type="dxa"/>
          </w:tblCellMar>
        </w:tblPrEx>
        <w:trPr>
          <w:trHeight w:val="600" w:hRule="atLeast"/>
        </w:trPr>
        <w:tc>
          <w:tcPr>
            <w:tcW w:w="699"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139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6431"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根据医嘱频次，自动拆分医嘱，自动生成执行时间和执行者姓名，完成了医嘱的提取和转抄。</w:t>
            </w:r>
          </w:p>
        </w:tc>
      </w:tr>
      <w:tr>
        <w:tblPrEx>
          <w:tblLayout w:type="fixed"/>
          <w:tblCellMar>
            <w:top w:w="0" w:type="dxa"/>
            <w:left w:w="108" w:type="dxa"/>
            <w:bottom w:w="0" w:type="dxa"/>
            <w:right w:w="108" w:type="dxa"/>
          </w:tblCellMar>
        </w:tblPrEx>
        <w:trPr>
          <w:trHeight w:val="799" w:hRule="atLeast"/>
        </w:trPr>
        <w:tc>
          <w:tcPr>
            <w:tcW w:w="699"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139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6431"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借助无线网络覆盖，采用条形码识别，核对患者的身份、药品等信息，确保信息与医嘱相符，包括在正确的时间对正确的患者执行正确治疗。</w:t>
            </w:r>
          </w:p>
        </w:tc>
      </w:tr>
      <w:tr>
        <w:tblPrEx>
          <w:tblLayout w:type="fixed"/>
          <w:tblCellMar>
            <w:top w:w="0" w:type="dxa"/>
            <w:left w:w="108" w:type="dxa"/>
            <w:bottom w:w="0" w:type="dxa"/>
            <w:right w:w="108" w:type="dxa"/>
          </w:tblCellMar>
        </w:tblPrEx>
        <w:trPr>
          <w:trHeight w:val="600" w:hRule="atLeast"/>
        </w:trPr>
        <w:tc>
          <w:tcPr>
            <w:tcW w:w="699"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139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6431"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能通过移动设备扫描、确认医嘱操作（包括输液、注射、口服、诊疗等类型医嘱），核对操作关系，并能实时记录执行者和执行时间等信息。</w:t>
            </w:r>
          </w:p>
        </w:tc>
      </w:tr>
      <w:tr>
        <w:tblPrEx>
          <w:tblLayout w:type="fixed"/>
          <w:tblCellMar>
            <w:top w:w="0" w:type="dxa"/>
            <w:left w:w="108" w:type="dxa"/>
            <w:bottom w:w="0" w:type="dxa"/>
            <w:right w:w="108" w:type="dxa"/>
          </w:tblCellMar>
        </w:tblPrEx>
        <w:trPr>
          <w:trHeight w:val="600" w:hRule="atLeast"/>
        </w:trPr>
        <w:tc>
          <w:tcPr>
            <w:tcW w:w="699"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139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6431"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实现输液巡视，扫描病人腕带或者按床位号选择病人，统计记录输液情况，记录滴速，不良反应等信息，方便后期治疗参考。</w:t>
            </w:r>
          </w:p>
        </w:tc>
      </w:tr>
      <w:tr>
        <w:tblPrEx>
          <w:tblLayout w:type="fixed"/>
          <w:tblCellMar>
            <w:top w:w="0" w:type="dxa"/>
            <w:left w:w="108" w:type="dxa"/>
            <w:bottom w:w="0" w:type="dxa"/>
            <w:right w:w="108" w:type="dxa"/>
          </w:tblCellMar>
        </w:tblPrEx>
        <w:trPr>
          <w:trHeight w:val="600" w:hRule="atLeast"/>
        </w:trPr>
        <w:tc>
          <w:tcPr>
            <w:tcW w:w="699"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139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6431"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医嘱信息可按照时间上已执行、未执行分类查询，同时可按照医嘱种类（如口服、输液、注射用药等）来进行分类查询。</w:t>
            </w:r>
          </w:p>
        </w:tc>
      </w:tr>
      <w:tr>
        <w:tblPrEx>
          <w:tblLayout w:type="fixed"/>
          <w:tblCellMar>
            <w:top w:w="0" w:type="dxa"/>
            <w:left w:w="108" w:type="dxa"/>
            <w:bottom w:w="0" w:type="dxa"/>
            <w:right w:w="108" w:type="dxa"/>
          </w:tblCellMar>
        </w:tblPrEx>
        <w:trPr>
          <w:trHeight w:val="600" w:hRule="atLeast"/>
        </w:trPr>
        <w:tc>
          <w:tcPr>
            <w:tcW w:w="699"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139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6431"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支持医嘱执行过程中多瓶输液模式及满足护士拒绝某组医嘱执行的业务要求。</w:t>
            </w:r>
          </w:p>
        </w:tc>
      </w:tr>
      <w:tr>
        <w:tblPrEx>
          <w:tblLayout w:type="fixed"/>
          <w:tblCellMar>
            <w:top w:w="0" w:type="dxa"/>
            <w:left w:w="108" w:type="dxa"/>
            <w:bottom w:w="0" w:type="dxa"/>
            <w:right w:w="108" w:type="dxa"/>
          </w:tblCellMar>
        </w:tblPrEx>
        <w:trPr>
          <w:trHeight w:val="600" w:hRule="atLeast"/>
        </w:trPr>
        <w:tc>
          <w:tcPr>
            <w:tcW w:w="699"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139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6431"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实现输血医嘱查询、执行功能及可以按时间、执行状态进行过滤。同时支持用户双签核对验证，如执行人、核对人信息输入认证。</w:t>
            </w:r>
          </w:p>
        </w:tc>
      </w:tr>
      <w:tr>
        <w:tblPrEx>
          <w:tblLayout w:type="fixed"/>
          <w:tblCellMar>
            <w:top w:w="0" w:type="dxa"/>
            <w:left w:w="108" w:type="dxa"/>
            <w:bottom w:w="0" w:type="dxa"/>
            <w:right w:w="108" w:type="dxa"/>
          </w:tblCellMar>
        </w:tblPrEx>
        <w:trPr>
          <w:trHeight w:val="983" w:hRule="atLeast"/>
        </w:trPr>
        <w:tc>
          <w:tcPr>
            <w:tcW w:w="699" w:type="dxa"/>
            <w:vMerge w:val="restart"/>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w:t>
            </w:r>
          </w:p>
        </w:tc>
        <w:tc>
          <w:tcPr>
            <w:tcW w:w="1392" w:type="dxa"/>
            <w:vMerge w:val="restart"/>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检验标本采集及检验检查结果查询</w:t>
            </w:r>
          </w:p>
        </w:tc>
        <w:tc>
          <w:tcPr>
            <w:tcW w:w="6431" w:type="dxa"/>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系统通过扫描患者腕带和检验试管条码，确认患者信息和所需检验信息，执行标本发放、标本采集、标本撤销采集功能，同时记录标本采集时间；</w:t>
            </w:r>
          </w:p>
          <w:p>
            <w:pPr>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系统支持扫描病人腕带实现切换，动态改变病人标本采集项；</w:t>
            </w:r>
          </w:p>
          <w:p>
            <w:pPr>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系统支持多人标本批量采集模式，通过扫描试管条码，执行标本发放、采集、撤销采集功能。</w:t>
            </w:r>
          </w:p>
        </w:tc>
      </w:tr>
      <w:tr>
        <w:tblPrEx>
          <w:tblLayout w:type="fixed"/>
          <w:tblCellMar>
            <w:top w:w="0" w:type="dxa"/>
            <w:left w:w="108" w:type="dxa"/>
            <w:bottom w:w="0" w:type="dxa"/>
            <w:right w:w="108" w:type="dxa"/>
          </w:tblCellMar>
        </w:tblPrEx>
        <w:trPr>
          <w:trHeight w:val="799" w:hRule="atLeast"/>
        </w:trPr>
        <w:tc>
          <w:tcPr>
            <w:tcW w:w="699"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139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6431"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支持过滤查看患者检验项目的标本采集、执行状态、检验结果等；</w:t>
            </w:r>
          </w:p>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支持检验项目及项目明细信息的查询，可查阅患者检验结果信息，异常值红色显示，便于筛选。</w:t>
            </w:r>
          </w:p>
        </w:tc>
      </w:tr>
      <w:tr>
        <w:tblPrEx>
          <w:tblLayout w:type="fixed"/>
          <w:tblCellMar>
            <w:top w:w="0" w:type="dxa"/>
            <w:left w:w="108" w:type="dxa"/>
            <w:bottom w:w="0" w:type="dxa"/>
            <w:right w:w="108" w:type="dxa"/>
          </w:tblCellMar>
        </w:tblPrEx>
        <w:trPr>
          <w:trHeight w:val="389" w:hRule="atLeast"/>
        </w:trPr>
        <w:tc>
          <w:tcPr>
            <w:tcW w:w="699"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139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6431"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实现患者在院期间检查结果及相关诊断信息查询。</w:t>
            </w:r>
          </w:p>
        </w:tc>
      </w:tr>
      <w:tr>
        <w:tblPrEx>
          <w:tblLayout w:type="fixed"/>
          <w:tblCellMar>
            <w:top w:w="0" w:type="dxa"/>
            <w:left w:w="108" w:type="dxa"/>
            <w:bottom w:w="0" w:type="dxa"/>
            <w:right w:w="108" w:type="dxa"/>
          </w:tblCellMar>
        </w:tblPrEx>
        <w:trPr>
          <w:trHeight w:val="1345" w:hRule="atLeast"/>
        </w:trPr>
        <w:tc>
          <w:tcPr>
            <w:tcW w:w="699" w:type="dxa"/>
            <w:vMerge w:val="restart"/>
            <w:tcBorders>
              <w:top w:val="nil"/>
              <w:left w:val="single" w:color="auto" w:sz="4" w:space="0"/>
              <w:bottom w:val="nil"/>
              <w:right w:val="single" w:color="auto"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w:t>
            </w:r>
          </w:p>
        </w:tc>
        <w:tc>
          <w:tcPr>
            <w:tcW w:w="1392" w:type="dxa"/>
            <w:vMerge w:val="restart"/>
            <w:tcBorders>
              <w:top w:val="nil"/>
              <w:left w:val="single" w:color="auto" w:sz="4" w:space="0"/>
              <w:bottom w:val="nil"/>
              <w:right w:val="single" w:color="auto"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护理文书</w:t>
            </w:r>
          </w:p>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床边录入</w:t>
            </w:r>
          </w:p>
        </w:tc>
        <w:tc>
          <w:tcPr>
            <w:tcW w:w="6431"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支持根据用户需求，进行护理文书信息表单（护理评估单、护理记录单、风险评估单、护理焦点、护理计划等）的床旁录入服务。</w:t>
            </w:r>
          </w:p>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如实现入院评估、导管评估、跌倒评估、压疮评估、疼痛评估等护理评估单录入，系统能够根据用户需求，协助护士记录各类护理记录单。</w:t>
            </w:r>
          </w:p>
        </w:tc>
      </w:tr>
      <w:tr>
        <w:tblPrEx>
          <w:tblLayout w:type="fixed"/>
          <w:tblCellMar>
            <w:top w:w="0" w:type="dxa"/>
            <w:left w:w="108" w:type="dxa"/>
            <w:bottom w:w="0" w:type="dxa"/>
            <w:right w:w="108" w:type="dxa"/>
          </w:tblCellMar>
        </w:tblPrEx>
        <w:trPr>
          <w:trHeight w:val="416" w:hRule="atLeast"/>
        </w:trPr>
        <w:tc>
          <w:tcPr>
            <w:tcW w:w="699" w:type="dxa"/>
            <w:vMerge w:val="continue"/>
            <w:tcBorders>
              <w:top w:val="nil"/>
              <w:left w:val="single" w:color="auto" w:sz="4" w:space="0"/>
              <w:bottom w:val="nil"/>
              <w:right w:val="single" w:color="auto" w:sz="4"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1392" w:type="dxa"/>
            <w:vMerge w:val="continue"/>
            <w:tcBorders>
              <w:top w:val="nil"/>
              <w:left w:val="single" w:color="auto" w:sz="4" w:space="0"/>
              <w:bottom w:val="nil"/>
              <w:right w:val="single" w:color="auto" w:sz="4"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6431"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支持护士对评估单进行签名功能；</w:t>
            </w:r>
          </w:p>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支持对已签名的整张评估单进行审阅；</w:t>
            </w:r>
          </w:p>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支持扫描切换病人，动态改动护理单元。</w:t>
            </w:r>
          </w:p>
        </w:tc>
      </w:tr>
      <w:tr>
        <w:tblPrEx>
          <w:tblLayout w:type="fixed"/>
          <w:tblCellMar>
            <w:top w:w="0" w:type="dxa"/>
            <w:left w:w="108" w:type="dxa"/>
            <w:bottom w:w="0" w:type="dxa"/>
            <w:right w:w="108" w:type="dxa"/>
          </w:tblCellMar>
        </w:tblPrEx>
        <w:trPr>
          <w:trHeight w:val="600" w:hRule="atLeast"/>
        </w:trPr>
        <w:tc>
          <w:tcPr>
            <w:tcW w:w="699" w:type="dxa"/>
            <w:vMerge w:val="continue"/>
            <w:tcBorders>
              <w:top w:val="nil"/>
              <w:left w:val="single" w:color="auto" w:sz="4" w:space="0"/>
              <w:bottom w:val="nil"/>
              <w:right w:val="single" w:color="auto" w:sz="4"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1392" w:type="dxa"/>
            <w:vMerge w:val="continue"/>
            <w:tcBorders>
              <w:top w:val="nil"/>
              <w:left w:val="single" w:color="auto" w:sz="4" w:space="0"/>
              <w:bottom w:val="nil"/>
              <w:right w:val="single" w:color="auto" w:sz="4"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6431"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提供生命体征、过敏药物、手术记录引用，支持模板调用、模板保存、术语录入、书写完成签名确认。</w:t>
            </w:r>
          </w:p>
        </w:tc>
      </w:tr>
      <w:tr>
        <w:tblPrEx>
          <w:tblLayout w:type="fixed"/>
          <w:tblCellMar>
            <w:top w:w="0" w:type="dxa"/>
            <w:left w:w="108" w:type="dxa"/>
            <w:bottom w:w="0" w:type="dxa"/>
            <w:right w:w="108" w:type="dxa"/>
          </w:tblCellMar>
        </w:tblPrEx>
        <w:trPr>
          <w:trHeight w:val="600" w:hRule="atLeast"/>
        </w:trPr>
        <w:tc>
          <w:tcPr>
            <w:tcW w:w="699" w:type="dxa"/>
            <w:vMerge w:val="continue"/>
            <w:tcBorders>
              <w:top w:val="nil"/>
              <w:left w:val="single" w:color="auto" w:sz="4" w:space="0"/>
              <w:bottom w:val="nil"/>
              <w:right w:val="single" w:color="auto" w:sz="4"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1392" w:type="dxa"/>
            <w:vMerge w:val="continue"/>
            <w:tcBorders>
              <w:top w:val="nil"/>
              <w:left w:val="single" w:color="auto" w:sz="4" w:space="0"/>
              <w:bottom w:val="nil"/>
              <w:right w:val="single" w:color="auto" w:sz="4"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6431"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提供护理计划的制定和跟踪服务，完成整个护理计划的执行过程。</w:t>
            </w:r>
          </w:p>
        </w:tc>
      </w:tr>
      <w:tr>
        <w:tblPrEx>
          <w:tblLayout w:type="fixed"/>
          <w:tblCellMar>
            <w:top w:w="0" w:type="dxa"/>
            <w:left w:w="108" w:type="dxa"/>
            <w:bottom w:w="0" w:type="dxa"/>
            <w:right w:w="108" w:type="dxa"/>
          </w:tblCellMar>
        </w:tblPrEx>
        <w:trPr>
          <w:trHeight w:val="600" w:hRule="atLeast"/>
        </w:trPr>
        <w:tc>
          <w:tcPr>
            <w:tcW w:w="699" w:type="dxa"/>
            <w:vMerge w:val="continue"/>
            <w:tcBorders>
              <w:top w:val="nil"/>
              <w:left w:val="single" w:color="auto" w:sz="4" w:space="0"/>
              <w:bottom w:val="nil"/>
              <w:right w:val="single" w:color="auto" w:sz="4"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1392" w:type="dxa"/>
            <w:vMerge w:val="continue"/>
            <w:tcBorders>
              <w:top w:val="nil"/>
              <w:left w:val="single" w:color="auto" w:sz="4" w:space="0"/>
              <w:bottom w:val="nil"/>
              <w:right w:val="single" w:color="auto" w:sz="4"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6431"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通过护理焦点的记录式方完成护理记录单的书写，让护士了解每个护理焦点当前的状态。</w:t>
            </w:r>
          </w:p>
        </w:tc>
      </w:tr>
      <w:tr>
        <w:tblPrEx>
          <w:tblLayout w:type="fixed"/>
          <w:tblCellMar>
            <w:top w:w="0" w:type="dxa"/>
            <w:left w:w="108" w:type="dxa"/>
            <w:bottom w:w="0" w:type="dxa"/>
            <w:right w:w="108" w:type="dxa"/>
          </w:tblCellMar>
        </w:tblPrEx>
        <w:trPr>
          <w:trHeight w:val="600" w:hRule="atLeast"/>
        </w:trPr>
        <w:tc>
          <w:tcPr>
            <w:tcW w:w="699" w:type="dxa"/>
            <w:vMerge w:val="continue"/>
            <w:tcBorders>
              <w:top w:val="nil"/>
              <w:left w:val="single" w:color="auto" w:sz="4" w:space="0"/>
              <w:bottom w:val="nil"/>
              <w:right w:val="single" w:color="auto" w:sz="4"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1392" w:type="dxa"/>
            <w:vMerge w:val="continue"/>
            <w:tcBorders>
              <w:top w:val="nil"/>
              <w:left w:val="single" w:color="auto" w:sz="4" w:space="0"/>
              <w:bottom w:val="nil"/>
              <w:right w:val="single" w:color="auto" w:sz="4"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6431"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PDA上支持自定义界面、报表、参数，不同科室可定义不同的护理文书模板。</w:t>
            </w:r>
          </w:p>
        </w:tc>
      </w:tr>
      <w:tr>
        <w:tblPrEx>
          <w:tblLayout w:type="fixed"/>
          <w:tblCellMar>
            <w:top w:w="0" w:type="dxa"/>
            <w:left w:w="108" w:type="dxa"/>
            <w:bottom w:w="0" w:type="dxa"/>
            <w:right w:w="108" w:type="dxa"/>
          </w:tblCellMar>
        </w:tblPrEx>
        <w:trPr>
          <w:trHeight w:val="600" w:hRule="atLeast"/>
        </w:trPr>
        <w:tc>
          <w:tcPr>
            <w:tcW w:w="699" w:type="dxa"/>
            <w:vMerge w:val="continue"/>
            <w:tcBorders>
              <w:top w:val="nil"/>
              <w:left w:val="single" w:color="auto" w:sz="4" w:space="0"/>
              <w:bottom w:val="nil"/>
              <w:right w:val="single" w:color="auto" w:sz="4"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1392" w:type="dxa"/>
            <w:vMerge w:val="continue"/>
            <w:tcBorders>
              <w:top w:val="nil"/>
              <w:left w:val="single" w:color="auto" w:sz="4" w:space="0"/>
              <w:bottom w:val="nil"/>
              <w:right w:val="single" w:color="auto" w:sz="4"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6431"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实现数据同步，PDA上录入的相关数据自动在原护理文书系统上自动生成相应护理病历，需与医院现有护理文书系统进行数据集成。</w:t>
            </w:r>
          </w:p>
        </w:tc>
      </w:tr>
      <w:tr>
        <w:tblPrEx>
          <w:tblLayout w:type="fixed"/>
          <w:tblCellMar>
            <w:top w:w="0" w:type="dxa"/>
            <w:left w:w="108" w:type="dxa"/>
            <w:bottom w:w="0" w:type="dxa"/>
            <w:right w:w="108" w:type="dxa"/>
          </w:tblCellMar>
        </w:tblPrEx>
        <w:trPr>
          <w:trHeight w:val="570" w:hRule="atLeast"/>
        </w:trPr>
        <w:tc>
          <w:tcPr>
            <w:tcW w:w="69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120" w:firstLineChars="50"/>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8</w:t>
            </w:r>
          </w:p>
        </w:tc>
        <w:tc>
          <w:tcPr>
            <w:tcW w:w="13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健康宣教</w:t>
            </w:r>
          </w:p>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记录统计</w:t>
            </w:r>
          </w:p>
        </w:tc>
        <w:tc>
          <w:tcPr>
            <w:tcW w:w="6431" w:type="dxa"/>
            <w:tcBorders>
              <w:top w:val="nil"/>
              <w:left w:val="nil"/>
              <w:bottom w:val="single" w:color="auto" w:sz="4" w:space="0"/>
              <w:righ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患者个性化健康宣教管理：</w:t>
            </w:r>
          </w:p>
          <w:p>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包括入院宣教、疾病指导、药物指导、检查指导、术前宣教、术后宣教、出院及康复指导等。</w:t>
            </w:r>
          </w:p>
        </w:tc>
      </w:tr>
      <w:tr>
        <w:tblPrEx>
          <w:tblLayout w:type="fixed"/>
          <w:tblCellMar>
            <w:top w:w="0" w:type="dxa"/>
            <w:left w:w="108" w:type="dxa"/>
            <w:bottom w:w="0" w:type="dxa"/>
            <w:right w:w="108" w:type="dxa"/>
          </w:tblCellMar>
        </w:tblPrEx>
        <w:trPr>
          <w:trHeight w:val="626" w:hRule="atLeast"/>
        </w:trPr>
        <w:tc>
          <w:tcPr>
            <w:tcW w:w="6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13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6431"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实现针对患者、患者家属等对象，进行实时记录执行健康教育宣教时间及相关宣教的内容，可按时间查询宣教工作，并统计护士宣教工作量。</w:t>
            </w:r>
          </w:p>
        </w:tc>
      </w:tr>
      <w:tr>
        <w:tblPrEx>
          <w:tblLayout w:type="fixed"/>
          <w:tblCellMar>
            <w:top w:w="0" w:type="dxa"/>
            <w:left w:w="108" w:type="dxa"/>
            <w:bottom w:w="0" w:type="dxa"/>
            <w:right w:w="108" w:type="dxa"/>
          </w:tblCellMar>
        </w:tblPrEx>
        <w:trPr>
          <w:trHeight w:val="338" w:hRule="atLeast"/>
        </w:trPr>
        <w:tc>
          <w:tcPr>
            <w:tcW w:w="6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13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6431"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具备健康教育知识库。</w:t>
            </w:r>
          </w:p>
        </w:tc>
      </w:tr>
      <w:tr>
        <w:tblPrEx>
          <w:tblLayout w:type="fixed"/>
          <w:tblCellMar>
            <w:top w:w="0" w:type="dxa"/>
            <w:left w:w="108" w:type="dxa"/>
            <w:bottom w:w="0" w:type="dxa"/>
            <w:right w:w="108" w:type="dxa"/>
          </w:tblCellMar>
        </w:tblPrEx>
        <w:trPr>
          <w:trHeight w:val="600" w:hRule="atLeast"/>
        </w:trPr>
        <w:tc>
          <w:tcPr>
            <w:tcW w:w="699" w:type="dxa"/>
            <w:vMerge w:val="restart"/>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9</w:t>
            </w:r>
          </w:p>
        </w:tc>
        <w:tc>
          <w:tcPr>
            <w:tcW w:w="1392" w:type="dxa"/>
            <w:vMerge w:val="restart"/>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生命体征录入与查询</w:t>
            </w:r>
          </w:p>
        </w:tc>
        <w:tc>
          <w:tcPr>
            <w:tcW w:w="6431" w:type="dxa"/>
            <w:tcBorders>
              <w:top w:val="nil"/>
              <w:left w:val="nil"/>
              <w:bottom w:val="single" w:color="auto" w:sz="4" w:space="0"/>
              <w:righ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可在床旁手持PDA等移动设备录入患者体温、脉搏、呼吸、血压、血氧饱和度、体重、大便次数、出入量等生命体征，并可以根据科室不同在PDA上自动生成相应体征录入项目。针对如体温过高等临床危险指标，能有实时的警示功能，并以醒目的颜色区别指示出来。</w:t>
            </w:r>
          </w:p>
        </w:tc>
      </w:tr>
      <w:tr>
        <w:tblPrEx>
          <w:tblLayout w:type="fixed"/>
          <w:tblCellMar>
            <w:top w:w="0" w:type="dxa"/>
            <w:left w:w="108" w:type="dxa"/>
            <w:bottom w:w="0" w:type="dxa"/>
            <w:right w:w="108" w:type="dxa"/>
          </w:tblCellMar>
        </w:tblPrEx>
        <w:trPr>
          <w:trHeight w:val="600" w:hRule="atLeast"/>
        </w:trPr>
        <w:tc>
          <w:tcPr>
            <w:tcW w:w="699"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139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6431" w:type="dxa"/>
            <w:tcBorders>
              <w:top w:val="nil"/>
              <w:left w:val="nil"/>
              <w:bottom w:val="single" w:color="auto" w:sz="4" w:space="0"/>
              <w:righ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具备内容质控功能，针对护士输入的异常数据能够进行提示并拒绝保存。</w:t>
            </w:r>
          </w:p>
        </w:tc>
      </w:tr>
      <w:tr>
        <w:tblPrEx>
          <w:tblLayout w:type="fixed"/>
          <w:tblCellMar>
            <w:top w:w="0" w:type="dxa"/>
            <w:left w:w="108" w:type="dxa"/>
            <w:bottom w:w="0" w:type="dxa"/>
            <w:right w:w="108" w:type="dxa"/>
          </w:tblCellMar>
        </w:tblPrEx>
        <w:trPr>
          <w:trHeight w:val="600" w:hRule="atLeast"/>
        </w:trPr>
        <w:tc>
          <w:tcPr>
            <w:tcW w:w="699"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139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6431" w:type="dxa"/>
            <w:tcBorders>
              <w:top w:val="nil"/>
              <w:left w:val="nil"/>
              <w:bottom w:val="single" w:color="auto" w:sz="4" w:space="0"/>
              <w:righ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实现体征数据多人批量录入；能够自动累加出入量，24小时结果自动记录。</w:t>
            </w:r>
          </w:p>
        </w:tc>
      </w:tr>
      <w:tr>
        <w:tblPrEx>
          <w:tblLayout w:type="fixed"/>
          <w:tblCellMar>
            <w:top w:w="0" w:type="dxa"/>
            <w:left w:w="108" w:type="dxa"/>
            <w:bottom w:w="0" w:type="dxa"/>
            <w:right w:w="108" w:type="dxa"/>
          </w:tblCellMar>
        </w:tblPrEx>
        <w:trPr>
          <w:trHeight w:val="564" w:hRule="atLeast"/>
        </w:trPr>
        <w:tc>
          <w:tcPr>
            <w:tcW w:w="699"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139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6431" w:type="dxa"/>
            <w:tcBorders>
              <w:top w:val="nil"/>
              <w:left w:val="nil"/>
              <w:bottom w:val="single" w:color="auto" w:sz="4" w:space="0"/>
              <w:righ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支持与生命体征采集仪器集成，进行数据自动提取。</w:t>
            </w:r>
          </w:p>
        </w:tc>
      </w:tr>
      <w:tr>
        <w:tblPrEx>
          <w:tblLayout w:type="fixed"/>
          <w:tblCellMar>
            <w:top w:w="0" w:type="dxa"/>
            <w:left w:w="108" w:type="dxa"/>
            <w:bottom w:w="0" w:type="dxa"/>
            <w:right w:w="108" w:type="dxa"/>
          </w:tblCellMar>
        </w:tblPrEx>
        <w:trPr>
          <w:trHeight w:val="600" w:hRule="atLeast"/>
        </w:trPr>
        <w:tc>
          <w:tcPr>
            <w:tcW w:w="699"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139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6431" w:type="dxa"/>
            <w:tcBorders>
              <w:top w:val="nil"/>
              <w:left w:val="nil"/>
              <w:bottom w:val="single" w:color="auto" w:sz="4" w:space="0"/>
              <w:righ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根据患者的护理等级、危重状态、发烧及手术等具体情况，并结合医院的体征规则，系统自动动态计算患者需要测量体征的时间点。</w:t>
            </w:r>
          </w:p>
        </w:tc>
      </w:tr>
      <w:tr>
        <w:tblPrEx>
          <w:tblLayout w:type="fixed"/>
          <w:tblCellMar>
            <w:top w:w="0" w:type="dxa"/>
            <w:left w:w="108" w:type="dxa"/>
            <w:bottom w:w="0" w:type="dxa"/>
            <w:right w:w="108" w:type="dxa"/>
          </w:tblCellMar>
        </w:tblPrEx>
        <w:trPr>
          <w:trHeight w:val="494" w:hRule="atLeast"/>
        </w:trPr>
        <w:tc>
          <w:tcPr>
            <w:tcW w:w="699"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139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6431" w:type="dxa"/>
            <w:tcBorders>
              <w:top w:val="nil"/>
              <w:left w:val="nil"/>
              <w:bottom w:val="single" w:color="auto" w:sz="4" w:space="0"/>
              <w:righ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可以根据科室的规定对体征测量规则进行自定义配置。</w:t>
            </w:r>
          </w:p>
        </w:tc>
      </w:tr>
      <w:tr>
        <w:tblPrEx>
          <w:tblLayout w:type="fixed"/>
          <w:tblCellMar>
            <w:top w:w="0" w:type="dxa"/>
            <w:left w:w="108" w:type="dxa"/>
            <w:bottom w:w="0" w:type="dxa"/>
            <w:right w:w="108" w:type="dxa"/>
          </w:tblCellMar>
        </w:tblPrEx>
        <w:trPr>
          <w:trHeight w:val="546" w:hRule="atLeast"/>
        </w:trPr>
        <w:tc>
          <w:tcPr>
            <w:tcW w:w="699"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139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6431" w:type="dxa"/>
            <w:tcBorders>
              <w:top w:val="nil"/>
              <w:left w:val="nil"/>
              <w:bottom w:val="single" w:color="auto" w:sz="4" w:space="0"/>
              <w:righ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实现体征查询，可以根据时间段和体征名称，如体温、脉搏、呼吸、血压等内容模块来进行过滤查询。</w:t>
            </w:r>
          </w:p>
        </w:tc>
      </w:tr>
      <w:tr>
        <w:tblPrEx>
          <w:tblLayout w:type="fixed"/>
          <w:tblCellMar>
            <w:top w:w="0" w:type="dxa"/>
            <w:left w:w="108" w:type="dxa"/>
            <w:bottom w:w="0" w:type="dxa"/>
            <w:right w:w="108" w:type="dxa"/>
          </w:tblCellMar>
        </w:tblPrEx>
        <w:trPr>
          <w:trHeight w:val="600" w:hRule="atLeast"/>
        </w:trPr>
        <w:tc>
          <w:tcPr>
            <w:tcW w:w="699"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139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6431" w:type="dxa"/>
            <w:tcBorders>
              <w:top w:val="nil"/>
              <w:left w:val="nil"/>
              <w:bottom w:val="single" w:color="auto" w:sz="4" w:space="0"/>
              <w:righ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录入体征数据自动在医院现有体温单上生成图表，实现与原体温单无缝集成。</w:t>
            </w:r>
          </w:p>
        </w:tc>
      </w:tr>
      <w:tr>
        <w:tblPrEx>
          <w:tblLayout w:type="fixed"/>
          <w:tblCellMar>
            <w:top w:w="0" w:type="dxa"/>
            <w:left w:w="108" w:type="dxa"/>
            <w:bottom w:w="0" w:type="dxa"/>
            <w:right w:w="108" w:type="dxa"/>
          </w:tblCellMar>
        </w:tblPrEx>
        <w:trPr>
          <w:trHeight w:val="574" w:hRule="atLeast"/>
        </w:trPr>
        <w:tc>
          <w:tcPr>
            <w:tcW w:w="699" w:type="dxa"/>
            <w:vMerge w:val="restart"/>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10</w:t>
            </w:r>
          </w:p>
        </w:tc>
        <w:tc>
          <w:tcPr>
            <w:tcW w:w="1392" w:type="dxa"/>
            <w:vMerge w:val="restart"/>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护理常规项目记录</w:t>
            </w:r>
          </w:p>
        </w:tc>
        <w:tc>
          <w:tcPr>
            <w:tcW w:w="6431" w:type="dxa"/>
            <w:tcBorders>
              <w:top w:val="nil"/>
              <w:left w:val="nil"/>
              <w:bottom w:val="single" w:color="auto" w:sz="4" w:space="0"/>
              <w:righ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实现护理常规项目（如日常护理、病房护理、入院护理、妇科护理等）记录执行情况，如执行时间、执行项目、执行人等信息。</w:t>
            </w:r>
          </w:p>
        </w:tc>
      </w:tr>
      <w:tr>
        <w:tblPrEx>
          <w:tblLayout w:type="fixed"/>
          <w:tblCellMar>
            <w:top w:w="0" w:type="dxa"/>
            <w:left w:w="108" w:type="dxa"/>
            <w:bottom w:w="0" w:type="dxa"/>
            <w:right w:w="108" w:type="dxa"/>
          </w:tblCellMar>
        </w:tblPrEx>
        <w:trPr>
          <w:trHeight w:val="74" w:hRule="atLeast"/>
        </w:trPr>
        <w:tc>
          <w:tcPr>
            <w:tcW w:w="699"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139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6431"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具备护理常规项目知识库。</w:t>
            </w:r>
          </w:p>
        </w:tc>
      </w:tr>
      <w:tr>
        <w:tblPrEx>
          <w:tblLayout w:type="fixed"/>
          <w:tblCellMar>
            <w:top w:w="0" w:type="dxa"/>
            <w:left w:w="108" w:type="dxa"/>
            <w:bottom w:w="0" w:type="dxa"/>
            <w:right w:w="108" w:type="dxa"/>
          </w:tblCellMar>
        </w:tblPrEx>
        <w:trPr>
          <w:trHeight w:val="600"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11</w:t>
            </w:r>
          </w:p>
        </w:tc>
        <w:tc>
          <w:tcPr>
            <w:tcW w:w="139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日常巡视</w:t>
            </w:r>
          </w:p>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管理</w:t>
            </w:r>
          </w:p>
        </w:tc>
        <w:tc>
          <w:tcPr>
            <w:tcW w:w="6431"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根据患者护理级别不同，实现定期护理巡视工作。实现护士在日常巡视工作进行批量患者操作记录，如患者病情等信息的记录及查询功能。</w:t>
            </w:r>
          </w:p>
        </w:tc>
      </w:tr>
      <w:tr>
        <w:tblPrEx>
          <w:tblLayout w:type="fixed"/>
          <w:tblCellMar>
            <w:top w:w="0" w:type="dxa"/>
            <w:left w:w="108" w:type="dxa"/>
            <w:bottom w:w="0" w:type="dxa"/>
            <w:right w:w="108" w:type="dxa"/>
          </w:tblCellMar>
        </w:tblPrEx>
        <w:trPr>
          <w:trHeight w:val="600"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12</w:t>
            </w:r>
          </w:p>
        </w:tc>
        <w:tc>
          <w:tcPr>
            <w:tcW w:w="139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外出管理</w:t>
            </w:r>
          </w:p>
        </w:tc>
        <w:tc>
          <w:tcPr>
            <w:tcW w:w="6431" w:type="dxa"/>
            <w:tcBorders>
              <w:top w:val="nil"/>
              <w:left w:val="nil"/>
              <w:bottom w:val="single" w:color="auto" w:sz="4" w:space="0"/>
              <w:righ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实现对患者的外出、回床情况进行管理，可以记录外出陪同人员、回床时间等内容记录，并支持对患者的外出情况进行查询。</w:t>
            </w:r>
          </w:p>
        </w:tc>
      </w:tr>
      <w:tr>
        <w:tblPrEx>
          <w:tblLayout w:type="fixed"/>
          <w:tblCellMar>
            <w:top w:w="0" w:type="dxa"/>
            <w:left w:w="108" w:type="dxa"/>
            <w:bottom w:w="0" w:type="dxa"/>
            <w:right w:w="108" w:type="dxa"/>
          </w:tblCellMar>
        </w:tblPrEx>
        <w:trPr>
          <w:trHeight w:val="748" w:hRule="atLeast"/>
        </w:trPr>
        <w:tc>
          <w:tcPr>
            <w:tcW w:w="699"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13</w:t>
            </w:r>
          </w:p>
        </w:tc>
        <w:tc>
          <w:tcPr>
            <w:tcW w:w="139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工作提醒</w:t>
            </w:r>
          </w:p>
        </w:tc>
        <w:tc>
          <w:tcPr>
            <w:tcW w:w="6431" w:type="dxa"/>
            <w:tcBorders>
              <w:top w:val="nil"/>
              <w:left w:val="nil"/>
              <w:bottom w:val="single" w:color="auto" w:sz="4" w:space="0"/>
              <w:right w:val="single" w:color="auto" w:sz="4" w:space="0"/>
            </w:tcBorders>
            <w:vAlign w:val="center"/>
          </w:tcPr>
          <w:p>
            <w:p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实现提示护理人员当天未完成的护理工作任务，协助护士管理护理工作。提醒工作遗漏或者医嘱变化为主，同时兼顾危机值提醒。</w:t>
            </w:r>
          </w:p>
        </w:tc>
      </w:tr>
      <w:tr>
        <w:tblPrEx>
          <w:tblLayout w:type="fixed"/>
          <w:tblCellMar>
            <w:top w:w="0" w:type="dxa"/>
            <w:left w:w="108" w:type="dxa"/>
            <w:bottom w:w="0" w:type="dxa"/>
            <w:right w:w="108" w:type="dxa"/>
          </w:tblCellMar>
        </w:tblPrEx>
        <w:trPr>
          <w:trHeight w:val="748" w:hRule="atLeast"/>
        </w:trPr>
        <w:tc>
          <w:tcPr>
            <w:tcW w:w="699"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14</w:t>
            </w:r>
          </w:p>
        </w:tc>
        <w:tc>
          <w:tcPr>
            <w:tcW w:w="139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加药核对</w:t>
            </w:r>
          </w:p>
        </w:tc>
        <w:tc>
          <w:tcPr>
            <w:tcW w:w="6431" w:type="dxa"/>
            <w:tcBorders>
              <w:top w:val="nil"/>
              <w:left w:val="nil"/>
              <w:bottom w:val="single" w:color="auto" w:sz="4" w:space="0"/>
              <w:right w:val="single" w:color="auto" w:sz="4" w:space="0"/>
            </w:tcBorders>
            <w:vAlign w:val="center"/>
          </w:tcPr>
          <w:p>
            <w:p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实现病区护士对于日常的加药、摆药进行管理，可以记录摆药和加药的护士信息和执行时间，方便统计护士的工作量，完善医嘱的闭环管理。</w:t>
            </w:r>
          </w:p>
        </w:tc>
      </w:tr>
      <w:tr>
        <w:tblPrEx>
          <w:tblLayout w:type="fixed"/>
          <w:tblCellMar>
            <w:top w:w="0" w:type="dxa"/>
            <w:left w:w="108" w:type="dxa"/>
            <w:bottom w:w="0" w:type="dxa"/>
            <w:right w:w="108" w:type="dxa"/>
          </w:tblCellMar>
        </w:tblPrEx>
        <w:trPr>
          <w:trHeight w:val="748" w:hRule="atLeast"/>
        </w:trPr>
        <w:tc>
          <w:tcPr>
            <w:tcW w:w="699"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15</w:t>
            </w:r>
          </w:p>
        </w:tc>
        <w:tc>
          <w:tcPr>
            <w:tcW w:w="139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离线保存</w:t>
            </w:r>
          </w:p>
        </w:tc>
        <w:tc>
          <w:tcPr>
            <w:tcW w:w="6431" w:type="dxa"/>
            <w:tcBorders>
              <w:top w:val="nil"/>
              <w:left w:val="nil"/>
              <w:bottom w:val="single" w:color="auto" w:sz="4" w:space="0"/>
              <w:right w:val="single" w:color="auto" w:sz="4" w:space="0"/>
            </w:tcBorders>
            <w:vAlign w:val="center"/>
          </w:tcPr>
          <w:p>
            <w:p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实现在网络环境不良的情况下，进行护理文书信息的的离线填写记录，并上传到服务器，降低了对于网络依赖，减少了护士重复操作的工作量。</w:t>
            </w:r>
          </w:p>
        </w:tc>
      </w:tr>
      <w:tr>
        <w:tblPrEx>
          <w:tblLayout w:type="fixed"/>
          <w:tblCellMar>
            <w:top w:w="0" w:type="dxa"/>
            <w:left w:w="108" w:type="dxa"/>
            <w:bottom w:w="0" w:type="dxa"/>
            <w:right w:w="108" w:type="dxa"/>
          </w:tblCellMar>
        </w:tblPrEx>
        <w:trPr>
          <w:trHeight w:val="748" w:hRule="atLeast"/>
        </w:trPr>
        <w:tc>
          <w:tcPr>
            <w:tcW w:w="699"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16</w:t>
            </w:r>
          </w:p>
        </w:tc>
        <w:tc>
          <w:tcPr>
            <w:tcW w:w="139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数据共享</w:t>
            </w:r>
          </w:p>
        </w:tc>
        <w:tc>
          <w:tcPr>
            <w:tcW w:w="6431" w:type="dxa"/>
            <w:tcBorders>
              <w:top w:val="nil"/>
              <w:left w:val="nil"/>
              <w:bottom w:val="single" w:color="auto" w:sz="4" w:space="0"/>
              <w:right w:val="single" w:color="auto" w:sz="4" w:space="0"/>
            </w:tcBorders>
            <w:vAlign w:val="center"/>
          </w:tcPr>
          <w:p>
            <w:p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实现各个文书之前数据的引用，保证文书之间的数据正确，减少护士的重复入录的工作量。</w:t>
            </w:r>
          </w:p>
        </w:tc>
      </w:tr>
      <w:tr>
        <w:tblPrEx>
          <w:tblLayout w:type="fixed"/>
          <w:tblCellMar>
            <w:top w:w="0" w:type="dxa"/>
            <w:left w:w="108" w:type="dxa"/>
            <w:bottom w:w="0" w:type="dxa"/>
            <w:right w:w="108" w:type="dxa"/>
          </w:tblCellMar>
        </w:tblPrEx>
        <w:trPr>
          <w:trHeight w:val="799" w:hRule="atLeast"/>
        </w:trPr>
        <w:tc>
          <w:tcPr>
            <w:tcW w:w="69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17</w:t>
            </w:r>
          </w:p>
        </w:tc>
        <w:tc>
          <w:tcPr>
            <w:tcW w:w="13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统计及报表分析</w:t>
            </w:r>
          </w:p>
        </w:tc>
        <w:tc>
          <w:tcPr>
            <w:tcW w:w="6431"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能根据执行患者的数量来判断护士的工作量，通过病人和药物的匹配率来分析和记录医疗差错，实际护士扫描次数与数据库中核定数量药物的标准扫描次数进行比对来考核护士的工作能力和工作质量等。</w:t>
            </w:r>
          </w:p>
        </w:tc>
      </w:tr>
      <w:tr>
        <w:tblPrEx>
          <w:tblLayout w:type="fixed"/>
          <w:tblCellMar>
            <w:top w:w="0" w:type="dxa"/>
            <w:left w:w="108" w:type="dxa"/>
            <w:bottom w:w="0" w:type="dxa"/>
            <w:right w:w="108" w:type="dxa"/>
          </w:tblCellMar>
        </w:tblPrEx>
        <w:trPr>
          <w:trHeight w:val="938" w:hRule="atLeast"/>
        </w:trPr>
        <w:tc>
          <w:tcPr>
            <w:tcW w:w="6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13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6431"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根据设定的条件查询相应病人的输液执行信息，包括执行状态、执行时间、执行人，并且可查询每天输液单的输液巡视记录和暂停记录信息。</w:t>
            </w:r>
          </w:p>
        </w:tc>
      </w:tr>
      <w:tr>
        <w:tblPrEx>
          <w:tblLayout w:type="fixed"/>
          <w:tblCellMar>
            <w:top w:w="0" w:type="dxa"/>
            <w:left w:w="108" w:type="dxa"/>
            <w:bottom w:w="0" w:type="dxa"/>
            <w:right w:w="108" w:type="dxa"/>
          </w:tblCellMar>
        </w:tblPrEx>
        <w:trPr>
          <w:trHeight w:val="937" w:hRule="atLeast"/>
        </w:trPr>
        <w:tc>
          <w:tcPr>
            <w:tcW w:w="6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13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6431"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实现医嘱闭环数据查询。根据设定的条件，以护士或病区为对象统计相应医嘱的实际执行时间与计划时间之间的误差。</w:t>
            </w:r>
          </w:p>
        </w:tc>
      </w:tr>
      <w:tr>
        <w:tblPrEx>
          <w:tblLayout w:type="fixed"/>
          <w:tblCellMar>
            <w:top w:w="0" w:type="dxa"/>
            <w:left w:w="108" w:type="dxa"/>
            <w:bottom w:w="0" w:type="dxa"/>
            <w:right w:w="108" w:type="dxa"/>
          </w:tblCellMar>
        </w:tblPrEx>
        <w:trPr>
          <w:trHeight w:val="799" w:hRule="atLeast"/>
        </w:trPr>
        <w:tc>
          <w:tcPr>
            <w:tcW w:w="6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13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6431"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可以根据不同的需求定制数据的分析、查询、对比方式(比如可按操作人、日期、月、年等方式进行统计)，统计表可生成图、表等模式，拥有强大的文件打印预览及打印功能,支持报告格式的个性化，灵活性调整。</w:t>
            </w:r>
          </w:p>
        </w:tc>
      </w:tr>
      <w:tr>
        <w:tblPrEx>
          <w:tblLayout w:type="fixed"/>
          <w:tblCellMar>
            <w:top w:w="0" w:type="dxa"/>
            <w:left w:w="108" w:type="dxa"/>
            <w:bottom w:w="0" w:type="dxa"/>
            <w:right w:w="108" w:type="dxa"/>
          </w:tblCellMar>
        </w:tblPrEx>
        <w:trPr>
          <w:trHeight w:val="402" w:hRule="atLeast"/>
        </w:trPr>
        <w:tc>
          <w:tcPr>
            <w:tcW w:w="6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13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6431"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能对各类统计模板根据临床的需要，方便地新增，编辑，删除。</w:t>
            </w:r>
          </w:p>
        </w:tc>
      </w:tr>
      <w:tr>
        <w:tblPrEx>
          <w:tblLayout w:type="fixed"/>
          <w:tblCellMar>
            <w:top w:w="0" w:type="dxa"/>
            <w:left w:w="108" w:type="dxa"/>
            <w:bottom w:w="0" w:type="dxa"/>
            <w:right w:w="108" w:type="dxa"/>
          </w:tblCellMar>
        </w:tblPrEx>
        <w:trPr>
          <w:trHeight w:val="600" w:hRule="atLeast"/>
        </w:trPr>
        <w:tc>
          <w:tcPr>
            <w:tcW w:w="6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13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6431"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对于能从临床处获取的基础数据均应能进行方便、准确的对比分析，并根据临床要求形成报表。</w:t>
            </w:r>
          </w:p>
        </w:tc>
      </w:tr>
      <w:tr>
        <w:tblPrEx>
          <w:tblLayout w:type="fixed"/>
          <w:tblCellMar>
            <w:top w:w="0" w:type="dxa"/>
            <w:left w:w="108" w:type="dxa"/>
            <w:bottom w:w="0" w:type="dxa"/>
            <w:right w:w="108" w:type="dxa"/>
          </w:tblCellMar>
        </w:tblPrEx>
        <w:trPr>
          <w:trHeight w:val="600" w:hRule="atLeast"/>
        </w:trPr>
        <w:tc>
          <w:tcPr>
            <w:tcW w:w="6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13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p>
        </w:tc>
        <w:tc>
          <w:tcPr>
            <w:tcW w:w="6431"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对于能从临床处获取的基础数据均应能进行方便、准确的对比分析，并根据临床要求形成报表。</w:t>
            </w:r>
          </w:p>
        </w:tc>
      </w:tr>
    </w:tbl>
    <w:p>
      <w:pPr>
        <w:pStyle w:val="6"/>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5.1.27临床路径系统</w:t>
      </w:r>
    </w:p>
    <w:p>
      <w:pPr>
        <w:spacing w:line="360" w:lineRule="auto"/>
        <w:ind w:firstLine="420"/>
        <w:rPr>
          <w:rFonts w:ascii="宋体" w:hAnsi="宋体" w:cs="Arial"/>
          <w:color w:val="000000" w:themeColor="text1"/>
          <w:sz w:val="24"/>
          <w:highlight w:val="none"/>
          <w14:textFill>
            <w14:solidFill>
              <w14:schemeClr w14:val="tx1"/>
            </w14:solidFill>
          </w14:textFill>
        </w:rPr>
      </w:pPr>
      <w:r>
        <w:rPr>
          <w:rFonts w:ascii="宋体" w:hAnsi="宋体" w:cs="Arial"/>
          <w:color w:val="000000" w:themeColor="text1"/>
          <w:sz w:val="24"/>
          <w:highlight w:val="none"/>
          <w14:textFill>
            <w14:solidFill>
              <w14:schemeClr w14:val="tx1"/>
            </w14:solidFill>
          </w14:textFill>
        </w:rPr>
        <w:t>临床路径系统应具有专家配置，临床执行，统计分析等模块，紧密结合</w:t>
      </w:r>
      <w:r>
        <w:rPr>
          <w:rFonts w:hint="eastAsia" w:ascii="宋体" w:hAnsi="宋体" w:cs="Arial"/>
          <w:color w:val="000000" w:themeColor="text1"/>
          <w:sz w:val="24"/>
          <w:highlight w:val="none"/>
          <w14:textFill>
            <w14:solidFill>
              <w14:schemeClr w14:val="tx1"/>
            </w14:solidFill>
          </w14:textFill>
        </w:rPr>
        <w:t>EMR、H</w:t>
      </w:r>
      <w:r>
        <w:rPr>
          <w:rFonts w:ascii="宋体" w:hAnsi="宋体" w:cs="Arial"/>
          <w:color w:val="000000" w:themeColor="text1"/>
          <w:sz w:val="24"/>
          <w:highlight w:val="none"/>
          <w14:textFill>
            <w14:solidFill>
              <w14:schemeClr w14:val="tx1"/>
            </w14:solidFill>
          </w14:textFill>
        </w:rPr>
        <w:t>IS</w:t>
      </w:r>
      <w:r>
        <w:rPr>
          <w:rFonts w:hint="eastAsia" w:ascii="宋体" w:hAnsi="宋体" w:cs="Arial"/>
          <w:color w:val="000000" w:themeColor="text1"/>
          <w:sz w:val="24"/>
          <w:highlight w:val="none"/>
          <w14:textFill>
            <w14:solidFill>
              <w14:schemeClr w14:val="tx1"/>
            </w14:solidFill>
          </w14:textFill>
        </w:rPr>
        <w:t>、L</w:t>
      </w:r>
      <w:r>
        <w:rPr>
          <w:rFonts w:ascii="宋体" w:hAnsi="宋体" w:cs="Arial"/>
          <w:color w:val="000000" w:themeColor="text1"/>
          <w:sz w:val="24"/>
          <w:highlight w:val="none"/>
          <w14:textFill>
            <w14:solidFill>
              <w14:schemeClr w14:val="tx1"/>
            </w14:solidFill>
          </w14:textFill>
        </w:rPr>
        <w:t>IS等其它信息系统。提供增加和修改临床路径的工具，具有统计分析功能，不断提升临床路径的合理性。</w:t>
      </w:r>
    </w:p>
    <w:p>
      <w:pPr>
        <w:pStyle w:val="12"/>
        <w:spacing w:line="360" w:lineRule="auto"/>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专家配置管理</w:t>
      </w:r>
    </w:p>
    <w:p>
      <w:pPr>
        <w:pStyle w:val="12"/>
        <w:spacing w:line="360" w:lineRule="auto"/>
        <w:ind w:firstLine="480" w:firstLineChars="200"/>
        <w:rPr>
          <w:rFonts w:cs="Arial"/>
          <w:color w:val="000000" w:themeColor="text1"/>
          <w:sz w:val="24"/>
          <w:highlight w:val="none"/>
          <w14:textFill>
            <w14:solidFill>
              <w14:schemeClr w14:val="tx1"/>
            </w14:solidFill>
          </w14:textFill>
        </w:rPr>
      </w:pPr>
      <w:r>
        <w:rPr>
          <w:rFonts w:hint="eastAsia" w:cs="Arial"/>
          <w:color w:val="000000" w:themeColor="text1"/>
          <w:sz w:val="24"/>
          <w:highlight w:val="none"/>
          <w14:textFill>
            <w14:solidFill>
              <w14:schemeClr w14:val="tx1"/>
            </w14:solidFill>
          </w14:textFill>
        </w:rPr>
        <w:t>提供专家配置临床路径功能，可遴选受控病种并关联疾病、手术、医嘱项目，定义临床路径包括时点定义、活动维护、评估指标意义、变异原因定义、</w:t>
      </w:r>
      <w:r>
        <w:rPr>
          <w:rFonts w:cs="Arial"/>
          <w:color w:val="000000" w:themeColor="text1"/>
          <w:sz w:val="24"/>
          <w:highlight w:val="none"/>
          <w14:textFill>
            <w14:solidFill>
              <w14:schemeClr w14:val="tx1"/>
            </w14:solidFill>
          </w14:textFill>
        </w:rPr>
        <w:t>费用的上下限、对应的病历、医嘱的对照</w:t>
      </w:r>
      <w:r>
        <w:rPr>
          <w:rFonts w:hint="eastAsia" w:cs="Arial"/>
          <w:color w:val="000000" w:themeColor="text1"/>
          <w:sz w:val="24"/>
          <w:highlight w:val="none"/>
          <w14:textFill>
            <w14:solidFill>
              <w14:schemeClr w14:val="tx1"/>
            </w14:solidFill>
          </w14:textFill>
        </w:rPr>
        <w:t>等。允许</w:t>
      </w:r>
      <w:r>
        <w:rPr>
          <w:rFonts w:cs="Arial"/>
          <w:color w:val="000000" w:themeColor="text1"/>
          <w:sz w:val="24"/>
          <w:highlight w:val="none"/>
          <w14:textFill>
            <w14:solidFill>
              <w14:schemeClr w14:val="tx1"/>
            </w14:solidFill>
          </w14:textFill>
        </w:rPr>
        <w:t>复制临床路径，并可导出上报。</w:t>
      </w:r>
    </w:p>
    <w:p>
      <w:pPr>
        <w:pStyle w:val="12"/>
        <w:spacing w:line="360" w:lineRule="auto"/>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临床路径执行</w:t>
      </w:r>
    </w:p>
    <w:p>
      <w:pPr>
        <w:pStyle w:val="12"/>
        <w:spacing w:line="360" w:lineRule="auto"/>
        <w:ind w:firstLine="480" w:firstLineChars="200"/>
        <w:rPr>
          <w:rFonts w:cs="Arial"/>
          <w:color w:val="000000" w:themeColor="text1"/>
          <w:sz w:val="24"/>
          <w:highlight w:val="none"/>
          <w14:textFill>
            <w14:solidFill>
              <w14:schemeClr w14:val="tx1"/>
            </w14:solidFill>
          </w14:textFill>
        </w:rPr>
      </w:pPr>
      <w:r>
        <w:rPr>
          <w:rFonts w:hint="eastAsia" w:cs="Arial"/>
          <w:color w:val="000000" w:themeColor="text1"/>
          <w:sz w:val="24"/>
          <w:highlight w:val="none"/>
          <w14:textFill>
            <w14:solidFill>
              <w14:schemeClr w14:val="tx1"/>
            </w14:solidFill>
          </w14:textFill>
        </w:rPr>
        <w:t>提供临床医生执行临床路径功能，包括路径自动、手动导入，路径项目提醒执行，路径变异监控，退径/出径处理，路径自动更新，路径手术选择，</w:t>
      </w:r>
      <w:r>
        <w:rPr>
          <w:rFonts w:cs="Arial"/>
          <w:color w:val="000000" w:themeColor="text1"/>
          <w:sz w:val="24"/>
          <w:highlight w:val="none"/>
          <w14:textFill>
            <w14:solidFill>
              <w14:schemeClr w14:val="tx1"/>
            </w14:solidFill>
          </w14:textFill>
        </w:rPr>
        <w:t>路径出径日期调整</w:t>
      </w:r>
      <w:r>
        <w:rPr>
          <w:rFonts w:hint="eastAsia" w:cs="Arial"/>
          <w:color w:val="000000" w:themeColor="text1"/>
          <w:sz w:val="24"/>
          <w:highlight w:val="none"/>
          <w14:textFill>
            <w14:solidFill>
              <w14:schemeClr w14:val="tx1"/>
            </w14:solidFill>
          </w14:textFill>
        </w:rPr>
        <w:t>，分支</w:t>
      </w:r>
      <w:r>
        <w:rPr>
          <w:rFonts w:cs="Arial"/>
          <w:color w:val="000000" w:themeColor="text1"/>
          <w:sz w:val="24"/>
          <w:highlight w:val="none"/>
          <w14:textFill>
            <w14:solidFill>
              <w14:schemeClr w14:val="tx1"/>
            </w14:solidFill>
          </w14:textFill>
        </w:rPr>
        <w:t>路径，串行路径</w:t>
      </w:r>
      <w:r>
        <w:rPr>
          <w:rFonts w:hint="eastAsia" w:cs="Arial"/>
          <w:color w:val="000000" w:themeColor="text1"/>
          <w:sz w:val="24"/>
          <w:highlight w:val="none"/>
          <w14:textFill>
            <w14:solidFill>
              <w14:schemeClr w14:val="tx1"/>
            </w14:solidFill>
          </w14:textFill>
        </w:rPr>
        <w:t>等。</w:t>
      </w:r>
    </w:p>
    <w:p>
      <w:pPr>
        <w:pStyle w:val="12"/>
        <w:spacing w:line="360" w:lineRule="auto"/>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统计查询</w:t>
      </w:r>
    </w:p>
    <w:p>
      <w:pPr>
        <w:pStyle w:val="12"/>
        <w:spacing w:line="360" w:lineRule="auto"/>
        <w:ind w:firstLine="480" w:firstLineChars="200"/>
        <w:rPr>
          <w:rFonts w:cs="Arial"/>
          <w:color w:val="000000" w:themeColor="text1"/>
          <w:sz w:val="24"/>
          <w:highlight w:val="none"/>
          <w14:textFill>
            <w14:solidFill>
              <w14:schemeClr w14:val="tx1"/>
            </w14:solidFill>
          </w14:textFill>
        </w:rPr>
      </w:pPr>
      <w:r>
        <w:rPr>
          <w:rFonts w:hint="eastAsia" w:cs="Arial"/>
          <w:color w:val="000000" w:themeColor="text1"/>
          <w:sz w:val="24"/>
          <w:highlight w:val="none"/>
          <w14:textFill>
            <w14:solidFill>
              <w14:schemeClr w14:val="tx1"/>
            </w14:solidFill>
          </w14:textFill>
        </w:rPr>
        <w:t>提供临床路径报表，包括路径</w:t>
      </w:r>
      <w:r>
        <w:rPr>
          <w:rFonts w:cs="Arial"/>
          <w:color w:val="000000" w:themeColor="text1"/>
          <w:sz w:val="24"/>
          <w:highlight w:val="none"/>
          <w14:textFill>
            <w14:solidFill>
              <w14:schemeClr w14:val="tx1"/>
            </w14:solidFill>
          </w14:textFill>
        </w:rPr>
        <w:t>病人查询管理、</w:t>
      </w:r>
      <w:r>
        <w:rPr>
          <w:rFonts w:hint="eastAsia" w:cs="Arial"/>
          <w:color w:val="000000" w:themeColor="text1"/>
          <w:sz w:val="24"/>
          <w:highlight w:val="none"/>
          <w14:textFill>
            <w14:solidFill>
              <w14:schemeClr w14:val="tx1"/>
            </w14:solidFill>
          </w14:textFill>
        </w:rPr>
        <w:t>单病种相关非特异性指标评估表、临床路径实施汇总表、临床路径变异统计表等。</w:t>
      </w:r>
    </w:p>
    <w:p>
      <w:pPr>
        <w:pStyle w:val="12"/>
        <w:spacing w:line="360" w:lineRule="auto"/>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临床路径分析改进</w:t>
      </w:r>
    </w:p>
    <w:p>
      <w:pPr>
        <w:pStyle w:val="12"/>
        <w:spacing w:line="360" w:lineRule="auto"/>
        <w:ind w:firstLine="480" w:firstLineChars="200"/>
        <w:rPr>
          <w:rFonts w:cs="Arial"/>
          <w:color w:val="000000" w:themeColor="text1"/>
          <w:sz w:val="24"/>
          <w:highlight w:val="none"/>
          <w14:textFill>
            <w14:solidFill>
              <w14:schemeClr w14:val="tx1"/>
            </w14:solidFill>
          </w14:textFill>
        </w:rPr>
      </w:pPr>
      <w:r>
        <w:rPr>
          <w:rFonts w:hint="eastAsia" w:cs="Arial"/>
          <w:color w:val="000000" w:themeColor="text1"/>
          <w:sz w:val="24"/>
          <w:highlight w:val="none"/>
          <w14:textFill>
            <w14:solidFill>
              <w14:schemeClr w14:val="tx1"/>
            </w14:solidFill>
          </w14:textFill>
        </w:rPr>
        <w:t>提供分析工具，统计</w:t>
      </w:r>
      <w:r>
        <w:rPr>
          <w:rFonts w:cs="Arial"/>
          <w:color w:val="000000" w:themeColor="text1"/>
          <w:sz w:val="24"/>
          <w:highlight w:val="none"/>
          <w14:textFill>
            <w14:solidFill>
              <w14:schemeClr w14:val="tx1"/>
            </w14:solidFill>
          </w14:textFill>
        </w:rPr>
        <w:t>分析路径执行情况，变异情况，</w:t>
      </w:r>
      <w:r>
        <w:rPr>
          <w:rFonts w:hint="eastAsia" w:cs="Arial"/>
          <w:color w:val="000000" w:themeColor="text1"/>
          <w:sz w:val="24"/>
          <w:highlight w:val="none"/>
          <w14:textFill>
            <w14:solidFill>
              <w14:schemeClr w14:val="tx1"/>
            </w14:solidFill>
          </w14:textFill>
        </w:rPr>
        <w:t>可辅助医院不断改进临床路径。</w:t>
      </w:r>
    </w:p>
    <w:p>
      <w:pPr>
        <w:pStyle w:val="12"/>
        <w:spacing w:line="360" w:lineRule="auto"/>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临床路径系统扩展</w:t>
      </w:r>
    </w:p>
    <w:p>
      <w:pPr>
        <w:pStyle w:val="12"/>
        <w:spacing w:line="360" w:lineRule="auto"/>
        <w:ind w:firstLine="480" w:firstLineChars="200"/>
        <w:rPr>
          <w:rFonts w:cs="Arial"/>
          <w:color w:val="000000" w:themeColor="text1"/>
          <w:sz w:val="24"/>
          <w:highlight w:val="none"/>
          <w14:textFill>
            <w14:solidFill>
              <w14:schemeClr w14:val="tx1"/>
            </w14:solidFill>
          </w14:textFill>
        </w:rPr>
      </w:pPr>
      <w:r>
        <w:rPr>
          <w:rFonts w:cs="Arial"/>
          <w:color w:val="000000" w:themeColor="text1"/>
          <w:sz w:val="24"/>
          <w:highlight w:val="none"/>
          <w14:textFill>
            <w14:solidFill>
              <w14:schemeClr w14:val="tx1"/>
            </w14:solidFill>
          </w14:textFill>
        </w:rPr>
        <w:t>系统应支持临床路径的不断拓展，支持新增更多病种。</w:t>
      </w:r>
    </w:p>
    <w:p>
      <w:pPr>
        <w:pStyle w:val="12"/>
        <w:spacing w:line="360" w:lineRule="auto"/>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临床路径与</w:t>
      </w:r>
      <w:r>
        <w:rPr>
          <w:rFonts w:hint="eastAsia"/>
          <w:b/>
          <w:color w:val="000000" w:themeColor="text1"/>
          <w:sz w:val="24"/>
          <w:highlight w:val="none"/>
          <w14:textFill>
            <w14:solidFill>
              <w14:schemeClr w14:val="tx1"/>
            </w14:solidFill>
          </w14:textFill>
        </w:rPr>
        <w:t>R</w:t>
      </w:r>
      <w:r>
        <w:rPr>
          <w:b/>
          <w:color w:val="000000" w:themeColor="text1"/>
          <w:sz w:val="24"/>
          <w:highlight w:val="none"/>
          <w14:textFill>
            <w14:solidFill>
              <w14:schemeClr w14:val="tx1"/>
            </w14:solidFill>
          </w14:textFill>
        </w:rPr>
        <w:t>IS接口</w:t>
      </w:r>
    </w:p>
    <w:p>
      <w:pPr>
        <w:pStyle w:val="12"/>
        <w:spacing w:line="360" w:lineRule="auto"/>
        <w:ind w:firstLine="480" w:firstLineChars="200"/>
        <w:rPr>
          <w:rFonts w:cs="Arial"/>
          <w:color w:val="000000" w:themeColor="text1"/>
          <w:sz w:val="24"/>
          <w:highlight w:val="none"/>
          <w14:textFill>
            <w14:solidFill>
              <w14:schemeClr w14:val="tx1"/>
            </w14:solidFill>
          </w14:textFill>
        </w:rPr>
      </w:pPr>
      <w:r>
        <w:rPr>
          <w:rFonts w:cs="Arial"/>
          <w:color w:val="000000" w:themeColor="text1"/>
          <w:sz w:val="24"/>
          <w:highlight w:val="none"/>
          <w14:textFill>
            <w14:solidFill>
              <w14:schemeClr w14:val="tx1"/>
            </w14:solidFill>
          </w14:textFill>
        </w:rPr>
        <w:t>系统提供</w:t>
      </w:r>
      <w:r>
        <w:rPr>
          <w:rFonts w:hint="eastAsia" w:cs="Arial"/>
          <w:color w:val="000000" w:themeColor="text1"/>
          <w:sz w:val="24"/>
          <w:highlight w:val="none"/>
          <w14:textFill>
            <w14:solidFill>
              <w14:schemeClr w14:val="tx1"/>
            </w14:solidFill>
          </w14:textFill>
        </w:rPr>
        <w:t>R</w:t>
      </w:r>
      <w:r>
        <w:rPr>
          <w:rFonts w:cs="Arial"/>
          <w:color w:val="000000" w:themeColor="text1"/>
          <w:sz w:val="24"/>
          <w:highlight w:val="none"/>
          <w14:textFill>
            <w14:solidFill>
              <w14:schemeClr w14:val="tx1"/>
            </w14:solidFill>
          </w14:textFill>
        </w:rPr>
        <w:t>IS接口，实现相关项目的直接下达</w:t>
      </w:r>
    </w:p>
    <w:p>
      <w:pPr>
        <w:pStyle w:val="12"/>
        <w:spacing w:line="360" w:lineRule="auto"/>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临床路径与</w:t>
      </w:r>
      <w:r>
        <w:rPr>
          <w:rFonts w:hint="eastAsia"/>
          <w:b/>
          <w:color w:val="000000" w:themeColor="text1"/>
          <w:sz w:val="24"/>
          <w:highlight w:val="none"/>
          <w14:textFill>
            <w14:solidFill>
              <w14:schemeClr w14:val="tx1"/>
            </w14:solidFill>
          </w14:textFill>
        </w:rPr>
        <w:t>L</w:t>
      </w:r>
      <w:r>
        <w:rPr>
          <w:b/>
          <w:color w:val="000000" w:themeColor="text1"/>
          <w:sz w:val="24"/>
          <w:highlight w:val="none"/>
          <w14:textFill>
            <w14:solidFill>
              <w14:schemeClr w14:val="tx1"/>
            </w14:solidFill>
          </w14:textFill>
        </w:rPr>
        <w:t>IS接口</w:t>
      </w:r>
    </w:p>
    <w:p>
      <w:pPr>
        <w:pStyle w:val="12"/>
        <w:spacing w:line="360" w:lineRule="auto"/>
        <w:ind w:firstLine="480" w:firstLineChars="200"/>
        <w:rPr>
          <w:rFonts w:cs="Arial"/>
          <w:color w:val="000000" w:themeColor="text1"/>
          <w:sz w:val="24"/>
          <w:highlight w:val="none"/>
          <w14:textFill>
            <w14:solidFill>
              <w14:schemeClr w14:val="tx1"/>
            </w14:solidFill>
          </w14:textFill>
        </w:rPr>
      </w:pPr>
      <w:r>
        <w:rPr>
          <w:rFonts w:cs="Arial"/>
          <w:color w:val="000000" w:themeColor="text1"/>
          <w:sz w:val="24"/>
          <w:highlight w:val="none"/>
          <w14:textFill>
            <w14:solidFill>
              <w14:schemeClr w14:val="tx1"/>
            </w14:solidFill>
          </w14:textFill>
        </w:rPr>
        <w:t>系统提供LIS</w:t>
      </w:r>
      <w:r>
        <w:rPr>
          <w:rFonts w:hint="eastAsia" w:cs="Arial"/>
          <w:color w:val="000000" w:themeColor="text1"/>
          <w:sz w:val="24"/>
          <w:highlight w:val="none"/>
          <w14:textFill>
            <w14:solidFill>
              <w14:schemeClr w14:val="tx1"/>
            </w14:solidFill>
          </w14:textFill>
        </w:rPr>
        <w:t>接口</w:t>
      </w:r>
      <w:r>
        <w:rPr>
          <w:rFonts w:cs="Arial"/>
          <w:color w:val="000000" w:themeColor="text1"/>
          <w:sz w:val="24"/>
          <w:highlight w:val="none"/>
          <w14:textFill>
            <w14:solidFill>
              <w14:schemeClr w14:val="tx1"/>
            </w14:solidFill>
          </w14:textFill>
        </w:rPr>
        <w:t>，实现相关项目的直接下达</w:t>
      </w:r>
    </w:p>
    <w:p>
      <w:pPr>
        <w:pStyle w:val="12"/>
        <w:spacing w:line="360" w:lineRule="auto"/>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临床路径标准接口</w:t>
      </w:r>
    </w:p>
    <w:p>
      <w:pPr>
        <w:pStyle w:val="12"/>
        <w:spacing w:line="360" w:lineRule="auto"/>
        <w:ind w:firstLine="480" w:firstLineChars="200"/>
        <w:rPr>
          <w:rFonts w:cs="Arial"/>
          <w:color w:val="000000" w:themeColor="text1"/>
          <w:sz w:val="24"/>
          <w:highlight w:val="none"/>
          <w14:textFill>
            <w14:solidFill>
              <w14:schemeClr w14:val="tx1"/>
            </w14:solidFill>
          </w14:textFill>
        </w:rPr>
      </w:pPr>
      <w:r>
        <w:rPr>
          <w:rFonts w:hint="eastAsia" w:cs="Arial"/>
          <w:color w:val="000000" w:themeColor="text1"/>
          <w:sz w:val="24"/>
          <w:highlight w:val="none"/>
          <w14:textFill>
            <w14:solidFill>
              <w14:schemeClr w14:val="tx1"/>
            </w14:solidFill>
          </w14:textFill>
        </w:rPr>
        <w:t>提供临床路径标准接口，供第3方HIS、EMR接入。</w:t>
      </w:r>
    </w:p>
    <w:p>
      <w:pPr>
        <w:pStyle w:val="12"/>
        <w:spacing w:line="360" w:lineRule="auto"/>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5.1.27闭环管理</w:t>
      </w:r>
    </w:p>
    <w:p>
      <w:pPr>
        <w:pStyle w:val="12"/>
        <w:spacing w:line="360" w:lineRule="auto"/>
        <w:ind w:firstLine="482" w:firstLineChars="200"/>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根据</w:t>
      </w:r>
      <w:r>
        <w:rPr>
          <w:rFonts w:hint="eastAsia"/>
          <w:b/>
          <w:color w:val="000000" w:themeColor="text1"/>
          <w:sz w:val="24"/>
          <w:highlight w:val="none"/>
          <w14:textFill>
            <w14:solidFill>
              <w14:schemeClr w14:val="tx1"/>
            </w14:solidFill>
          </w14:textFill>
        </w:rPr>
        <w:t>相关</w:t>
      </w:r>
      <w:r>
        <w:rPr>
          <w:b/>
          <w:color w:val="000000" w:themeColor="text1"/>
          <w:sz w:val="24"/>
          <w:highlight w:val="none"/>
          <w14:textFill>
            <w14:solidFill>
              <w14:schemeClr w14:val="tx1"/>
            </w14:solidFill>
          </w14:textFill>
        </w:rPr>
        <w:t>要求打造医院的闭环管理建设，</w:t>
      </w:r>
      <w:r>
        <w:rPr>
          <w:rFonts w:hint="eastAsia"/>
          <w:b/>
          <w:color w:val="000000" w:themeColor="text1"/>
          <w:sz w:val="24"/>
          <w:highlight w:val="none"/>
          <w14:textFill>
            <w14:solidFill>
              <w14:schemeClr w14:val="tx1"/>
            </w14:solidFill>
          </w14:textFill>
        </w:rPr>
        <w:t>医院可根据实际情况进行相应的闭环管理建设，</w:t>
      </w:r>
      <w:r>
        <w:rPr>
          <w:b/>
          <w:color w:val="000000" w:themeColor="text1"/>
          <w:sz w:val="24"/>
          <w:highlight w:val="none"/>
          <w14:textFill>
            <w14:solidFill>
              <w14:schemeClr w14:val="tx1"/>
            </w14:solidFill>
          </w14:textFill>
        </w:rPr>
        <w:t>包括但不限于药品闭环管理、用血闭环管理、母乳闭环管理、临床诊疗闭环管理、医嘱过程闭环管理、手术闭环管理、危急值管控闭环管理、移动护理闭环管理、医疗质量追踪闭环管理、高值耗材追踪闭环管理等</w:t>
      </w:r>
      <w:r>
        <w:rPr>
          <w:rFonts w:hint="eastAsia"/>
          <w:b/>
          <w:color w:val="000000" w:themeColor="text1"/>
          <w:sz w:val="24"/>
          <w:highlight w:val="none"/>
          <w14:textFill>
            <w14:solidFill>
              <w14:schemeClr w14:val="tx1"/>
            </w14:solidFill>
          </w14:textFill>
        </w:rPr>
        <w:t>。</w:t>
      </w:r>
    </w:p>
    <w:p>
      <w:pPr>
        <w:pStyle w:val="12"/>
        <w:spacing w:line="360" w:lineRule="auto"/>
        <w:rPr>
          <w:rFonts w:cs="Arial"/>
          <w:color w:val="000000" w:themeColor="text1"/>
          <w:sz w:val="24"/>
          <w:highlight w:val="none"/>
          <w14:textFill>
            <w14:solidFill>
              <w14:schemeClr w14:val="tx1"/>
            </w14:solidFill>
          </w14:textFill>
        </w:rPr>
      </w:pPr>
    </w:p>
    <w:p>
      <w:pPr>
        <w:pStyle w:val="12"/>
        <w:spacing w:line="360" w:lineRule="auto"/>
        <w:rPr>
          <w:rFonts w:hAnsi="宋体" w:cs="宋体"/>
          <w:color w:val="000000" w:themeColor="text1"/>
          <w:highlight w:val="none"/>
          <w14:textFill>
            <w14:solidFill>
              <w14:schemeClr w14:val="tx1"/>
            </w14:solidFill>
          </w14:textFill>
        </w:rPr>
      </w:pPr>
    </w:p>
    <w:p>
      <w:pPr>
        <w:pStyle w:val="5"/>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5.2医院（健共体集团）信息基础平台</w:t>
      </w:r>
    </w:p>
    <w:p>
      <w:pPr>
        <w:pStyle w:val="6"/>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5.2.1医院应用门户管理</w:t>
      </w:r>
    </w:p>
    <w:p>
      <w:pPr>
        <w:pStyle w:val="7"/>
        <w:spacing w:line="400" w:lineRule="exac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应用门户</w:t>
      </w:r>
    </w:p>
    <w:p>
      <w:pPr>
        <w:pStyle w:val="53"/>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系统应能提供以下功能：</w:t>
      </w:r>
    </w:p>
    <w:p>
      <w:pPr>
        <w:pStyle w:val="53"/>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t>提供统一的基于B/S的Web版医院应用门户平台；</w:t>
      </w:r>
    </w:p>
    <w:p>
      <w:pPr>
        <w:pStyle w:val="53"/>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t>提供基于Web的界面集成功能；</w:t>
      </w:r>
    </w:p>
    <w:p>
      <w:pPr>
        <w:pStyle w:val="53"/>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t>支持基于角色的首页自定义功能；</w:t>
      </w:r>
    </w:p>
    <w:p>
      <w:pPr>
        <w:pStyle w:val="53"/>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t>支持基于角色的动态应用菜单功能及权限管理功能；</w:t>
      </w:r>
    </w:p>
    <w:p>
      <w:pPr>
        <w:pStyle w:val="53"/>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t>提供用户注册与认证统一服务，实现与HIS、EMR等应用的单点登录功能；</w:t>
      </w:r>
    </w:p>
    <w:p>
      <w:pPr>
        <w:pStyle w:val="53"/>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t>提供消息处理功能。</w:t>
      </w:r>
    </w:p>
    <w:p>
      <w:pPr>
        <w:pStyle w:val="7"/>
        <w:spacing w:line="400" w:lineRule="exac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平台管理</w:t>
      </w:r>
    </w:p>
    <w:tbl>
      <w:tblPr>
        <w:tblStyle w:val="20"/>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7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shd w:val="clear" w:color="auto" w:fill="F2F2F2"/>
          </w:tcPr>
          <w:p>
            <w:pPr>
              <w:tabs>
                <w:tab w:val="left" w:pos="1260"/>
              </w:tabs>
              <w:adjustRightInd w:val="0"/>
              <w:spacing w:line="40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功能名称</w:t>
            </w:r>
          </w:p>
        </w:tc>
        <w:tc>
          <w:tcPr>
            <w:tcW w:w="7150" w:type="dxa"/>
            <w:shd w:val="clear" w:color="auto" w:fill="F2F2F2"/>
          </w:tcPr>
          <w:p>
            <w:pPr>
              <w:tabs>
                <w:tab w:val="left" w:pos="1260"/>
              </w:tabs>
              <w:adjustRightInd w:val="0"/>
              <w:spacing w:line="40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功能需求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2093" w:type="dxa"/>
            <w:vMerge w:val="restart"/>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安全管理</w:t>
            </w:r>
          </w:p>
        </w:tc>
        <w:tc>
          <w:tcPr>
            <w:tcW w:w="7150" w:type="dxa"/>
            <w:vAlign w:val="center"/>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需可以提供节点认证功能，加强对平台接入；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2093" w:type="dxa"/>
            <w:vMerge w:val="continue"/>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p>
        </w:tc>
        <w:tc>
          <w:tcPr>
            <w:tcW w:w="7150" w:type="dxa"/>
            <w:vAlign w:val="center"/>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提供审计管理功能；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2093" w:type="dxa"/>
            <w:vMerge w:val="continue"/>
            <w:vAlign w:val="center"/>
          </w:tcPr>
          <w:p>
            <w:pPr>
              <w:spacing w:line="400" w:lineRule="exact"/>
              <w:rPr>
                <w:rFonts w:ascii="宋体" w:hAnsi="宋体" w:cs="宋体"/>
                <w:color w:val="000000" w:themeColor="text1"/>
                <w:sz w:val="24"/>
                <w:highlight w:val="none"/>
                <w14:textFill>
                  <w14:solidFill>
                    <w14:schemeClr w14:val="tx1"/>
                  </w14:solidFill>
                </w14:textFill>
              </w:rPr>
            </w:pPr>
          </w:p>
        </w:tc>
        <w:tc>
          <w:tcPr>
            <w:tcW w:w="7150" w:type="dxa"/>
            <w:vAlign w:val="center"/>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支持隐私数据的过滤控制与管理。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2093" w:type="dxa"/>
            <w:vMerge w:val="restart"/>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配置管理</w:t>
            </w:r>
          </w:p>
        </w:tc>
        <w:tc>
          <w:tcPr>
            <w:tcW w:w="7150" w:type="dxa"/>
            <w:vAlign w:val="center"/>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提供人员注册与用户注册管理；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2093" w:type="dxa"/>
            <w:vMerge w:val="continue"/>
            <w:vAlign w:val="center"/>
          </w:tcPr>
          <w:p>
            <w:pPr>
              <w:spacing w:line="400" w:lineRule="exact"/>
              <w:rPr>
                <w:rFonts w:ascii="宋体" w:hAnsi="宋体" w:cs="宋体"/>
                <w:color w:val="000000" w:themeColor="text1"/>
                <w:sz w:val="24"/>
                <w:highlight w:val="none"/>
                <w14:textFill>
                  <w14:solidFill>
                    <w14:schemeClr w14:val="tx1"/>
                  </w14:solidFill>
                </w14:textFill>
              </w:rPr>
            </w:pPr>
          </w:p>
        </w:tc>
        <w:tc>
          <w:tcPr>
            <w:tcW w:w="7150" w:type="dxa"/>
            <w:vAlign w:val="center"/>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提供机构注册与科室注册管理；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2093" w:type="dxa"/>
            <w:vMerge w:val="continue"/>
            <w:vAlign w:val="center"/>
          </w:tcPr>
          <w:p>
            <w:pPr>
              <w:spacing w:line="400" w:lineRule="exact"/>
              <w:rPr>
                <w:rFonts w:ascii="宋体" w:hAnsi="宋体" w:cs="宋体"/>
                <w:color w:val="000000" w:themeColor="text1"/>
                <w:sz w:val="24"/>
                <w:highlight w:val="none"/>
                <w14:textFill>
                  <w14:solidFill>
                    <w14:schemeClr w14:val="tx1"/>
                  </w14:solidFill>
                </w14:textFill>
              </w:rPr>
            </w:pPr>
          </w:p>
        </w:tc>
        <w:tc>
          <w:tcPr>
            <w:tcW w:w="7150" w:type="dxa"/>
            <w:vAlign w:val="center"/>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提供服务注册与服务授权管理；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2093" w:type="dxa"/>
            <w:vMerge w:val="continue"/>
            <w:vAlign w:val="center"/>
          </w:tcPr>
          <w:p>
            <w:pPr>
              <w:spacing w:line="400" w:lineRule="exact"/>
              <w:rPr>
                <w:rFonts w:ascii="宋体" w:hAnsi="宋体" w:cs="宋体"/>
                <w:color w:val="000000" w:themeColor="text1"/>
                <w:sz w:val="24"/>
                <w:highlight w:val="none"/>
                <w14:textFill>
                  <w14:solidFill>
                    <w14:schemeClr w14:val="tx1"/>
                  </w14:solidFill>
                </w14:textFill>
              </w:rPr>
            </w:pPr>
          </w:p>
        </w:tc>
        <w:tc>
          <w:tcPr>
            <w:tcW w:w="7150" w:type="dxa"/>
            <w:vAlign w:val="center"/>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提供服务流程配置及服务调用监控功能；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2093" w:type="dxa"/>
            <w:vMerge w:val="continue"/>
            <w:vAlign w:val="center"/>
          </w:tcPr>
          <w:p>
            <w:pPr>
              <w:spacing w:line="400" w:lineRule="exact"/>
              <w:rPr>
                <w:rFonts w:ascii="宋体" w:hAnsi="宋体" w:cs="宋体"/>
                <w:color w:val="000000" w:themeColor="text1"/>
                <w:sz w:val="24"/>
                <w:highlight w:val="none"/>
                <w14:textFill>
                  <w14:solidFill>
                    <w14:schemeClr w14:val="tx1"/>
                  </w14:solidFill>
                </w14:textFill>
              </w:rPr>
            </w:pPr>
          </w:p>
        </w:tc>
        <w:tc>
          <w:tcPr>
            <w:tcW w:w="7150" w:type="dxa"/>
            <w:vAlign w:val="center"/>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提供应用注册及应用功能模块注册功能。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2093" w:type="dxa"/>
            <w:vMerge w:val="restart"/>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监控管理</w:t>
            </w:r>
          </w:p>
        </w:tc>
        <w:tc>
          <w:tcPr>
            <w:tcW w:w="7150" w:type="dxa"/>
            <w:vAlign w:val="center"/>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数据采集监控，可生成数据采集的记录日志，记录数据采集节点、采集范围、采集内容、 采集时间、错误原因等信息，根据日志看跟踪解决数据采集错误；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2093" w:type="dxa"/>
            <w:vMerge w:val="continue"/>
            <w:vAlign w:val="center"/>
          </w:tcPr>
          <w:p>
            <w:pPr>
              <w:spacing w:line="400" w:lineRule="exact"/>
              <w:rPr>
                <w:rFonts w:ascii="宋体" w:hAnsi="宋体" w:cs="宋体"/>
                <w:color w:val="000000" w:themeColor="text1"/>
                <w:sz w:val="24"/>
                <w:highlight w:val="none"/>
                <w14:textFill>
                  <w14:solidFill>
                    <w14:schemeClr w14:val="tx1"/>
                  </w14:solidFill>
                </w14:textFill>
              </w:rPr>
            </w:pPr>
          </w:p>
        </w:tc>
        <w:tc>
          <w:tcPr>
            <w:tcW w:w="7150" w:type="dxa"/>
            <w:vAlign w:val="center"/>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集群监控：支持对服务器集群监控和查询，监控服务器CPU、内存使用率、JVM监控、事件异常等信息，并按事件类型一般、警告、错误类型汇总。可设置监控指标的警告阈值、报警阈值、报警方式。可以时间-指标的方式形成趋势图参看历史数据，以饼图的形式查看瞬时数据。对事件监控支持查看时间、类型、节点信息。并提供调优工具等；可满足多服务器之间的负载均衡分配和性能调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2093" w:type="dxa"/>
            <w:vMerge w:val="continue"/>
            <w:vAlign w:val="center"/>
          </w:tcPr>
          <w:p>
            <w:pPr>
              <w:spacing w:line="400" w:lineRule="exact"/>
              <w:rPr>
                <w:rFonts w:ascii="宋体" w:hAnsi="宋体" w:cs="宋体"/>
                <w:color w:val="000000" w:themeColor="text1"/>
                <w:sz w:val="24"/>
                <w:highlight w:val="none"/>
                <w14:textFill>
                  <w14:solidFill>
                    <w14:schemeClr w14:val="tx1"/>
                  </w14:solidFill>
                </w14:textFill>
              </w:rPr>
            </w:pPr>
          </w:p>
        </w:tc>
        <w:tc>
          <w:tcPr>
            <w:tcW w:w="7150" w:type="dxa"/>
            <w:vAlign w:val="center"/>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数据交换监控，能提供数据交换服务监控，可监控统计所有数据交换服务性能，可按照域、节点、时间角度统计服务最大响应时间、最小响应时间、平均响应时间、总次数，提供服务分析调优。针对异常记录，可追踪异常发生节点、该节点的输入输出、错误信息提示，准确掌握错误，精准修复。且可统计监控平台接入层的调用次数，接入点名称，访问IP，总体相应时间，调用时间分布 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2093" w:type="dxa"/>
            <w:vMerge w:val="restart"/>
            <w:tcBorders>
              <w:top w:val="single" w:color="auto" w:sz="4" w:space="0"/>
              <w:left w:val="single" w:color="auto" w:sz="4" w:space="0"/>
              <w:right w:val="single" w:color="auto" w:sz="4" w:space="0"/>
            </w:tcBorders>
            <w:vAlign w:val="center"/>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基础服务</w:t>
            </w:r>
          </w:p>
        </w:tc>
        <w:tc>
          <w:tcPr>
            <w:tcW w:w="715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需能够提供遵循标准的患者、医疗卫生服务人员、医疗卫生机构（科室）、术语注册服务；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2093" w:type="dxa"/>
            <w:vMerge w:val="continue"/>
            <w:tcBorders>
              <w:left w:val="single" w:color="auto" w:sz="4" w:space="0"/>
              <w:right w:val="single" w:color="auto" w:sz="4" w:space="0"/>
            </w:tcBorders>
            <w:vAlign w:val="center"/>
          </w:tcPr>
          <w:p>
            <w:pPr>
              <w:spacing w:line="400" w:lineRule="exact"/>
              <w:rPr>
                <w:rFonts w:ascii="宋体" w:hAnsi="宋体" w:cs="宋体"/>
                <w:color w:val="000000" w:themeColor="text1"/>
                <w:sz w:val="24"/>
                <w:highlight w:val="none"/>
                <w14:textFill>
                  <w14:solidFill>
                    <w14:schemeClr w14:val="tx1"/>
                  </w14:solidFill>
                </w14:textFill>
              </w:rPr>
            </w:pPr>
          </w:p>
        </w:tc>
        <w:tc>
          <w:tcPr>
            <w:tcW w:w="715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需能够提供遵循标准的HL7消息转换服务、中心字典上传服务、厂家字典上传服务、中心字典查询服务、字典转换服务；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2093" w:type="dxa"/>
            <w:vMerge w:val="continue"/>
            <w:tcBorders>
              <w:left w:val="single" w:color="auto" w:sz="4" w:space="0"/>
              <w:right w:val="single" w:color="auto" w:sz="4" w:space="0"/>
            </w:tcBorders>
            <w:vAlign w:val="center"/>
          </w:tcPr>
          <w:p>
            <w:pPr>
              <w:spacing w:line="400" w:lineRule="exact"/>
              <w:rPr>
                <w:rFonts w:ascii="宋体" w:hAnsi="宋体" w:cs="宋体"/>
                <w:color w:val="000000" w:themeColor="text1"/>
                <w:sz w:val="24"/>
                <w:highlight w:val="none"/>
                <w14:textFill>
                  <w14:solidFill>
                    <w14:schemeClr w14:val="tx1"/>
                  </w14:solidFill>
                </w14:textFill>
              </w:rPr>
            </w:pPr>
          </w:p>
        </w:tc>
        <w:tc>
          <w:tcPr>
            <w:tcW w:w="715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需能够提供遵循标准的webService代理服务、.com代理服务、通用数据库操作服务；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2093" w:type="dxa"/>
            <w:vMerge w:val="restart"/>
            <w:tcBorders>
              <w:top w:val="single" w:color="auto" w:sz="4" w:space="0"/>
              <w:left w:val="single" w:color="auto" w:sz="4" w:space="0"/>
              <w:right w:val="single" w:color="auto" w:sz="4" w:space="0"/>
            </w:tcBorders>
            <w:vAlign w:val="center"/>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字典管理</w:t>
            </w:r>
          </w:p>
        </w:tc>
        <w:tc>
          <w:tcPr>
            <w:tcW w:w="715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提供数据字典等标准的管理功能；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2093" w:type="dxa"/>
            <w:vMerge w:val="continue"/>
            <w:tcBorders>
              <w:top w:val="single" w:color="auto" w:sz="4" w:space="0"/>
              <w:left w:val="single" w:color="auto" w:sz="4" w:space="0"/>
              <w:right w:val="single" w:color="auto" w:sz="4" w:space="0"/>
            </w:tcBorders>
            <w:vAlign w:val="center"/>
          </w:tcPr>
          <w:p>
            <w:pPr>
              <w:spacing w:line="400" w:lineRule="exact"/>
              <w:rPr>
                <w:rFonts w:ascii="宋体" w:hAnsi="宋体" w:cs="宋体"/>
                <w:color w:val="000000" w:themeColor="text1"/>
                <w:sz w:val="24"/>
                <w:highlight w:val="none"/>
                <w14:textFill>
                  <w14:solidFill>
                    <w14:schemeClr w14:val="tx1"/>
                  </w14:solidFill>
                </w14:textFill>
              </w:rPr>
            </w:pPr>
          </w:p>
        </w:tc>
        <w:tc>
          <w:tcPr>
            <w:tcW w:w="715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提供中心字典及私有字典的管理及对照功能；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2093" w:type="dxa"/>
            <w:vMerge w:val="continue"/>
            <w:tcBorders>
              <w:left w:val="single" w:color="auto" w:sz="4" w:space="0"/>
              <w:right w:val="single" w:color="auto" w:sz="4" w:space="0"/>
            </w:tcBorders>
            <w:vAlign w:val="center"/>
          </w:tcPr>
          <w:p>
            <w:pPr>
              <w:spacing w:line="400" w:lineRule="exact"/>
              <w:rPr>
                <w:rFonts w:ascii="宋体" w:hAnsi="宋体" w:cs="宋体"/>
                <w:color w:val="000000" w:themeColor="text1"/>
                <w:sz w:val="24"/>
                <w:highlight w:val="none"/>
                <w14:textFill>
                  <w14:solidFill>
                    <w14:schemeClr w14:val="tx1"/>
                  </w14:solidFill>
                </w14:textFill>
              </w:rPr>
            </w:pPr>
          </w:p>
        </w:tc>
        <w:tc>
          <w:tcPr>
            <w:tcW w:w="715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标准协议采用XML格式，并支持XSD数据校验功能；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2093" w:type="dxa"/>
            <w:vMerge w:val="continue"/>
            <w:tcBorders>
              <w:left w:val="single" w:color="auto" w:sz="4" w:space="0"/>
              <w:right w:val="single" w:color="auto" w:sz="4" w:space="0"/>
            </w:tcBorders>
            <w:vAlign w:val="center"/>
          </w:tcPr>
          <w:p>
            <w:pPr>
              <w:spacing w:line="400" w:lineRule="exact"/>
              <w:rPr>
                <w:rFonts w:ascii="宋体" w:hAnsi="宋体" w:cs="宋体"/>
                <w:color w:val="000000" w:themeColor="text1"/>
                <w:sz w:val="24"/>
                <w:highlight w:val="none"/>
                <w14:textFill>
                  <w14:solidFill>
                    <w14:schemeClr w14:val="tx1"/>
                  </w14:solidFill>
                </w14:textFill>
              </w:rPr>
            </w:pPr>
          </w:p>
        </w:tc>
        <w:tc>
          <w:tcPr>
            <w:tcW w:w="715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支持国际HL7 CDA Level3标准体系；</w:t>
            </w:r>
          </w:p>
        </w:tc>
      </w:tr>
    </w:tbl>
    <w:p>
      <w:pPr>
        <w:spacing w:line="400" w:lineRule="exact"/>
        <w:rPr>
          <w:rFonts w:ascii="宋体" w:hAnsi="宋体" w:cs="宋体"/>
          <w:color w:val="000000" w:themeColor="text1"/>
          <w:sz w:val="24"/>
          <w:highlight w:val="none"/>
          <w14:textFill>
            <w14:solidFill>
              <w14:schemeClr w14:val="tx1"/>
            </w14:solidFill>
          </w14:textFill>
        </w:rPr>
      </w:pPr>
    </w:p>
    <w:p>
      <w:pPr>
        <w:pStyle w:val="6"/>
        <w:spacing w:line="400" w:lineRule="exact"/>
        <w:rPr>
          <w:rFonts w:ascii="宋体" w:hAnsi="宋体" w:cs="宋体"/>
          <w:color w:val="000000" w:themeColor="text1"/>
          <w:sz w:val="24"/>
          <w:szCs w:val="24"/>
          <w:highlight w:val="none"/>
          <w14:textFill>
            <w14:solidFill>
              <w14:schemeClr w14:val="tx1"/>
            </w14:solidFill>
          </w14:textFill>
        </w:rPr>
      </w:pPr>
      <w:bookmarkStart w:id="2" w:name="_Hlk4675911"/>
      <w:r>
        <w:rPr>
          <w:rFonts w:hint="eastAsia" w:ascii="宋体" w:hAnsi="宋体" w:cs="宋体"/>
          <w:color w:val="000000" w:themeColor="text1"/>
          <w:sz w:val="24"/>
          <w:szCs w:val="24"/>
          <w:highlight w:val="none"/>
          <w14:textFill>
            <w14:solidFill>
              <w14:schemeClr w14:val="tx1"/>
            </w14:solidFill>
          </w14:textFill>
        </w:rPr>
        <w:t>5.2.2主数据</w:t>
      </w:r>
      <w:bookmarkEnd w:id="2"/>
      <w:r>
        <w:rPr>
          <w:rFonts w:hint="eastAsia" w:ascii="宋体" w:hAnsi="宋体" w:cs="宋体"/>
          <w:color w:val="000000" w:themeColor="text1"/>
          <w:sz w:val="24"/>
          <w:szCs w:val="24"/>
          <w:highlight w:val="none"/>
          <w14:textFill>
            <w14:solidFill>
              <w14:schemeClr w14:val="tx1"/>
            </w14:solidFill>
          </w14:textFill>
        </w:rPr>
        <w:t>管理</w:t>
      </w:r>
    </w:p>
    <w:tbl>
      <w:tblPr>
        <w:tblStyle w:val="20"/>
        <w:tblW w:w="861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107"/>
        <w:gridCol w:w="650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2107" w:type="dxa"/>
            <w:tcBorders>
              <w:top w:val="single" w:color="auto" w:sz="6" w:space="0"/>
              <w:left w:val="single" w:color="auto" w:sz="6" w:space="0"/>
              <w:bottom w:val="single" w:color="auto" w:sz="6" w:space="0"/>
              <w:right w:val="single" w:color="auto" w:sz="6" w:space="0"/>
            </w:tcBorders>
            <w:shd w:val="clear" w:color="auto" w:fill="D9D9D9"/>
            <w:tcMar>
              <w:top w:w="0" w:type="dxa"/>
              <w:left w:w="105" w:type="dxa"/>
              <w:bottom w:w="0" w:type="dxa"/>
              <w:right w:w="105" w:type="dxa"/>
            </w:tcMar>
          </w:tcPr>
          <w:p>
            <w:pPr>
              <w:widowControl/>
              <w:spacing w:before="75" w:after="100" w:afterAutospacing="1" w:line="40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功能名称</w:t>
            </w:r>
          </w:p>
        </w:tc>
        <w:tc>
          <w:tcPr>
            <w:tcW w:w="6503" w:type="dxa"/>
            <w:tcBorders>
              <w:top w:val="single" w:color="auto" w:sz="6" w:space="0"/>
              <w:left w:val="nil"/>
              <w:bottom w:val="single" w:color="auto" w:sz="6" w:space="0"/>
              <w:right w:val="single" w:color="auto" w:sz="6" w:space="0"/>
            </w:tcBorders>
            <w:shd w:val="clear" w:color="auto" w:fill="D9D9D9"/>
            <w:tcMar>
              <w:top w:w="0" w:type="dxa"/>
              <w:left w:w="105" w:type="dxa"/>
              <w:bottom w:w="0" w:type="dxa"/>
              <w:right w:w="105" w:type="dxa"/>
            </w:tcMar>
          </w:tcPr>
          <w:p>
            <w:pPr>
              <w:widowControl/>
              <w:spacing w:before="75" w:after="100" w:afterAutospacing="1" w:line="400" w:lineRule="exact"/>
              <w:ind w:firstLine="21"/>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需求说明与参数要求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2107"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spacing w:before="75" w:after="100" w:afterAutospacing="1" w:line="40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主数据管理</w:t>
            </w:r>
          </w:p>
        </w:tc>
        <w:tc>
          <w:tcPr>
            <w:tcW w:w="6503" w:type="dxa"/>
            <w:tcBorders>
              <w:top w:val="nil"/>
              <w:left w:val="nil"/>
              <w:bottom w:val="single" w:color="auto" w:sz="6" w:space="0"/>
              <w:right w:val="single" w:color="auto" w:sz="6" w:space="0"/>
            </w:tcBorders>
            <w:tcMar>
              <w:top w:w="0" w:type="dxa"/>
              <w:left w:w="105" w:type="dxa"/>
              <w:bottom w:w="0" w:type="dxa"/>
              <w:right w:w="105" w:type="dxa"/>
            </w:tcMar>
          </w:tcPr>
          <w:p>
            <w:pPr>
              <w:widowControl/>
              <w:spacing w:before="75" w:after="100" w:afterAutospacing="1" w:line="400" w:lineRule="exact"/>
              <w:ind w:firstLine="21"/>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提供注册管理临床医疗基本术语和编码规范，例如：疾病术语编码、标准药品编码、诊疗项目编码、医用耗材编码等等；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2107" w:type="dxa"/>
            <w:vMerge w:val="continue"/>
            <w:tcBorders>
              <w:top w:val="nil"/>
              <w:left w:val="single" w:color="auto" w:sz="6" w:space="0"/>
              <w:bottom w:val="single" w:color="auto" w:sz="6" w:space="0"/>
              <w:right w:val="single" w:color="auto" w:sz="6" w:space="0"/>
            </w:tcBorders>
            <w:vAlign w:val="center"/>
          </w:tcPr>
          <w:p>
            <w:pPr>
              <w:widowControl/>
              <w:spacing w:line="400" w:lineRule="exact"/>
              <w:jc w:val="left"/>
              <w:rPr>
                <w:rFonts w:ascii="宋体" w:hAnsi="宋体" w:cs="宋体"/>
                <w:color w:val="000000" w:themeColor="text1"/>
                <w:kern w:val="0"/>
                <w:sz w:val="24"/>
                <w:highlight w:val="none"/>
                <w14:textFill>
                  <w14:solidFill>
                    <w14:schemeClr w14:val="tx1"/>
                  </w14:solidFill>
                </w14:textFill>
              </w:rPr>
            </w:pPr>
          </w:p>
        </w:tc>
        <w:tc>
          <w:tcPr>
            <w:tcW w:w="6503" w:type="dxa"/>
            <w:tcBorders>
              <w:top w:val="nil"/>
              <w:left w:val="nil"/>
              <w:bottom w:val="single" w:color="auto" w:sz="6" w:space="0"/>
              <w:right w:val="single" w:color="auto" w:sz="6" w:space="0"/>
            </w:tcBorders>
            <w:tcMar>
              <w:top w:w="0" w:type="dxa"/>
              <w:left w:w="105" w:type="dxa"/>
              <w:bottom w:w="0" w:type="dxa"/>
              <w:right w:w="105" w:type="dxa"/>
            </w:tcMar>
          </w:tcPr>
          <w:p>
            <w:pPr>
              <w:widowControl/>
              <w:spacing w:before="75" w:after="100" w:afterAutospacing="1" w:line="400" w:lineRule="exact"/>
              <w:ind w:firstLine="21"/>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支持数据字典的注册、更新、订阅发布服务，包括标准字典和业务字典；</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2107" w:type="dxa"/>
            <w:vMerge w:val="continue"/>
            <w:tcBorders>
              <w:top w:val="nil"/>
              <w:left w:val="single" w:color="auto" w:sz="6" w:space="0"/>
              <w:bottom w:val="single" w:color="auto" w:sz="6" w:space="0"/>
              <w:right w:val="single" w:color="auto" w:sz="6" w:space="0"/>
            </w:tcBorders>
            <w:vAlign w:val="center"/>
          </w:tcPr>
          <w:p>
            <w:pPr>
              <w:widowControl/>
              <w:spacing w:line="400" w:lineRule="exact"/>
              <w:jc w:val="left"/>
              <w:rPr>
                <w:rFonts w:ascii="宋体" w:hAnsi="宋体" w:cs="宋体"/>
                <w:color w:val="000000" w:themeColor="text1"/>
                <w:kern w:val="0"/>
                <w:sz w:val="24"/>
                <w:highlight w:val="none"/>
                <w14:textFill>
                  <w14:solidFill>
                    <w14:schemeClr w14:val="tx1"/>
                  </w14:solidFill>
                </w14:textFill>
              </w:rPr>
            </w:pPr>
          </w:p>
        </w:tc>
        <w:tc>
          <w:tcPr>
            <w:tcW w:w="6503" w:type="dxa"/>
            <w:tcBorders>
              <w:top w:val="nil"/>
              <w:left w:val="nil"/>
              <w:bottom w:val="single" w:color="auto" w:sz="6" w:space="0"/>
              <w:right w:val="single" w:color="auto" w:sz="6" w:space="0"/>
            </w:tcBorders>
            <w:tcMar>
              <w:top w:w="0" w:type="dxa"/>
              <w:left w:w="105" w:type="dxa"/>
              <w:bottom w:w="0" w:type="dxa"/>
              <w:right w:w="105" w:type="dxa"/>
            </w:tcMar>
          </w:tcPr>
          <w:p>
            <w:pPr>
              <w:widowControl/>
              <w:spacing w:before="75" w:after="100" w:afterAutospacing="1" w:line="400" w:lineRule="exact"/>
              <w:ind w:firstLine="21"/>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支持基于统一数据字典的映射功能和翻转服务；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2107"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spacing w:before="75" w:after="100" w:afterAutospacing="1" w:line="40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基础服务</w:t>
            </w:r>
          </w:p>
        </w:tc>
        <w:tc>
          <w:tcPr>
            <w:tcW w:w="6503" w:type="dxa"/>
            <w:tcBorders>
              <w:top w:val="nil"/>
              <w:left w:val="nil"/>
              <w:bottom w:val="single" w:color="auto" w:sz="6" w:space="0"/>
              <w:right w:val="single" w:color="auto" w:sz="6" w:space="0"/>
            </w:tcBorders>
            <w:tcMar>
              <w:top w:w="0" w:type="dxa"/>
              <w:left w:w="105" w:type="dxa"/>
              <w:bottom w:w="0" w:type="dxa"/>
              <w:right w:w="105" w:type="dxa"/>
            </w:tcMar>
          </w:tcPr>
          <w:p>
            <w:pPr>
              <w:widowControl/>
              <w:spacing w:before="75" w:after="100" w:afterAutospacing="1" w:line="400" w:lineRule="exact"/>
              <w:ind w:firstLine="21"/>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需能够提供遵循标准的患者、医疗卫生服务人员、医疗卫生机构（科室）、术语注册服务；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2107" w:type="dxa"/>
            <w:vMerge w:val="continue"/>
            <w:tcBorders>
              <w:top w:val="nil"/>
              <w:left w:val="single" w:color="auto" w:sz="6" w:space="0"/>
              <w:bottom w:val="single" w:color="auto" w:sz="6" w:space="0"/>
              <w:right w:val="single" w:color="auto" w:sz="6" w:space="0"/>
            </w:tcBorders>
            <w:vAlign w:val="center"/>
          </w:tcPr>
          <w:p>
            <w:pPr>
              <w:widowControl/>
              <w:spacing w:line="400" w:lineRule="exact"/>
              <w:jc w:val="left"/>
              <w:rPr>
                <w:rFonts w:ascii="宋体" w:hAnsi="宋体" w:cs="宋体"/>
                <w:color w:val="000000" w:themeColor="text1"/>
                <w:kern w:val="0"/>
                <w:sz w:val="24"/>
                <w:highlight w:val="none"/>
                <w14:textFill>
                  <w14:solidFill>
                    <w14:schemeClr w14:val="tx1"/>
                  </w14:solidFill>
                </w14:textFill>
              </w:rPr>
            </w:pPr>
          </w:p>
        </w:tc>
        <w:tc>
          <w:tcPr>
            <w:tcW w:w="6503" w:type="dxa"/>
            <w:tcBorders>
              <w:top w:val="nil"/>
              <w:left w:val="nil"/>
              <w:bottom w:val="single" w:color="auto" w:sz="6" w:space="0"/>
              <w:right w:val="single" w:color="auto" w:sz="6" w:space="0"/>
            </w:tcBorders>
            <w:tcMar>
              <w:top w:w="0" w:type="dxa"/>
              <w:left w:w="105" w:type="dxa"/>
              <w:bottom w:w="0" w:type="dxa"/>
              <w:right w:w="105" w:type="dxa"/>
            </w:tcMar>
          </w:tcPr>
          <w:p>
            <w:pPr>
              <w:widowControl/>
              <w:spacing w:before="75" w:after="100" w:afterAutospacing="1" w:line="400" w:lineRule="exact"/>
              <w:ind w:firstLine="21"/>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需能够提供遵循标准的HL7消息转换服务、中心字典上传服务、厂家字典上传服务、中心字典查询服务、字典转换服务；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2107" w:type="dxa"/>
            <w:vMerge w:val="continue"/>
            <w:tcBorders>
              <w:top w:val="nil"/>
              <w:left w:val="single" w:color="auto" w:sz="6" w:space="0"/>
              <w:bottom w:val="single" w:color="auto" w:sz="6" w:space="0"/>
              <w:right w:val="single" w:color="auto" w:sz="6" w:space="0"/>
            </w:tcBorders>
            <w:vAlign w:val="center"/>
          </w:tcPr>
          <w:p>
            <w:pPr>
              <w:widowControl/>
              <w:spacing w:line="400" w:lineRule="exact"/>
              <w:jc w:val="left"/>
              <w:rPr>
                <w:rFonts w:ascii="宋体" w:hAnsi="宋体" w:cs="宋体"/>
                <w:color w:val="000000" w:themeColor="text1"/>
                <w:kern w:val="0"/>
                <w:sz w:val="24"/>
                <w:highlight w:val="none"/>
                <w14:textFill>
                  <w14:solidFill>
                    <w14:schemeClr w14:val="tx1"/>
                  </w14:solidFill>
                </w14:textFill>
              </w:rPr>
            </w:pPr>
          </w:p>
        </w:tc>
        <w:tc>
          <w:tcPr>
            <w:tcW w:w="6503" w:type="dxa"/>
            <w:tcBorders>
              <w:top w:val="nil"/>
              <w:left w:val="nil"/>
              <w:bottom w:val="single" w:color="auto" w:sz="6" w:space="0"/>
              <w:right w:val="single" w:color="auto" w:sz="6" w:space="0"/>
            </w:tcBorders>
            <w:tcMar>
              <w:top w:w="0" w:type="dxa"/>
              <w:left w:w="105" w:type="dxa"/>
              <w:bottom w:w="0" w:type="dxa"/>
              <w:right w:w="105" w:type="dxa"/>
            </w:tcMar>
          </w:tcPr>
          <w:p>
            <w:pPr>
              <w:widowControl/>
              <w:spacing w:before="75" w:after="100" w:afterAutospacing="1" w:line="400" w:lineRule="exact"/>
              <w:ind w:firstLine="21"/>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需能够提供遵循标准的webService代   理服务、.com代 理服务、通用数据库操作服务。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2107"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spacing w:before="75" w:after="100" w:afterAutospacing="1" w:line="40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字典管理</w:t>
            </w:r>
          </w:p>
        </w:tc>
        <w:tc>
          <w:tcPr>
            <w:tcW w:w="6503" w:type="dxa"/>
            <w:tcBorders>
              <w:top w:val="nil"/>
              <w:left w:val="nil"/>
              <w:bottom w:val="single" w:color="auto" w:sz="6" w:space="0"/>
              <w:right w:val="single" w:color="auto" w:sz="6" w:space="0"/>
            </w:tcBorders>
            <w:tcMar>
              <w:top w:w="0" w:type="dxa"/>
              <w:left w:w="105" w:type="dxa"/>
              <w:bottom w:w="0" w:type="dxa"/>
              <w:right w:w="105" w:type="dxa"/>
            </w:tcMar>
          </w:tcPr>
          <w:p>
            <w:pPr>
              <w:widowControl/>
              <w:spacing w:before="75" w:after="100" w:afterAutospacing="1" w:line="400" w:lineRule="exact"/>
              <w:ind w:firstLine="21"/>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提供数据字典等标准的管理功能；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2107" w:type="dxa"/>
            <w:vMerge w:val="continue"/>
            <w:tcBorders>
              <w:top w:val="nil"/>
              <w:left w:val="single" w:color="auto" w:sz="6" w:space="0"/>
              <w:bottom w:val="single" w:color="auto" w:sz="6" w:space="0"/>
              <w:right w:val="single" w:color="auto" w:sz="6" w:space="0"/>
            </w:tcBorders>
            <w:vAlign w:val="center"/>
          </w:tcPr>
          <w:p>
            <w:pPr>
              <w:widowControl/>
              <w:spacing w:line="400" w:lineRule="exact"/>
              <w:jc w:val="left"/>
              <w:rPr>
                <w:rFonts w:ascii="宋体" w:hAnsi="宋体" w:cs="宋体"/>
                <w:color w:val="000000" w:themeColor="text1"/>
                <w:kern w:val="0"/>
                <w:sz w:val="24"/>
                <w:highlight w:val="none"/>
                <w14:textFill>
                  <w14:solidFill>
                    <w14:schemeClr w14:val="tx1"/>
                  </w14:solidFill>
                </w14:textFill>
              </w:rPr>
            </w:pPr>
          </w:p>
        </w:tc>
        <w:tc>
          <w:tcPr>
            <w:tcW w:w="6503" w:type="dxa"/>
            <w:tcBorders>
              <w:top w:val="nil"/>
              <w:left w:val="nil"/>
              <w:bottom w:val="single" w:color="auto" w:sz="6" w:space="0"/>
              <w:right w:val="single" w:color="auto" w:sz="6" w:space="0"/>
            </w:tcBorders>
            <w:tcMar>
              <w:top w:w="0" w:type="dxa"/>
              <w:left w:w="105" w:type="dxa"/>
              <w:bottom w:w="0" w:type="dxa"/>
              <w:right w:w="105" w:type="dxa"/>
            </w:tcMar>
          </w:tcPr>
          <w:p>
            <w:pPr>
              <w:widowControl/>
              <w:spacing w:before="75" w:after="100" w:afterAutospacing="1" w:line="400" w:lineRule="exact"/>
              <w:ind w:firstLine="21"/>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提供中心字典及私有字典的管理及对照功能；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2107" w:type="dxa"/>
            <w:vMerge w:val="continue"/>
            <w:tcBorders>
              <w:top w:val="nil"/>
              <w:left w:val="single" w:color="auto" w:sz="6" w:space="0"/>
              <w:bottom w:val="single" w:color="auto" w:sz="6" w:space="0"/>
              <w:right w:val="single" w:color="auto" w:sz="6" w:space="0"/>
            </w:tcBorders>
            <w:vAlign w:val="center"/>
          </w:tcPr>
          <w:p>
            <w:pPr>
              <w:widowControl/>
              <w:spacing w:line="400" w:lineRule="exact"/>
              <w:jc w:val="left"/>
              <w:rPr>
                <w:rFonts w:ascii="宋体" w:hAnsi="宋体" w:cs="宋体"/>
                <w:color w:val="000000" w:themeColor="text1"/>
                <w:kern w:val="0"/>
                <w:sz w:val="24"/>
                <w:highlight w:val="none"/>
                <w14:textFill>
                  <w14:solidFill>
                    <w14:schemeClr w14:val="tx1"/>
                  </w14:solidFill>
                </w14:textFill>
              </w:rPr>
            </w:pPr>
          </w:p>
        </w:tc>
        <w:tc>
          <w:tcPr>
            <w:tcW w:w="6503" w:type="dxa"/>
            <w:tcBorders>
              <w:top w:val="nil"/>
              <w:left w:val="nil"/>
              <w:bottom w:val="single" w:color="auto" w:sz="6" w:space="0"/>
              <w:right w:val="single" w:color="auto" w:sz="6" w:space="0"/>
            </w:tcBorders>
            <w:tcMar>
              <w:top w:w="0" w:type="dxa"/>
              <w:left w:w="105" w:type="dxa"/>
              <w:bottom w:w="0" w:type="dxa"/>
              <w:right w:w="105" w:type="dxa"/>
            </w:tcMar>
          </w:tcPr>
          <w:p>
            <w:pPr>
              <w:widowControl/>
              <w:spacing w:before="75" w:after="100" w:afterAutospacing="1" w:line="400" w:lineRule="exact"/>
              <w:ind w:firstLine="21"/>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标准协议采用XML格式，并支持XSD数据校验功能；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2107" w:type="dxa"/>
            <w:vMerge w:val="continue"/>
            <w:tcBorders>
              <w:top w:val="nil"/>
              <w:left w:val="single" w:color="auto" w:sz="6" w:space="0"/>
              <w:bottom w:val="single" w:color="auto" w:sz="6" w:space="0"/>
              <w:right w:val="single" w:color="auto" w:sz="6" w:space="0"/>
            </w:tcBorders>
            <w:vAlign w:val="center"/>
          </w:tcPr>
          <w:p>
            <w:pPr>
              <w:widowControl/>
              <w:spacing w:line="400" w:lineRule="exact"/>
              <w:jc w:val="left"/>
              <w:rPr>
                <w:rFonts w:ascii="宋体" w:hAnsi="宋体" w:cs="宋体"/>
                <w:color w:val="000000" w:themeColor="text1"/>
                <w:kern w:val="0"/>
                <w:sz w:val="24"/>
                <w:highlight w:val="none"/>
                <w14:textFill>
                  <w14:solidFill>
                    <w14:schemeClr w14:val="tx1"/>
                  </w14:solidFill>
                </w14:textFill>
              </w:rPr>
            </w:pPr>
          </w:p>
        </w:tc>
        <w:tc>
          <w:tcPr>
            <w:tcW w:w="6503" w:type="dxa"/>
            <w:tcBorders>
              <w:top w:val="nil"/>
              <w:left w:val="nil"/>
              <w:bottom w:val="single" w:color="auto" w:sz="6" w:space="0"/>
              <w:right w:val="single" w:color="auto" w:sz="6" w:space="0"/>
            </w:tcBorders>
            <w:tcMar>
              <w:top w:w="0" w:type="dxa"/>
              <w:left w:w="105" w:type="dxa"/>
              <w:bottom w:w="0" w:type="dxa"/>
              <w:right w:w="105" w:type="dxa"/>
            </w:tcMar>
          </w:tcPr>
          <w:p>
            <w:pPr>
              <w:widowControl/>
              <w:spacing w:before="75" w:after="100" w:afterAutospacing="1" w:line="400" w:lineRule="exact"/>
              <w:ind w:firstLine="21"/>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支持国际HL7 CDA Level3标准体系。</w:t>
            </w:r>
          </w:p>
        </w:tc>
      </w:tr>
    </w:tbl>
    <w:p>
      <w:pPr>
        <w:spacing w:line="400" w:lineRule="exact"/>
        <w:rPr>
          <w:rFonts w:ascii="宋体" w:hAnsi="宋体" w:cs="宋体"/>
          <w:color w:val="000000" w:themeColor="text1"/>
          <w:sz w:val="24"/>
          <w:highlight w:val="none"/>
          <w14:textFill>
            <w14:solidFill>
              <w14:schemeClr w14:val="tx1"/>
            </w14:solidFill>
          </w14:textFill>
        </w:rPr>
      </w:pPr>
    </w:p>
    <w:p>
      <w:pPr>
        <w:pStyle w:val="6"/>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5.2.3数据采集工具</w:t>
      </w:r>
    </w:p>
    <w:tbl>
      <w:tblPr>
        <w:tblStyle w:val="20"/>
        <w:tblW w:w="861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107"/>
        <w:gridCol w:w="650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2107" w:type="dxa"/>
            <w:tcBorders>
              <w:top w:val="single" w:color="auto" w:sz="6" w:space="0"/>
              <w:left w:val="single" w:color="auto" w:sz="6" w:space="0"/>
              <w:bottom w:val="single" w:color="auto" w:sz="6" w:space="0"/>
              <w:right w:val="single" w:color="auto" w:sz="6" w:space="0"/>
            </w:tcBorders>
            <w:shd w:val="clear" w:color="auto" w:fill="D9D9D9"/>
            <w:tcMar>
              <w:top w:w="0" w:type="dxa"/>
              <w:left w:w="105" w:type="dxa"/>
              <w:bottom w:w="0" w:type="dxa"/>
              <w:right w:w="105" w:type="dxa"/>
            </w:tcMar>
          </w:tcPr>
          <w:p>
            <w:pPr>
              <w:widowControl/>
              <w:spacing w:before="75" w:after="100" w:afterAutospacing="1" w:line="40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功能名称</w:t>
            </w:r>
          </w:p>
        </w:tc>
        <w:tc>
          <w:tcPr>
            <w:tcW w:w="6503" w:type="dxa"/>
            <w:tcBorders>
              <w:top w:val="single" w:color="auto" w:sz="6" w:space="0"/>
              <w:left w:val="nil"/>
              <w:bottom w:val="single" w:color="auto" w:sz="6" w:space="0"/>
              <w:right w:val="single" w:color="auto" w:sz="6" w:space="0"/>
            </w:tcBorders>
            <w:shd w:val="clear" w:color="auto" w:fill="D9D9D9"/>
            <w:tcMar>
              <w:top w:w="0" w:type="dxa"/>
              <w:left w:w="105" w:type="dxa"/>
              <w:bottom w:w="0" w:type="dxa"/>
              <w:right w:w="105" w:type="dxa"/>
            </w:tcMar>
          </w:tcPr>
          <w:p>
            <w:pPr>
              <w:widowControl/>
              <w:spacing w:before="75" w:after="100" w:afterAutospacing="1" w:line="40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需求说明与参数要求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2107"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spacing w:before="75" w:after="100" w:afterAutospacing="1" w:line="40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数据采集工具</w:t>
            </w:r>
          </w:p>
          <w:p>
            <w:pPr>
              <w:widowControl/>
              <w:spacing w:before="75" w:after="100" w:afterAutospacing="1" w:line="40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（ETL）</w:t>
            </w:r>
          </w:p>
        </w:tc>
        <w:tc>
          <w:tcPr>
            <w:tcW w:w="6503" w:type="dxa"/>
            <w:tcBorders>
              <w:top w:val="nil"/>
              <w:left w:val="nil"/>
              <w:bottom w:val="single" w:color="auto" w:sz="6" w:space="0"/>
              <w:right w:val="single" w:color="auto" w:sz="6" w:space="0"/>
            </w:tcBorders>
            <w:tcMar>
              <w:top w:w="0" w:type="dxa"/>
              <w:left w:w="105" w:type="dxa"/>
              <w:bottom w:w="0" w:type="dxa"/>
              <w:right w:w="105" w:type="dxa"/>
            </w:tcMar>
          </w:tcPr>
          <w:p>
            <w:pPr>
              <w:widowControl/>
              <w:spacing w:before="75" w:after="100" w:afterAutospacing="1" w:line="40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支持多种数据库类型的数据源采集配置；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2107" w:type="dxa"/>
            <w:vMerge w:val="continue"/>
            <w:tcBorders>
              <w:top w:val="nil"/>
              <w:left w:val="single" w:color="auto" w:sz="6" w:space="0"/>
              <w:bottom w:val="single" w:color="auto" w:sz="6" w:space="0"/>
              <w:right w:val="single" w:color="auto" w:sz="6" w:space="0"/>
            </w:tcBorders>
            <w:vAlign w:val="center"/>
          </w:tcPr>
          <w:p>
            <w:pPr>
              <w:widowControl/>
              <w:spacing w:line="400" w:lineRule="exact"/>
              <w:jc w:val="left"/>
              <w:rPr>
                <w:rFonts w:ascii="宋体" w:hAnsi="宋体" w:cs="宋体"/>
                <w:color w:val="000000" w:themeColor="text1"/>
                <w:kern w:val="0"/>
                <w:sz w:val="24"/>
                <w:highlight w:val="none"/>
                <w14:textFill>
                  <w14:solidFill>
                    <w14:schemeClr w14:val="tx1"/>
                  </w14:solidFill>
                </w14:textFill>
              </w:rPr>
            </w:pPr>
          </w:p>
        </w:tc>
        <w:tc>
          <w:tcPr>
            <w:tcW w:w="6503" w:type="dxa"/>
            <w:tcBorders>
              <w:top w:val="nil"/>
              <w:left w:val="nil"/>
              <w:bottom w:val="single" w:color="auto" w:sz="6" w:space="0"/>
              <w:right w:val="single" w:color="auto" w:sz="6" w:space="0"/>
            </w:tcBorders>
            <w:tcMar>
              <w:top w:w="0" w:type="dxa"/>
              <w:left w:w="105" w:type="dxa"/>
              <w:bottom w:w="0" w:type="dxa"/>
              <w:right w:w="105" w:type="dxa"/>
            </w:tcMar>
          </w:tcPr>
          <w:p>
            <w:pPr>
              <w:widowControl/>
              <w:spacing w:before="75" w:after="100" w:afterAutospacing="1" w:line="40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提供基于ETL的抽取、转换、翻转等操作采集脚本；</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2107" w:type="dxa"/>
            <w:vMerge w:val="continue"/>
            <w:tcBorders>
              <w:top w:val="nil"/>
              <w:left w:val="single" w:color="auto" w:sz="6" w:space="0"/>
              <w:bottom w:val="single" w:color="auto" w:sz="6" w:space="0"/>
              <w:right w:val="single" w:color="auto" w:sz="6" w:space="0"/>
            </w:tcBorders>
            <w:vAlign w:val="center"/>
          </w:tcPr>
          <w:p>
            <w:pPr>
              <w:widowControl/>
              <w:spacing w:line="400" w:lineRule="exact"/>
              <w:jc w:val="left"/>
              <w:rPr>
                <w:rFonts w:ascii="宋体" w:hAnsi="宋体" w:cs="宋体"/>
                <w:color w:val="000000" w:themeColor="text1"/>
                <w:kern w:val="0"/>
                <w:sz w:val="24"/>
                <w:highlight w:val="none"/>
                <w14:textFill>
                  <w14:solidFill>
                    <w14:schemeClr w14:val="tx1"/>
                  </w14:solidFill>
                </w14:textFill>
              </w:rPr>
            </w:pPr>
          </w:p>
        </w:tc>
        <w:tc>
          <w:tcPr>
            <w:tcW w:w="6503" w:type="dxa"/>
            <w:tcBorders>
              <w:top w:val="nil"/>
              <w:left w:val="nil"/>
              <w:bottom w:val="single" w:color="auto" w:sz="6" w:space="0"/>
              <w:right w:val="single" w:color="auto" w:sz="6" w:space="0"/>
            </w:tcBorders>
            <w:tcMar>
              <w:top w:w="0" w:type="dxa"/>
              <w:left w:w="105" w:type="dxa"/>
              <w:bottom w:w="0" w:type="dxa"/>
              <w:right w:w="105" w:type="dxa"/>
            </w:tcMar>
          </w:tcPr>
          <w:p>
            <w:pPr>
              <w:widowControl/>
              <w:spacing w:before="75" w:after="100" w:afterAutospacing="1" w:line="40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支持基于数据日志采集、接口采集等多种数据采集方式；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2107" w:type="dxa"/>
            <w:vMerge w:val="continue"/>
            <w:tcBorders>
              <w:top w:val="nil"/>
              <w:left w:val="single" w:color="auto" w:sz="6" w:space="0"/>
              <w:bottom w:val="single" w:color="auto" w:sz="6" w:space="0"/>
              <w:right w:val="single" w:color="auto" w:sz="6" w:space="0"/>
            </w:tcBorders>
            <w:vAlign w:val="center"/>
          </w:tcPr>
          <w:p>
            <w:pPr>
              <w:widowControl/>
              <w:spacing w:line="400" w:lineRule="exact"/>
              <w:jc w:val="left"/>
              <w:rPr>
                <w:rFonts w:ascii="宋体" w:hAnsi="宋体" w:cs="宋体"/>
                <w:color w:val="000000" w:themeColor="text1"/>
                <w:kern w:val="0"/>
                <w:sz w:val="24"/>
                <w:highlight w:val="none"/>
                <w14:textFill>
                  <w14:solidFill>
                    <w14:schemeClr w14:val="tx1"/>
                  </w14:solidFill>
                </w14:textFill>
              </w:rPr>
            </w:pPr>
          </w:p>
        </w:tc>
        <w:tc>
          <w:tcPr>
            <w:tcW w:w="6503" w:type="dxa"/>
            <w:tcBorders>
              <w:top w:val="nil"/>
              <w:left w:val="nil"/>
              <w:bottom w:val="single" w:color="auto" w:sz="6" w:space="0"/>
              <w:right w:val="single" w:color="auto" w:sz="6" w:space="0"/>
            </w:tcBorders>
            <w:tcMar>
              <w:top w:w="0" w:type="dxa"/>
              <w:left w:w="105" w:type="dxa"/>
              <w:bottom w:w="0" w:type="dxa"/>
              <w:right w:w="105" w:type="dxa"/>
            </w:tcMar>
          </w:tcPr>
          <w:p>
            <w:pPr>
              <w:widowControl/>
              <w:spacing w:before="75" w:after="100" w:afterAutospacing="1" w:line="40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支持SQL语句采集、文档附件采集、FTP文件采集；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2107" w:type="dxa"/>
            <w:vMerge w:val="continue"/>
            <w:tcBorders>
              <w:top w:val="nil"/>
              <w:left w:val="single" w:color="auto" w:sz="6" w:space="0"/>
              <w:bottom w:val="single" w:color="auto" w:sz="6" w:space="0"/>
              <w:right w:val="single" w:color="auto" w:sz="6" w:space="0"/>
            </w:tcBorders>
            <w:vAlign w:val="center"/>
          </w:tcPr>
          <w:p>
            <w:pPr>
              <w:widowControl/>
              <w:spacing w:line="400" w:lineRule="exact"/>
              <w:jc w:val="left"/>
              <w:rPr>
                <w:rFonts w:ascii="宋体" w:hAnsi="宋体" w:cs="宋体"/>
                <w:color w:val="000000" w:themeColor="text1"/>
                <w:kern w:val="0"/>
                <w:sz w:val="24"/>
                <w:highlight w:val="none"/>
                <w14:textFill>
                  <w14:solidFill>
                    <w14:schemeClr w14:val="tx1"/>
                  </w14:solidFill>
                </w14:textFill>
              </w:rPr>
            </w:pPr>
          </w:p>
        </w:tc>
        <w:tc>
          <w:tcPr>
            <w:tcW w:w="6503" w:type="dxa"/>
            <w:tcBorders>
              <w:top w:val="nil"/>
              <w:left w:val="nil"/>
              <w:bottom w:val="single" w:color="auto" w:sz="6" w:space="0"/>
              <w:right w:val="single" w:color="auto" w:sz="6" w:space="0"/>
            </w:tcBorders>
            <w:tcMar>
              <w:top w:w="0" w:type="dxa"/>
              <w:left w:w="105" w:type="dxa"/>
              <w:bottom w:w="0" w:type="dxa"/>
              <w:right w:w="105" w:type="dxa"/>
            </w:tcMar>
          </w:tcPr>
          <w:p>
            <w:pPr>
              <w:widowControl/>
              <w:spacing w:before="75" w:after="100" w:afterAutospacing="1" w:line="40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可根据数据集内容分组建立多个数据采集模型模式；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2107" w:type="dxa"/>
            <w:vMerge w:val="continue"/>
            <w:tcBorders>
              <w:top w:val="nil"/>
              <w:left w:val="single" w:color="auto" w:sz="6" w:space="0"/>
              <w:bottom w:val="single" w:color="auto" w:sz="6" w:space="0"/>
              <w:right w:val="single" w:color="auto" w:sz="6" w:space="0"/>
            </w:tcBorders>
            <w:vAlign w:val="center"/>
          </w:tcPr>
          <w:p>
            <w:pPr>
              <w:widowControl/>
              <w:spacing w:line="400" w:lineRule="exact"/>
              <w:jc w:val="left"/>
              <w:rPr>
                <w:rFonts w:ascii="宋体" w:hAnsi="宋体" w:cs="宋体"/>
                <w:color w:val="000000" w:themeColor="text1"/>
                <w:kern w:val="0"/>
                <w:sz w:val="24"/>
                <w:highlight w:val="none"/>
                <w14:textFill>
                  <w14:solidFill>
                    <w14:schemeClr w14:val="tx1"/>
                  </w14:solidFill>
                </w14:textFill>
              </w:rPr>
            </w:pPr>
          </w:p>
        </w:tc>
        <w:tc>
          <w:tcPr>
            <w:tcW w:w="6503" w:type="dxa"/>
            <w:tcBorders>
              <w:top w:val="nil"/>
              <w:left w:val="nil"/>
              <w:bottom w:val="single" w:color="auto" w:sz="6" w:space="0"/>
              <w:right w:val="single" w:color="auto" w:sz="6" w:space="0"/>
            </w:tcBorders>
            <w:tcMar>
              <w:top w:w="0" w:type="dxa"/>
              <w:left w:w="105" w:type="dxa"/>
              <w:bottom w:w="0" w:type="dxa"/>
              <w:right w:w="105" w:type="dxa"/>
            </w:tcMar>
          </w:tcPr>
          <w:p>
            <w:pPr>
              <w:widowControl/>
              <w:spacing w:before="75" w:after="100" w:afterAutospacing="1" w:line="40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数据采集内容包含卫生事件、病历摘要、就诊记录、门诊病历、住院病历、护理病历、电子处方、电子医嘱、检验报告、检查报告、手麻记录、超声报告、内镜报告、病理报告、心电图、门诊业务、住院业务、质量数据、医技数据等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2107" w:type="dxa"/>
            <w:vMerge w:val="continue"/>
            <w:tcBorders>
              <w:top w:val="nil"/>
              <w:left w:val="single" w:color="auto" w:sz="6" w:space="0"/>
              <w:bottom w:val="single" w:color="auto" w:sz="6" w:space="0"/>
              <w:right w:val="single" w:color="auto" w:sz="6" w:space="0"/>
            </w:tcBorders>
            <w:vAlign w:val="center"/>
          </w:tcPr>
          <w:p>
            <w:pPr>
              <w:widowControl/>
              <w:spacing w:line="400" w:lineRule="exact"/>
              <w:jc w:val="left"/>
              <w:rPr>
                <w:rFonts w:ascii="宋体" w:hAnsi="宋体" w:cs="宋体"/>
                <w:color w:val="000000" w:themeColor="text1"/>
                <w:kern w:val="0"/>
                <w:sz w:val="24"/>
                <w:highlight w:val="none"/>
                <w14:textFill>
                  <w14:solidFill>
                    <w14:schemeClr w14:val="tx1"/>
                  </w14:solidFill>
                </w14:textFill>
              </w:rPr>
            </w:pPr>
          </w:p>
        </w:tc>
        <w:tc>
          <w:tcPr>
            <w:tcW w:w="6503" w:type="dxa"/>
            <w:tcBorders>
              <w:top w:val="nil"/>
              <w:left w:val="nil"/>
              <w:bottom w:val="single" w:color="auto" w:sz="6" w:space="0"/>
              <w:right w:val="single" w:color="auto" w:sz="6" w:space="0"/>
            </w:tcBorders>
            <w:tcMar>
              <w:top w:w="0" w:type="dxa"/>
              <w:left w:w="105" w:type="dxa"/>
              <w:bottom w:w="0" w:type="dxa"/>
              <w:right w:w="105" w:type="dxa"/>
            </w:tcMar>
          </w:tcPr>
          <w:p>
            <w:pPr>
              <w:widowControl/>
              <w:spacing w:before="75" w:after="100" w:afterAutospacing="1" w:line="40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根据数据标准提供门诊病历、住院病历、护理病历、医嘱、检验检查报告等诊疗数据的采集脚本和接口；</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2107" w:type="dxa"/>
            <w:vMerge w:val="continue"/>
            <w:tcBorders>
              <w:top w:val="nil"/>
              <w:left w:val="single" w:color="auto" w:sz="6" w:space="0"/>
              <w:bottom w:val="single" w:color="auto" w:sz="6" w:space="0"/>
              <w:right w:val="single" w:color="auto" w:sz="6" w:space="0"/>
            </w:tcBorders>
            <w:vAlign w:val="center"/>
          </w:tcPr>
          <w:p>
            <w:pPr>
              <w:widowControl/>
              <w:spacing w:line="400" w:lineRule="exact"/>
              <w:jc w:val="left"/>
              <w:rPr>
                <w:rFonts w:ascii="宋体" w:hAnsi="宋体" w:cs="宋体"/>
                <w:color w:val="000000" w:themeColor="text1"/>
                <w:kern w:val="0"/>
                <w:sz w:val="24"/>
                <w:highlight w:val="none"/>
                <w14:textFill>
                  <w14:solidFill>
                    <w14:schemeClr w14:val="tx1"/>
                  </w14:solidFill>
                </w14:textFill>
              </w:rPr>
            </w:pPr>
          </w:p>
        </w:tc>
        <w:tc>
          <w:tcPr>
            <w:tcW w:w="6503" w:type="dxa"/>
            <w:tcBorders>
              <w:top w:val="nil"/>
              <w:left w:val="nil"/>
              <w:bottom w:val="single" w:color="auto" w:sz="6" w:space="0"/>
              <w:right w:val="single" w:color="auto" w:sz="6" w:space="0"/>
            </w:tcBorders>
            <w:tcMar>
              <w:top w:w="0" w:type="dxa"/>
              <w:left w:w="105" w:type="dxa"/>
              <w:bottom w:w="0" w:type="dxa"/>
              <w:right w:w="105" w:type="dxa"/>
            </w:tcMar>
          </w:tcPr>
          <w:p>
            <w:pPr>
              <w:widowControl/>
              <w:spacing w:before="75" w:after="100" w:afterAutospacing="1" w:line="40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根据数据标准提供门诊业务、住院业务、质量数据、医技数据等运行管理指标数据的采集脚本和接口；</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2107" w:type="dxa"/>
            <w:vMerge w:val="continue"/>
            <w:tcBorders>
              <w:top w:val="nil"/>
              <w:left w:val="single" w:color="auto" w:sz="6" w:space="0"/>
              <w:bottom w:val="single" w:color="auto" w:sz="6" w:space="0"/>
              <w:right w:val="single" w:color="auto" w:sz="6" w:space="0"/>
            </w:tcBorders>
            <w:vAlign w:val="center"/>
          </w:tcPr>
          <w:p>
            <w:pPr>
              <w:widowControl/>
              <w:spacing w:line="400" w:lineRule="exact"/>
              <w:jc w:val="left"/>
              <w:rPr>
                <w:rFonts w:ascii="宋体" w:hAnsi="宋体" w:cs="宋体"/>
                <w:color w:val="000000" w:themeColor="text1"/>
                <w:kern w:val="0"/>
                <w:sz w:val="24"/>
                <w:highlight w:val="none"/>
                <w14:textFill>
                  <w14:solidFill>
                    <w14:schemeClr w14:val="tx1"/>
                  </w14:solidFill>
                </w14:textFill>
              </w:rPr>
            </w:pPr>
          </w:p>
        </w:tc>
        <w:tc>
          <w:tcPr>
            <w:tcW w:w="6503" w:type="dxa"/>
            <w:tcBorders>
              <w:top w:val="nil"/>
              <w:left w:val="nil"/>
              <w:bottom w:val="single" w:color="auto" w:sz="6" w:space="0"/>
              <w:right w:val="single" w:color="auto" w:sz="6" w:space="0"/>
            </w:tcBorders>
            <w:tcMar>
              <w:top w:w="0" w:type="dxa"/>
              <w:left w:w="105" w:type="dxa"/>
              <w:bottom w:w="0" w:type="dxa"/>
              <w:right w:w="105" w:type="dxa"/>
            </w:tcMar>
          </w:tcPr>
          <w:p>
            <w:pPr>
              <w:widowControl/>
              <w:spacing w:before="75" w:after="100" w:afterAutospacing="1" w:line="40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可生成数据采集的记录日志；可根据日志跟踪解决数据采集错误；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2107" w:type="dxa"/>
            <w:vMerge w:val="continue"/>
            <w:tcBorders>
              <w:top w:val="nil"/>
              <w:left w:val="single" w:color="auto" w:sz="6" w:space="0"/>
              <w:bottom w:val="single" w:color="auto" w:sz="6" w:space="0"/>
              <w:right w:val="single" w:color="auto" w:sz="6" w:space="0"/>
            </w:tcBorders>
            <w:vAlign w:val="center"/>
          </w:tcPr>
          <w:p>
            <w:pPr>
              <w:widowControl/>
              <w:spacing w:line="400" w:lineRule="exact"/>
              <w:jc w:val="left"/>
              <w:rPr>
                <w:rFonts w:ascii="宋体" w:hAnsi="宋体" w:cs="宋体"/>
                <w:color w:val="000000" w:themeColor="text1"/>
                <w:kern w:val="0"/>
                <w:sz w:val="24"/>
                <w:highlight w:val="none"/>
                <w14:textFill>
                  <w14:solidFill>
                    <w14:schemeClr w14:val="tx1"/>
                  </w14:solidFill>
                </w14:textFill>
              </w:rPr>
            </w:pPr>
          </w:p>
        </w:tc>
        <w:tc>
          <w:tcPr>
            <w:tcW w:w="6503" w:type="dxa"/>
            <w:tcBorders>
              <w:top w:val="nil"/>
              <w:left w:val="nil"/>
              <w:bottom w:val="single" w:color="auto" w:sz="6" w:space="0"/>
              <w:right w:val="single" w:color="auto" w:sz="6" w:space="0"/>
            </w:tcBorders>
            <w:tcMar>
              <w:top w:w="0" w:type="dxa"/>
              <w:left w:w="105" w:type="dxa"/>
              <w:bottom w:w="0" w:type="dxa"/>
              <w:right w:w="105" w:type="dxa"/>
            </w:tcMar>
          </w:tcPr>
          <w:p>
            <w:pPr>
              <w:widowControl/>
              <w:spacing w:before="75" w:after="100" w:afterAutospacing="1" w:line="40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支持增量数据采集，自动采集同步新产生的数据；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2107" w:type="dxa"/>
            <w:vMerge w:val="continue"/>
            <w:tcBorders>
              <w:top w:val="nil"/>
              <w:left w:val="single" w:color="auto" w:sz="6" w:space="0"/>
              <w:bottom w:val="single" w:color="auto" w:sz="6" w:space="0"/>
              <w:right w:val="single" w:color="auto" w:sz="6" w:space="0"/>
            </w:tcBorders>
            <w:vAlign w:val="center"/>
          </w:tcPr>
          <w:p>
            <w:pPr>
              <w:widowControl/>
              <w:spacing w:line="400" w:lineRule="exact"/>
              <w:jc w:val="left"/>
              <w:rPr>
                <w:rFonts w:ascii="宋体" w:hAnsi="宋体" w:cs="宋体"/>
                <w:color w:val="000000" w:themeColor="text1"/>
                <w:kern w:val="0"/>
                <w:sz w:val="24"/>
                <w:highlight w:val="none"/>
                <w14:textFill>
                  <w14:solidFill>
                    <w14:schemeClr w14:val="tx1"/>
                  </w14:solidFill>
                </w14:textFill>
              </w:rPr>
            </w:pPr>
          </w:p>
        </w:tc>
        <w:tc>
          <w:tcPr>
            <w:tcW w:w="6503" w:type="dxa"/>
            <w:tcBorders>
              <w:top w:val="nil"/>
              <w:left w:val="nil"/>
              <w:bottom w:val="single" w:color="auto" w:sz="6" w:space="0"/>
              <w:right w:val="single" w:color="auto" w:sz="6" w:space="0"/>
            </w:tcBorders>
            <w:tcMar>
              <w:top w:w="0" w:type="dxa"/>
              <w:left w:w="105" w:type="dxa"/>
              <w:bottom w:w="0" w:type="dxa"/>
              <w:right w:w="105" w:type="dxa"/>
            </w:tcMar>
          </w:tcPr>
          <w:p>
            <w:pPr>
              <w:widowControl/>
              <w:spacing w:before="75" w:after="100" w:afterAutospacing="1" w:line="40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支持不同数据设置不同频率、不同时段、不同采集接口、不同adapter接口；</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2107" w:type="dxa"/>
            <w:vMerge w:val="continue"/>
            <w:tcBorders>
              <w:top w:val="nil"/>
              <w:left w:val="single" w:color="auto" w:sz="6" w:space="0"/>
              <w:bottom w:val="single" w:color="auto" w:sz="6" w:space="0"/>
              <w:right w:val="single" w:color="auto" w:sz="6" w:space="0"/>
            </w:tcBorders>
            <w:vAlign w:val="center"/>
          </w:tcPr>
          <w:p>
            <w:pPr>
              <w:widowControl/>
              <w:spacing w:line="400" w:lineRule="exact"/>
              <w:jc w:val="left"/>
              <w:rPr>
                <w:rFonts w:ascii="宋体" w:hAnsi="宋体" w:cs="宋体"/>
                <w:color w:val="000000" w:themeColor="text1"/>
                <w:kern w:val="0"/>
                <w:sz w:val="24"/>
                <w:highlight w:val="none"/>
                <w14:textFill>
                  <w14:solidFill>
                    <w14:schemeClr w14:val="tx1"/>
                  </w14:solidFill>
                </w14:textFill>
              </w:rPr>
            </w:pPr>
          </w:p>
        </w:tc>
        <w:tc>
          <w:tcPr>
            <w:tcW w:w="6503" w:type="dxa"/>
            <w:tcBorders>
              <w:top w:val="nil"/>
              <w:left w:val="nil"/>
              <w:bottom w:val="single" w:color="auto" w:sz="6" w:space="0"/>
              <w:right w:val="single" w:color="auto" w:sz="6" w:space="0"/>
            </w:tcBorders>
            <w:tcMar>
              <w:top w:w="0" w:type="dxa"/>
              <w:left w:w="105" w:type="dxa"/>
              <w:bottom w:w="0" w:type="dxa"/>
              <w:right w:w="105" w:type="dxa"/>
            </w:tcMar>
          </w:tcPr>
          <w:p>
            <w:pPr>
              <w:widowControl/>
              <w:spacing w:before="75" w:after="100" w:afterAutospacing="1" w:line="40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提供与医院HIS、EMR等系统数据采集的接口配置功能；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2107" w:type="dxa"/>
            <w:vMerge w:val="continue"/>
            <w:tcBorders>
              <w:top w:val="nil"/>
              <w:left w:val="single" w:color="auto" w:sz="6" w:space="0"/>
              <w:bottom w:val="single" w:color="auto" w:sz="6" w:space="0"/>
              <w:right w:val="single" w:color="auto" w:sz="6" w:space="0"/>
            </w:tcBorders>
            <w:vAlign w:val="center"/>
          </w:tcPr>
          <w:p>
            <w:pPr>
              <w:widowControl/>
              <w:spacing w:line="400" w:lineRule="exact"/>
              <w:jc w:val="left"/>
              <w:rPr>
                <w:rFonts w:ascii="宋体" w:hAnsi="宋体" w:cs="宋体"/>
                <w:color w:val="000000" w:themeColor="text1"/>
                <w:kern w:val="0"/>
                <w:sz w:val="24"/>
                <w:highlight w:val="none"/>
                <w14:textFill>
                  <w14:solidFill>
                    <w14:schemeClr w14:val="tx1"/>
                  </w14:solidFill>
                </w14:textFill>
              </w:rPr>
            </w:pPr>
          </w:p>
        </w:tc>
        <w:tc>
          <w:tcPr>
            <w:tcW w:w="6503" w:type="dxa"/>
            <w:tcBorders>
              <w:top w:val="nil"/>
              <w:left w:val="nil"/>
              <w:bottom w:val="single" w:color="auto" w:sz="6" w:space="0"/>
              <w:right w:val="single" w:color="auto" w:sz="6" w:space="0"/>
            </w:tcBorders>
            <w:tcMar>
              <w:top w:w="0" w:type="dxa"/>
              <w:left w:w="105" w:type="dxa"/>
              <w:bottom w:w="0" w:type="dxa"/>
              <w:right w:w="105" w:type="dxa"/>
            </w:tcMar>
          </w:tcPr>
          <w:p>
            <w:pPr>
              <w:widowControl/>
              <w:spacing w:before="75" w:after="100" w:afterAutospacing="1" w:line="40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支持数据质量的校验。</w:t>
            </w:r>
          </w:p>
        </w:tc>
      </w:tr>
    </w:tbl>
    <w:p>
      <w:pPr>
        <w:spacing w:line="400" w:lineRule="exact"/>
        <w:rPr>
          <w:rFonts w:ascii="宋体" w:hAnsi="宋体" w:cs="宋体"/>
          <w:color w:val="000000" w:themeColor="text1"/>
          <w:sz w:val="24"/>
          <w:highlight w:val="none"/>
          <w14:textFill>
            <w14:solidFill>
              <w14:schemeClr w14:val="tx1"/>
            </w14:solidFill>
          </w14:textFill>
        </w:rPr>
      </w:pPr>
    </w:p>
    <w:p>
      <w:pPr>
        <w:pStyle w:val="6"/>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5.2.4主索引管理</w:t>
      </w:r>
    </w:p>
    <w:p>
      <w:pPr>
        <w:pStyle w:val="53"/>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应提供以下功能：</w:t>
      </w:r>
    </w:p>
    <w:p>
      <w:pPr>
        <w:pStyle w:val="53"/>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t>提供患者信息注册、信息匹配、主索引更新与发布、主索引注销等功能；</w:t>
      </w:r>
    </w:p>
    <w:p>
      <w:pPr>
        <w:pStyle w:val="53"/>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t>提供病人健康的注册、更换、注销等功能；</w:t>
      </w:r>
    </w:p>
    <w:p>
      <w:pPr>
        <w:pStyle w:val="53"/>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t>提供主索引合并功能；</w:t>
      </w:r>
    </w:p>
    <w:p>
      <w:pPr>
        <w:pStyle w:val="53"/>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t>提供主索引注册、更新、匹配、查询等组件服务；</w:t>
      </w:r>
    </w:p>
    <w:p>
      <w:pPr>
        <w:pStyle w:val="53"/>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t>提供健康卡的注册、更换、注销等组件服务；</w:t>
      </w:r>
    </w:p>
    <w:p>
      <w:pPr>
        <w:pStyle w:val="53"/>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t>提供主索引匹配机制的参数与权重配置功能。</w:t>
      </w:r>
    </w:p>
    <w:p>
      <w:pPr>
        <w:pStyle w:val="53"/>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t>可以与玉环市卫健局建设的区域卫生平台的主索引互联互通。</w:t>
      </w:r>
    </w:p>
    <w:p>
      <w:pPr>
        <w:pStyle w:val="6"/>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5.2.5配置管理</w:t>
      </w:r>
    </w:p>
    <w:p>
      <w:pPr>
        <w:pStyle w:val="53"/>
        <w:spacing w:line="400" w:lineRule="exact"/>
        <w:rPr>
          <w:rFonts w:ascii="宋体" w:hAnsi="宋体" w:cs="宋体"/>
          <w:color w:val="000000" w:themeColor="text1"/>
          <w:highlight w:val="none"/>
          <w14:textFill>
            <w14:solidFill>
              <w14:schemeClr w14:val="tx1"/>
            </w14:solidFill>
          </w14:textFill>
        </w:rPr>
      </w:pPr>
      <w:bookmarkStart w:id="3" w:name="_Hlk4675589"/>
      <w:r>
        <w:rPr>
          <w:rFonts w:hint="eastAsia" w:ascii="宋体" w:hAnsi="宋体" w:cs="宋体"/>
          <w:color w:val="000000" w:themeColor="text1"/>
          <w:highlight w:val="none"/>
          <w14:textFill>
            <w14:solidFill>
              <w14:schemeClr w14:val="tx1"/>
            </w14:solidFill>
          </w14:textFill>
        </w:rPr>
        <w:t>应提供以下功能：</w:t>
      </w:r>
    </w:p>
    <w:bookmarkEnd w:id="3"/>
    <w:p>
      <w:pPr>
        <w:pStyle w:val="53"/>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提供人员注册与用户注册管理；</w:t>
      </w:r>
    </w:p>
    <w:p>
      <w:pPr>
        <w:pStyle w:val="53"/>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提供机构注册与科室注册管理；</w:t>
      </w:r>
    </w:p>
    <w:p>
      <w:pPr>
        <w:pStyle w:val="53"/>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提供服务注册与服务授权管理；</w:t>
      </w:r>
    </w:p>
    <w:p>
      <w:pPr>
        <w:pStyle w:val="53"/>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提供服务流程配置及服务调用监控功能；</w:t>
      </w:r>
    </w:p>
    <w:p>
      <w:pPr>
        <w:pStyle w:val="53"/>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提供应用注册及应用功能模块注册功能。</w:t>
      </w:r>
    </w:p>
    <w:p>
      <w:pPr>
        <w:pStyle w:val="6"/>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5.2.6安全管理</w:t>
      </w:r>
    </w:p>
    <w:p>
      <w:pPr>
        <w:pStyle w:val="53"/>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应提供以下功能：</w:t>
      </w:r>
    </w:p>
    <w:p>
      <w:pPr>
        <w:pStyle w:val="53"/>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需可以提供节点认证功能，加强对平台接入；</w:t>
      </w:r>
    </w:p>
    <w:p>
      <w:pPr>
        <w:pStyle w:val="53"/>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提供审计管理功能；</w:t>
      </w:r>
    </w:p>
    <w:p>
      <w:pPr>
        <w:pStyle w:val="53"/>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支持隐私数据的过滤控制与管理。</w:t>
      </w:r>
    </w:p>
    <w:p>
      <w:pPr>
        <w:pStyle w:val="5"/>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5.3医院（健共体集团）数据中心及应用</w:t>
      </w:r>
    </w:p>
    <w:p>
      <w:pPr>
        <w:pStyle w:val="6"/>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5.3.1临床数据中心</w:t>
      </w:r>
    </w:p>
    <w:p>
      <w:pPr>
        <w:pStyle w:val="53"/>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以患者 EMPI 为主线组织患者的临床数据，将患者的所有医疗信息，如就诊记录、门诊处方、住院医嘱、电子病历、检查化验报告等，以全面、标准、统一的方式整合存储，为临床数据的共享提供了统一的平台支撑。CDR 提供了一个平台用于院内平台临床医疗信息的交换共享，并为临床决策支持。最终实现辅助改善医疗服务质量、较少医疗差错、提高临床诊疗水平，为决策提供支持信息和降低医疗成本。以临床数据中心为基础，以患者为中心从就诊时间和临床活动两个维度组织临床数据，使临床人员通过一个清晰、友好的统一视图，实时、准确和方便地查看患者临床数据，同时还提供直观的导航模型，从而优化临床工作者的操作流程，让临床工作者在短时间内对患者就诊情况有整体了解，为患者提供高效、快捷、准确的医疗服务，从而提高医疗服务的质量。</w:t>
      </w:r>
    </w:p>
    <w:p>
      <w:pPr>
        <w:pStyle w:val="53"/>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临床数据存储库CDR应采用标准化的数据集和数据元，根据临床文档信息模型以及各类医疗服务活动的业务规则，通过对数据集和数据元的基数约束以及数据元允许值约束，生成各类实际应用的结构化、标准化临床文档，以保证电子病历数据采集的一致性。</w:t>
      </w:r>
    </w:p>
    <w:p>
      <w:pPr>
        <w:pStyle w:val="53"/>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应包括患者、医疗服务人员、医疗卫生机构、科室、字典标准、EMR文档、临床数据（文档）存储库等。</w:t>
      </w:r>
    </w:p>
    <w:p>
      <w:pPr>
        <w:pStyle w:val="53"/>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数据字典应包括《WS 445-2014电子病历基本数据集》，《电子病历共享文档规范》。</w:t>
      </w:r>
    </w:p>
    <w:p>
      <w:pPr>
        <w:pStyle w:val="53"/>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每一类需要在临床文档仓库中进行存储的EMR文档都需要在CDR中进行注册。并且还需要在CDR中注册其文档的模板信息与数据。EMR文档产生并完成注册后，以符合HL7 CDA的文档结构的方式产生后按照以患者为中心的索引方式进行存储，形成临床数据存储库。</w:t>
      </w:r>
    </w:p>
    <w:p>
      <w:pPr>
        <w:pStyle w:val="53"/>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并能对EMR文档进行版本管理，且应当支持文档变化的痕迹跟踪，以及痕迹审计。反应出EMR文档在不同提交时间戳时的文档实际状态。</w:t>
      </w:r>
    </w:p>
    <w:p>
      <w:pPr>
        <w:pStyle w:val="6"/>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5.3.2管理指标中心</w:t>
      </w:r>
    </w:p>
    <w:p>
      <w:pPr>
        <w:pStyle w:val="53"/>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管理数据中心是管理指标的数据库，需涵盖了门诊、住院、检验检查、手术、用药、护理等各个领域。通过各类指标可以对临床过程和医疗质量进行实时管理，及时发现临床医疗中的问题，并通过信息系统的各种提醒警示进行校正。通过管理指标实现医疗管理和临床决策支持，并可为医院绩效考核提供依据。</w:t>
      </w:r>
    </w:p>
    <w:p>
      <w:pPr>
        <w:pStyle w:val="53"/>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系统应提供以下管理功能：</w:t>
      </w:r>
    </w:p>
    <w:p>
      <w:pPr>
        <w:pStyle w:val="53"/>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指标管理：可针对医院关注对象建立指标，指标建立支持指标公式利用加、减、乘、除等算法计算合成指标，并可以设置指标数据长度和数据类型，添加指标说明，说明链接。支持指标建立、修改、删除基本功能；并可按照业务对指标建立多个目录，具备目录增删改基本功能。</w:t>
      </w:r>
    </w:p>
    <w:p>
      <w:pPr>
        <w:pStyle w:val="53"/>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维度管理：可根据医院关注角度建立维度，对维度设置数据类型，选择字典名称。针 对单一维度可新增或者引用其他维度方式以建立下钻维度。</w:t>
      </w:r>
    </w:p>
    <w:p>
      <w:pPr>
        <w:pStyle w:val="53"/>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指标数据采集：提供指标数据的定时采集参数配置功能，支持批量配置，功能包括：</w:t>
      </w:r>
    </w:p>
    <w:p>
      <w:pPr>
        <w:pStyle w:val="53"/>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数据源配置、采集模型配置、采集调度管理、错误日志查看等。</w:t>
      </w:r>
    </w:p>
    <w:p>
      <w:pPr>
        <w:pStyle w:val="53"/>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指标数据存储：提供统一的指标数据仓库（ST）；提供支撑指标统计数据的明细数据仓库（DW）；</w:t>
      </w:r>
    </w:p>
    <w:p>
      <w:pPr>
        <w:pStyle w:val="53"/>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指标数据服务：提供指标数据的存储、获取服务；用于支撑基于指标仓库的综合分析系统；提供按条件、按权限的指标数据获取服务，用于提供给外部系统使用指标统计数据；</w:t>
      </w:r>
    </w:p>
    <w:p>
      <w:pPr>
        <w:pStyle w:val="6"/>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5.3.3临床集成视图（电子病历浏览器）</w:t>
      </w:r>
    </w:p>
    <w:p>
      <w:pPr>
        <w:pStyle w:val="53"/>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提供用户访问个人电子病历记录的应用程序，采用Web方式实现，在该应用中被授权的医护专业人员或患者可以方便地访问数据中心中保存的相关数据。并可以根据使用者的特定需求提供不同领域的调阅展示服务；</w:t>
      </w:r>
    </w:p>
    <w:p>
      <w:pPr>
        <w:pStyle w:val="53"/>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提供历次就诊病历摘要、就诊记录、门诊病历、住院病历、病程记录、护理病历、电子处方、电子医嘱、检验报告、检查报告、手麻记录、超声报告、内镜报告、病理报告、心电图等病历资料的浏览功能；</w:t>
      </w:r>
    </w:p>
    <w:p>
      <w:pPr>
        <w:pStyle w:val="53"/>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体现卫生部标准规范中的电子病历就诊时间、就诊问题、诊疗活动三维时序模型的思路；</w:t>
      </w:r>
    </w:p>
    <w:p>
      <w:pPr>
        <w:pStyle w:val="53"/>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提供病人病情概要信息和在两院区多次就诊的诊疗信息全视图导航功能；</w:t>
      </w:r>
    </w:p>
    <w:p>
      <w:pPr>
        <w:pStyle w:val="53"/>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提供门诊和住院单次就诊的全视图导航功能，其中住院采用时序图模式；</w:t>
      </w:r>
    </w:p>
    <w:p>
      <w:pPr>
        <w:pStyle w:val="53"/>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支持按疾病、按类别对诊疗信息进行过滤的功能；</w:t>
      </w:r>
    </w:p>
    <w:p>
      <w:pPr>
        <w:pStyle w:val="53"/>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支持历次就诊同类型文档的对比功能和切换功能；</w:t>
      </w:r>
    </w:p>
    <w:p>
      <w:pPr>
        <w:pStyle w:val="53"/>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支持对病人历次就诊的各种体征数据（体温、脉搏、血压、血糖等）和检验指标数据进行曲线图展示；</w:t>
      </w:r>
    </w:p>
    <w:p>
      <w:pPr>
        <w:pStyle w:val="53"/>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支持对电子病历数据的引用功能；</w:t>
      </w:r>
    </w:p>
    <w:p>
      <w:pPr>
        <w:pStyle w:val="53"/>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支持XML、HTML、PDF、JPG等格式的病历资料查看</w:t>
      </w:r>
    </w:p>
    <w:p>
      <w:pPr>
        <w:pStyle w:val="53"/>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支持在医生工作站、护士工作站等业务系统中的无缝集成与嵌入（单点登录与权限控制）；</w:t>
      </w:r>
    </w:p>
    <w:p>
      <w:pPr>
        <w:pStyle w:val="53"/>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支持对隐私数据进行过滤。</w:t>
      </w:r>
    </w:p>
    <w:p>
      <w:pPr>
        <w:pStyle w:val="6"/>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5.3.4运营决策分析系统</w:t>
      </w:r>
    </w:p>
    <w:p>
      <w:pPr>
        <w:pStyle w:val="53"/>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通过采集医院运行数据，设计各种主题分析以满足医院的实际业务需要，能够根据医院不断变化的需求而进行自定义配置功能。满足因不同管理者关注的对象不同而自定义设置的功能，并满足医院不断发展的趋势。实现OLAP钻取分析，趋势分析、对比分析、同比环比分析、复杂构成分析、报表联动；能够进行表内运算和表间运算，多角度进行切片、切块。在图表展现上能够采用仪表盘，柱状图、趋势图、叠加图、雷达图、饼图等多种表达方式。对关键指标能够监控预警，能够支持导出生成excel文档。</w:t>
      </w:r>
    </w:p>
    <w:p>
      <w:pPr>
        <w:pStyle w:val="53"/>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综合运营分析具体包括如下主题：</w:t>
      </w:r>
    </w:p>
    <w:tbl>
      <w:tblPr>
        <w:tblStyle w:val="20"/>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59"/>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709" w:type="dxa"/>
            <w:shd w:val="clear" w:color="auto" w:fill="D9D9D9"/>
            <w:vAlign w:val="center"/>
          </w:tcPr>
          <w:p>
            <w:pPr>
              <w:spacing w:line="400" w:lineRule="exact"/>
              <w:jc w:val="center"/>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主题</w:t>
            </w:r>
          </w:p>
        </w:tc>
        <w:tc>
          <w:tcPr>
            <w:tcW w:w="1559" w:type="dxa"/>
            <w:shd w:val="clear" w:color="auto" w:fill="D9D9D9"/>
            <w:vAlign w:val="center"/>
          </w:tcPr>
          <w:p>
            <w:pPr>
              <w:spacing w:line="400" w:lineRule="exact"/>
              <w:jc w:val="center"/>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子主题</w:t>
            </w:r>
          </w:p>
        </w:tc>
        <w:tc>
          <w:tcPr>
            <w:tcW w:w="6379" w:type="dxa"/>
            <w:shd w:val="clear" w:color="auto" w:fill="D9D9D9"/>
            <w:vAlign w:val="center"/>
          </w:tcPr>
          <w:p>
            <w:pPr>
              <w:spacing w:line="400" w:lineRule="exact"/>
              <w:jc w:val="center"/>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功能需求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Merge w:val="restart"/>
            <w:vAlign w:val="center"/>
          </w:tcPr>
          <w:p>
            <w:pPr>
              <w:spacing w:line="400" w:lineRule="exact"/>
              <w:jc w:val="center"/>
              <w:rPr>
                <w:rFonts w:ascii="宋体" w:hAnsi="宋体" w:cs="宋体"/>
                <w:b/>
                <w:color w:val="000000" w:themeColor="text1"/>
                <w:kern w:val="0"/>
                <w:sz w:val="24"/>
                <w:highlight w:val="none"/>
                <w14:textFill>
                  <w14:solidFill>
                    <w14:schemeClr w14:val="tx1"/>
                  </w14:solidFill>
                </w14:textFill>
              </w:rPr>
            </w:pPr>
            <w:bookmarkStart w:id="4" w:name="_Toc446420894"/>
            <w:r>
              <w:rPr>
                <w:rFonts w:hint="eastAsia" w:ascii="宋体" w:hAnsi="宋体" w:cs="宋体"/>
                <w:b/>
                <w:color w:val="000000" w:themeColor="text1"/>
                <w:sz w:val="24"/>
                <w:highlight w:val="none"/>
                <w14:textFill>
                  <w14:solidFill>
                    <w14:schemeClr w14:val="tx1"/>
                  </w14:solidFill>
                </w14:textFill>
              </w:rPr>
              <w:t>门诊业务</w:t>
            </w:r>
            <w:bookmarkEnd w:id="4"/>
            <w:r>
              <w:rPr>
                <w:rFonts w:hint="eastAsia" w:ascii="宋体" w:hAnsi="宋体" w:cs="宋体"/>
                <w:b/>
                <w:color w:val="000000" w:themeColor="text1"/>
                <w:sz w:val="24"/>
                <w:highlight w:val="none"/>
                <w14:textFill>
                  <w14:solidFill>
                    <w14:schemeClr w14:val="tx1"/>
                  </w14:solidFill>
                </w14:textFill>
              </w:rPr>
              <w:t>分析</w:t>
            </w:r>
          </w:p>
        </w:tc>
        <w:tc>
          <w:tcPr>
            <w:tcW w:w="1559" w:type="dxa"/>
            <w:vAlign w:val="center"/>
          </w:tcPr>
          <w:p>
            <w:pPr>
              <w:spacing w:line="40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门诊负荷</w:t>
            </w:r>
          </w:p>
        </w:tc>
        <w:tc>
          <w:tcPr>
            <w:tcW w:w="6379" w:type="dxa"/>
            <w:vAlign w:val="center"/>
          </w:tcPr>
          <w:p>
            <w:pPr>
              <w:spacing w:line="40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按照科室、时间维度统计门急诊人次，包括输液、检查、留观人次，健康体检人次，门诊手术例数等指标，以</w:t>
            </w:r>
            <w:r>
              <w:rPr>
                <w:rFonts w:hint="eastAsia" w:ascii="宋体" w:hAnsi="宋体" w:cs="宋体"/>
                <w:bCs/>
                <w:color w:val="000000" w:themeColor="text1"/>
                <w:kern w:val="0"/>
                <w:sz w:val="24"/>
                <w:highlight w:val="none"/>
                <w14:textFill>
                  <w14:solidFill>
                    <w14:schemeClr w14:val="tx1"/>
                  </w14:solidFill>
                </w14:textFill>
              </w:rPr>
              <w:t>表格</w:t>
            </w:r>
            <w:r>
              <w:rPr>
                <w:rFonts w:hint="eastAsia" w:ascii="宋体" w:hAnsi="宋体" w:cs="宋体"/>
                <w:color w:val="000000" w:themeColor="text1"/>
                <w:kern w:val="0"/>
                <w:sz w:val="24"/>
                <w:highlight w:val="none"/>
                <w14:textFill>
                  <w14:solidFill>
                    <w14:schemeClr w14:val="tx1"/>
                  </w14:solidFill>
                </w14:textFill>
              </w:rPr>
              <w:t>、重点指标折线图方式展现。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Merge w:val="continue"/>
            <w:vAlign w:val="center"/>
          </w:tcPr>
          <w:p>
            <w:pPr>
              <w:spacing w:line="400" w:lineRule="exact"/>
              <w:jc w:val="center"/>
              <w:rPr>
                <w:rFonts w:ascii="宋体" w:hAnsi="宋体" w:cs="宋体"/>
                <w:color w:val="000000" w:themeColor="text1"/>
                <w:kern w:val="0"/>
                <w:sz w:val="24"/>
                <w:highlight w:val="none"/>
                <w14:textFill>
                  <w14:solidFill>
                    <w14:schemeClr w14:val="tx1"/>
                  </w14:solidFill>
                </w14:textFill>
              </w:rPr>
            </w:pPr>
          </w:p>
        </w:tc>
        <w:tc>
          <w:tcPr>
            <w:tcW w:w="1559" w:type="dxa"/>
            <w:vAlign w:val="center"/>
          </w:tcPr>
          <w:p>
            <w:pPr>
              <w:spacing w:line="40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门诊挂号</w:t>
            </w:r>
          </w:p>
        </w:tc>
        <w:tc>
          <w:tcPr>
            <w:tcW w:w="6379" w:type="dxa"/>
            <w:vAlign w:val="center"/>
          </w:tcPr>
          <w:p>
            <w:pPr>
              <w:spacing w:line="40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按照科室、时间维度</w:t>
            </w:r>
            <w:r>
              <w:rPr>
                <w:rFonts w:hint="eastAsia" w:ascii="宋体" w:hAnsi="宋体" w:cs="宋体"/>
                <w:bCs/>
                <w:color w:val="000000" w:themeColor="text1"/>
                <w:kern w:val="0"/>
                <w:sz w:val="24"/>
                <w:highlight w:val="none"/>
                <w14:textFill>
                  <w14:solidFill>
                    <w14:schemeClr w14:val="tx1"/>
                  </w14:solidFill>
                </w14:textFill>
              </w:rPr>
              <w:t>统计</w:t>
            </w:r>
            <w:r>
              <w:rPr>
                <w:rFonts w:hint="eastAsia" w:ascii="宋体" w:hAnsi="宋体" w:cs="宋体"/>
                <w:color w:val="000000" w:themeColor="text1"/>
                <w:kern w:val="0"/>
                <w:sz w:val="24"/>
                <w:highlight w:val="none"/>
                <w14:textFill>
                  <w14:solidFill>
                    <w14:schemeClr w14:val="tx1"/>
                  </w14:solidFill>
                </w14:textFill>
              </w:rPr>
              <w:t>各种挂号人次（普通、专家、专科、特需），退号人次，自助挂号率及预约率等指标，以</w:t>
            </w:r>
            <w:r>
              <w:rPr>
                <w:rFonts w:hint="eastAsia" w:ascii="宋体" w:hAnsi="宋体" w:cs="宋体"/>
                <w:bCs/>
                <w:color w:val="000000" w:themeColor="text1"/>
                <w:kern w:val="0"/>
                <w:sz w:val="24"/>
                <w:highlight w:val="none"/>
                <w14:textFill>
                  <w14:solidFill>
                    <w14:schemeClr w14:val="tx1"/>
                  </w14:solidFill>
                </w14:textFill>
              </w:rPr>
              <w:t>表格</w:t>
            </w:r>
            <w:r>
              <w:rPr>
                <w:rFonts w:hint="eastAsia" w:ascii="宋体" w:hAnsi="宋体" w:cs="宋体"/>
                <w:color w:val="000000" w:themeColor="text1"/>
                <w:kern w:val="0"/>
                <w:sz w:val="24"/>
                <w:highlight w:val="none"/>
                <w14:textFill>
                  <w14:solidFill>
                    <w14:schemeClr w14:val="tx1"/>
                  </w14:solidFill>
                </w14:textFill>
              </w:rPr>
              <w:t>、重点指标折线图方式展现。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Merge w:val="continue"/>
            <w:vAlign w:val="center"/>
          </w:tcPr>
          <w:p>
            <w:pPr>
              <w:spacing w:line="400" w:lineRule="exact"/>
              <w:jc w:val="center"/>
              <w:rPr>
                <w:rFonts w:ascii="宋体" w:hAnsi="宋体" w:cs="宋体"/>
                <w:color w:val="000000" w:themeColor="text1"/>
                <w:kern w:val="0"/>
                <w:sz w:val="24"/>
                <w:highlight w:val="none"/>
                <w14:textFill>
                  <w14:solidFill>
                    <w14:schemeClr w14:val="tx1"/>
                  </w14:solidFill>
                </w14:textFill>
              </w:rPr>
            </w:pPr>
          </w:p>
        </w:tc>
        <w:tc>
          <w:tcPr>
            <w:tcW w:w="1559" w:type="dxa"/>
            <w:vAlign w:val="center"/>
          </w:tcPr>
          <w:p>
            <w:pPr>
              <w:spacing w:line="40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门诊处方</w:t>
            </w:r>
          </w:p>
        </w:tc>
        <w:tc>
          <w:tcPr>
            <w:tcW w:w="6379" w:type="dxa"/>
            <w:vAlign w:val="center"/>
          </w:tcPr>
          <w:p>
            <w:pPr>
              <w:spacing w:line="40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按照科室、时间维度</w:t>
            </w:r>
            <w:r>
              <w:rPr>
                <w:rFonts w:hint="eastAsia" w:ascii="宋体" w:hAnsi="宋体" w:cs="宋体"/>
                <w:bCs/>
                <w:color w:val="000000" w:themeColor="text1"/>
                <w:kern w:val="0"/>
                <w:sz w:val="24"/>
                <w:highlight w:val="none"/>
                <w14:textFill>
                  <w14:solidFill>
                    <w14:schemeClr w14:val="tx1"/>
                  </w14:solidFill>
                </w14:textFill>
              </w:rPr>
              <w:t>统计</w:t>
            </w:r>
            <w:r>
              <w:rPr>
                <w:rFonts w:hint="eastAsia" w:ascii="宋体" w:hAnsi="宋体" w:cs="宋体"/>
                <w:color w:val="000000" w:themeColor="text1"/>
                <w:kern w:val="0"/>
                <w:sz w:val="24"/>
                <w:highlight w:val="none"/>
                <w14:textFill>
                  <w14:solidFill>
                    <w14:schemeClr w14:val="tx1"/>
                  </w14:solidFill>
                </w14:textFill>
              </w:rPr>
              <w:t>门急诊处方数量、费用，分析人均处方费用、处方平均费用、抗菌药物处方使用率等指标，以</w:t>
            </w:r>
            <w:r>
              <w:rPr>
                <w:rFonts w:hint="eastAsia" w:ascii="宋体" w:hAnsi="宋体" w:cs="宋体"/>
                <w:bCs/>
                <w:color w:val="000000" w:themeColor="text1"/>
                <w:kern w:val="0"/>
                <w:sz w:val="24"/>
                <w:highlight w:val="none"/>
                <w14:textFill>
                  <w14:solidFill>
                    <w14:schemeClr w14:val="tx1"/>
                  </w14:solidFill>
                </w14:textFill>
              </w:rPr>
              <w:t>表格</w:t>
            </w:r>
            <w:r>
              <w:rPr>
                <w:rFonts w:hint="eastAsia" w:ascii="宋体" w:hAnsi="宋体" w:cs="宋体"/>
                <w:color w:val="000000" w:themeColor="text1"/>
                <w:kern w:val="0"/>
                <w:sz w:val="24"/>
                <w:highlight w:val="none"/>
                <w14:textFill>
                  <w14:solidFill>
                    <w14:schemeClr w14:val="tx1"/>
                  </w14:solidFill>
                </w14:textFill>
              </w:rPr>
              <w:t>、重点指标折线图方式展现。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Merge w:val="continue"/>
            <w:vAlign w:val="center"/>
          </w:tcPr>
          <w:p>
            <w:pPr>
              <w:spacing w:line="400" w:lineRule="exact"/>
              <w:jc w:val="center"/>
              <w:rPr>
                <w:rFonts w:ascii="宋体" w:hAnsi="宋体" w:cs="宋体"/>
                <w:color w:val="000000" w:themeColor="text1"/>
                <w:kern w:val="0"/>
                <w:sz w:val="24"/>
                <w:highlight w:val="none"/>
                <w14:textFill>
                  <w14:solidFill>
                    <w14:schemeClr w14:val="tx1"/>
                  </w14:solidFill>
                </w14:textFill>
              </w:rPr>
            </w:pPr>
          </w:p>
        </w:tc>
        <w:tc>
          <w:tcPr>
            <w:tcW w:w="1559" w:type="dxa"/>
            <w:vAlign w:val="center"/>
          </w:tcPr>
          <w:p>
            <w:pPr>
              <w:spacing w:line="40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门诊费用</w:t>
            </w:r>
          </w:p>
        </w:tc>
        <w:tc>
          <w:tcPr>
            <w:tcW w:w="6379" w:type="dxa"/>
            <w:vAlign w:val="center"/>
          </w:tcPr>
          <w:p>
            <w:pPr>
              <w:spacing w:line="40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按照科室、时间维度统计门诊总费用、药品费用、检查费用、治疗费用、耗材费用，分析各项费用的均次值及占比情况，以</w:t>
            </w:r>
            <w:r>
              <w:rPr>
                <w:rFonts w:hint="eastAsia" w:ascii="宋体" w:hAnsi="宋体" w:cs="宋体"/>
                <w:bCs/>
                <w:color w:val="000000" w:themeColor="text1"/>
                <w:kern w:val="0"/>
                <w:sz w:val="24"/>
                <w:highlight w:val="none"/>
                <w14:textFill>
                  <w14:solidFill>
                    <w14:schemeClr w14:val="tx1"/>
                  </w14:solidFill>
                </w14:textFill>
              </w:rPr>
              <w:t>表格</w:t>
            </w:r>
            <w:r>
              <w:rPr>
                <w:rFonts w:hint="eastAsia" w:ascii="宋体" w:hAnsi="宋体" w:cs="宋体"/>
                <w:color w:val="000000" w:themeColor="text1"/>
                <w:kern w:val="0"/>
                <w:sz w:val="24"/>
                <w:highlight w:val="none"/>
                <w14:textFill>
                  <w14:solidFill>
                    <w14:schemeClr w14:val="tx1"/>
                  </w14:solidFill>
                </w14:textFill>
              </w:rPr>
              <w:t>、重点指标折线图方式展现。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Merge w:val="continue"/>
            <w:vAlign w:val="center"/>
          </w:tcPr>
          <w:p>
            <w:pPr>
              <w:spacing w:line="400" w:lineRule="exact"/>
              <w:jc w:val="center"/>
              <w:rPr>
                <w:rFonts w:ascii="宋体" w:hAnsi="宋体" w:cs="宋体"/>
                <w:color w:val="000000" w:themeColor="text1"/>
                <w:kern w:val="0"/>
                <w:sz w:val="24"/>
                <w:highlight w:val="none"/>
                <w14:textFill>
                  <w14:solidFill>
                    <w14:schemeClr w14:val="tx1"/>
                  </w14:solidFill>
                </w14:textFill>
              </w:rPr>
            </w:pPr>
          </w:p>
        </w:tc>
        <w:tc>
          <w:tcPr>
            <w:tcW w:w="1559" w:type="dxa"/>
            <w:vAlign w:val="center"/>
          </w:tcPr>
          <w:p>
            <w:pPr>
              <w:spacing w:line="40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门诊用药</w:t>
            </w:r>
          </w:p>
        </w:tc>
        <w:tc>
          <w:tcPr>
            <w:tcW w:w="6379" w:type="dxa"/>
            <w:vAlign w:val="center"/>
          </w:tcPr>
          <w:p>
            <w:pPr>
              <w:spacing w:line="40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要求按照科室、时间维度</w:t>
            </w:r>
            <w:r>
              <w:rPr>
                <w:rFonts w:hint="eastAsia" w:ascii="宋体" w:hAnsi="宋体" w:cs="宋体"/>
                <w:bCs/>
                <w:color w:val="000000" w:themeColor="text1"/>
                <w:kern w:val="0"/>
                <w:sz w:val="24"/>
                <w:highlight w:val="none"/>
                <w14:textFill>
                  <w14:solidFill>
                    <w14:schemeClr w14:val="tx1"/>
                  </w14:solidFill>
                </w14:textFill>
              </w:rPr>
              <w:t>统计</w:t>
            </w:r>
            <w:r>
              <w:rPr>
                <w:rFonts w:hint="eastAsia" w:ascii="宋体" w:hAnsi="宋体" w:cs="宋体"/>
                <w:color w:val="000000" w:themeColor="text1"/>
                <w:kern w:val="0"/>
                <w:sz w:val="24"/>
                <w:highlight w:val="none"/>
                <w14:textFill>
                  <w14:solidFill>
                    <w14:schemeClr w14:val="tx1"/>
                  </w14:solidFill>
                </w14:textFill>
              </w:rPr>
              <w:t>门诊抗菌药物使用人次及费用，分析抗菌药物使用率、费用率及均次费用等指标，以</w:t>
            </w:r>
            <w:r>
              <w:rPr>
                <w:rFonts w:hint="eastAsia" w:ascii="宋体" w:hAnsi="宋体" w:cs="宋体"/>
                <w:bCs/>
                <w:color w:val="000000" w:themeColor="text1"/>
                <w:kern w:val="0"/>
                <w:sz w:val="24"/>
                <w:highlight w:val="none"/>
                <w14:textFill>
                  <w14:solidFill>
                    <w14:schemeClr w14:val="tx1"/>
                  </w14:solidFill>
                </w14:textFill>
              </w:rPr>
              <w:t>表格</w:t>
            </w:r>
            <w:r>
              <w:rPr>
                <w:rFonts w:hint="eastAsia" w:ascii="宋体" w:hAnsi="宋体" w:cs="宋体"/>
                <w:color w:val="000000" w:themeColor="text1"/>
                <w:kern w:val="0"/>
                <w:sz w:val="24"/>
                <w:highlight w:val="none"/>
                <w14:textFill>
                  <w14:solidFill>
                    <w14:schemeClr w14:val="tx1"/>
                  </w14:solidFill>
                </w14:textFill>
              </w:rPr>
              <w:t>、重点指标折线图方式展现。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Merge w:val="restart"/>
            <w:vAlign w:val="center"/>
          </w:tcPr>
          <w:p>
            <w:pPr>
              <w:spacing w:line="400" w:lineRule="exact"/>
              <w:jc w:val="center"/>
              <w:rPr>
                <w:rFonts w:ascii="宋体" w:hAnsi="宋体" w:cs="宋体"/>
                <w:b/>
                <w:color w:val="000000" w:themeColor="text1"/>
                <w:kern w:val="0"/>
                <w:sz w:val="24"/>
                <w:highlight w:val="none"/>
                <w14:textFill>
                  <w14:solidFill>
                    <w14:schemeClr w14:val="tx1"/>
                  </w14:solidFill>
                </w14:textFill>
              </w:rPr>
            </w:pPr>
            <w:bookmarkStart w:id="5" w:name="_Toc446420895"/>
            <w:r>
              <w:rPr>
                <w:rFonts w:hint="eastAsia" w:ascii="宋体" w:hAnsi="宋体" w:cs="宋体"/>
                <w:b/>
                <w:color w:val="000000" w:themeColor="text1"/>
                <w:sz w:val="24"/>
                <w:highlight w:val="none"/>
                <w14:textFill>
                  <w14:solidFill>
                    <w14:schemeClr w14:val="tx1"/>
                  </w14:solidFill>
                </w14:textFill>
              </w:rPr>
              <w:t>住院业务分析</w:t>
            </w:r>
            <w:bookmarkEnd w:id="5"/>
          </w:p>
        </w:tc>
        <w:tc>
          <w:tcPr>
            <w:tcW w:w="1559" w:type="dxa"/>
            <w:vAlign w:val="center"/>
          </w:tcPr>
          <w:p>
            <w:pPr>
              <w:spacing w:line="40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住院负荷</w:t>
            </w:r>
          </w:p>
        </w:tc>
        <w:tc>
          <w:tcPr>
            <w:tcW w:w="6379" w:type="dxa"/>
            <w:vAlign w:val="center"/>
          </w:tcPr>
          <w:p>
            <w:pPr>
              <w:spacing w:line="40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按照科室、时间维度统计出院人次、新生儿、产妇出院人次，分析新生儿手术、非手术出院情况及剖宫产率等指标，以</w:t>
            </w:r>
            <w:r>
              <w:rPr>
                <w:rFonts w:hint="eastAsia" w:ascii="宋体" w:hAnsi="宋体" w:cs="宋体"/>
                <w:bCs/>
                <w:color w:val="000000" w:themeColor="text1"/>
                <w:kern w:val="0"/>
                <w:sz w:val="24"/>
                <w:highlight w:val="none"/>
                <w14:textFill>
                  <w14:solidFill>
                    <w14:schemeClr w14:val="tx1"/>
                  </w14:solidFill>
                </w14:textFill>
              </w:rPr>
              <w:t>表格</w:t>
            </w:r>
            <w:r>
              <w:rPr>
                <w:rFonts w:hint="eastAsia" w:ascii="宋体" w:hAnsi="宋体" w:cs="宋体"/>
                <w:color w:val="000000" w:themeColor="text1"/>
                <w:kern w:val="0"/>
                <w:sz w:val="24"/>
                <w:highlight w:val="none"/>
                <w14:textFill>
                  <w14:solidFill>
                    <w14:schemeClr w14:val="tx1"/>
                  </w14:solidFill>
                </w14:textFill>
              </w:rPr>
              <w:t>、重点指标折线图方式展现。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Merge w:val="continue"/>
            <w:vAlign w:val="center"/>
          </w:tcPr>
          <w:p>
            <w:pPr>
              <w:spacing w:line="400" w:lineRule="exact"/>
              <w:jc w:val="center"/>
              <w:rPr>
                <w:rFonts w:ascii="宋体" w:hAnsi="宋体" w:cs="宋体"/>
                <w:color w:val="000000" w:themeColor="text1"/>
                <w:kern w:val="0"/>
                <w:sz w:val="24"/>
                <w:highlight w:val="none"/>
                <w14:textFill>
                  <w14:solidFill>
                    <w14:schemeClr w14:val="tx1"/>
                  </w14:solidFill>
                </w14:textFill>
              </w:rPr>
            </w:pPr>
          </w:p>
        </w:tc>
        <w:tc>
          <w:tcPr>
            <w:tcW w:w="1559" w:type="dxa"/>
            <w:vAlign w:val="center"/>
          </w:tcPr>
          <w:p>
            <w:pPr>
              <w:spacing w:line="40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住院床位</w:t>
            </w:r>
          </w:p>
        </w:tc>
        <w:tc>
          <w:tcPr>
            <w:tcW w:w="6379" w:type="dxa"/>
            <w:vAlign w:val="center"/>
          </w:tcPr>
          <w:p>
            <w:pPr>
              <w:spacing w:line="40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按照科室、时间维度统计实际开放/实际占用总床日数，出院患者占用总床日数，分析出院患者平均住院日、平均每张床位工作日、床位使用率、床位周转次数等指标，以</w:t>
            </w:r>
            <w:r>
              <w:rPr>
                <w:rFonts w:hint="eastAsia" w:ascii="宋体" w:hAnsi="宋体" w:cs="宋体"/>
                <w:bCs/>
                <w:color w:val="000000" w:themeColor="text1"/>
                <w:kern w:val="0"/>
                <w:sz w:val="24"/>
                <w:highlight w:val="none"/>
                <w14:textFill>
                  <w14:solidFill>
                    <w14:schemeClr w14:val="tx1"/>
                  </w14:solidFill>
                </w14:textFill>
              </w:rPr>
              <w:t>表格</w:t>
            </w:r>
            <w:r>
              <w:rPr>
                <w:rFonts w:hint="eastAsia" w:ascii="宋体" w:hAnsi="宋体" w:cs="宋体"/>
                <w:color w:val="000000" w:themeColor="text1"/>
                <w:kern w:val="0"/>
                <w:sz w:val="24"/>
                <w:highlight w:val="none"/>
                <w14:textFill>
                  <w14:solidFill>
                    <w14:schemeClr w14:val="tx1"/>
                  </w14:solidFill>
                </w14:textFill>
              </w:rPr>
              <w:t>、重点指标折线图方式展现。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Merge w:val="continue"/>
            <w:vAlign w:val="center"/>
          </w:tcPr>
          <w:p>
            <w:pPr>
              <w:spacing w:line="400" w:lineRule="exact"/>
              <w:jc w:val="center"/>
              <w:rPr>
                <w:rFonts w:ascii="宋体" w:hAnsi="宋体" w:cs="宋体"/>
                <w:color w:val="000000" w:themeColor="text1"/>
                <w:kern w:val="0"/>
                <w:sz w:val="24"/>
                <w:highlight w:val="none"/>
                <w14:textFill>
                  <w14:solidFill>
                    <w14:schemeClr w14:val="tx1"/>
                  </w14:solidFill>
                </w14:textFill>
              </w:rPr>
            </w:pPr>
          </w:p>
        </w:tc>
        <w:tc>
          <w:tcPr>
            <w:tcW w:w="1559" w:type="dxa"/>
            <w:vAlign w:val="center"/>
          </w:tcPr>
          <w:p>
            <w:pPr>
              <w:spacing w:line="40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住院手术</w:t>
            </w:r>
          </w:p>
        </w:tc>
        <w:tc>
          <w:tcPr>
            <w:tcW w:w="6379" w:type="dxa"/>
            <w:vAlign w:val="center"/>
          </w:tcPr>
          <w:p>
            <w:pPr>
              <w:spacing w:line="40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按照科室、时间维度统计住院手术例数（一到四级）、日间手术例数、择期手术例数、新生儿手术例数，分析三四级手术百分率、清洁手术切口甲级愈合率等指标，以</w:t>
            </w:r>
            <w:r>
              <w:rPr>
                <w:rFonts w:hint="eastAsia" w:ascii="宋体" w:hAnsi="宋体" w:cs="宋体"/>
                <w:bCs/>
                <w:color w:val="000000" w:themeColor="text1"/>
                <w:kern w:val="0"/>
                <w:sz w:val="24"/>
                <w:highlight w:val="none"/>
                <w14:textFill>
                  <w14:solidFill>
                    <w14:schemeClr w14:val="tx1"/>
                  </w14:solidFill>
                </w14:textFill>
              </w:rPr>
              <w:t>表格</w:t>
            </w:r>
            <w:r>
              <w:rPr>
                <w:rFonts w:hint="eastAsia" w:ascii="宋体" w:hAnsi="宋体" w:cs="宋体"/>
                <w:color w:val="000000" w:themeColor="text1"/>
                <w:kern w:val="0"/>
                <w:sz w:val="24"/>
                <w:highlight w:val="none"/>
                <w14:textFill>
                  <w14:solidFill>
                    <w14:schemeClr w14:val="tx1"/>
                  </w14:solidFill>
                </w14:textFill>
              </w:rPr>
              <w:t>、重点指标折线图方式展现。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Merge w:val="continue"/>
            <w:vAlign w:val="center"/>
          </w:tcPr>
          <w:p>
            <w:pPr>
              <w:spacing w:line="400" w:lineRule="exact"/>
              <w:jc w:val="center"/>
              <w:rPr>
                <w:rFonts w:ascii="宋体" w:hAnsi="宋体" w:cs="宋体"/>
                <w:color w:val="000000" w:themeColor="text1"/>
                <w:kern w:val="0"/>
                <w:sz w:val="24"/>
                <w:highlight w:val="none"/>
                <w14:textFill>
                  <w14:solidFill>
                    <w14:schemeClr w14:val="tx1"/>
                  </w14:solidFill>
                </w14:textFill>
              </w:rPr>
            </w:pPr>
          </w:p>
        </w:tc>
        <w:tc>
          <w:tcPr>
            <w:tcW w:w="1559" w:type="dxa"/>
            <w:vAlign w:val="center"/>
          </w:tcPr>
          <w:p>
            <w:pPr>
              <w:spacing w:line="40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住院费用</w:t>
            </w:r>
          </w:p>
        </w:tc>
        <w:tc>
          <w:tcPr>
            <w:tcW w:w="6379" w:type="dxa"/>
            <w:vAlign w:val="center"/>
          </w:tcPr>
          <w:p>
            <w:pPr>
              <w:spacing w:line="40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按照科室、时间维度统计住院总费用、药品费用、手术费用、检查费用、治疗费用、耗材费用，分析各项费用的均次值及占比情况，以</w:t>
            </w:r>
            <w:r>
              <w:rPr>
                <w:rFonts w:hint="eastAsia" w:ascii="宋体" w:hAnsi="宋体" w:cs="宋体"/>
                <w:bCs/>
                <w:color w:val="000000" w:themeColor="text1"/>
                <w:kern w:val="0"/>
                <w:sz w:val="24"/>
                <w:highlight w:val="none"/>
                <w14:textFill>
                  <w14:solidFill>
                    <w14:schemeClr w14:val="tx1"/>
                  </w14:solidFill>
                </w14:textFill>
              </w:rPr>
              <w:t>表格</w:t>
            </w:r>
            <w:r>
              <w:rPr>
                <w:rFonts w:hint="eastAsia" w:ascii="宋体" w:hAnsi="宋体" w:cs="宋体"/>
                <w:color w:val="000000" w:themeColor="text1"/>
                <w:kern w:val="0"/>
                <w:sz w:val="24"/>
                <w:highlight w:val="none"/>
                <w14:textFill>
                  <w14:solidFill>
                    <w14:schemeClr w14:val="tx1"/>
                  </w14:solidFill>
                </w14:textFill>
              </w:rPr>
              <w:t>、重点指标折线图方式展现。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Merge w:val="continue"/>
            <w:vAlign w:val="center"/>
          </w:tcPr>
          <w:p>
            <w:pPr>
              <w:spacing w:line="400" w:lineRule="exact"/>
              <w:jc w:val="center"/>
              <w:rPr>
                <w:rFonts w:ascii="宋体" w:hAnsi="宋体" w:cs="宋体"/>
                <w:color w:val="000000" w:themeColor="text1"/>
                <w:kern w:val="0"/>
                <w:sz w:val="24"/>
                <w:highlight w:val="none"/>
                <w14:textFill>
                  <w14:solidFill>
                    <w14:schemeClr w14:val="tx1"/>
                  </w14:solidFill>
                </w14:textFill>
              </w:rPr>
            </w:pPr>
          </w:p>
        </w:tc>
        <w:tc>
          <w:tcPr>
            <w:tcW w:w="1559" w:type="dxa"/>
            <w:vAlign w:val="center"/>
          </w:tcPr>
          <w:p>
            <w:pPr>
              <w:spacing w:line="40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住院用药</w:t>
            </w:r>
          </w:p>
        </w:tc>
        <w:tc>
          <w:tcPr>
            <w:tcW w:w="6379" w:type="dxa"/>
            <w:vAlign w:val="center"/>
          </w:tcPr>
          <w:p>
            <w:pPr>
              <w:spacing w:line="40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按照科室、时间维度</w:t>
            </w:r>
            <w:r>
              <w:rPr>
                <w:rFonts w:hint="eastAsia" w:ascii="宋体" w:hAnsi="宋体" w:cs="宋体"/>
                <w:bCs/>
                <w:color w:val="000000" w:themeColor="text1"/>
                <w:kern w:val="0"/>
                <w:sz w:val="24"/>
                <w:highlight w:val="none"/>
                <w14:textFill>
                  <w14:solidFill>
                    <w14:schemeClr w14:val="tx1"/>
                  </w14:solidFill>
                </w14:textFill>
              </w:rPr>
              <w:t>统计</w:t>
            </w:r>
            <w:r>
              <w:rPr>
                <w:rFonts w:hint="eastAsia" w:ascii="宋体" w:hAnsi="宋体" w:cs="宋体"/>
                <w:color w:val="000000" w:themeColor="text1"/>
                <w:kern w:val="0"/>
                <w:sz w:val="24"/>
                <w:highlight w:val="none"/>
                <w14:textFill>
                  <w14:solidFill>
                    <w14:schemeClr w14:val="tx1"/>
                  </w14:solidFill>
                </w14:textFill>
              </w:rPr>
              <w:t>住院抗菌药物使用人次及费用，分析抗菌药物使用率、费用率、均次费用及使用强度，清洁手术预防用药情况等指标，以</w:t>
            </w:r>
            <w:r>
              <w:rPr>
                <w:rFonts w:hint="eastAsia" w:ascii="宋体" w:hAnsi="宋体" w:cs="宋体"/>
                <w:bCs/>
                <w:color w:val="000000" w:themeColor="text1"/>
                <w:kern w:val="0"/>
                <w:sz w:val="24"/>
                <w:highlight w:val="none"/>
                <w14:textFill>
                  <w14:solidFill>
                    <w14:schemeClr w14:val="tx1"/>
                  </w14:solidFill>
                </w14:textFill>
              </w:rPr>
              <w:t>表格</w:t>
            </w:r>
            <w:r>
              <w:rPr>
                <w:rFonts w:hint="eastAsia" w:ascii="宋体" w:hAnsi="宋体" w:cs="宋体"/>
                <w:color w:val="000000" w:themeColor="text1"/>
                <w:kern w:val="0"/>
                <w:sz w:val="24"/>
                <w:highlight w:val="none"/>
                <w14:textFill>
                  <w14:solidFill>
                    <w14:schemeClr w14:val="tx1"/>
                  </w14:solidFill>
                </w14:textFill>
              </w:rPr>
              <w:t>、重点指标折线图方式展现。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Merge w:val="restart"/>
            <w:vAlign w:val="center"/>
          </w:tcPr>
          <w:p>
            <w:pPr>
              <w:spacing w:line="40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医技业务分析</w:t>
            </w:r>
          </w:p>
        </w:tc>
        <w:tc>
          <w:tcPr>
            <w:tcW w:w="1559" w:type="dxa"/>
            <w:vAlign w:val="center"/>
          </w:tcPr>
          <w:p>
            <w:pPr>
              <w:spacing w:line="4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医技业务分析</w:t>
            </w:r>
          </w:p>
        </w:tc>
        <w:tc>
          <w:tcPr>
            <w:tcW w:w="6379" w:type="dxa"/>
            <w:vAlign w:val="center"/>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按照科室、时间维度统计科室，门诊检验人数，同比，环比，住院检验人数，同比，环比；急诊住院检验人数，同比，环比指标，以表格的方式展现。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Merge w:val="continue"/>
            <w:vAlign w:val="center"/>
          </w:tcPr>
          <w:p>
            <w:pPr>
              <w:spacing w:line="400" w:lineRule="exact"/>
              <w:jc w:val="center"/>
              <w:rPr>
                <w:rFonts w:ascii="宋体" w:hAnsi="宋体" w:cs="宋体"/>
                <w:color w:val="000000" w:themeColor="text1"/>
                <w:kern w:val="0"/>
                <w:sz w:val="24"/>
                <w:highlight w:val="none"/>
                <w14:textFill>
                  <w14:solidFill>
                    <w14:schemeClr w14:val="tx1"/>
                  </w14:solidFill>
                </w14:textFill>
              </w:rPr>
            </w:pPr>
          </w:p>
        </w:tc>
        <w:tc>
          <w:tcPr>
            <w:tcW w:w="1559" w:type="dxa"/>
            <w:vAlign w:val="center"/>
          </w:tcPr>
          <w:p>
            <w:pPr>
              <w:spacing w:line="4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检验次数前五项目</w:t>
            </w:r>
          </w:p>
        </w:tc>
        <w:tc>
          <w:tcPr>
            <w:tcW w:w="6379" w:type="dxa"/>
            <w:vAlign w:val="center"/>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按照时间维度统计检验/检查项目次数指标，以直方图的方式展现。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Merge w:val="continue"/>
            <w:vAlign w:val="center"/>
          </w:tcPr>
          <w:p>
            <w:pPr>
              <w:spacing w:line="400" w:lineRule="exact"/>
              <w:jc w:val="center"/>
              <w:rPr>
                <w:rFonts w:ascii="宋体" w:hAnsi="宋体" w:cs="宋体"/>
                <w:color w:val="000000" w:themeColor="text1"/>
                <w:kern w:val="0"/>
                <w:sz w:val="24"/>
                <w:highlight w:val="none"/>
                <w14:textFill>
                  <w14:solidFill>
                    <w14:schemeClr w14:val="tx1"/>
                  </w14:solidFill>
                </w14:textFill>
              </w:rPr>
            </w:pPr>
          </w:p>
        </w:tc>
        <w:tc>
          <w:tcPr>
            <w:tcW w:w="1559" w:type="dxa"/>
            <w:vAlign w:val="center"/>
          </w:tcPr>
          <w:p>
            <w:pPr>
              <w:spacing w:line="4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近n月检查/检验次数波动</w:t>
            </w:r>
          </w:p>
        </w:tc>
        <w:tc>
          <w:tcPr>
            <w:tcW w:w="6379" w:type="dxa"/>
            <w:vAlign w:val="center"/>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按照类别（检查，检验）维度统计每个月的次数指标，以趋势图的方式展现。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Merge w:val="restart"/>
            <w:vAlign w:val="center"/>
          </w:tcPr>
          <w:p>
            <w:pPr>
              <w:spacing w:line="40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工作量统计分析</w:t>
            </w:r>
          </w:p>
        </w:tc>
        <w:tc>
          <w:tcPr>
            <w:tcW w:w="1559" w:type="dxa"/>
            <w:vAlign w:val="center"/>
          </w:tcPr>
          <w:p>
            <w:pPr>
              <w:spacing w:line="4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科室工作量统计分析</w:t>
            </w:r>
          </w:p>
        </w:tc>
        <w:tc>
          <w:tcPr>
            <w:tcW w:w="6379" w:type="dxa"/>
            <w:vAlign w:val="center"/>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按照科室、时间维度统计检验人次，同比，环比，急诊人数，同比，环比，总量，同比，环比指标，以表格的方式展现。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Merge w:val="continue"/>
            <w:vAlign w:val="center"/>
          </w:tcPr>
          <w:p>
            <w:pPr>
              <w:spacing w:line="400" w:lineRule="exact"/>
              <w:jc w:val="center"/>
              <w:rPr>
                <w:rFonts w:ascii="宋体" w:hAnsi="宋体" w:cs="宋体"/>
                <w:color w:val="000000" w:themeColor="text1"/>
                <w:kern w:val="0"/>
                <w:sz w:val="24"/>
                <w:highlight w:val="none"/>
                <w14:textFill>
                  <w14:solidFill>
                    <w14:schemeClr w14:val="tx1"/>
                  </w14:solidFill>
                </w14:textFill>
              </w:rPr>
            </w:pPr>
          </w:p>
        </w:tc>
        <w:tc>
          <w:tcPr>
            <w:tcW w:w="1559" w:type="dxa"/>
            <w:vAlign w:val="center"/>
          </w:tcPr>
          <w:p>
            <w:pPr>
              <w:spacing w:line="4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个人工作量统计</w:t>
            </w:r>
          </w:p>
        </w:tc>
        <w:tc>
          <w:tcPr>
            <w:tcW w:w="6379" w:type="dxa"/>
            <w:vAlign w:val="center"/>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按照科室、时间、医生维度统计检查人数，急诊检查人数，检验人数，急诊检验人数指标，以直方图的方式展现。</w:t>
            </w:r>
          </w:p>
        </w:tc>
      </w:tr>
    </w:tbl>
    <w:p>
      <w:pPr>
        <w:pStyle w:val="53"/>
        <w:spacing w:line="400" w:lineRule="exact"/>
        <w:ind w:firstLine="0" w:firstLineChars="0"/>
        <w:rPr>
          <w:rFonts w:ascii="宋体" w:hAnsi="宋体" w:cs="宋体"/>
          <w:color w:val="000000" w:themeColor="text1"/>
          <w:highlight w:val="none"/>
          <w14:textFill>
            <w14:solidFill>
              <w14:schemeClr w14:val="tx1"/>
            </w14:solidFill>
          </w14:textFill>
        </w:rPr>
      </w:pPr>
    </w:p>
    <w:p>
      <w:pPr>
        <w:pStyle w:val="6"/>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5.3.5医疗质量决策分析系统</w:t>
      </w:r>
    </w:p>
    <w:p>
      <w:pPr>
        <w:pStyle w:val="53"/>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通过采集医疗质量数据，设计各种主题分析以满足医院的实际业务需要，能够根据医院不断变化的需求而进行自定义配置功能。满足因不同管理者关注的对象不同而自定义设置的功能，并满足医院不断发展的趋势。实现OLAP钻取分析，趋势分析、对比分析、同比环比分析、复杂构成分析、报表联动；能够进行表内运算和表间运算，多角度进行切片、切块。在图表展现上能够采用仪表盘，柱状图、趋势图、叠加图、雷达图、饼图等多种表达方式。对关键指标能够监控预警，能够支持导出生成excel文档。</w:t>
      </w:r>
    </w:p>
    <w:p>
      <w:pPr>
        <w:pStyle w:val="53"/>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医疗质量分析涵盖《三级综合医院医疗质量管理与控制指标》这份标准内的指标，并结合医院根据实际业务需要重点关注的指标，作为决策支持的指标内容，以图形报表等形式统计、查询、分析以上指标作为决策支持的依据。</w:t>
      </w:r>
    </w:p>
    <w:p>
      <w:pPr>
        <w:pStyle w:val="53"/>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医疗质量分析具体包括如下主题：</w:t>
      </w:r>
    </w:p>
    <w:tbl>
      <w:tblPr>
        <w:tblStyle w:val="20"/>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701"/>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709" w:type="dxa"/>
            <w:shd w:val="clear" w:color="auto" w:fill="D9D9D9"/>
            <w:vAlign w:val="center"/>
          </w:tcPr>
          <w:p>
            <w:pPr>
              <w:spacing w:line="400" w:lineRule="exac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主题</w:t>
            </w:r>
          </w:p>
        </w:tc>
        <w:tc>
          <w:tcPr>
            <w:tcW w:w="1701" w:type="dxa"/>
            <w:shd w:val="clear" w:color="auto" w:fill="D9D9D9"/>
            <w:vAlign w:val="center"/>
          </w:tcPr>
          <w:p>
            <w:pPr>
              <w:spacing w:line="400" w:lineRule="exac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子主题</w:t>
            </w:r>
          </w:p>
        </w:tc>
        <w:tc>
          <w:tcPr>
            <w:tcW w:w="6237" w:type="dxa"/>
            <w:shd w:val="clear" w:color="auto" w:fill="D9D9D9"/>
            <w:vAlign w:val="center"/>
          </w:tcPr>
          <w:p>
            <w:pPr>
              <w:spacing w:line="400" w:lineRule="exac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功能需求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709" w:type="dxa"/>
            <w:vMerge w:val="restart"/>
            <w:vAlign w:val="center"/>
          </w:tcPr>
          <w:p>
            <w:pPr>
              <w:spacing w:line="400" w:lineRule="exac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住院死亡主题</w:t>
            </w:r>
          </w:p>
        </w:tc>
        <w:tc>
          <w:tcPr>
            <w:tcW w:w="1701"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住院死亡</w:t>
            </w:r>
          </w:p>
        </w:tc>
        <w:tc>
          <w:tcPr>
            <w:tcW w:w="6237" w:type="dxa"/>
            <w:vAlign w:val="center"/>
          </w:tcPr>
          <w:p>
            <w:pPr>
              <w:spacing w:line="40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按照科室、时间维度</w:t>
            </w:r>
            <w:r>
              <w:rPr>
                <w:rFonts w:hint="eastAsia" w:ascii="宋体" w:hAnsi="宋体" w:cs="宋体"/>
                <w:bCs/>
                <w:color w:val="000000" w:themeColor="text1"/>
                <w:kern w:val="0"/>
                <w:sz w:val="24"/>
                <w:highlight w:val="none"/>
                <w14:textFill>
                  <w14:solidFill>
                    <w14:schemeClr w14:val="tx1"/>
                  </w14:solidFill>
                </w14:textFill>
              </w:rPr>
              <w:t>统计</w:t>
            </w:r>
            <w:r>
              <w:rPr>
                <w:rFonts w:hint="eastAsia" w:ascii="宋体" w:hAnsi="宋体" w:cs="宋体"/>
                <w:color w:val="000000" w:themeColor="text1"/>
                <w:sz w:val="24"/>
                <w:highlight w:val="none"/>
                <w14:textFill>
                  <w14:solidFill>
                    <w14:schemeClr w14:val="tx1"/>
                  </w14:solidFill>
                </w14:textFill>
              </w:rPr>
              <w:t>死亡人数、新生儿死亡人数、ICU死亡人数，分析死亡率，</w:t>
            </w:r>
            <w:r>
              <w:rPr>
                <w:rFonts w:hint="eastAsia" w:ascii="宋体" w:hAnsi="宋体" w:cs="宋体"/>
                <w:color w:val="000000" w:themeColor="text1"/>
                <w:kern w:val="0"/>
                <w:sz w:val="24"/>
                <w:highlight w:val="none"/>
                <w14:textFill>
                  <w14:solidFill>
                    <w14:schemeClr w14:val="tx1"/>
                  </w14:solidFill>
                </w14:textFill>
              </w:rPr>
              <w:t>以</w:t>
            </w:r>
            <w:r>
              <w:rPr>
                <w:rFonts w:hint="eastAsia" w:ascii="宋体" w:hAnsi="宋体" w:cs="宋体"/>
                <w:bCs/>
                <w:color w:val="000000" w:themeColor="text1"/>
                <w:kern w:val="0"/>
                <w:sz w:val="24"/>
                <w:highlight w:val="none"/>
                <w14:textFill>
                  <w14:solidFill>
                    <w14:schemeClr w14:val="tx1"/>
                  </w14:solidFill>
                </w14:textFill>
              </w:rPr>
              <w:t>表格</w:t>
            </w:r>
            <w:r>
              <w:rPr>
                <w:rFonts w:hint="eastAsia" w:ascii="宋体" w:hAnsi="宋体" w:cs="宋体"/>
                <w:color w:val="000000" w:themeColor="text1"/>
                <w:kern w:val="0"/>
                <w:sz w:val="24"/>
                <w:highlight w:val="none"/>
                <w14:textFill>
                  <w14:solidFill>
                    <w14:schemeClr w14:val="tx1"/>
                  </w14:solidFill>
                </w14:textFill>
              </w:rPr>
              <w:t>方式展现。</w:t>
            </w:r>
          </w:p>
          <w:p>
            <w:pPr>
              <w:spacing w:line="4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按照新生儿出生体重分级维度分析新生儿各级体重死亡人数，以</w:t>
            </w:r>
            <w:r>
              <w:rPr>
                <w:rFonts w:hint="eastAsia" w:ascii="宋体" w:hAnsi="宋体" w:cs="宋体"/>
                <w:bCs/>
                <w:color w:val="000000" w:themeColor="text1"/>
                <w:kern w:val="0"/>
                <w:sz w:val="24"/>
                <w:highlight w:val="none"/>
                <w14:textFill>
                  <w14:solidFill>
                    <w14:schemeClr w14:val="tx1"/>
                  </w14:solidFill>
                </w14:textFill>
              </w:rPr>
              <w:t>饼图</w:t>
            </w:r>
            <w:r>
              <w:rPr>
                <w:rFonts w:hint="eastAsia" w:ascii="宋体" w:hAnsi="宋体" w:cs="宋体"/>
                <w:color w:val="000000" w:themeColor="text1"/>
                <w:kern w:val="0"/>
                <w:sz w:val="24"/>
                <w:highlight w:val="none"/>
                <w14:textFill>
                  <w14:solidFill>
                    <w14:schemeClr w14:val="tx1"/>
                  </w14:solidFill>
                </w14:textFill>
              </w:rPr>
              <w:t>方式展现。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vMerge w:val="continue"/>
            <w:vAlign w:val="center"/>
          </w:tcPr>
          <w:p>
            <w:pPr>
              <w:spacing w:line="400" w:lineRule="exact"/>
              <w:jc w:val="center"/>
              <w:rPr>
                <w:rFonts w:ascii="宋体" w:hAnsi="宋体" w:cs="宋体"/>
                <w:b/>
                <w:color w:val="000000" w:themeColor="text1"/>
                <w:sz w:val="24"/>
                <w:highlight w:val="none"/>
                <w14:textFill>
                  <w14:solidFill>
                    <w14:schemeClr w14:val="tx1"/>
                  </w14:solidFill>
                </w14:textFill>
              </w:rPr>
            </w:pPr>
          </w:p>
        </w:tc>
        <w:tc>
          <w:tcPr>
            <w:tcW w:w="1701"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手术死亡</w:t>
            </w:r>
          </w:p>
        </w:tc>
        <w:tc>
          <w:tcPr>
            <w:tcW w:w="6237" w:type="dxa"/>
            <w:vAlign w:val="center"/>
          </w:tcPr>
          <w:p>
            <w:pPr>
              <w:spacing w:line="40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按照科室、时间维度</w:t>
            </w:r>
            <w:r>
              <w:rPr>
                <w:rFonts w:hint="eastAsia" w:ascii="宋体" w:hAnsi="宋体" w:cs="宋体"/>
                <w:bCs/>
                <w:color w:val="000000" w:themeColor="text1"/>
                <w:kern w:val="0"/>
                <w:sz w:val="24"/>
                <w:highlight w:val="none"/>
                <w14:textFill>
                  <w14:solidFill>
                    <w14:schemeClr w14:val="tx1"/>
                  </w14:solidFill>
                </w14:textFill>
              </w:rPr>
              <w:t>统计</w:t>
            </w:r>
            <w:r>
              <w:rPr>
                <w:rFonts w:hint="eastAsia" w:ascii="宋体" w:hAnsi="宋体" w:cs="宋体"/>
                <w:color w:val="000000" w:themeColor="text1"/>
                <w:sz w:val="24"/>
                <w:highlight w:val="none"/>
                <w14:textFill>
                  <w14:solidFill>
                    <w14:schemeClr w14:val="tx1"/>
                  </w14:solidFill>
                </w14:textFill>
              </w:rPr>
              <w:t>手术人次、死亡人数、围手术期死亡人数、择期手术死亡人数，分析各项死亡率，</w:t>
            </w:r>
            <w:r>
              <w:rPr>
                <w:rFonts w:hint="eastAsia" w:ascii="宋体" w:hAnsi="宋体" w:cs="宋体"/>
                <w:color w:val="000000" w:themeColor="text1"/>
                <w:kern w:val="0"/>
                <w:sz w:val="24"/>
                <w:highlight w:val="none"/>
                <w14:textFill>
                  <w14:solidFill>
                    <w14:schemeClr w14:val="tx1"/>
                  </w14:solidFill>
                </w14:textFill>
              </w:rPr>
              <w:t>以</w:t>
            </w:r>
            <w:r>
              <w:rPr>
                <w:rFonts w:hint="eastAsia" w:ascii="宋体" w:hAnsi="宋体" w:cs="宋体"/>
                <w:bCs/>
                <w:color w:val="000000" w:themeColor="text1"/>
                <w:kern w:val="0"/>
                <w:sz w:val="24"/>
                <w:highlight w:val="none"/>
                <w14:textFill>
                  <w14:solidFill>
                    <w14:schemeClr w14:val="tx1"/>
                  </w14:solidFill>
                </w14:textFill>
              </w:rPr>
              <w:t>表格</w:t>
            </w:r>
            <w:r>
              <w:rPr>
                <w:rFonts w:hint="eastAsia" w:ascii="宋体" w:hAnsi="宋体" w:cs="宋体"/>
                <w:color w:val="000000" w:themeColor="text1"/>
                <w:kern w:val="0"/>
                <w:sz w:val="24"/>
                <w:highlight w:val="none"/>
                <w14:textFill>
                  <w14:solidFill>
                    <w14:schemeClr w14:val="tx1"/>
                  </w14:solidFill>
                </w14:textFill>
              </w:rPr>
              <w:t>、重点指标折线图方式展现。</w:t>
            </w:r>
          </w:p>
          <w:p>
            <w:pPr>
              <w:spacing w:line="4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按照最常见恶性肿瘤维度</w:t>
            </w:r>
            <w:r>
              <w:rPr>
                <w:rFonts w:hint="eastAsia" w:ascii="宋体" w:hAnsi="宋体" w:cs="宋体"/>
                <w:bCs/>
                <w:color w:val="000000" w:themeColor="text1"/>
                <w:kern w:val="0"/>
                <w:sz w:val="24"/>
                <w:highlight w:val="none"/>
                <w14:textFill>
                  <w14:solidFill>
                    <w14:schemeClr w14:val="tx1"/>
                  </w14:solidFill>
                </w14:textFill>
              </w:rPr>
              <w:t>统计恶性肿瘤患者手术人次、手术死亡人数、手术死亡率，</w:t>
            </w:r>
            <w:r>
              <w:rPr>
                <w:rFonts w:hint="eastAsia" w:ascii="宋体" w:hAnsi="宋体" w:cs="宋体"/>
                <w:color w:val="000000" w:themeColor="text1"/>
                <w:kern w:val="0"/>
                <w:sz w:val="24"/>
                <w:highlight w:val="none"/>
                <w14:textFill>
                  <w14:solidFill>
                    <w14:schemeClr w14:val="tx1"/>
                  </w14:solidFill>
                </w14:textFill>
              </w:rPr>
              <w:t>以</w:t>
            </w:r>
            <w:r>
              <w:rPr>
                <w:rFonts w:hint="eastAsia" w:ascii="宋体" w:hAnsi="宋体" w:cs="宋体"/>
                <w:bCs/>
                <w:color w:val="000000" w:themeColor="text1"/>
                <w:kern w:val="0"/>
                <w:sz w:val="24"/>
                <w:highlight w:val="none"/>
                <w14:textFill>
                  <w14:solidFill>
                    <w14:schemeClr w14:val="tx1"/>
                  </w14:solidFill>
                </w14:textFill>
              </w:rPr>
              <w:t>表格</w:t>
            </w:r>
            <w:r>
              <w:rPr>
                <w:rFonts w:hint="eastAsia" w:ascii="宋体" w:hAnsi="宋体" w:cs="宋体"/>
                <w:color w:val="000000" w:themeColor="text1"/>
                <w:kern w:val="0"/>
                <w:sz w:val="24"/>
                <w:highlight w:val="none"/>
                <w14:textFill>
                  <w14:solidFill>
                    <w14:schemeClr w14:val="tx1"/>
                  </w14:solidFill>
                </w14:textFill>
              </w:rPr>
              <w:t>方式展现。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vAlign w:val="center"/>
          </w:tcPr>
          <w:p>
            <w:pPr>
              <w:spacing w:line="400" w:lineRule="exac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住院重返主题</w:t>
            </w:r>
          </w:p>
        </w:tc>
        <w:tc>
          <w:tcPr>
            <w:tcW w:w="1701"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住院重返</w:t>
            </w:r>
          </w:p>
        </w:tc>
        <w:tc>
          <w:tcPr>
            <w:tcW w:w="6237" w:type="dxa"/>
            <w:vAlign w:val="center"/>
          </w:tcPr>
          <w:p>
            <w:pPr>
              <w:spacing w:line="40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按照科室、时间维度</w:t>
            </w:r>
            <w:r>
              <w:rPr>
                <w:rFonts w:hint="eastAsia" w:ascii="宋体" w:hAnsi="宋体" w:cs="宋体"/>
                <w:bCs/>
                <w:color w:val="000000" w:themeColor="text1"/>
                <w:kern w:val="0"/>
                <w:sz w:val="24"/>
                <w:highlight w:val="none"/>
                <w14:textFill>
                  <w14:solidFill>
                    <w14:schemeClr w14:val="tx1"/>
                  </w14:solidFill>
                </w14:textFill>
              </w:rPr>
              <w:t>统计</w:t>
            </w:r>
            <w:r>
              <w:rPr>
                <w:rFonts w:hint="eastAsia" w:ascii="宋体" w:hAnsi="宋体" w:cs="宋体"/>
                <w:color w:val="000000" w:themeColor="text1"/>
                <w:sz w:val="24"/>
                <w:highlight w:val="none"/>
                <w14:textFill>
                  <w14:solidFill>
                    <w14:schemeClr w14:val="tx1"/>
                  </w14:solidFill>
                </w14:textFill>
              </w:rPr>
              <w:t>住院患者出院当天、2-15天内、16-31天内再住院人次，分析各项重返率，</w:t>
            </w:r>
            <w:r>
              <w:rPr>
                <w:rFonts w:hint="eastAsia" w:ascii="宋体" w:hAnsi="宋体" w:cs="宋体"/>
                <w:color w:val="000000" w:themeColor="text1"/>
                <w:kern w:val="0"/>
                <w:sz w:val="24"/>
                <w:highlight w:val="none"/>
                <w14:textFill>
                  <w14:solidFill>
                    <w14:schemeClr w14:val="tx1"/>
                  </w14:solidFill>
                </w14:textFill>
              </w:rPr>
              <w:t>以</w:t>
            </w:r>
            <w:r>
              <w:rPr>
                <w:rFonts w:hint="eastAsia" w:ascii="宋体" w:hAnsi="宋体" w:cs="宋体"/>
                <w:bCs/>
                <w:color w:val="000000" w:themeColor="text1"/>
                <w:kern w:val="0"/>
                <w:sz w:val="24"/>
                <w:highlight w:val="none"/>
                <w14:textFill>
                  <w14:solidFill>
                    <w14:schemeClr w14:val="tx1"/>
                  </w14:solidFill>
                </w14:textFill>
              </w:rPr>
              <w:t>表格</w:t>
            </w:r>
            <w:r>
              <w:rPr>
                <w:rFonts w:hint="eastAsia" w:ascii="宋体" w:hAnsi="宋体" w:cs="宋体"/>
                <w:color w:val="000000" w:themeColor="text1"/>
                <w:kern w:val="0"/>
                <w:sz w:val="24"/>
                <w:highlight w:val="none"/>
                <w14:textFill>
                  <w14:solidFill>
                    <w14:schemeClr w14:val="tx1"/>
                  </w14:solidFill>
                </w14:textFill>
              </w:rPr>
              <w:t>、重点指标折线图方式展现。</w:t>
            </w:r>
          </w:p>
          <w:p>
            <w:pPr>
              <w:spacing w:line="4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按照科室、时间维度</w:t>
            </w:r>
            <w:r>
              <w:rPr>
                <w:rFonts w:hint="eastAsia" w:ascii="宋体" w:hAnsi="宋体" w:cs="宋体"/>
                <w:bCs/>
                <w:color w:val="000000" w:themeColor="text1"/>
                <w:kern w:val="0"/>
                <w:sz w:val="24"/>
                <w:highlight w:val="none"/>
                <w14:textFill>
                  <w14:solidFill>
                    <w14:schemeClr w14:val="tx1"/>
                  </w14:solidFill>
                </w14:textFill>
              </w:rPr>
              <w:t>统计（择期）手术患者重返手术室例数、非预期重返、24小时重返、48小时重返ICU例数，</w:t>
            </w:r>
            <w:r>
              <w:rPr>
                <w:rFonts w:hint="eastAsia" w:ascii="宋体" w:hAnsi="宋体" w:cs="宋体"/>
                <w:color w:val="000000" w:themeColor="text1"/>
                <w:kern w:val="0"/>
                <w:sz w:val="24"/>
                <w:highlight w:val="none"/>
                <w14:textFill>
                  <w14:solidFill>
                    <w14:schemeClr w14:val="tx1"/>
                  </w14:solidFill>
                </w14:textFill>
              </w:rPr>
              <w:t>以</w:t>
            </w:r>
            <w:r>
              <w:rPr>
                <w:rFonts w:hint="eastAsia" w:ascii="宋体" w:hAnsi="宋体" w:cs="宋体"/>
                <w:bCs/>
                <w:color w:val="000000" w:themeColor="text1"/>
                <w:kern w:val="0"/>
                <w:sz w:val="24"/>
                <w:highlight w:val="none"/>
                <w14:textFill>
                  <w14:solidFill>
                    <w14:schemeClr w14:val="tx1"/>
                  </w14:solidFill>
                </w14:textFill>
              </w:rPr>
              <w:t>表格</w:t>
            </w:r>
            <w:r>
              <w:rPr>
                <w:rFonts w:hint="eastAsia" w:ascii="宋体" w:hAnsi="宋体" w:cs="宋体"/>
                <w:color w:val="000000" w:themeColor="text1"/>
                <w:kern w:val="0"/>
                <w:sz w:val="24"/>
                <w:highlight w:val="none"/>
                <w14:textFill>
                  <w14:solidFill>
                    <w14:schemeClr w14:val="tx1"/>
                  </w14:solidFill>
                </w14:textFill>
              </w:rPr>
              <w:t>方式展现。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vMerge w:val="restart"/>
            <w:vAlign w:val="center"/>
          </w:tcPr>
          <w:p>
            <w:pPr>
              <w:spacing w:line="400" w:lineRule="exac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医院感染主题</w:t>
            </w:r>
          </w:p>
        </w:tc>
        <w:tc>
          <w:tcPr>
            <w:tcW w:w="1701"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医院感染</w:t>
            </w:r>
          </w:p>
        </w:tc>
        <w:tc>
          <w:tcPr>
            <w:tcW w:w="6237" w:type="dxa"/>
            <w:vAlign w:val="center"/>
          </w:tcPr>
          <w:p>
            <w:pPr>
              <w:spacing w:line="4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按照科室、时间维度</w:t>
            </w:r>
            <w:r>
              <w:rPr>
                <w:rFonts w:hint="eastAsia" w:ascii="宋体" w:hAnsi="宋体" w:cs="宋体"/>
                <w:bCs/>
                <w:color w:val="000000" w:themeColor="text1"/>
                <w:kern w:val="0"/>
                <w:sz w:val="24"/>
                <w:highlight w:val="none"/>
                <w14:textFill>
                  <w14:solidFill>
                    <w14:schemeClr w14:val="tx1"/>
                  </w14:solidFill>
                </w14:textFill>
              </w:rPr>
              <w:t>统计医院感染发生例数、新生儿医院感染发生例数，分析各项感染发生率，</w:t>
            </w:r>
            <w:r>
              <w:rPr>
                <w:rFonts w:hint="eastAsia" w:ascii="宋体" w:hAnsi="宋体" w:cs="宋体"/>
                <w:color w:val="000000" w:themeColor="text1"/>
                <w:kern w:val="0"/>
                <w:sz w:val="24"/>
                <w:highlight w:val="none"/>
                <w14:textFill>
                  <w14:solidFill>
                    <w14:schemeClr w14:val="tx1"/>
                  </w14:solidFill>
                </w14:textFill>
              </w:rPr>
              <w:t>以</w:t>
            </w:r>
            <w:r>
              <w:rPr>
                <w:rFonts w:hint="eastAsia" w:ascii="宋体" w:hAnsi="宋体" w:cs="宋体"/>
                <w:bCs/>
                <w:color w:val="000000" w:themeColor="text1"/>
                <w:kern w:val="0"/>
                <w:sz w:val="24"/>
                <w:highlight w:val="none"/>
                <w14:textFill>
                  <w14:solidFill>
                    <w14:schemeClr w14:val="tx1"/>
                  </w14:solidFill>
                </w14:textFill>
              </w:rPr>
              <w:t>表格</w:t>
            </w:r>
            <w:r>
              <w:rPr>
                <w:rFonts w:hint="eastAsia" w:ascii="宋体" w:hAnsi="宋体" w:cs="宋体"/>
                <w:color w:val="000000" w:themeColor="text1"/>
                <w:kern w:val="0"/>
                <w:sz w:val="24"/>
                <w:highlight w:val="none"/>
                <w14:textFill>
                  <w14:solidFill>
                    <w14:schemeClr w14:val="tx1"/>
                  </w14:solidFill>
                </w14:textFill>
              </w:rPr>
              <w:t>、重点指标折线图方式展现。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vMerge w:val="continue"/>
            <w:vAlign w:val="center"/>
          </w:tcPr>
          <w:p>
            <w:pPr>
              <w:spacing w:line="400" w:lineRule="exact"/>
              <w:jc w:val="center"/>
              <w:rPr>
                <w:rFonts w:ascii="宋体" w:hAnsi="宋体" w:cs="宋体"/>
                <w:b/>
                <w:color w:val="000000" w:themeColor="text1"/>
                <w:sz w:val="24"/>
                <w:highlight w:val="none"/>
                <w14:textFill>
                  <w14:solidFill>
                    <w14:schemeClr w14:val="tx1"/>
                  </w14:solidFill>
                </w14:textFill>
              </w:rPr>
            </w:pPr>
          </w:p>
        </w:tc>
        <w:tc>
          <w:tcPr>
            <w:tcW w:w="1701"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手术感染</w:t>
            </w:r>
          </w:p>
        </w:tc>
        <w:tc>
          <w:tcPr>
            <w:tcW w:w="6237" w:type="dxa"/>
            <w:vAlign w:val="center"/>
          </w:tcPr>
          <w:p>
            <w:pPr>
              <w:spacing w:line="4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按照科室、时间维度</w:t>
            </w:r>
            <w:r>
              <w:rPr>
                <w:rFonts w:hint="eastAsia" w:ascii="宋体" w:hAnsi="宋体" w:cs="宋体"/>
                <w:bCs/>
                <w:color w:val="000000" w:themeColor="text1"/>
                <w:kern w:val="0"/>
                <w:sz w:val="24"/>
                <w:highlight w:val="none"/>
                <w14:textFill>
                  <w14:solidFill>
                    <w14:schemeClr w14:val="tx1"/>
                  </w14:solidFill>
                </w14:textFill>
              </w:rPr>
              <w:t>统计（择期）</w:t>
            </w:r>
            <w:r>
              <w:rPr>
                <w:rFonts w:hint="eastAsia" w:ascii="宋体" w:hAnsi="宋体" w:cs="宋体"/>
                <w:color w:val="000000" w:themeColor="text1"/>
                <w:sz w:val="24"/>
                <w:highlight w:val="none"/>
                <w14:textFill>
                  <w14:solidFill>
                    <w14:schemeClr w14:val="tx1"/>
                  </w14:solidFill>
                </w14:textFill>
              </w:rPr>
              <w:t>手术相关医院感染发生例数、（择期）手术患者肺部感染发生例数，</w:t>
            </w:r>
            <w:r>
              <w:rPr>
                <w:rFonts w:hint="eastAsia" w:ascii="宋体" w:hAnsi="宋体" w:cs="宋体"/>
                <w:color w:val="000000" w:themeColor="text1"/>
                <w:kern w:val="0"/>
                <w:sz w:val="24"/>
                <w:highlight w:val="none"/>
                <w14:textFill>
                  <w14:solidFill>
                    <w14:schemeClr w14:val="tx1"/>
                  </w14:solidFill>
                </w14:textFill>
              </w:rPr>
              <w:t>以</w:t>
            </w:r>
            <w:r>
              <w:rPr>
                <w:rFonts w:hint="eastAsia" w:ascii="宋体" w:hAnsi="宋体" w:cs="宋体"/>
                <w:bCs/>
                <w:color w:val="000000" w:themeColor="text1"/>
                <w:kern w:val="0"/>
                <w:sz w:val="24"/>
                <w:highlight w:val="none"/>
                <w14:textFill>
                  <w14:solidFill>
                    <w14:schemeClr w14:val="tx1"/>
                  </w14:solidFill>
                </w14:textFill>
              </w:rPr>
              <w:t>表格</w:t>
            </w:r>
            <w:r>
              <w:rPr>
                <w:rFonts w:hint="eastAsia" w:ascii="宋体" w:hAnsi="宋体" w:cs="宋体"/>
                <w:color w:val="000000" w:themeColor="text1"/>
                <w:kern w:val="0"/>
                <w:sz w:val="24"/>
                <w:highlight w:val="none"/>
                <w14:textFill>
                  <w14:solidFill>
                    <w14:schemeClr w14:val="tx1"/>
                  </w14:solidFill>
                </w14:textFill>
              </w:rPr>
              <w:t>方式展现。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vMerge w:val="continue"/>
            <w:vAlign w:val="center"/>
          </w:tcPr>
          <w:p>
            <w:pPr>
              <w:spacing w:line="400" w:lineRule="exact"/>
              <w:jc w:val="center"/>
              <w:rPr>
                <w:rFonts w:ascii="宋体" w:hAnsi="宋体" w:cs="宋体"/>
                <w:b/>
                <w:color w:val="000000" w:themeColor="text1"/>
                <w:sz w:val="24"/>
                <w:highlight w:val="none"/>
                <w14:textFill>
                  <w14:solidFill>
                    <w14:schemeClr w14:val="tx1"/>
                  </w14:solidFill>
                </w14:textFill>
              </w:rPr>
            </w:pPr>
          </w:p>
        </w:tc>
        <w:tc>
          <w:tcPr>
            <w:tcW w:w="1701"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器械感染</w:t>
            </w:r>
          </w:p>
        </w:tc>
        <w:tc>
          <w:tcPr>
            <w:tcW w:w="6237" w:type="dxa"/>
            <w:vAlign w:val="center"/>
          </w:tcPr>
          <w:p>
            <w:pPr>
              <w:spacing w:line="4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按照科室、时间维度</w:t>
            </w:r>
            <w:r>
              <w:rPr>
                <w:rFonts w:hint="eastAsia" w:ascii="宋体" w:hAnsi="宋体" w:cs="宋体"/>
                <w:bCs/>
                <w:color w:val="000000" w:themeColor="text1"/>
                <w:kern w:val="0"/>
                <w:sz w:val="24"/>
                <w:highlight w:val="none"/>
                <w14:textFill>
                  <w14:solidFill>
                    <w14:schemeClr w14:val="tx1"/>
                  </w14:solidFill>
                </w14:textFill>
              </w:rPr>
              <w:t>统计呼吸机相关肺炎例数、置留导尿管泌尿系感染人数、中心静脉置管血流感染人数、与血液透析相关血液感染例数，</w:t>
            </w:r>
            <w:r>
              <w:rPr>
                <w:rFonts w:hint="eastAsia" w:ascii="宋体" w:hAnsi="宋体" w:cs="宋体"/>
                <w:color w:val="000000" w:themeColor="text1"/>
                <w:kern w:val="0"/>
                <w:sz w:val="24"/>
                <w:highlight w:val="none"/>
                <w14:textFill>
                  <w14:solidFill>
                    <w14:schemeClr w14:val="tx1"/>
                  </w14:solidFill>
                </w14:textFill>
              </w:rPr>
              <w:t>以</w:t>
            </w:r>
            <w:r>
              <w:rPr>
                <w:rFonts w:hint="eastAsia" w:ascii="宋体" w:hAnsi="宋体" w:cs="宋体"/>
                <w:bCs/>
                <w:color w:val="000000" w:themeColor="text1"/>
                <w:kern w:val="0"/>
                <w:sz w:val="24"/>
                <w:highlight w:val="none"/>
                <w14:textFill>
                  <w14:solidFill>
                    <w14:schemeClr w14:val="tx1"/>
                  </w14:solidFill>
                </w14:textFill>
              </w:rPr>
              <w:t>表格</w:t>
            </w:r>
            <w:r>
              <w:rPr>
                <w:rFonts w:hint="eastAsia" w:ascii="宋体" w:hAnsi="宋体" w:cs="宋体"/>
                <w:color w:val="000000" w:themeColor="text1"/>
                <w:kern w:val="0"/>
                <w:sz w:val="24"/>
                <w:highlight w:val="none"/>
                <w14:textFill>
                  <w14:solidFill>
                    <w14:schemeClr w14:val="tx1"/>
                  </w14:solidFill>
                </w14:textFill>
              </w:rPr>
              <w:t>方式展现。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vAlign w:val="center"/>
          </w:tcPr>
          <w:p>
            <w:pPr>
              <w:spacing w:line="400" w:lineRule="exac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手术并发症主题</w:t>
            </w:r>
          </w:p>
        </w:tc>
        <w:tc>
          <w:tcPr>
            <w:tcW w:w="1701"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手术并发症</w:t>
            </w:r>
          </w:p>
        </w:tc>
        <w:tc>
          <w:tcPr>
            <w:tcW w:w="6237" w:type="dxa"/>
            <w:vAlign w:val="center"/>
          </w:tcPr>
          <w:p>
            <w:pPr>
              <w:spacing w:line="4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按照科室、时间维度</w:t>
            </w:r>
            <w:r>
              <w:rPr>
                <w:rFonts w:hint="eastAsia" w:ascii="宋体" w:hAnsi="宋体" w:cs="宋体"/>
                <w:bCs/>
                <w:color w:val="000000" w:themeColor="text1"/>
                <w:kern w:val="0"/>
                <w:sz w:val="24"/>
                <w:highlight w:val="none"/>
                <w14:textFill>
                  <w14:solidFill>
                    <w14:schemeClr w14:val="tx1"/>
                  </w14:solidFill>
                </w14:textFill>
              </w:rPr>
              <w:t>统计</w:t>
            </w:r>
            <w:r>
              <w:rPr>
                <w:rFonts w:hint="eastAsia" w:ascii="宋体" w:hAnsi="宋体" w:cs="宋体"/>
                <w:color w:val="000000" w:themeColor="text1"/>
                <w:sz w:val="24"/>
                <w:highlight w:val="none"/>
                <w14:textFill>
                  <w14:solidFill>
                    <w14:schemeClr w14:val="tx1"/>
                  </w14:solidFill>
                </w14:textFill>
              </w:rPr>
              <w:t>手术患者并发症发生例数、手术死亡患者并发症发生例数及发生率，</w:t>
            </w:r>
            <w:r>
              <w:rPr>
                <w:rFonts w:hint="eastAsia" w:ascii="宋体" w:hAnsi="宋体" w:cs="宋体"/>
                <w:color w:val="000000" w:themeColor="text1"/>
                <w:kern w:val="0"/>
                <w:sz w:val="24"/>
                <w:highlight w:val="none"/>
                <w14:textFill>
                  <w14:solidFill>
                    <w14:schemeClr w14:val="tx1"/>
                  </w14:solidFill>
                </w14:textFill>
              </w:rPr>
              <w:t>以</w:t>
            </w:r>
            <w:r>
              <w:rPr>
                <w:rFonts w:hint="eastAsia" w:ascii="宋体" w:hAnsi="宋体" w:cs="宋体"/>
                <w:bCs/>
                <w:color w:val="000000" w:themeColor="text1"/>
                <w:kern w:val="0"/>
                <w:sz w:val="24"/>
                <w:highlight w:val="none"/>
                <w14:textFill>
                  <w14:solidFill>
                    <w14:schemeClr w14:val="tx1"/>
                  </w14:solidFill>
                </w14:textFill>
              </w:rPr>
              <w:t>表格</w:t>
            </w:r>
            <w:r>
              <w:rPr>
                <w:rFonts w:hint="eastAsia" w:ascii="宋体" w:hAnsi="宋体" w:cs="宋体"/>
                <w:color w:val="000000" w:themeColor="text1"/>
                <w:kern w:val="0"/>
                <w:sz w:val="24"/>
                <w:highlight w:val="none"/>
                <w14:textFill>
                  <w14:solidFill>
                    <w14:schemeClr w14:val="tx1"/>
                  </w14:solidFill>
                </w14:textFill>
              </w:rPr>
              <w:t>方式展现。</w:t>
            </w:r>
          </w:p>
          <w:p>
            <w:pPr>
              <w:spacing w:line="4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按照科室、时间维度</w:t>
            </w:r>
            <w:r>
              <w:rPr>
                <w:rFonts w:hint="eastAsia" w:ascii="宋体" w:hAnsi="宋体" w:cs="宋体"/>
                <w:bCs/>
                <w:color w:val="000000" w:themeColor="text1"/>
                <w:kern w:val="0"/>
                <w:sz w:val="24"/>
                <w:highlight w:val="none"/>
                <w14:textFill>
                  <w14:solidFill>
                    <w14:schemeClr w14:val="tx1"/>
                  </w14:solidFill>
                </w14:textFill>
              </w:rPr>
              <w:t>统计术后各种并发症发生例数，包括：</w:t>
            </w:r>
            <w:r>
              <w:rPr>
                <w:rFonts w:hint="eastAsia" w:ascii="宋体" w:hAnsi="宋体" w:cs="宋体"/>
                <w:color w:val="000000" w:themeColor="text1"/>
                <w:sz w:val="24"/>
                <w:highlight w:val="none"/>
                <w14:textFill>
                  <w14:solidFill>
                    <w14:schemeClr w14:val="tx1"/>
                  </w14:solidFill>
                </w14:textFill>
              </w:rPr>
              <w:t>术后肺栓塞、术后深静脉血栓、术后败血症等特定并发症及麻醉并发症，</w:t>
            </w:r>
            <w:r>
              <w:rPr>
                <w:rFonts w:hint="eastAsia" w:ascii="宋体" w:hAnsi="宋体" w:cs="宋体"/>
                <w:color w:val="000000" w:themeColor="text1"/>
                <w:kern w:val="0"/>
                <w:sz w:val="24"/>
                <w:highlight w:val="none"/>
                <w14:textFill>
                  <w14:solidFill>
                    <w14:schemeClr w14:val="tx1"/>
                  </w14:solidFill>
                </w14:textFill>
              </w:rPr>
              <w:t>以</w:t>
            </w:r>
            <w:r>
              <w:rPr>
                <w:rFonts w:hint="eastAsia" w:ascii="宋体" w:hAnsi="宋体" w:cs="宋体"/>
                <w:bCs/>
                <w:color w:val="000000" w:themeColor="text1"/>
                <w:kern w:val="0"/>
                <w:sz w:val="24"/>
                <w:highlight w:val="none"/>
                <w14:textFill>
                  <w14:solidFill>
                    <w14:schemeClr w14:val="tx1"/>
                  </w14:solidFill>
                </w14:textFill>
              </w:rPr>
              <w:t>表格</w:t>
            </w:r>
            <w:r>
              <w:rPr>
                <w:rFonts w:hint="eastAsia" w:ascii="宋体" w:hAnsi="宋体" w:cs="宋体"/>
                <w:color w:val="000000" w:themeColor="text1"/>
                <w:kern w:val="0"/>
                <w:sz w:val="24"/>
                <w:highlight w:val="none"/>
                <w14:textFill>
                  <w14:solidFill>
                    <w14:schemeClr w14:val="tx1"/>
                  </w14:solidFill>
                </w14:textFill>
              </w:rPr>
              <w:t>方式展现。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vAlign w:val="center"/>
          </w:tcPr>
          <w:p>
            <w:pPr>
              <w:spacing w:line="400" w:lineRule="exac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重点疾病主题</w:t>
            </w:r>
          </w:p>
        </w:tc>
        <w:tc>
          <w:tcPr>
            <w:tcW w:w="1701"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重点疾病</w:t>
            </w:r>
          </w:p>
        </w:tc>
        <w:tc>
          <w:tcPr>
            <w:tcW w:w="6237" w:type="dxa"/>
            <w:vAlign w:val="center"/>
          </w:tcPr>
          <w:p>
            <w:pPr>
              <w:spacing w:line="40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按照18种重点疾病、科室、时间等维度统计各项重点疾病出院人次、死亡人数、出院15/31天内再住院人次，分析死亡率、平均住院日、平均住院费用、平均药品费用，以</w:t>
            </w:r>
            <w:r>
              <w:rPr>
                <w:rFonts w:hint="eastAsia" w:ascii="宋体" w:hAnsi="宋体" w:cs="宋体"/>
                <w:bCs/>
                <w:color w:val="000000" w:themeColor="text1"/>
                <w:kern w:val="0"/>
                <w:sz w:val="24"/>
                <w:highlight w:val="none"/>
                <w14:textFill>
                  <w14:solidFill>
                    <w14:schemeClr w14:val="tx1"/>
                  </w14:solidFill>
                </w14:textFill>
              </w:rPr>
              <w:t>表格</w:t>
            </w:r>
            <w:r>
              <w:rPr>
                <w:rFonts w:hint="eastAsia" w:ascii="宋体" w:hAnsi="宋体" w:cs="宋体"/>
                <w:color w:val="000000" w:themeColor="text1"/>
                <w:kern w:val="0"/>
                <w:sz w:val="24"/>
                <w:highlight w:val="none"/>
                <w14:textFill>
                  <w14:solidFill>
                    <w14:schemeClr w14:val="tx1"/>
                  </w14:solidFill>
                </w14:textFill>
              </w:rPr>
              <w:t>方式展现。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vAlign w:val="center"/>
          </w:tcPr>
          <w:p>
            <w:pPr>
              <w:spacing w:line="400" w:lineRule="exac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重点手术主题</w:t>
            </w:r>
          </w:p>
        </w:tc>
        <w:tc>
          <w:tcPr>
            <w:tcW w:w="1701"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重点手术</w:t>
            </w:r>
          </w:p>
        </w:tc>
        <w:tc>
          <w:tcPr>
            <w:tcW w:w="6237" w:type="dxa"/>
            <w:vAlign w:val="center"/>
          </w:tcPr>
          <w:p>
            <w:pPr>
              <w:spacing w:line="40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按照18种重点手术、科室、时间等维度统计各项重点手术总例数、死亡人数、出院31天内再住院人次，重返手术室例数、分析死亡率、平均住院日、平均住院费用、平均药品费用，以</w:t>
            </w:r>
            <w:r>
              <w:rPr>
                <w:rFonts w:hint="eastAsia" w:ascii="宋体" w:hAnsi="宋体" w:cs="宋体"/>
                <w:bCs/>
                <w:color w:val="000000" w:themeColor="text1"/>
                <w:kern w:val="0"/>
                <w:sz w:val="24"/>
                <w:highlight w:val="none"/>
                <w14:textFill>
                  <w14:solidFill>
                    <w14:schemeClr w14:val="tx1"/>
                  </w14:solidFill>
                </w14:textFill>
              </w:rPr>
              <w:t>表格</w:t>
            </w:r>
            <w:r>
              <w:rPr>
                <w:rFonts w:hint="eastAsia" w:ascii="宋体" w:hAnsi="宋体" w:cs="宋体"/>
                <w:color w:val="000000" w:themeColor="text1"/>
                <w:kern w:val="0"/>
                <w:sz w:val="24"/>
                <w:highlight w:val="none"/>
                <w14:textFill>
                  <w14:solidFill>
                    <w14:schemeClr w14:val="tx1"/>
                  </w14:solidFill>
                </w14:textFill>
              </w:rPr>
              <w:t>方式展现。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vMerge w:val="restart"/>
            <w:vAlign w:val="center"/>
          </w:tcPr>
          <w:p>
            <w:pPr>
              <w:spacing w:line="400" w:lineRule="exac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麻醉质量主题</w:t>
            </w:r>
          </w:p>
        </w:tc>
        <w:tc>
          <w:tcPr>
            <w:tcW w:w="1701"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麻醉统计</w:t>
            </w:r>
          </w:p>
        </w:tc>
        <w:tc>
          <w:tcPr>
            <w:tcW w:w="6237" w:type="dxa"/>
            <w:vAlign w:val="center"/>
          </w:tcPr>
          <w:p>
            <w:pPr>
              <w:spacing w:line="40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按照科室、时间维度</w:t>
            </w:r>
            <w:r>
              <w:rPr>
                <w:rFonts w:hint="eastAsia" w:ascii="宋体" w:hAnsi="宋体" w:cs="宋体"/>
                <w:bCs/>
                <w:color w:val="000000" w:themeColor="text1"/>
                <w:kern w:val="0"/>
                <w:sz w:val="24"/>
                <w:highlight w:val="none"/>
                <w14:textFill>
                  <w14:solidFill>
                    <w14:schemeClr w14:val="tx1"/>
                  </w14:solidFill>
                </w14:textFill>
              </w:rPr>
              <w:t>统计麻醉总例数、各类麻醉例数（全身麻醉、脊髓麻醉、其他类麻醉），麻醉镇痛治疗例数、心肺复苏例数等指标，</w:t>
            </w:r>
            <w:r>
              <w:rPr>
                <w:rFonts w:hint="eastAsia" w:ascii="宋体" w:hAnsi="宋体" w:cs="宋体"/>
                <w:color w:val="000000" w:themeColor="text1"/>
                <w:kern w:val="0"/>
                <w:sz w:val="24"/>
                <w:highlight w:val="none"/>
                <w14:textFill>
                  <w14:solidFill>
                    <w14:schemeClr w14:val="tx1"/>
                  </w14:solidFill>
                </w14:textFill>
              </w:rPr>
              <w:t>以</w:t>
            </w:r>
            <w:r>
              <w:rPr>
                <w:rFonts w:hint="eastAsia" w:ascii="宋体" w:hAnsi="宋体" w:cs="宋体"/>
                <w:bCs/>
                <w:color w:val="000000" w:themeColor="text1"/>
                <w:kern w:val="0"/>
                <w:sz w:val="24"/>
                <w:highlight w:val="none"/>
                <w14:textFill>
                  <w14:solidFill>
                    <w14:schemeClr w14:val="tx1"/>
                  </w14:solidFill>
                </w14:textFill>
              </w:rPr>
              <w:t>表格</w:t>
            </w:r>
            <w:r>
              <w:rPr>
                <w:rFonts w:hint="eastAsia" w:ascii="宋体" w:hAnsi="宋体" w:cs="宋体"/>
                <w:color w:val="000000" w:themeColor="text1"/>
                <w:kern w:val="0"/>
                <w:sz w:val="24"/>
                <w:highlight w:val="none"/>
                <w14:textFill>
                  <w14:solidFill>
                    <w14:schemeClr w14:val="tx1"/>
                  </w14:solidFill>
                </w14:textFill>
              </w:rPr>
              <w:t>方式展现。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vMerge w:val="continue"/>
            <w:vAlign w:val="center"/>
          </w:tcPr>
          <w:p>
            <w:pPr>
              <w:spacing w:line="400" w:lineRule="exact"/>
              <w:jc w:val="center"/>
              <w:rPr>
                <w:rFonts w:ascii="宋体" w:hAnsi="宋体" w:cs="宋体"/>
                <w:b/>
                <w:color w:val="000000" w:themeColor="text1"/>
                <w:sz w:val="24"/>
                <w:highlight w:val="none"/>
                <w14:textFill>
                  <w14:solidFill>
                    <w14:schemeClr w14:val="tx1"/>
                  </w14:solidFill>
                </w14:textFill>
              </w:rPr>
            </w:pPr>
          </w:p>
        </w:tc>
        <w:tc>
          <w:tcPr>
            <w:tcW w:w="1701"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麻醉事件</w:t>
            </w:r>
          </w:p>
        </w:tc>
        <w:tc>
          <w:tcPr>
            <w:tcW w:w="6237" w:type="dxa"/>
            <w:vAlign w:val="center"/>
          </w:tcPr>
          <w:p>
            <w:pPr>
              <w:spacing w:line="40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按照科室、时间维度</w:t>
            </w:r>
            <w:r>
              <w:rPr>
                <w:rFonts w:hint="eastAsia" w:ascii="宋体" w:hAnsi="宋体" w:cs="宋体"/>
                <w:bCs/>
                <w:color w:val="000000" w:themeColor="text1"/>
                <w:kern w:val="0"/>
                <w:sz w:val="24"/>
                <w:highlight w:val="none"/>
                <w14:textFill>
                  <w14:solidFill>
                    <w14:schemeClr w14:val="tx1"/>
                  </w14:solidFill>
                </w14:textFill>
              </w:rPr>
              <w:t>统计各类麻醉中或麻醉结束后发生的各类相关事件例数，</w:t>
            </w:r>
            <w:r>
              <w:rPr>
                <w:rFonts w:hint="eastAsia" w:ascii="宋体" w:hAnsi="宋体" w:cs="宋体"/>
                <w:color w:val="000000" w:themeColor="text1"/>
                <w:kern w:val="0"/>
                <w:sz w:val="24"/>
                <w:highlight w:val="none"/>
                <w14:textFill>
                  <w14:solidFill>
                    <w14:schemeClr w14:val="tx1"/>
                  </w14:solidFill>
                </w14:textFill>
              </w:rPr>
              <w:t>以</w:t>
            </w:r>
            <w:r>
              <w:rPr>
                <w:rFonts w:hint="eastAsia" w:ascii="宋体" w:hAnsi="宋体" w:cs="宋体"/>
                <w:bCs/>
                <w:color w:val="000000" w:themeColor="text1"/>
                <w:kern w:val="0"/>
                <w:sz w:val="24"/>
                <w:highlight w:val="none"/>
                <w14:textFill>
                  <w14:solidFill>
                    <w14:schemeClr w14:val="tx1"/>
                  </w14:solidFill>
                </w14:textFill>
              </w:rPr>
              <w:t>表格</w:t>
            </w:r>
            <w:r>
              <w:rPr>
                <w:rFonts w:hint="eastAsia" w:ascii="宋体" w:hAnsi="宋体" w:cs="宋体"/>
                <w:color w:val="000000" w:themeColor="text1"/>
                <w:kern w:val="0"/>
                <w:sz w:val="24"/>
                <w:highlight w:val="none"/>
                <w14:textFill>
                  <w14:solidFill>
                    <w14:schemeClr w14:val="tx1"/>
                  </w14:solidFill>
                </w14:textFill>
              </w:rPr>
              <w:t>方式展现。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vMerge w:val="continue"/>
            <w:vAlign w:val="center"/>
          </w:tcPr>
          <w:p>
            <w:pPr>
              <w:spacing w:line="400" w:lineRule="exact"/>
              <w:jc w:val="center"/>
              <w:rPr>
                <w:rFonts w:ascii="宋体" w:hAnsi="宋体" w:cs="宋体"/>
                <w:b/>
                <w:color w:val="000000" w:themeColor="text1"/>
                <w:sz w:val="24"/>
                <w:highlight w:val="none"/>
                <w14:textFill>
                  <w14:solidFill>
                    <w14:schemeClr w14:val="tx1"/>
                  </w14:solidFill>
                </w14:textFill>
              </w:rPr>
            </w:pPr>
          </w:p>
        </w:tc>
        <w:tc>
          <w:tcPr>
            <w:tcW w:w="1701"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麻醉分级管理</w:t>
            </w:r>
          </w:p>
        </w:tc>
        <w:tc>
          <w:tcPr>
            <w:tcW w:w="6237" w:type="dxa"/>
            <w:vAlign w:val="center"/>
          </w:tcPr>
          <w:p>
            <w:pPr>
              <w:spacing w:line="40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按照ASA病情分级维度</w:t>
            </w:r>
            <w:r>
              <w:rPr>
                <w:rFonts w:hint="eastAsia" w:ascii="宋体" w:hAnsi="宋体" w:cs="宋体"/>
                <w:bCs/>
                <w:color w:val="000000" w:themeColor="text1"/>
                <w:kern w:val="0"/>
                <w:sz w:val="24"/>
                <w:highlight w:val="none"/>
                <w14:textFill>
                  <w14:solidFill>
                    <w14:schemeClr w14:val="tx1"/>
                  </w14:solidFill>
                </w14:textFill>
              </w:rPr>
              <w:t>统计各级麻醉管理例数，</w:t>
            </w:r>
            <w:r>
              <w:rPr>
                <w:rFonts w:hint="eastAsia" w:ascii="宋体" w:hAnsi="宋体" w:cs="宋体"/>
                <w:color w:val="000000" w:themeColor="text1"/>
                <w:kern w:val="0"/>
                <w:sz w:val="24"/>
                <w:highlight w:val="none"/>
                <w14:textFill>
                  <w14:solidFill>
                    <w14:schemeClr w14:val="tx1"/>
                  </w14:solidFill>
                </w14:textFill>
              </w:rPr>
              <w:t>以</w:t>
            </w:r>
            <w:r>
              <w:rPr>
                <w:rFonts w:hint="eastAsia" w:ascii="宋体" w:hAnsi="宋体" w:cs="宋体"/>
                <w:bCs/>
                <w:color w:val="000000" w:themeColor="text1"/>
                <w:kern w:val="0"/>
                <w:sz w:val="24"/>
                <w:highlight w:val="none"/>
                <w14:textFill>
                  <w14:solidFill>
                    <w14:schemeClr w14:val="tx1"/>
                  </w14:solidFill>
                </w14:textFill>
              </w:rPr>
              <w:t>表格</w:t>
            </w:r>
            <w:r>
              <w:rPr>
                <w:rFonts w:hint="eastAsia" w:ascii="宋体" w:hAnsi="宋体" w:cs="宋体"/>
                <w:color w:val="000000" w:themeColor="text1"/>
                <w:kern w:val="0"/>
                <w:sz w:val="24"/>
                <w:highlight w:val="none"/>
                <w14:textFill>
                  <w14:solidFill>
                    <w14:schemeClr w14:val="tx1"/>
                  </w14:solidFill>
                </w14:textFill>
              </w:rPr>
              <w:t>方式展现。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vMerge w:val="restart"/>
            <w:vAlign w:val="center"/>
          </w:tcPr>
          <w:p>
            <w:pPr>
              <w:spacing w:line="400" w:lineRule="exac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不良事件主题</w:t>
            </w:r>
          </w:p>
        </w:tc>
        <w:tc>
          <w:tcPr>
            <w:tcW w:w="1701"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住院压疮</w:t>
            </w:r>
          </w:p>
        </w:tc>
        <w:tc>
          <w:tcPr>
            <w:tcW w:w="6237" w:type="dxa"/>
            <w:vAlign w:val="center"/>
          </w:tcPr>
          <w:p>
            <w:pPr>
              <w:spacing w:line="4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按照科室、时间维度</w:t>
            </w:r>
            <w:r>
              <w:rPr>
                <w:rFonts w:hint="eastAsia" w:ascii="宋体" w:hAnsi="宋体" w:cs="宋体"/>
                <w:bCs/>
                <w:color w:val="000000" w:themeColor="text1"/>
                <w:kern w:val="0"/>
                <w:sz w:val="24"/>
                <w:highlight w:val="none"/>
                <w14:textFill>
                  <w14:solidFill>
                    <w14:schemeClr w14:val="tx1"/>
                  </w14:solidFill>
                </w14:textFill>
              </w:rPr>
              <w:t>统计入院前各级、各不同来源和住院期间各级、各部位压疮发生例数，</w:t>
            </w:r>
            <w:r>
              <w:rPr>
                <w:rFonts w:hint="eastAsia" w:ascii="宋体" w:hAnsi="宋体" w:cs="宋体"/>
                <w:color w:val="000000" w:themeColor="text1"/>
                <w:kern w:val="0"/>
                <w:sz w:val="24"/>
                <w:highlight w:val="none"/>
                <w14:textFill>
                  <w14:solidFill>
                    <w14:schemeClr w14:val="tx1"/>
                  </w14:solidFill>
                </w14:textFill>
              </w:rPr>
              <w:t>以</w:t>
            </w:r>
            <w:r>
              <w:rPr>
                <w:rFonts w:hint="eastAsia" w:ascii="宋体" w:hAnsi="宋体" w:cs="宋体"/>
                <w:bCs/>
                <w:color w:val="000000" w:themeColor="text1"/>
                <w:kern w:val="0"/>
                <w:sz w:val="24"/>
                <w:highlight w:val="none"/>
                <w14:textFill>
                  <w14:solidFill>
                    <w14:schemeClr w14:val="tx1"/>
                  </w14:solidFill>
                </w14:textFill>
              </w:rPr>
              <w:t>表格</w:t>
            </w:r>
            <w:r>
              <w:rPr>
                <w:rFonts w:hint="eastAsia" w:ascii="宋体" w:hAnsi="宋体" w:cs="宋体"/>
                <w:color w:val="000000" w:themeColor="text1"/>
                <w:kern w:val="0"/>
                <w:sz w:val="24"/>
                <w:highlight w:val="none"/>
                <w14:textFill>
                  <w14:solidFill>
                    <w14:schemeClr w14:val="tx1"/>
                  </w14:solidFill>
                </w14:textFill>
              </w:rPr>
              <w:t>方式展现。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vMerge w:val="continue"/>
            <w:vAlign w:val="center"/>
          </w:tcPr>
          <w:p>
            <w:pPr>
              <w:spacing w:line="400" w:lineRule="exact"/>
              <w:jc w:val="center"/>
              <w:rPr>
                <w:rFonts w:ascii="宋体" w:hAnsi="宋体" w:cs="宋体"/>
                <w:b/>
                <w:color w:val="000000" w:themeColor="text1"/>
                <w:sz w:val="24"/>
                <w:highlight w:val="none"/>
                <w14:textFill>
                  <w14:solidFill>
                    <w14:schemeClr w14:val="tx1"/>
                  </w14:solidFill>
                </w14:textFill>
              </w:rPr>
            </w:pPr>
          </w:p>
        </w:tc>
        <w:tc>
          <w:tcPr>
            <w:tcW w:w="1701"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跌倒/坠床</w:t>
            </w:r>
          </w:p>
        </w:tc>
        <w:tc>
          <w:tcPr>
            <w:tcW w:w="6237" w:type="dxa"/>
            <w:vAlign w:val="center"/>
          </w:tcPr>
          <w:p>
            <w:pPr>
              <w:spacing w:line="4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按照科室、时间维度</w:t>
            </w:r>
            <w:r>
              <w:rPr>
                <w:rFonts w:hint="eastAsia" w:ascii="宋体" w:hAnsi="宋体" w:cs="宋体"/>
                <w:bCs/>
                <w:color w:val="000000" w:themeColor="text1"/>
                <w:kern w:val="0"/>
                <w:sz w:val="24"/>
                <w:highlight w:val="none"/>
                <w14:textFill>
                  <w14:solidFill>
                    <w14:schemeClr w14:val="tx1"/>
                  </w14:solidFill>
                </w14:textFill>
              </w:rPr>
              <w:t>统计跌倒坠床事件数，因各种原因造成的跌倒坠床数以及跌倒造成伤害事件数，</w:t>
            </w:r>
            <w:r>
              <w:rPr>
                <w:rFonts w:hint="eastAsia" w:ascii="宋体" w:hAnsi="宋体" w:cs="宋体"/>
                <w:color w:val="000000" w:themeColor="text1"/>
                <w:kern w:val="0"/>
                <w:sz w:val="24"/>
                <w:highlight w:val="none"/>
                <w14:textFill>
                  <w14:solidFill>
                    <w14:schemeClr w14:val="tx1"/>
                  </w14:solidFill>
                </w14:textFill>
              </w:rPr>
              <w:t>以</w:t>
            </w:r>
            <w:r>
              <w:rPr>
                <w:rFonts w:hint="eastAsia" w:ascii="宋体" w:hAnsi="宋体" w:cs="宋体"/>
                <w:bCs/>
                <w:color w:val="000000" w:themeColor="text1"/>
                <w:kern w:val="0"/>
                <w:sz w:val="24"/>
                <w:highlight w:val="none"/>
                <w14:textFill>
                  <w14:solidFill>
                    <w14:schemeClr w14:val="tx1"/>
                  </w14:solidFill>
                </w14:textFill>
              </w:rPr>
              <w:t>表格</w:t>
            </w:r>
            <w:r>
              <w:rPr>
                <w:rFonts w:hint="eastAsia" w:ascii="宋体" w:hAnsi="宋体" w:cs="宋体"/>
                <w:color w:val="000000" w:themeColor="text1"/>
                <w:kern w:val="0"/>
                <w:sz w:val="24"/>
                <w:highlight w:val="none"/>
                <w14:textFill>
                  <w14:solidFill>
                    <w14:schemeClr w14:val="tx1"/>
                  </w14:solidFill>
                </w14:textFill>
              </w:rPr>
              <w:t>方式展现。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vMerge w:val="continue"/>
            <w:vAlign w:val="center"/>
          </w:tcPr>
          <w:p>
            <w:pPr>
              <w:spacing w:line="400" w:lineRule="exact"/>
              <w:jc w:val="center"/>
              <w:rPr>
                <w:rFonts w:ascii="宋体" w:hAnsi="宋体" w:cs="宋体"/>
                <w:b/>
                <w:color w:val="000000" w:themeColor="text1"/>
                <w:sz w:val="24"/>
                <w:highlight w:val="none"/>
                <w14:textFill>
                  <w14:solidFill>
                    <w14:schemeClr w14:val="tx1"/>
                  </w14:solidFill>
                </w14:textFill>
              </w:rPr>
            </w:pPr>
          </w:p>
        </w:tc>
        <w:tc>
          <w:tcPr>
            <w:tcW w:w="1701"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其他不良事件</w:t>
            </w:r>
          </w:p>
        </w:tc>
        <w:tc>
          <w:tcPr>
            <w:tcW w:w="6237" w:type="dxa"/>
            <w:vAlign w:val="center"/>
          </w:tcPr>
          <w:p>
            <w:pPr>
              <w:spacing w:line="4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按照科室、时间维度</w:t>
            </w:r>
            <w:r>
              <w:rPr>
                <w:rFonts w:hint="eastAsia" w:ascii="宋体" w:hAnsi="宋体" w:cs="宋体"/>
                <w:bCs/>
                <w:color w:val="000000" w:themeColor="text1"/>
                <w:kern w:val="0"/>
                <w:sz w:val="24"/>
                <w:highlight w:val="none"/>
                <w14:textFill>
                  <w14:solidFill>
                    <w14:schemeClr w14:val="tx1"/>
                  </w14:solidFill>
                </w14:textFill>
              </w:rPr>
              <w:t>统计阴道分娩、剖宫产及新生儿</w:t>
            </w:r>
            <w:r>
              <w:rPr>
                <w:rFonts w:hint="eastAsia" w:ascii="宋体" w:hAnsi="宋体" w:cs="宋体"/>
                <w:color w:val="000000" w:themeColor="text1"/>
                <w:sz w:val="24"/>
                <w:highlight w:val="none"/>
                <w14:textFill>
                  <w14:solidFill>
                    <w14:schemeClr w14:val="tx1"/>
                  </w14:solidFill>
                </w14:textFill>
              </w:rPr>
              <w:t>产伤人次，及输血/输液反应、医源性气胸、意外穿刺伤或撕裂伤人次等指标，</w:t>
            </w:r>
            <w:r>
              <w:rPr>
                <w:rFonts w:hint="eastAsia" w:ascii="宋体" w:hAnsi="宋体" w:cs="宋体"/>
                <w:color w:val="000000" w:themeColor="text1"/>
                <w:kern w:val="0"/>
                <w:sz w:val="24"/>
                <w:highlight w:val="none"/>
                <w14:textFill>
                  <w14:solidFill>
                    <w14:schemeClr w14:val="tx1"/>
                  </w14:solidFill>
                </w14:textFill>
              </w:rPr>
              <w:t>以</w:t>
            </w:r>
            <w:r>
              <w:rPr>
                <w:rFonts w:hint="eastAsia" w:ascii="宋体" w:hAnsi="宋体" w:cs="宋体"/>
                <w:bCs/>
                <w:color w:val="000000" w:themeColor="text1"/>
                <w:kern w:val="0"/>
                <w:sz w:val="24"/>
                <w:highlight w:val="none"/>
                <w14:textFill>
                  <w14:solidFill>
                    <w14:schemeClr w14:val="tx1"/>
                  </w14:solidFill>
                </w14:textFill>
              </w:rPr>
              <w:t>表格</w:t>
            </w:r>
            <w:r>
              <w:rPr>
                <w:rFonts w:hint="eastAsia" w:ascii="宋体" w:hAnsi="宋体" w:cs="宋体"/>
                <w:color w:val="000000" w:themeColor="text1"/>
                <w:kern w:val="0"/>
                <w:sz w:val="24"/>
                <w:highlight w:val="none"/>
                <w14:textFill>
                  <w14:solidFill>
                    <w14:schemeClr w14:val="tx1"/>
                  </w14:solidFill>
                </w14:textFill>
              </w:rPr>
              <w:t>方式展现。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vAlign w:val="center"/>
          </w:tcPr>
          <w:p>
            <w:pPr>
              <w:spacing w:line="400" w:lineRule="exac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危重管理主题</w:t>
            </w:r>
          </w:p>
        </w:tc>
        <w:tc>
          <w:tcPr>
            <w:tcW w:w="1701"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危重抢救</w:t>
            </w:r>
          </w:p>
        </w:tc>
        <w:tc>
          <w:tcPr>
            <w:tcW w:w="6237" w:type="dxa"/>
            <w:vAlign w:val="center"/>
          </w:tcPr>
          <w:p>
            <w:pPr>
              <w:spacing w:line="40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按照科室、时间维度</w:t>
            </w:r>
            <w:r>
              <w:rPr>
                <w:rFonts w:hint="eastAsia" w:ascii="宋体" w:hAnsi="宋体" w:cs="宋体"/>
                <w:bCs/>
                <w:color w:val="000000" w:themeColor="text1"/>
                <w:kern w:val="0"/>
                <w:sz w:val="24"/>
                <w:highlight w:val="none"/>
                <w14:textFill>
                  <w14:solidFill>
                    <w14:schemeClr w14:val="tx1"/>
                  </w14:solidFill>
                </w14:textFill>
              </w:rPr>
              <w:t>统计急诊和住院危重抢救人次、抢救成功人次（率）、抢救死亡人次（率）</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以</w:t>
            </w:r>
            <w:r>
              <w:rPr>
                <w:rFonts w:hint="eastAsia" w:ascii="宋体" w:hAnsi="宋体" w:cs="宋体"/>
                <w:bCs/>
                <w:color w:val="000000" w:themeColor="text1"/>
                <w:kern w:val="0"/>
                <w:sz w:val="24"/>
                <w:highlight w:val="none"/>
                <w14:textFill>
                  <w14:solidFill>
                    <w14:schemeClr w14:val="tx1"/>
                  </w14:solidFill>
                </w14:textFill>
              </w:rPr>
              <w:t>表格</w:t>
            </w:r>
            <w:r>
              <w:rPr>
                <w:rFonts w:hint="eastAsia" w:ascii="宋体" w:hAnsi="宋体" w:cs="宋体"/>
                <w:color w:val="000000" w:themeColor="text1"/>
                <w:kern w:val="0"/>
                <w:sz w:val="24"/>
                <w:highlight w:val="none"/>
                <w14:textFill>
                  <w14:solidFill>
                    <w14:schemeClr w14:val="tx1"/>
                  </w14:solidFill>
                </w14:textFill>
              </w:rPr>
              <w:t>方式展现。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vAlign w:val="center"/>
          </w:tcPr>
          <w:p>
            <w:pPr>
              <w:spacing w:line="400" w:lineRule="exac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治疗质量主题</w:t>
            </w:r>
          </w:p>
        </w:tc>
        <w:tc>
          <w:tcPr>
            <w:tcW w:w="1701"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治疗质量</w:t>
            </w:r>
          </w:p>
        </w:tc>
        <w:tc>
          <w:tcPr>
            <w:tcW w:w="6237" w:type="dxa"/>
            <w:vAlign w:val="center"/>
          </w:tcPr>
          <w:p>
            <w:pPr>
              <w:spacing w:line="40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按照科室、时间维度</w:t>
            </w:r>
            <w:r>
              <w:rPr>
                <w:rFonts w:hint="eastAsia" w:ascii="宋体" w:hAnsi="宋体" w:cs="宋体"/>
                <w:bCs/>
                <w:color w:val="000000" w:themeColor="text1"/>
                <w:kern w:val="0"/>
                <w:sz w:val="24"/>
                <w:highlight w:val="none"/>
                <w14:textFill>
                  <w14:solidFill>
                    <w14:schemeClr w14:val="tx1"/>
                  </w14:solidFill>
                </w14:textFill>
              </w:rPr>
              <w:t>统计治愈人次（率）、好转人次（率）、未愈人次（率）、自动出院人次（率）</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以</w:t>
            </w:r>
            <w:r>
              <w:rPr>
                <w:rFonts w:hint="eastAsia" w:ascii="宋体" w:hAnsi="宋体" w:cs="宋体"/>
                <w:bCs/>
                <w:color w:val="000000" w:themeColor="text1"/>
                <w:kern w:val="0"/>
                <w:sz w:val="24"/>
                <w:highlight w:val="none"/>
                <w14:textFill>
                  <w14:solidFill>
                    <w14:schemeClr w14:val="tx1"/>
                  </w14:solidFill>
                </w14:textFill>
              </w:rPr>
              <w:t>表格</w:t>
            </w:r>
            <w:r>
              <w:rPr>
                <w:rFonts w:hint="eastAsia" w:ascii="宋体" w:hAnsi="宋体" w:cs="宋体"/>
                <w:color w:val="000000" w:themeColor="text1"/>
                <w:kern w:val="0"/>
                <w:sz w:val="24"/>
                <w:highlight w:val="none"/>
                <w14:textFill>
                  <w14:solidFill>
                    <w14:schemeClr w14:val="tx1"/>
                  </w14:solidFill>
                </w14:textFill>
              </w:rPr>
              <w:t>方式展现。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vAlign w:val="center"/>
          </w:tcPr>
          <w:p>
            <w:pPr>
              <w:spacing w:line="400" w:lineRule="exac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诊断质量主题</w:t>
            </w:r>
          </w:p>
        </w:tc>
        <w:tc>
          <w:tcPr>
            <w:tcW w:w="1701"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诊断质量</w:t>
            </w:r>
          </w:p>
        </w:tc>
        <w:tc>
          <w:tcPr>
            <w:tcW w:w="6237" w:type="dxa"/>
            <w:vAlign w:val="center"/>
          </w:tcPr>
          <w:p>
            <w:pPr>
              <w:spacing w:line="40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按照科室、时间维度</w:t>
            </w:r>
            <w:r>
              <w:rPr>
                <w:rFonts w:hint="eastAsia" w:ascii="宋体" w:hAnsi="宋体" w:cs="宋体"/>
                <w:bCs/>
                <w:color w:val="000000" w:themeColor="text1"/>
                <w:kern w:val="0"/>
                <w:sz w:val="24"/>
                <w:highlight w:val="none"/>
                <w14:textFill>
                  <w14:solidFill>
                    <w14:schemeClr w14:val="tx1"/>
                  </w14:solidFill>
                </w14:textFill>
              </w:rPr>
              <w:t>统计入院与出院诊断、术前与术后诊断、手术冰冻与石蜡诊断，恶性肿瘤临床与病理、放射与病理、术前与术后病理诊断符合例数及符合率，</w:t>
            </w:r>
            <w:r>
              <w:rPr>
                <w:rFonts w:hint="eastAsia" w:ascii="宋体" w:hAnsi="宋体" w:cs="宋体"/>
                <w:color w:val="000000" w:themeColor="text1"/>
                <w:kern w:val="0"/>
                <w:sz w:val="24"/>
                <w:highlight w:val="none"/>
                <w14:textFill>
                  <w14:solidFill>
                    <w14:schemeClr w14:val="tx1"/>
                  </w14:solidFill>
                </w14:textFill>
              </w:rPr>
              <w:t>以</w:t>
            </w:r>
            <w:r>
              <w:rPr>
                <w:rFonts w:hint="eastAsia" w:ascii="宋体" w:hAnsi="宋体" w:cs="宋体"/>
                <w:bCs/>
                <w:color w:val="000000" w:themeColor="text1"/>
                <w:kern w:val="0"/>
                <w:sz w:val="24"/>
                <w:highlight w:val="none"/>
                <w14:textFill>
                  <w14:solidFill>
                    <w14:schemeClr w14:val="tx1"/>
                  </w14:solidFill>
                </w14:textFill>
              </w:rPr>
              <w:t>表格</w:t>
            </w:r>
            <w:r>
              <w:rPr>
                <w:rFonts w:hint="eastAsia" w:ascii="宋体" w:hAnsi="宋体" w:cs="宋体"/>
                <w:color w:val="000000" w:themeColor="text1"/>
                <w:kern w:val="0"/>
                <w:sz w:val="24"/>
                <w:highlight w:val="none"/>
                <w14:textFill>
                  <w14:solidFill>
                    <w14:schemeClr w14:val="tx1"/>
                  </w14:solidFill>
                </w14:textFill>
              </w:rPr>
              <w:t>方式展现。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vAlign w:val="center"/>
          </w:tcPr>
          <w:p>
            <w:pPr>
              <w:spacing w:line="400" w:lineRule="exac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资源配置主题</w:t>
            </w:r>
          </w:p>
        </w:tc>
        <w:tc>
          <w:tcPr>
            <w:tcW w:w="1701"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资源配置分析</w:t>
            </w:r>
          </w:p>
        </w:tc>
        <w:tc>
          <w:tcPr>
            <w:tcW w:w="6237" w:type="dxa"/>
            <w:vAlign w:val="center"/>
          </w:tcPr>
          <w:p>
            <w:pPr>
              <w:spacing w:line="4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按照机构、时间维度</w:t>
            </w:r>
            <w:r>
              <w:rPr>
                <w:rFonts w:hint="eastAsia" w:ascii="宋体" w:hAnsi="宋体" w:cs="宋体"/>
                <w:bCs/>
                <w:color w:val="000000" w:themeColor="text1"/>
                <w:kern w:val="0"/>
                <w:sz w:val="24"/>
                <w:highlight w:val="none"/>
                <w14:textFill>
                  <w14:solidFill>
                    <w14:schemeClr w14:val="tx1"/>
                  </w14:solidFill>
                </w14:textFill>
              </w:rPr>
              <w:t>统计</w:t>
            </w:r>
            <w:r>
              <w:rPr>
                <w:rFonts w:hint="eastAsia" w:ascii="宋体" w:hAnsi="宋体" w:cs="宋体"/>
                <w:color w:val="000000" w:themeColor="text1"/>
                <w:sz w:val="24"/>
                <w:highlight w:val="none"/>
                <w14:textFill>
                  <w14:solidFill>
                    <w14:schemeClr w14:val="tx1"/>
                  </w14:solidFill>
                </w14:textFill>
              </w:rPr>
              <w:t>全院员工数，包括卫生技术人员（医师数、护理人员数、医技人数）等，统计床位资源，包括实际开放床位、重症医学科实际开放床位、急诊留观实际开放床位，</w:t>
            </w:r>
            <w:r>
              <w:rPr>
                <w:rFonts w:hint="eastAsia" w:ascii="宋体" w:hAnsi="宋体" w:cs="宋体"/>
                <w:color w:val="000000" w:themeColor="text1"/>
                <w:kern w:val="0"/>
                <w:sz w:val="24"/>
                <w:highlight w:val="none"/>
                <w14:textFill>
                  <w14:solidFill>
                    <w14:schemeClr w14:val="tx1"/>
                  </w14:solidFill>
                </w14:textFill>
              </w:rPr>
              <w:t>以</w:t>
            </w:r>
            <w:r>
              <w:rPr>
                <w:rFonts w:hint="eastAsia" w:ascii="宋体" w:hAnsi="宋体" w:cs="宋体"/>
                <w:bCs/>
                <w:color w:val="000000" w:themeColor="text1"/>
                <w:kern w:val="0"/>
                <w:sz w:val="24"/>
                <w:highlight w:val="none"/>
                <w14:textFill>
                  <w14:solidFill>
                    <w14:schemeClr w14:val="tx1"/>
                  </w14:solidFill>
                </w14:textFill>
              </w:rPr>
              <w:t>表格</w:t>
            </w:r>
            <w:r>
              <w:rPr>
                <w:rFonts w:hint="eastAsia" w:ascii="宋体" w:hAnsi="宋体" w:cs="宋体"/>
                <w:color w:val="000000" w:themeColor="text1"/>
                <w:kern w:val="0"/>
                <w:sz w:val="24"/>
                <w:highlight w:val="none"/>
                <w14:textFill>
                  <w14:solidFill>
                    <w14:schemeClr w14:val="tx1"/>
                  </w14:solidFill>
                </w14:textFill>
              </w:rPr>
              <w:t>方式展现。</w:t>
            </w:r>
          </w:p>
        </w:tc>
      </w:tr>
    </w:tbl>
    <w:p>
      <w:pPr>
        <w:pStyle w:val="53"/>
        <w:spacing w:line="400" w:lineRule="exact"/>
        <w:ind w:firstLine="0" w:firstLineChars="0"/>
        <w:rPr>
          <w:rFonts w:ascii="宋体" w:hAnsi="宋体" w:cs="宋体"/>
          <w:color w:val="000000" w:themeColor="text1"/>
          <w:highlight w:val="none"/>
          <w14:textFill>
            <w14:solidFill>
              <w14:schemeClr w14:val="tx1"/>
            </w14:solidFill>
          </w14:textFill>
        </w:rPr>
      </w:pPr>
    </w:p>
    <w:p>
      <w:pPr>
        <w:pStyle w:val="5"/>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5.4医院（健共体集团）信息集成平台及业务集成</w:t>
      </w:r>
    </w:p>
    <w:p>
      <w:pPr>
        <w:pStyle w:val="6"/>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5.4.1集成引擎</w:t>
      </w:r>
    </w:p>
    <w:p>
      <w:pPr>
        <w:pStyle w:val="53"/>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t>总体需求</w:t>
      </w:r>
    </w:p>
    <w:p>
      <w:pPr>
        <w:pStyle w:val="53"/>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集成引擎需遵循包括 HL7 在内的国际医疗标准，需集 ETL、ESB、集成引擎为一体，实现复杂的数据传输，提供一系列的标准接口和服务，实现不同服务、不同应用、不同机构之间的互联互通互操作，需具有高性能、高可靠性、高可用性、高易用性、高度模块化、低资源占有量和本土化等特点。需支持在全院范围内、区域中、跨网络、跨协议、支持应用集成和数据集成 。</w:t>
      </w:r>
    </w:p>
    <w:p>
      <w:pPr>
        <w:pStyle w:val="53"/>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集成引擎需遵循应用服务总线架构（SOA）设计，基于 Java 平台开发，可以在不同的操作系统，包括 Linux 及 Windows 系统中安装运行。同时引擎需使用了最新的 No-SQL 数据存储方式和搜索引擎技术，保证对大数据量消息快速存储的同时，提供通用的数据界面，并且为集群部署提供了架构上的支持。</w:t>
      </w:r>
    </w:p>
    <w:p>
      <w:pPr>
        <w:pStyle w:val="53"/>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集成引擎需实现同步及异步的消息处理流程。</w:t>
      </w:r>
    </w:p>
    <w:p>
      <w:pPr>
        <w:pStyle w:val="53"/>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集成引擎需实现早复杂处理流程的同时能够保证消息的传输。引擎接受到消息，或和外部系统进行消息交互时，所有的消息都会被保存至引擎数据库中。在消息发生错误时，用户可以查看在整个流程中的所有消息，对消息进行更改重发。外部系统发生错误时，引擎可以发送失败的消息进行重试并进行存储。这样使得引擎的消息不会丢失，需要时可以将消息进行恢复并重新处理。</w:t>
      </w:r>
    </w:p>
    <w:p>
      <w:pPr>
        <w:pStyle w:val="53"/>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集成引擎需实现同步、异步的集成，满足复杂的医疗集成需求,  实现医疗机构内部系统之间、医疗机构之间和区域的互联、互通、互操作。</w:t>
      </w:r>
    </w:p>
    <w:p>
      <w:pPr>
        <w:pStyle w:val="53"/>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t>核心引擎</w:t>
      </w:r>
    </w:p>
    <w:p>
      <w:pPr>
        <w:pStyle w:val="53"/>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集成引擎的核心是整个引擎的关键，是用来处理与外部系统的连接，执行数据的内部交换处理，映射，资源的分配，对整体流程进行详细的跟踪记录。</w:t>
      </w:r>
    </w:p>
    <w:p>
      <w:pPr>
        <w:pStyle w:val="53"/>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集成引擎的核心需包括下面几个组成部分：</w:t>
      </w:r>
    </w:p>
    <w:p>
      <w:pPr>
        <w:pStyle w:val="53"/>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t>引擎的内核</w:t>
      </w:r>
    </w:p>
    <w:p>
      <w:pPr>
        <w:pStyle w:val="53"/>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t>消息存储库</w:t>
      </w:r>
    </w:p>
    <w:p>
      <w:pPr>
        <w:pStyle w:val="53"/>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t>消息搜索引擎</w:t>
      </w:r>
    </w:p>
    <w:p>
      <w:pPr>
        <w:pStyle w:val="53"/>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t>消息队列</w:t>
      </w:r>
    </w:p>
    <w:p>
      <w:pPr>
        <w:pStyle w:val="53"/>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t>操作界面</w:t>
      </w:r>
    </w:p>
    <w:p>
      <w:pPr>
        <w:pStyle w:val="53"/>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界面需基于 Web 2.0 技术开发，支持多种浏览器，提供引擎配置，监控，管理的统一界面。</w:t>
      </w:r>
    </w:p>
    <w:p>
      <w:pPr>
        <w:pStyle w:val="53"/>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t>需集集成引擎、ESB、ETL一体</w:t>
      </w:r>
    </w:p>
    <w:p>
      <w:pPr>
        <w:pStyle w:val="53"/>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需采用最新的技术和合理的架构，需满足集成引擎、ESB和ETL功能的需求。集成引擎可选择建立不同类型的项目来实现功能上的区分。选择集成项目用来实现集成引擎的需求，实现系统间消息集成，保证传输，可以记录消息内容及处理流程，保证消息传输顺序，支持消息重新处理。而选择 ESB 接口项目则可实现高性能请求应答模式，实现高性能路由处理，进行同步消息处理，支持事务，提供服务总线功能。集成引擎也应包含了 ETL 的实现，在性能和功能方面均大大超越了其他集成引擎，基本上满足了通用的 ETL需求。</w:t>
      </w:r>
    </w:p>
    <w:p>
      <w:pPr>
        <w:pStyle w:val="53"/>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集成引擎需要注重于实现机构内不同系统之间的互操作，实现不同系统或应用程序之间的数据集成，简化连接不同应用程序之间或数据源之间的业务流程。其主要目的是在不同系统或应用程序之间共享数据和业务流程。</w:t>
      </w:r>
    </w:p>
    <w:p>
      <w:pPr>
        <w:pStyle w:val="53"/>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ESB 企业服务总线，是一种提供应用程序和服务集成的软件架构。主要功能是提供通信服务来实现应用之间的连接。ESB 是面向服务的模式，组件之间的交互和通信通过总线提供的服务来实现。</w:t>
      </w:r>
    </w:p>
    <w:p>
      <w:pPr>
        <w:pStyle w:val="6"/>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5.4.2临床服务系统集成</w:t>
      </w:r>
    </w:p>
    <w:p>
      <w:pPr>
        <w:pStyle w:val="53"/>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通过信息集成引擎，实现院内临床服务类应用系统的整合，实现系统的互联互通。包括：门急诊挂号收费系统、门诊医生工作站、候诊排队管理系统、入院准备中心系统、住院医生工作站、病区护士工作站、门诊电子病历、住院电子病历、合理用药管理系统、手术麻醉管理系统、临床路径管理系统、合理输血管理系统、重症监护系统、健康体检管理系统、移动护理系统、移动医生系统、病历质控系统、检验系统、其他等系统。</w:t>
      </w:r>
    </w:p>
    <w:p>
      <w:pPr>
        <w:pStyle w:val="6"/>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5.4.3医疗管理系统整合</w:t>
      </w:r>
    </w:p>
    <w:p>
      <w:pPr>
        <w:pStyle w:val="53"/>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通过信息集成引擎，实现院内医疗管理类应用系统的整合，实现系统的互联互通。包括：门急诊收费系统 、住院收费系统、护理管理系统、医务管理系统、院感管理系统、病案管理系统、门诊候诊排队管理系统、医疗保险/新农合接口、其他等系统。</w:t>
      </w:r>
    </w:p>
    <w:p>
      <w:pPr>
        <w:pStyle w:val="6"/>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5.4.4运营管理系统整合</w:t>
      </w:r>
    </w:p>
    <w:p>
      <w:pPr>
        <w:pStyle w:val="53"/>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通过信息集成引擎，实现院内医疗管理类应用系统的整合，实现系统的互联互通。包括：门急诊收费系统 、住院收费系统、护理管理系统、医务管理系统、院感管理系统、病案管理系统、门诊候诊排队管理系统、医疗保险/新农合接口、其他等系统。</w:t>
      </w:r>
    </w:p>
    <w:p>
      <w:pPr>
        <w:pStyle w:val="6"/>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5.4.5病人自助终端应用服务整合</w:t>
      </w:r>
    </w:p>
    <w:p>
      <w:pPr>
        <w:pStyle w:val="53"/>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通过信息集成引擎，基于已实现的业务服务和整合后数据，根据医院业务需求，实现医院平台与病人自助服务类应用系统的整合，包括自助挂号、处方\费用自助查询、检验检查报告自助打印、自助交费等应用。</w:t>
      </w:r>
    </w:p>
    <w:p>
      <w:pPr>
        <w:pStyle w:val="6"/>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5.4.6手机无线应用系统服务整合</w:t>
      </w:r>
    </w:p>
    <w:p>
      <w:pPr>
        <w:pStyle w:val="53"/>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即提供基于平台的数据和服务以支撑手机无线应用系统，整合系统应包括：短信预约挂号、短信回访、APP预约挂号、APP检验检查结果查询等。</w:t>
      </w:r>
    </w:p>
    <w:p>
      <w:pPr>
        <w:pStyle w:val="53"/>
        <w:spacing w:line="400" w:lineRule="exact"/>
        <w:rPr>
          <w:rFonts w:ascii="宋体" w:hAnsi="宋体" w:cs="宋体"/>
          <w:color w:val="000000" w:themeColor="text1"/>
          <w:highlight w:val="none"/>
          <w14:textFill>
            <w14:solidFill>
              <w14:schemeClr w14:val="tx1"/>
            </w14:solidFill>
          </w14:textFill>
        </w:rPr>
      </w:pPr>
    </w:p>
    <w:p>
      <w:pPr>
        <w:pStyle w:val="5"/>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5.4.7健共体业务系统整合服务</w:t>
      </w:r>
    </w:p>
    <w:p>
      <w:pPr>
        <w:pStyle w:val="53"/>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在遵循国际、国家和地方标准的基础上，基于本项目在建集成平台、数据中心和业务集成服务等工作，为构建以玉环市人民医院健共体集团为总院的包括玉环市中医院分院、坎门分院、大麦屿分院、玉城分院、芦蒲分院、海山分院等医疗机构的健共体医疗集团，并通过制定健共体统一的数据标准格式和内容，充分利用本次玉环市人民医院健共体集团升级的HIS系统替换坎门分院和大麦屿分院HIS系统，实现数据库的统一，实现对健共体范围内医疗机构各种现有数据整合，并形成丰富和灵活的数据应用。在总院实现集团全运营数据监管视图、总业务报表分析、并可查看各分院业务报表；各分院亦有本单位相对完整独立的子业务运营分析体系，可查看运营数据监管视图及财务业务报表。</w:t>
      </w:r>
    </w:p>
    <w:p>
      <w:pPr>
        <w:pStyle w:val="53"/>
        <w:spacing w:line="400" w:lineRule="exact"/>
        <w:rPr>
          <w:rFonts w:ascii="宋体" w:hAnsi="宋体" w:cs="宋体"/>
          <w:color w:val="000000" w:themeColor="text1"/>
          <w:highlight w:val="none"/>
          <w14:textFill>
            <w14:solidFill>
              <w14:schemeClr w14:val="tx1"/>
            </w14:solidFill>
          </w14:textFill>
        </w:rPr>
      </w:pPr>
    </w:p>
    <w:p>
      <w:pPr>
        <w:pStyle w:val="4"/>
        <w:spacing w:line="400" w:lineRule="exact"/>
        <w:jc w:val="both"/>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6.实施、培训、售后服务及成果交付需求</w:t>
      </w:r>
    </w:p>
    <w:p>
      <w:pPr>
        <w:pStyle w:val="55"/>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6.1项目实施要求</w:t>
      </w:r>
    </w:p>
    <w:p>
      <w:pPr>
        <w:pStyle w:val="53"/>
        <w:spacing w:line="400" w:lineRule="exact"/>
        <w:rPr>
          <w:rFonts w:ascii="宋体" w:hAnsi="宋体" w:cs="宋体"/>
          <w:b/>
          <w:bCs/>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▲投标厂商应具备较强的行业经验、信息系统集成能力和质量管理体系，同时需要根据项目建设内容和进度需要，</w:t>
      </w:r>
      <w:r>
        <w:rPr>
          <w:rFonts w:hint="eastAsia" w:ascii="宋体" w:hAnsi="宋体" w:cs="宋体"/>
          <w:b/>
          <w:color w:val="000000" w:themeColor="text1"/>
          <w:highlight w:val="none"/>
          <w14:textFill>
            <w14:solidFill>
              <w14:schemeClr w14:val="tx1"/>
            </w14:solidFill>
          </w14:textFill>
        </w:rPr>
        <w:t>派驻具有一定资质能力水平的成员组成项目小组对医院信息系统进行实施及服务</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b/>
          <w:bCs/>
          <w:color w:val="000000" w:themeColor="text1"/>
          <w:highlight w:val="none"/>
          <w:u w:val="single"/>
          <w14:textFill>
            <w14:solidFill>
              <w14:schemeClr w14:val="tx1"/>
            </w14:solidFill>
          </w14:textFill>
        </w:rPr>
        <w:t>常驻人员不少于6人（参照院方上班时间），主要负责人不得随意变更，中标后需提供采购人常驻人员名单表，如预中标供应商主动更换主要负责人，更换的人员需经过采购人同意并且扣除中标金额的百分之三至采购人处。</w:t>
      </w:r>
    </w:p>
    <w:p>
      <w:pPr>
        <w:pStyle w:val="53"/>
        <w:spacing w:line="400" w:lineRule="exact"/>
        <w:ind w:firstLine="482"/>
        <w:rPr>
          <w:rFonts w:ascii="宋体" w:hAnsi="宋体" w:cs="宋体"/>
          <w:b/>
          <w:bCs/>
          <w:color w:val="000000" w:themeColor="text1"/>
          <w:highlight w:val="none"/>
          <w:u w:val="single"/>
          <w14:textFill>
            <w14:solidFill>
              <w14:schemeClr w14:val="tx1"/>
            </w14:solidFill>
          </w14:textFill>
        </w:rPr>
      </w:pPr>
      <w:r>
        <w:rPr>
          <w:rFonts w:hint="eastAsia" w:ascii="宋体" w:hAnsi="宋体" w:cs="宋体"/>
          <w:b/>
          <w:bCs/>
          <w:color w:val="000000" w:themeColor="text1"/>
          <w:highlight w:val="none"/>
          <w:u w:val="single"/>
          <w14:textFill>
            <w14:solidFill>
              <w14:schemeClr w14:val="tx1"/>
            </w14:solidFill>
          </w14:textFill>
        </w:rPr>
        <w:t>中标供应商</w:t>
      </w:r>
      <w:r>
        <w:rPr>
          <w:rFonts w:ascii="宋体" w:hAnsi="宋体" w:cs="宋体"/>
          <w:b/>
          <w:bCs/>
          <w:color w:val="000000" w:themeColor="text1"/>
          <w:highlight w:val="none"/>
          <w:u w:val="single"/>
          <w14:textFill>
            <w14:solidFill>
              <w14:schemeClr w14:val="tx1"/>
            </w14:solidFill>
          </w14:textFill>
        </w:rPr>
        <w:t>为本项目安排的项目经理同时具有高级项目经理、信息系统项目管理师、高级工程师资质，且具有担任医疗卫生信息化</w:t>
      </w:r>
      <w:r>
        <w:rPr>
          <w:rFonts w:hint="eastAsia" w:ascii="宋体" w:hAnsi="宋体" w:cs="宋体"/>
          <w:b/>
          <w:bCs/>
          <w:color w:val="000000" w:themeColor="text1"/>
          <w:highlight w:val="none"/>
          <w:u w:val="single"/>
          <w14:textFill>
            <w14:solidFill>
              <w14:schemeClr w14:val="tx1"/>
            </w14:solidFill>
          </w14:textFill>
        </w:rPr>
        <w:t>建设</w:t>
      </w:r>
      <w:r>
        <w:rPr>
          <w:rFonts w:ascii="宋体" w:hAnsi="宋体" w:cs="宋体"/>
          <w:b/>
          <w:bCs/>
          <w:color w:val="000000" w:themeColor="text1"/>
          <w:highlight w:val="none"/>
          <w:u w:val="single"/>
          <w14:textFill>
            <w14:solidFill>
              <w14:schemeClr w14:val="tx1"/>
            </w14:solidFill>
          </w14:textFill>
        </w:rPr>
        <w:t>项目</w:t>
      </w:r>
      <w:r>
        <w:rPr>
          <w:rFonts w:hint="eastAsia" w:ascii="宋体" w:hAnsi="宋体" w:cs="宋体"/>
          <w:b/>
          <w:bCs/>
          <w:color w:val="000000" w:themeColor="text1"/>
          <w:highlight w:val="none"/>
          <w:u w:val="single"/>
          <w14:textFill>
            <w14:solidFill>
              <w14:schemeClr w14:val="tx1"/>
            </w14:solidFill>
          </w14:textFill>
        </w:rPr>
        <w:t>（</w:t>
      </w:r>
      <w:r>
        <w:rPr>
          <w:rFonts w:ascii="宋体" w:hAnsi="宋体" w:cs="宋体"/>
          <w:b/>
          <w:bCs/>
          <w:color w:val="000000" w:themeColor="text1"/>
          <w:highlight w:val="none"/>
          <w:u w:val="single"/>
          <w14:textFill>
            <w14:solidFill>
              <w14:schemeClr w14:val="tx1"/>
            </w14:solidFill>
          </w14:textFill>
        </w:rPr>
        <w:t>项目经理</w:t>
      </w:r>
      <w:r>
        <w:rPr>
          <w:rFonts w:hint="eastAsia" w:ascii="宋体" w:hAnsi="宋体" w:cs="宋体"/>
          <w:b/>
          <w:bCs/>
          <w:color w:val="000000" w:themeColor="text1"/>
          <w:highlight w:val="none"/>
          <w:u w:val="single"/>
          <w14:textFill>
            <w14:solidFill>
              <w14:schemeClr w14:val="tx1"/>
            </w14:solidFill>
          </w14:textFill>
        </w:rPr>
        <w:t>）</w:t>
      </w:r>
      <w:r>
        <w:rPr>
          <w:rFonts w:ascii="宋体" w:hAnsi="宋体" w:cs="宋体"/>
          <w:b/>
          <w:bCs/>
          <w:color w:val="000000" w:themeColor="text1"/>
          <w:highlight w:val="none"/>
          <w:u w:val="single"/>
          <w14:textFill>
            <w14:solidFill>
              <w14:schemeClr w14:val="tx1"/>
            </w14:solidFill>
          </w14:textFill>
        </w:rPr>
        <w:t>工作经验</w:t>
      </w:r>
      <w:r>
        <w:rPr>
          <w:rFonts w:hint="eastAsia" w:ascii="宋体" w:hAnsi="宋体" w:cs="宋体"/>
          <w:b/>
          <w:bCs/>
          <w:color w:val="000000" w:themeColor="text1"/>
          <w:highlight w:val="none"/>
          <w:u w:val="single"/>
          <w14:textFill>
            <w14:solidFill>
              <w14:schemeClr w14:val="tx1"/>
            </w14:solidFill>
          </w14:textFill>
        </w:rPr>
        <w:t>（至少5年）， 中标后提供项目经理资质证书及公司任职经验证明。</w:t>
      </w:r>
    </w:p>
    <w:p>
      <w:pPr>
        <w:pStyle w:val="53"/>
        <w:spacing w:line="400" w:lineRule="exact"/>
        <w:ind w:firstLine="482"/>
        <w:rPr>
          <w:rFonts w:ascii="宋体" w:hAnsi="宋体" w:cs="宋体"/>
          <w:b/>
          <w:bCs/>
          <w:color w:val="000000" w:themeColor="text1"/>
          <w:highlight w:val="none"/>
          <w:u w:val="single"/>
          <w14:textFill>
            <w14:solidFill>
              <w14:schemeClr w14:val="tx1"/>
            </w14:solidFill>
          </w14:textFill>
        </w:rPr>
      </w:pPr>
      <w:r>
        <w:rPr>
          <w:rFonts w:hint="eastAsia" w:ascii="宋体" w:hAnsi="宋体" w:cs="宋体"/>
          <w:b/>
          <w:bCs/>
          <w:color w:val="000000" w:themeColor="text1"/>
          <w:highlight w:val="none"/>
          <w:u w:val="single"/>
          <w14:textFill>
            <w14:solidFill>
              <w14:schemeClr w14:val="tx1"/>
            </w14:solidFill>
          </w14:textFill>
        </w:rPr>
        <w:t>中标供应商</w:t>
      </w:r>
      <w:r>
        <w:rPr>
          <w:rFonts w:ascii="宋体" w:hAnsi="宋体" w:cs="宋体"/>
          <w:b/>
          <w:bCs/>
          <w:color w:val="000000" w:themeColor="text1"/>
          <w:highlight w:val="none"/>
          <w:u w:val="single"/>
          <w14:textFill>
            <w14:solidFill>
              <w14:schemeClr w14:val="tx1"/>
            </w14:solidFill>
          </w14:textFill>
        </w:rPr>
        <w:t>应由不少于1名系统架构师作为高级技术支持，3名高级程序员作为技术支持、2名软件设计师、2名OCP认证工程师、1名虚拟化认证工程师和1名信息安全工程师组成项目实施团队。</w:t>
      </w:r>
      <w:r>
        <w:rPr>
          <w:rFonts w:hint="eastAsia" w:ascii="宋体" w:hAnsi="宋体" w:cs="宋体"/>
          <w:b/>
          <w:bCs/>
          <w:color w:val="000000" w:themeColor="text1"/>
          <w:highlight w:val="none"/>
          <w:u w:val="single"/>
          <w14:textFill>
            <w14:solidFill>
              <w14:schemeClr w14:val="tx1"/>
            </w14:solidFill>
          </w14:textFill>
        </w:rPr>
        <w:t>实施工程师要求从事医疗信息化建设工作至少 3年。中标后提供团队名单及人员资质证书及公司任职经验证明。</w:t>
      </w:r>
    </w:p>
    <w:p>
      <w:pPr>
        <w:pStyle w:val="53"/>
        <w:spacing w:line="400" w:lineRule="exact"/>
        <w:ind w:firstLine="482"/>
        <w:rPr>
          <w:rFonts w:ascii="宋体" w:hAnsi="宋体" w:cs="宋体"/>
          <w:color w:val="000000" w:themeColor="text1"/>
          <w:highlight w:val="none"/>
          <w14:textFill>
            <w14:solidFill>
              <w14:schemeClr w14:val="tx1"/>
            </w14:solidFill>
          </w14:textFill>
        </w:rPr>
      </w:pPr>
      <w:r>
        <w:rPr>
          <w:rFonts w:hint="eastAsia" w:ascii="宋体" w:hAnsi="宋体" w:cs="宋体"/>
          <w:b/>
          <w:bCs/>
          <w:color w:val="000000" w:themeColor="text1"/>
          <w:highlight w:val="none"/>
          <w:u w:val="single"/>
          <w14:textFill>
            <w14:solidFill>
              <w14:schemeClr w14:val="tx1"/>
            </w14:solidFill>
          </w14:textFill>
        </w:rPr>
        <w:t>▲投标人应承诺在项目合同签订后的6个月内完成系统调研、培训、数据准备和系统上线等工作。</w:t>
      </w:r>
    </w:p>
    <w:p>
      <w:pPr>
        <w:pStyle w:val="53"/>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医院现有的HIS系统所具备的功能，在新系统里面必须都包含（院方项目负责人书面签字明确表示不再需要的功能除外）。</w:t>
      </w:r>
    </w:p>
    <w:p>
      <w:pPr>
        <w:pStyle w:val="53"/>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期间可能由于用户的需要及政策的变化而对系统进行相应的客户化修改，投标厂商必须无条件满足。</w:t>
      </w:r>
    </w:p>
    <w:p>
      <w:pPr>
        <w:pStyle w:val="53"/>
        <w:spacing w:line="400" w:lineRule="exact"/>
        <w:ind w:firstLine="482"/>
        <w:rPr>
          <w:rFonts w:ascii="宋体" w:hAnsi="宋体" w:cs="宋体"/>
          <w:b/>
          <w:bCs/>
          <w:color w:val="000000" w:themeColor="text1"/>
          <w:highlight w:val="none"/>
          <w:u w:val="single"/>
          <w14:textFill>
            <w14:solidFill>
              <w14:schemeClr w14:val="tx1"/>
            </w14:solidFill>
          </w14:textFill>
        </w:rPr>
      </w:pPr>
      <w:r>
        <w:rPr>
          <w:rFonts w:hint="eastAsia" w:ascii="宋体" w:hAnsi="宋体" w:cs="宋体"/>
          <w:b/>
          <w:bCs/>
          <w:color w:val="000000" w:themeColor="text1"/>
          <w:highlight w:val="none"/>
          <w:u w:val="single"/>
          <w14:textFill>
            <w14:solidFill>
              <w14:schemeClr w14:val="tx1"/>
            </w14:solidFill>
          </w14:textFill>
        </w:rPr>
        <w:t>▲中标供应商无条件配合采购人将要实施的电子病历软件及电子病历与医嘱融和功能，不得影响本项目工期。</w:t>
      </w:r>
    </w:p>
    <w:p>
      <w:pPr>
        <w:pStyle w:val="53"/>
        <w:spacing w:line="400" w:lineRule="exact"/>
        <w:ind w:firstLine="482"/>
        <w:rPr>
          <w:rFonts w:ascii="宋体" w:hAnsi="宋体" w:cs="宋体"/>
          <w:b/>
          <w:bCs/>
          <w:color w:val="000000" w:themeColor="text1"/>
          <w:highlight w:val="none"/>
          <w:u w:val="single"/>
          <w14:textFill>
            <w14:solidFill>
              <w14:schemeClr w14:val="tx1"/>
            </w14:solidFill>
          </w14:textFill>
        </w:rPr>
      </w:pPr>
      <w:r>
        <w:rPr>
          <w:rFonts w:hint="eastAsia" w:ascii="宋体" w:hAnsi="宋体" w:cs="宋体"/>
          <w:b/>
          <w:bCs/>
          <w:color w:val="000000" w:themeColor="text1"/>
          <w:highlight w:val="none"/>
          <w:u w:val="single"/>
          <w14:textFill>
            <w14:solidFill>
              <w14:schemeClr w14:val="tx1"/>
            </w14:solidFill>
          </w14:textFill>
        </w:rPr>
        <w:t>▲根据项目整体建设目标任务，投标人在项目建设过程中需完成包括玉环市健康档案接口、门急诊和住院手机结算接口、护士站结算系统接口、电子发票接口、排队叫号接口、台州异地医保升级（4.0）等工作，投标人应承诺完成上述接口工作，并承担需支付给原系统厂商配合完成接口工作的接口建设费用70万元人民币。</w:t>
      </w:r>
    </w:p>
    <w:p>
      <w:pPr>
        <w:pStyle w:val="53"/>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投标厂商需提供书面承诺保证可以实现集成平台与医院现有系统无缝对接，并实现现有系统数据的继承及利用，投标报价需包含与医院现有系统对接所产生的相关费用。</w:t>
      </w:r>
    </w:p>
    <w:p>
      <w:pPr>
        <w:pStyle w:val="53"/>
        <w:spacing w:line="400" w:lineRule="exact"/>
        <w:rPr>
          <w:rFonts w:ascii="宋体" w:hAnsi="宋体" w:cs="宋体"/>
          <w:color w:val="000000" w:themeColor="text1"/>
          <w:highlight w:val="none"/>
          <w14:textFill>
            <w14:solidFill>
              <w14:schemeClr w14:val="tx1"/>
            </w14:solidFill>
          </w14:textFill>
        </w:rPr>
      </w:pPr>
    </w:p>
    <w:p>
      <w:pPr>
        <w:pStyle w:val="53"/>
        <w:spacing w:line="400" w:lineRule="exact"/>
        <w:rPr>
          <w:rFonts w:ascii="宋体" w:hAnsi="宋体" w:cs="宋体"/>
          <w:color w:val="000000" w:themeColor="text1"/>
          <w:highlight w:val="none"/>
          <w14:textFill>
            <w14:solidFill>
              <w14:schemeClr w14:val="tx1"/>
            </w14:solidFill>
          </w14:textFill>
        </w:rPr>
      </w:pPr>
    </w:p>
    <w:p>
      <w:pPr>
        <w:pStyle w:val="55"/>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6.2培训要求</w:t>
      </w:r>
    </w:p>
    <w:p>
      <w:pPr>
        <w:pStyle w:val="56"/>
        <w:spacing w:line="400" w:lineRule="exact"/>
        <w:ind w:firstLine="480"/>
        <w:rPr>
          <w:rFonts w:ascii="宋体" w:hAnsi="宋体" w:cs="宋体"/>
          <w:color w:val="000000" w:themeColor="text1"/>
          <w:szCs w:val="24"/>
          <w:highlight w:val="none"/>
          <w:shd w:val="clear" w:color="auto" w:fill="FFFFFF"/>
          <w14:textFill>
            <w14:solidFill>
              <w14:schemeClr w14:val="tx1"/>
            </w14:solidFill>
          </w14:textFill>
        </w:rPr>
      </w:pPr>
      <w:r>
        <w:rPr>
          <w:rFonts w:hint="eastAsia" w:ascii="宋体" w:hAnsi="宋体" w:cs="宋体"/>
          <w:color w:val="000000" w:themeColor="text1"/>
          <w:szCs w:val="24"/>
          <w:highlight w:val="none"/>
          <w:shd w:val="clear" w:color="auto" w:fill="FFFFFF"/>
          <w14:textFill>
            <w14:solidFill>
              <w14:schemeClr w14:val="tx1"/>
            </w14:solidFill>
          </w14:textFill>
        </w:rPr>
        <w:t>培训是项目顺利进行的保证。在项目的不同阶段要求提供相关的培训课程，面向系统开发和管理员、各级领导、系统操作人员等不同群体提供系统化、定制化和有针对性的培训。</w:t>
      </w:r>
    </w:p>
    <w:p>
      <w:pPr>
        <w:pStyle w:val="56"/>
        <w:spacing w:line="400" w:lineRule="exact"/>
        <w:ind w:firstLine="480"/>
        <w:rPr>
          <w:rFonts w:ascii="宋体" w:hAnsi="宋体" w:cs="宋体"/>
          <w:color w:val="000000" w:themeColor="text1"/>
          <w:szCs w:val="24"/>
          <w:highlight w:val="none"/>
          <w:shd w:val="clear" w:color="auto" w:fill="FFFFFF"/>
          <w14:textFill>
            <w14:solidFill>
              <w14:schemeClr w14:val="tx1"/>
            </w14:solidFill>
          </w14:textFill>
        </w:rPr>
      </w:pPr>
      <w:r>
        <w:rPr>
          <w:rFonts w:hint="eastAsia" w:ascii="宋体" w:hAnsi="宋体" w:cs="宋体"/>
          <w:color w:val="000000" w:themeColor="text1"/>
          <w:szCs w:val="24"/>
          <w:highlight w:val="none"/>
          <w:shd w:val="clear" w:color="auto" w:fill="FFFFFF"/>
          <w14:textFill>
            <w14:solidFill>
              <w14:schemeClr w14:val="tx1"/>
            </w14:solidFill>
          </w14:textFill>
        </w:rPr>
        <w:t>(1)培训内容要求分为运行与维护管理培训和用户使用培训。通过培训应使各类用户能独立进行相应应用与管理、故障处理、日常维护等工作，确保系统能正常安全运行；</w:t>
      </w:r>
    </w:p>
    <w:p>
      <w:pPr>
        <w:pStyle w:val="56"/>
        <w:spacing w:line="400" w:lineRule="exact"/>
        <w:ind w:firstLine="480"/>
        <w:rPr>
          <w:rFonts w:ascii="宋体" w:hAnsi="宋体" w:cs="宋体"/>
          <w:color w:val="000000" w:themeColor="text1"/>
          <w:szCs w:val="24"/>
          <w:highlight w:val="none"/>
          <w:shd w:val="clear" w:color="auto" w:fill="FFFFFF"/>
          <w14:textFill>
            <w14:solidFill>
              <w14:schemeClr w14:val="tx1"/>
            </w14:solidFill>
          </w14:textFill>
        </w:rPr>
      </w:pPr>
      <w:r>
        <w:rPr>
          <w:rFonts w:hint="eastAsia" w:ascii="宋体" w:hAnsi="宋体" w:cs="宋体"/>
          <w:color w:val="000000" w:themeColor="text1"/>
          <w:szCs w:val="24"/>
          <w:highlight w:val="none"/>
          <w:shd w:val="clear" w:color="auto" w:fill="FFFFFF"/>
          <w14:textFill>
            <w14:solidFill>
              <w14:schemeClr w14:val="tx1"/>
            </w14:solidFill>
          </w14:textFill>
        </w:rPr>
        <w:t>(2) 供应商应在投标文件中提出培训计划，计划包括培训项目、人数、地点等详细内容；</w:t>
      </w:r>
    </w:p>
    <w:p>
      <w:pPr>
        <w:pStyle w:val="56"/>
        <w:spacing w:line="400" w:lineRule="exact"/>
        <w:ind w:firstLine="480"/>
        <w:rPr>
          <w:rFonts w:ascii="宋体" w:hAnsi="宋体" w:cs="宋体"/>
          <w:color w:val="000000" w:themeColor="text1"/>
          <w:szCs w:val="24"/>
          <w:highlight w:val="none"/>
          <w:shd w:val="clear" w:color="auto" w:fill="FFFFFF"/>
          <w14:textFill>
            <w14:solidFill>
              <w14:schemeClr w14:val="tx1"/>
            </w14:solidFill>
          </w14:textFill>
        </w:rPr>
      </w:pPr>
      <w:r>
        <w:rPr>
          <w:rFonts w:hint="eastAsia" w:ascii="宋体" w:hAnsi="宋体" w:cs="宋体"/>
          <w:color w:val="000000" w:themeColor="text1"/>
          <w:szCs w:val="24"/>
          <w:highlight w:val="none"/>
          <w:shd w:val="clear" w:color="auto" w:fill="FFFFFF"/>
          <w14:textFill>
            <w14:solidFill>
              <w14:schemeClr w14:val="tx1"/>
            </w14:solidFill>
          </w14:textFill>
        </w:rPr>
        <w:t>(3)培训人员必须是供应商的正式雇员或专业的授权培训机构雇员。如果使用第三方培训机构，投标单位应在投标文件中提供培训机构的名称，并能根据情况调整。</w:t>
      </w:r>
    </w:p>
    <w:p>
      <w:pPr>
        <w:pStyle w:val="56"/>
        <w:spacing w:line="400" w:lineRule="exact"/>
        <w:ind w:firstLine="480"/>
        <w:rPr>
          <w:rFonts w:ascii="宋体" w:hAnsi="宋体" w:cs="宋体"/>
          <w:color w:val="000000" w:themeColor="text1"/>
          <w:szCs w:val="24"/>
          <w:highlight w:val="none"/>
          <w:shd w:val="clear" w:color="auto" w:fill="FFFFFF"/>
          <w14:textFill>
            <w14:solidFill>
              <w14:schemeClr w14:val="tx1"/>
            </w14:solidFill>
          </w14:textFill>
        </w:rPr>
      </w:pPr>
      <w:r>
        <w:rPr>
          <w:rFonts w:hint="eastAsia" w:ascii="宋体" w:hAnsi="宋体" w:cs="宋体"/>
          <w:color w:val="000000" w:themeColor="text1"/>
          <w:szCs w:val="24"/>
          <w:highlight w:val="none"/>
          <w:shd w:val="clear" w:color="auto" w:fill="FFFFFF"/>
          <w14:textFill>
            <w14:solidFill>
              <w14:schemeClr w14:val="tx1"/>
            </w14:solidFill>
          </w14:textFill>
        </w:rPr>
        <w:t>(4)其中要求对系统管理员进行充分的技术培训和教育，保证管理人员掌握必要的管理工具，通晓管理规范；</w:t>
      </w:r>
    </w:p>
    <w:p>
      <w:pPr>
        <w:pStyle w:val="56"/>
        <w:spacing w:line="400" w:lineRule="exact"/>
        <w:ind w:firstLine="0" w:firstLineChars="0"/>
        <w:rPr>
          <w:rFonts w:ascii="宋体" w:hAnsi="宋体" w:cs="宋体"/>
          <w:color w:val="000000" w:themeColor="text1"/>
          <w:szCs w:val="24"/>
          <w:highlight w:val="none"/>
          <w:shd w:val="clear" w:color="auto" w:fill="FFFFFF"/>
          <w14:textFill>
            <w14:solidFill>
              <w14:schemeClr w14:val="tx1"/>
            </w14:solidFill>
          </w14:textFill>
        </w:rPr>
      </w:pPr>
    </w:p>
    <w:p>
      <w:pPr>
        <w:pStyle w:val="55"/>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6.3售后服务要求</w:t>
      </w:r>
    </w:p>
    <w:p>
      <w:pPr>
        <w:rPr>
          <w:rFonts w:ascii="宋体" w:hAnsi="宋体" w:cs="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1）投标人提供的售后服务应包含以下工作内容：</w:t>
      </w:r>
    </w:p>
    <w:p>
      <w:pPr>
        <w:pStyle w:val="53"/>
        <w:numPr>
          <w:ilvl w:val="0"/>
          <w:numId w:val="15"/>
        </w:numPr>
        <w:spacing w:line="400" w:lineRule="exact"/>
        <w:ind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软件（模块）在运行中的故障带来的排错工作，解决系统运行故障；</w:t>
      </w:r>
    </w:p>
    <w:p>
      <w:pPr>
        <w:pStyle w:val="53"/>
        <w:numPr>
          <w:ilvl w:val="0"/>
          <w:numId w:val="15"/>
        </w:numPr>
        <w:spacing w:line="400" w:lineRule="exact"/>
        <w:ind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软件（模块）与系统软件及数据库系统适配带来的调整工作；</w:t>
      </w:r>
    </w:p>
    <w:p>
      <w:pPr>
        <w:pStyle w:val="53"/>
        <w:numPr>
          <w:ilvl w:val="0"/>
          <w:numId w:val="15"/>
        </w:numPr>
        <w:spacing w:line="400" w:lineRule="exact"/>
        <w:ind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软件（模块）程序因操作失误造成的数据混乱修复；</w:t>
      </w:r>
    </w:p>
    <w:p>
      <w:pPr>
        <w:pStyle w:val="53"/>
        <w:numPr>
          <w:ilvl w:val="0"/>
          <w:numId w:val="15"/>
        </w:numPr>
        <w:spacing w:line="400" w:lineRule="exact"/>
        <w:ind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软件（模块）统计报表的数据核对，针对报表数据与实际不符或与其他报表不对应的情况，协助进行查对或讲解说明；</w:t>
      </w:r>
    </w:p>
    <w:p>
      <w:pPr>
        <w:pStyle w:val="53"/>
        <w:numPr>
          <w:ilvl w:val="0"/>
          <w:numId w:val="15"/>
        </w:numPr>
        <w:spacing w:line="400" w:lineRule="exact"/>
        <w:ind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报表改造：现有报表修改及根据医院管理需求新增报表；</w:t>
      </w:r>
    </w:p>
    <w:p>
      <w:pPr>
        <w:pStyle w:val="53"/>
        <w:numPr>
          <w:ilvl w:val="0"/>
          <w:numId w:val="15"/>
        </w:numPr>
        <w:spacing w:line="400" w:lineRule="exact"/>
        <w:ind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视图改造：现有视图修改及根据医院管理需求新增视图；</w:t>
      </w:r>
    </w:p>
    <w:p>
      <w:pPr>
        <w:pStyle w:val="53"/>
        <w:numPr>
          <w:ilvl w:val="0"/>
          <w:numId w:val="15"/>
        </w:numPr>
        <w:spacing w:line="400" w:lineRule="exact"/>
        <w:ind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系统模块流程改造，针对医院管理过程中，需要优化、调整的业务流程；</w:t>
      </w:r>
    </w:p>
    <w:p>
      <w:pPr>
        <w:pStyle w:val="53"/>
        <w:numPr>
          <w:ilvl w:val="0"/>
          <w:numId w:val="15"/>
        </w:numPr>
        <w:spacing w:line="400" w:lineRule="exact"/>
        <w:ind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配合医院完成等级医院评审、互联互通评级、电子病历评级要求的软件改造工作；</w:t>
      </w:r>
    </w:p>
    <w:p>
      <w:pPr>
        <w:pStyle w:val="53"/>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2）投标人应具备与本项目匹配的服务能力，以响应招标人的技术服务要求。</w:t>
      </w:r>
    </w:p>
    <w:p>
      <w:pPr>
        <w:pStyle w:val="53"/>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3）所有信息系统应用软件产品的质保期为签订验收合格书之日起一年。</w:t>
      </w:r>
    </w:p>
    <w:p>
      <w:pPr>
        <w:pStyle w:val="57"/>
        <w:widowControl/>
        <w:spacing w:line="400" w:lineRule="exact"/>
        <w:ind w:firstLine="482" w:firstLineChars="200"/>
        <w:rPr>
          <w:rFonts w:ascii="宋体" w:hAnsi="宋体" w:eastAsia="宋体" w:cs="宋体"/>
          <w:b/>
          <w:bCs/>
          <w:color w:val="000000" w:themeColor="text1"/>
          <w:kern w:val="2"/>
          <w:sz w:val="24"/>
          <w:szCs w:val="24"/>
          <w:highlight w:val="none"/>
          <w:u w:val="single"/>
          <w14:textFill>
            <w14:solidFill>
              <w14:schemeClr w14:val="tx1"/>
            </w14:solidFill>
          </w14:textFill>
        </w:rPr>
      </w:pPr>
      <w:r>
        <w:rPr>
          <w:rFonts w:hint="eastAsia" w:ascii="宋体" w:hAnsi="宋体" w:eastAsia="宋体" w:cs="宋体"/>
          <w:b/>
          <w:bCs/>
          <w:color w:val="000000" w:themeColor="text1"/>
          <w:kern w:val="2"/>
          <w:sz w:val="24"/>
          <w:szCs w:val="24"/>
          <w:highlight w:val="none"/>
          <w:u w:val="single"/>
          <w14:textFill>
            <w14:solidFill>
              <w14:schemeClr w14:val="tx1"/>
            </w14:solidFill>
          </w14:textFill>
        </w:rPr>
        <w:t>▲在本项目建设周期内所完成的医院信息系统的客户化修改的全部源代码及其技术文档等研究开发成果的所有权及版权归医院所有。未经医院许可，投标人不得将此部分客户化修改工作的内容进行其他商业用途。</w:t>
      </w:r>
    </w:p>
    <w:p>
      <w:pPr>
        <w:pStyle w:val="53"/>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工程建设期间及质保期均属于免费服务期，该期限内的所有售后服务，包括软件维护所产生的费用均由中标人承担。</w:t>
      </w:r>
    </w:p>
    <w:p>
      <w:pPr>
        <w:pStyle w:val="53"/>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响应时间：投标人在投标书中必须明确承诺售后服务响应时间，并不得低于以下标准：提供7×24电话或电子邮件服务，接到业主报修通知2小时内做出明确响应和安排，8小时内做出故障诊断报告。如需现场服务的，具有解决故障能力的工程师应在接到报修通知次日到达现场。</w:t>
      </w:r>
    </w:p>
    <w:p>
      <w:pPr>
        <w:pStyle w:val="56"/>
        <w:spacing w:line="400" w:lineRule="exact"/>
        <w:ind w:firstLine="480"/>
        <w:rPr>
          <w:rFonts w:ascii="宋体" w:hAnsi="宋体" w:cs="宋体"/>
          <w:color w:val="000000" w:themeColor="text1"/>
          <w:szCs w:val="24"/>
          <w:highlight w:val="none"/>
          <w:shd w:val="clear" w:color="auto" w:fill="FFFFFF"/>
          <w14:textFill>
            <w14:solidFill>
              <w14:schemeClr w14:val="tx1"/>
            </w14:solidFill>
          </w14:textFill>
        </w:rPr>
      </w:pPr>
    </w:p>
    <w:p>
      <w:pPr>
        <w:pStyle w:val="55"/>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6.4成果交付要求</w:t>
      </w:r>
    </w:p>
    <w:p>
      <w:pPr>
        <w:pStyle w:val="53"/>
        <w:spacing w:line="400" w:lineRule="exact"/>
        <w:rPr>
          <w:rFonts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在本期项目的开发过程中和交付使用后，各个阶段都会有各种成果和文档资料。这些成果和文档资料对所开发系统的维护和持续发展起着非常重大的作用。因此，要求将全面、规范的成果和文档资料交付给用户，而且要提供明确的交付清单。同时，成果和文档资料必须符合软件工程的相关要求。</w:t>
      </w:r>
    </w:p>
    <w:p>
      <w:pPr>
        <w:pStyle w:val="53"/>
        <w:spacing w:line="400" w:lineRule="exact"/>
        <w:ind w:firstLine="482"/>
        <w:rPr>
          <w:rFonts w:cs="宋体"/>
          <w:color w:val="000000" w:themeColor="text1"/>
          <w:highlight w:val="none"/>
          <w14:textFill>
            <w14:solidFill>
              <w14:schemeClr w14:val="tx1"/>
            </w14:solidFill>
          </w14:textFill>
        </w:rPr>
      </w:pPr>
      <w:r>
        <w:rPr>
          <w:rFonts w:hint="eastAsia" w:ascii="宋体" w:hAnsi="宋体" w:cs="宋体"/>
          <w:b/>
          <w:bCs/>
          <w:color w:val="000000" w:themeColor="text1"/>
          <w:highlight w:val="none"/>
          <w:u w:val="single"/>
          <w14:textFill>
            <w14:solidFill>
              <w14:schemeClr w14:val="tx1"/>
            </w14:solidFill>
          </w14:textFill>
        </w:rPr>
        <w:t>▲投标人应承诺在项目合同签订后的6个月内完成系统调研、培训、数据准备和系统上线等工作。</w:t>
      </w:r>
    </w:p>
    <w:p>
      <w:pPr>
        <w:pStyle w:val="53"/>
        <w:spacing w:line="400" w:lineRule="exact"/>
        <w:ind w:firstLine="482"/>
        <w:rPr>
          <w:rFonts w:ascii="宋体" w:hAnsi="宋体" w:cs="宋体"/>
          <w:color w:val="000000" w:themeColor="text1"/>
          <w:highlight w:val="none"/>
          <w:shd w:val="clear" w:color="auto" w:fill="FFFFFF"/>
          <w14:textFill>
            <w14:solidFill>
              <w14:schemeClr w14:val="tx1"/>
            </w14:solidFill>
          </w14:textFill>
        </w:rPr>
      </w:pPr>
      <w:r>
        <w:rPr>
          <w:rFonts w:hint="eastAsia" w:cs="宋体"/>
          <w:b/>
          <w:bCs/>
          <w:color w:val="000000" w:themeColor="text1"/>
          <w:highlight w:val="none"/>
          <w14:textFill>
            <w14:solidFill>
              <w14:schemeClr w14:val="tx1"/>
            </w14:solidFill>
          </w14:textFill>
        </w:rPr>
        <w:t>中标供应商</w:t>
      </w:r>
      <w:r>
        <w:rPr>
          <w:rFonts w:cs="宋体"/>
          <w:b/>
          <w:bCs/>
          <w:color w:val="000000" w:themeColor="text1"/>
          <w:highlight w:val="none"/>
          <w14:textFill>
            <w14:solidFill>
              <w14:schemeClr w14:val="tx1"/>
            </w14:solidFill>
          </w14:textFill>
        </w:rPr>
        <w:t>超过约定日期10个工作日仍不能提供服务的，</w:t>
      </w:r>
      <w:r>
        <w:rPr>
          <w:rFonts w:hint="eastAsia" w:cs="宋体"/>
          <w:b/>
          <w:bCs/>
          <w:color w:val="000000" w:themeColor="text1"/>
          <w:highlight w:val="none"/>
          <w14:textFill>
            <w14:solidFill>
              <w14:schemeClr w14:val="tx1"/>
            </w14:solidFill>
          </w14:textFill>
        </w:rPr>
        <w:t>采购人</w:t>
      </w:r>
      <w:r>
        <w:rPr>
          <w:rFonts w:cs="宋体"/>
          <w:b/>
          <w:bCs/>
          <w:color w:val="000000" w:themeColor="text1"/>
          <w:highlight w:val="none"/>
          <w14:textFill>
            <w14:solidFill>
              <w14:schemeClr w14:val="tx1"/>
            </w14:solidFill>
          </w14:textFill>
        </w:rPr>
        <w:t>可解除本合同。</w:t>
      </w:r>
      <w:r>
        <w:rPr>
          <w:rFonts w:hint="eastAsia" w:cs="宋体"/>
          <w:b/>
          <w:bCs/>
          <w:color w:val="000000" w:themeColor="text1"/>
          <w:highlight w:val="none"/>
          <w14:textFill>
            <w14:solidFill>
              <w14:schemeClr w14:val="tx1"/>
            </w14:solidFill>
          </w14:textFill>
        </w:rPr>
        <w:t>中标供应商</w:t>
      </w:r>
      <w:r>
        <w:rPr>
          <w:rFonts w:cs="宋体"/>
          <w:b/>
          <w:bCs/>
          <w:color w:val="000000" w:themeColor="text1"/>
          <w:highlight w:val="none"/>
          <w14:textFill>
            <w14:solidFill>
              <w14:schemeClr w14:val="tx1"/>
            </w14:solidFill>
          </w14:textFill>
        </w:rPr>
        <w:t>因未能如期提供服务或因其他违约行为导致</w:t>
      </w:r>
      <w:r>
        <w:rPr>
          <w:rFonts w:hint="eastAsia" w:cs="宋体"/>
          <w:b/>
          <w:bCs/>
          <w:color w:val="000000" w:themeColor="text1"/>
          <w:highlight w:val="none"/>
          <w14:textFill>
            <w14:solidFill>
              <w14:schemeClr w14:val="tx1"/>
            </w14:solidFill>
          </w14:textFill>
        </w:rPr>
        <w:t>采购人</w:t>
      </w:r>
      <w:r>
        <w:rPr>
          <w:rFonts w:cs="宋体"/>
          <w:b/>
          <w:bCs/>
          <w:color w:val="000000" w:themeColor="text1"/>
          <w:highlight w:val="none"/>
          <w14:textFill>
            <w14:solidFill>
              <w14:schemeClr w14:val="tx1"/>
            </w14:solidFill>
          </w14:textFill>
        </w:rPr>
        <w:t>解除合同的，</w:t>
      </w:r>
      <w:r>
        <w:rPr>
          <w:rFonts w:hint="eastAsia" w:cs="宋体"/>
          <w:b/>
          <w:bCs/>
          <w:color w:val="000000" w:themeColor="text1"/>
          <w:highlight w:val="none"/>
          <w14:textFill>
            <w14:solidFill>
              <w14:schemeClr w14:val="tx1"/>
            </w14:solidFill>
          </w14:textFill>
        </w:rPr>
        <w:t>中标供应商</w:t>
      </w:r>
      <w:r>
        <w:rPr>
          <w:rFonts w:cs="宋体"/>
          <w:b/>
          <w:bCs/>
          <w:color w:val="000000" w:themeColor="text1"/>
          <w:highlight w:val="none"/>
          <w14:textFill>
            <w14:solidFill>
              <w14:schemeClr w14:val="tx1"/>
            </w14:solidFill>
          </w14:textFill>
        </w:rPr>
        <w:t>应向</w:t>
      </w:r>
      <w:r>
        <w:rPr>
          <w:rFonts w:hint="eastAsia" w:cs="宋体"/>
          <w:b/>
          <w:bCs/>
          <w:color w:val="000000" w:themeColor="text1"/>
          <w:highlight w:val="none"/>
          <w14:textFill>
            <w14:solidFill>
              <w14:schemeClr w14:val="tx1"/>
            </w14:solidFill>
          </w14:textFill>
        </w:rPr>
        <w:t>采购人</w:t>
      </w:r>
      <w:r>
        <w:rPr>
          <w:rFonts w:cs="宋体"/>
          <w:b/>
          <w:bCs/>
          <w:color w:val="000000" w:themeColor="text1"/>
          <w:highlight w:val="none"/>
          <w14:textFill>
            <w14:solidFill>
              <w14:schemeClr w14:val="tx1"/>
            </w14:solidFill>
          </w14:textFill>
        </w:rPr>
        <w:t>支付合同总值</w:t>
      </w:r>
      <w:r>
        <w:rPr>
          <w:rFonts w:hint="eastAsia" w:cs="宋体"/>
          <w:b/>
          <w:bCs/>
          <w:color w:val="000000" w:themeColor="text1"/>
          <w:highlight w:val="none"/>
          <w14:textFill>
            <w14:solidFill>
              <w14:schemeClr w14:val="tx1"/>
            </w14:solidFill>
          </w14:textFill>
        </w:rPr>
        <w:t>千分之一</w:t>
      </w:r>
      <w:r>
        <w:rPr>
          <w:rFonts w:cs="宋体"/>
          <w:b/>
          <w:bCs/>
          <w:color w:val="000000" w:themeColor="text1"/>
          <w:highlight w:val="none"/>
          <w14:textFill>
            <w14:solidFill>
              <w14:schemeClr w14:val="tx1"/>
            </w14:solidFill>
          </w14:textFill>
        </w:rPr>
        <w:t>的违约金，如造成</w:t>
      </w:r>
      <w:r>
        <w:rPr>
          <w:rFonts w:hint="eastAsia" w:cs="宋体"/>
          <w:b/>
          <w:bCs/>
          <w:color w:val="000000" w:themeColor="text1"/>
          <w:highlight w:val="none"/>
          <w14:textFill>
            <w14:solidFill>
              <w14:schemeClr w14:val="tx1"/>
            </w14:solidFill>
          </w14:textFill>
        </w:rPr>
        <w:t>采购人</w:t>
      </w:r>
      <w:r>
        <w:rPr>
          <w:rFonts w:cs="宋体"/>
          <w:b/>
          <w:bCs/>
          <w:color w:val="000000" w:themeColor="text1"/>
          <w:highlight w:val="none"/>
          <w14:textFill>
            <w14:solidFill>
              <w14:schemeClr w14:val="tx1"/>
            </w14:solidFill>
          </w14:textFill>
        </w:rPr>
        <w:t>损失超过违约金的，超出部分由</w:t>
      </w:r>
      <w:r>
        <w:rPr>
          <w:rFonts w:hint="eastAsia" w:cs="宋体"/>
          <w:b/>
          <w:bCs/>
          <w:color w:val="000000" w:themeColor="text1"/>
          <w:highlight w:val="none"/>
          <w14:textFill>
            <w14:solidFill>
              <w14:schemeClr w14:val="tx1"/>
            </w14:solidFill>
          </w14:textFill>
        </w:rPr>
        <w:t>中标供应商</w:t>
      </w:r>
      <w:r>
        <w:rPr>
          <w:rFonts w:cs="宋体"/>
          <w:b/>
          <w:bCs/>
          <w:color w:val="000000" w:themeColor="text1"/>
          <w:highlight w:val="none"/>
          <w14:textFill>
            <w14:solidFill>
              <w14:schemeClr w14:val="tx1"/>
            </w14:solidFill>
          </w14:textFill>
        </w:rPr>
        <w:t>继续承担赔偿责任。</w:t>
      </w:r>
    </w:p>
    <w:p>
      <w:pPr>
        <w:pStyle w:val="56"/>
        <w:spacing w:line="400" w:lineRule="exact"/>
        <w:ind w:firstLine="480"/>
        <w:rPr>
          <w:rFonts w:ascii="宋体" w:hAnsi="宋体" w:cs="宋体"/>
          <w:color w:val="000000" w:themeColor="text1"/>
          <w:szCs w:val="24"/>
          <w:highlight w:val="none"/>
          <w:shd w:val="clear" w:color="auto" w:fill="FFFFFF"/>
          <w14:textFill>
            <w14:solidFill>
              <w14:schemeClr w14:val="tx1"/>
            </w14:solidFill>
          </w14:textFill>
        </w:rPr>
      </w:pPr>
    </w:p>
    <w:p>
      <w:pPr>
        <w:pStyle w:val="55"/>
        <w:spacing w:line="400" w:lineRule="exact"/>
        <w:rPr>
          <w:rFonts w:ascii="宋体" w:hAnsi="宋体" w:cs="宋体"/>
          <w:color w:val="000000" w:themeColor="text1"/>
          <w:sz w:val="24"/>
          <w:szCs w:val="24"/>
          <w:highlight w:val="none"/>
          <w14:textFill>
            <w14:solidFill>
              <w14:schemeClr w14:val="tx1"/>
            </w14:solidFill>
          </w14:textFill>
        </w:rPr>
      </w:pPr>
      <w:bookmarkStart w:id="6" w:name="_Toc504389114"/>
      <w:r>
        <w:rPr>
          <w:rFonts w:hint="eastAsia" w:ascii="宋体" w:hAnsi="宋体" w:cs="宋体"/>
          <w:color w:val="000000" w:themeColor="text1"/>
          <w:sz w:val="24"/>
          <w:szCs w:val="24"/>
          <w:highlight w:val="none"/>
          <w14:textFill>
            <w14:solidFill>
              <w14:schemeClr w14:val="tx1"/>
            </w14:solidFill>
          </w14:textFill>
        </w:rPr>
        <w:t>6.5验收标准与程序</w:t>
      </w:r>
      <w:bookmarkEnd w:id="6"/>
    </w:p>
    <w:p>
      <w:pPr>
        <w:pStyle w:val="56"/>
        <w:spacing w:line="400" w:lineRule="exact"/>
        <w:ind w:firstLine="480"/>
        <w:rPr>
          <w:rFonts w:ascii="宋体" w:hAnsi="宋体" w:cs="宋体"/>
          <w:color w:val="000000" w:themeColor="text1"/>
          <w:szCs w:val="24"/>
          <w:highlight w:val="none"/>
          <w:shd w:val="clear" w:color="auto" w:fill="FFFFFF"/>
          <w:lang w:val="zh-CN"/>
          <w14:textFill>
            <w14:solidFill>
              <w14:schemeClr w14:val="tx1"/>
            </w14:solidFill>
          </w14:textFill>
        </w:rPr>
      </w:pPr>
      <w:r>
        <w:rPr>
          <w:rFonts w:hint="eastAsia" w:ascii="宋体" w:hAnsi="宋体" w:cs="宋体"/>
          <w:color w:val="000000" w:themeColor="text1"/>
          <w:szCs w:val="24"/>
          <w:highlight w:val="none"/>
          <w:shd w:val="clear" w:color="auto" w:fill="FFFFFF"/>
          <w:lang w:val="zh-CN"/>
          <w14:textFill>
            <w14:solidFill>
              <w14:schemeClr w14:val="tx1"/>
            </w14:solidFill>
          </w14:textFill>
        </w:rPr>
        <w:t>中标人应按照业主方的要求，如期将软件送达指定的使用单位和场地进行安装调试并培训有关人员。</w:t>
      </w:r>
    </w:p>
    <w:p>
      <w:pPr>
        <w:pStyle w:val="56"/>
        <w:spacing w:line="400" w:lineRule="exact"/>
        <w:ind w:firstLine="480"/>
        <w:rPr>
          <w:rFonts w:ascii="宋体" w:hAnsi="宋体" w:cs="宋体"/>
          <w:color w:val="000000" w:themeColor="text1"/>
          <w:szCs w:val="24"/>
          <w:highlight w:val="none"/>
          <w:shd w:val="clear" w:color="auto" w:fill="FFFFFF"/>
          <w:lang w:val="zh-CN"/>
          <w14:textFill>
            <w14:solidFill>
              <w14:schemeClr w14:val="tx1"/>
            </w14:solidFill>
          </w14:textFill>
        </w:rPr>
      </w:pPr>
      <w:r>
        <w:rPr>
          <w:rFonts w:hint="eastAsia" w:ascii="宋体" w:hAnsi="宋体" w:cs="宋体"/>
          <w:color w:val="000000" w:themeColor="text1"/>
          <w:szCs w:val="24"/>
          <w:highlight w:val="none"/>
          <w:shd w:val="clear" w:color="auto" w:fill="FFFFFF"/>
          <w:lang w:val="zh-CN"/>
          <w14:textFill>
            <w14:solidFill>
              <w14:schemeClr w14:val="tx1"/>
            </w14:solidFill>
          </w14:textFill>
        </w:rPr>
        <w:t>中标人完成全部应用软件交货安装调试完毕并完成1个月试运行，取得上述书面报告，</w:t>
      </w:r>
      <w:r>
        <w:rPr>
          <w:rFonts w:hint="eastAsia" w:ascii="宋体" w:hAnsi="宋体" w:cs="宋体"/>
          <w:b/>
          <w:bCs/>
          <w:color w:val="000000" w:themeColor="text1"/>
          <w:szCs w:val="24"/>
          <w:highlight w:val="none"/>
          <w:shd w:val="clear" w:color="auto" w:fill="FFFFFF"/>
          <w:lang w:val="zh-CN"/>
          <w14:textFill>
            <w14:solidFill>
              <w14:schemeClr w14:val="tx1"/>
            </w14:solidFill>
          </w14:textFill>
        </w:rPr>
        <w:t>通过电子病历应用高等级水平（五级）和医院信息互联互通标准化成熟度测评（四级甲等）、</w:t>
      </w:r>
      <w:r>
        <w:rPr>
          <w:rFonts w:hint="eastAsia" w:ascii="宋体" w:hAnsi="宋体" w:cs="宋体"/>
          <w:b/>
          <w:bCs/>
          <w:color w:val="000000" w:themeColor="text1"/>
          <w:szCs w:val="24"/>
          <w:highlight w:val="none"/>
          <w:shd w:val="clear" w:color="auto" w:fill="FFFFFF"/>
          <w14:textFill>
            <w14:solidFill>
              <w14:schemeClr w14:val="tx1"/>
            </w14:solidFill>
          </w14:textFill>
        </w:rPr>
        <w:t>智慧医院服务分级评估（三级），并完成最多跑一次、医共体信息一体化建设等政府指令性任务及三级乙等医院信息建设技术</w:t>
      </w:r>
      <w:r>
        <w:rPr>
          <w:rFonts w:hint="eastAsia" w:ascii="宋体" w:hAnsi="宋体" w:cs="宋体"/>
          <w:b/>
          <w:bCs/>
          <w:color w:val="000000" w:themeColor="text1"/>
          <w:szCs w:val="24"/>
          <w:highlight w:val="none"/>
          <w:shd w:val="clear" w:color="auto" w:fill="FFFFFF"/>
          <w:lang w:val="zh-CN"/>
          <w14:textFill>
            <w14:solidFill>
              <w14:schemeClr w14:val="tx1"/>
            </w14:solidFill>
          </w14:textFill>
        </w:rPr>
        <w:t>目标，</w:t>
      </w:r>
      <w:r>
        <w:rPr>
          <w:rFonts w:hint="eastAsia" w:ascii="宋体" w:hAnsi="宋体" w:cs="宋体"/>
          <w:color w:val="000000" w:themeColor="text1"/>
          <w:szCs w:val="24"/>
          <w:highlight w:val="none"/>
          <w:shd w:val="clear" w:color="auto" w:fill="FFFFFF"/>
          <w:lang w:val="zh-CN"/>
          <w14:textFill>
            <w14:solidFill>
              <w14:schemeClr w14:val="tx1"/>
            </w14:solidFill>
          </w14:textFill>
        </w:rPr>
        <w:t>并提交有关产品文件材料（含培训资料文件），可向业主方书面申请验收付款。如无合理理由，采购人应接到中标人系统软件书面验收申请7个工作日内应组织对硬件及系统软件内容进行验收确认。</w:t>
      </w:r>
    </w:p>
    <w:p>
      <w:pPr>
        <w:pStyle w:val="56"/>
        <w:spacing w:line="400" w:lineRule="exact"/>
        <w:ind w:firstLine="480"/>
        <w:rPr>
          <w:rFonts w:ascii="宋体" w:hAnsi="宋体" w:cs="宋体"/>
          <w:color w:val="000000" w:themeColor="text1"/>
          <w:szCs w:val="24"/>
          <w:highlight w:val="none"/>
          <w:shd w:val="clear" w:color="auto" w:fill="FFFFFF"/>
          <w:lang w:val="zh-CN"/>
          <w14:textFill>
            <w14:solidFill>
              <w14:schemeClr w14:val="tx1"/>
            </w14:solidFill>
          </w14:textFill>
        </w:rPr>
      </w:pPr>
      <w:r>
        <w:rPr>
          <w:rFonts w:hint="eastAsia" w:ascii="宋体" w:hAnsi="宋体" w:cs="宋体"/>
          <w:color w:val="000000" w:themeColor="text1"/>
          <w:szCs w:val="24"/>
          <w:highlight w:val="none"/>
          <w:shd w:val="clear" w:color="auto" w:fill="FFFFFF"/>
          <w:lang w:val="zh-CN"/>
          <w14:textFill>
            <w14:solidFill>
              <w14:schemeClr w14:val="tx1"/>
            </w14:solidFill>
          </w14:textFill>
        </w:rPr>
        <w:t>采购人应组织其各使用单位与管理单位提供必要的场地和部署工作条件。应组织各使用单位与管理单位责任人及时配合安装调试培训与验收工作。</w:t>
      </w:r>
    </w:p>
    <w:p>
      <w:pPr>
        <w:pStyle w:val="56"/>
        <w:spacing w:line="400" w:lineRule="exact"/>
        <w:ind w:firstLine="480"/>
        <w:rPr>
          <w:rFonts w:ascii="宋体" w:hAnsi="宋体" w:cs="宋体"/>
          <w:color w:val="000000" w:themeColor="text1"/>
          <w:szCs w:val="24"/>
          <w:highlight w:val="none"/>
          <w:shd w:val="clear" w:color="auto" w:fill="FFFFFF"/>
          <w:lang w:val="zh-CN"/>
          <w14:textFill>
            <w14:solidFill>
              <w14:schemeClr w14:val="tx1"/>
            </w14:solidFill>
          </w14:textFill>
        </w:rPr>
      </w:pPr>
      <w:r>
        <w:rPr>
          <w:rFonts w:hint="eastAsia" w:ascii="宋体" w:hAnsi="宋体" w:cs="宋体"/>
          <w:color w:val="000000" w:themeColor="text1"/>
          <w:szCs w:val="24"/>
          <w:highlight w:val="none"/>
          <w:shd w:val="clear" w:color="auto" w:fill="FFFFFF"/>
          <w:lang w:val="zh-CN"/>
          <w14:textFill>
            <w14:solidFill>
              <w14:schemeClr w14:val="tx1"/>
            </w14:solidFill>
          </w14:textFill>
        </w:rPr>
        <w:t>验收标准按照国家、地区相关标准，招投标文件、合同条款具体执行。</w:t>
      </w:r>
    </w:p>
    <w:p>
      <w:pPr>
        <w:pStyle w:val="12"/>
        <w:adjustRightInd w:val="0"/>
        <w:snapToGrid w:val="0"/>
        <w:spacing w:line="400" w:lineRule="exact"/>
        <w:ind w:firstLine="480"/>
        <w:rPr>
          <w:rFonts w:hAnsi="宋体" w:cs="宋体"/>
          <w:color w:val="000000" w:themeColor="text1"/>
          <w:sz w:val="24"/>
          <w:highlight w:val="none"/>
          <w:u w:val="single"/>
          <w14:textFill>
            <w14:solidFill>
              <w14:schemeClr w14:val="tx1"/>
            </w14:solidFill>
          </w14:textFill>
        </w:rPr>
      </w:pPr>
    </w:p>
    <w:p>
      <w:pPr>
        <w:pStyle w:val="56"/>
        <w:spacing w:line="400" w:lineRule="exact"/>
        <w:ind w:firstLine="0" w:firstLineChars="0"/>
        <w:rPr>
          <w:rFonts w:ascii="宋体" w:hAnsi="宋体" w:cs="宋体"/>
          <w:b/>
          <w:bCs/>
          <w:color w:val="000000" w:themeColor="text1"/>
          <w:szCs w:val="24"/>
          <w:highlight w:val="none"/>
          <w:shd w:val="clear" w:color="auto" w:fill="FFFFFF"/>
          <w14:textFill>
            <w14:solidFill>
              <w14:schemeClr w14:val="tx1"/>
            </w14:solidFill>
          </w14:textFill>
        </w:rPr>
      </w:pPr>
      <w:r>
        <w:rPr>
          <w:rFonts w:hint="eastAsia" w:ascii="宋体" w:hAnsi="宋体" w:cs="宋体"/>
          <w:b/>
          <w:bCs/>
          <w:color w:val="000000" w:themeColor="text1"/>
          <w:szCs w:val="24"/>
          <w:highlight w:val="none"/>
          <w:shd w:val="clear" w:color="auto" w:fill="FFFFFF"/>
          <w14:textFill>
            <w14:solidFill>
              <w14:schemeClr w14:val="tx1"/>
            </w14:solidFill>
          </w14:textFill>
        </w:rPr>
        <w:t>7.付款方式：</w:t>
      </w:r>
    </w:p>
    <w:p>
      <w:pPr>
        <w:pStyle w:val="56"/>
        <w:spacing w:line="400" w:lineRule="exact"/>
        <w:ind w:firstLine="480"/>
        <w:rPr>
          <w:rFonts w:ascii="宋体" w:hAnsi="宋体" w:cs="宋体"/>
          <w:color w:val="000000" w:themeColor="text1"/>
          <w:szCs w:val="24"/>
          <w:highlight w:val="none"/>
          <w:shd w:val="clear" w:color="auto" w:fill="FFFFFF"/>
          <w:lang w:val="zh-CN"/>
          <w14:textFill>
            <w14:solidFill>
              <w14:schemeClr w14:val="tx1"/>
            </w14:solidFill>
          </w14:textFill>
        </w:rPr>
      </w:pPr>
      <w:r>
        <w:rPr>
          <w:rFonts w:hint="eastAsia" w:ascii="宋体" w:hAnsi="宋体" w:cs="宋体"/>
          <w:color w:val="000000" w:themeColor="text1"/>
          <w:szCs w:val="24"/>
          <w:highlight w:val="none"/>
          <w:shd w:val="clear" w:color="auto" w:fill="FFFFFF"/>
          <w:lang w:val="zh-CN"/>
          <w14:textFill>
            <w14:solidFill>
              <w14:schemeClr w14:val="tx1"/>
            </w14:solidFill>
          </w14:textFill>
        </w:rPr>
        <w:t>签订合同前，供应商应缴纳合同金额的10%作为履约保证金至采购人账户。</w:t>
      </w:r>
    </w:p>
    <w:p>
      <w:pPr>
        <w:pStyle w:val="56"/>
        <w:spacing w:line="400" w:lineRule="exact"/>
        <w:ind w:firstLine="480"/>
        <w:rPr>
          <w:rFonts w:ascii="宋体" w:hAnsi="宋体" w:cs="宋体"/>
          <w:color w:val="000000" w:themeColor="text1"/>
          <w:szCs w:val="24"/>
          <w:highlight w:val="none"/>
          <w:shd w:val="clear" w:color="auto" w:fill="FFFFFF"/>
          <w:lang w:val="zh-CN"/>
          <w14:textFill>
            <w14:solidFill>
              <w14:schemeClr w14:val="tx1"/>
            </w14:solidFill>
          </w14:textFill>
        </w:rPr>
      </w:pPr>
    </w:p>
    <w:p>
      <w:pPr>
        <w:pStyle w:val="56"/>
        <w:spacing w:line="400" w:lineRule="exact"/>
        <w:ind w:firstLine="480"/>
        <w:rPr>
          <w:rFonts w:ascii="宋体" w:hAnsi="宋体" w:cs="宋体"/>
          <w:color w:val="000000" w:themeColor="text1"/>
          <w:szCs w:val="24"/>
          <w:highlight w:val="none"/>
          <w:shd w:val="clear" w:color="auto" w:fill="FFFFFF"/>
          <w:lang w:val="zh-CN"/>
          <w14:textFill>
            <w14:solidFill>
              <w14:schemeClr w14:val="tx1"/>
            </w14:solidFill>
          </w14:textFill>
        </w:rPr>
      </w:pPr>
      <w:r>
        <w:rPr>
          <w:rFonts w:hint="eastAsia" w:ascii="宋体" w:hAnsi="宋体" w:cs="宋体"/>
          <w:color w:val="000000" w:themeColor="text1"/>
          <w:szCs w:val="24"/>
          <w:highlight w:val="none"/>
          <w:shd w:val="clear" w:color="auto" w:fill="FFFFFF"/>
          <w:lang w:val="zh-CN"/>
          <w14:textFill>
            <w14:solidFill>
              <w14:schemeClr w14:val="tx1"/>
            </w14:solidFill>
          </w14:textFill>
        </w:rPr>
        <w:t>合同签订项目开始实施后1个月内，采购人支付中标供应商合同金额的</w:t>
      </w:r>
      <w:r>
        <w:rPr>
          <w:rFonts w:hint="eastAsia" w:ascii="宋体" w:hAnsi="宋体" w:cs="宋体"/>
          <w:color w:val="000000" w:themeColor="text1"/>
          <w:szCs w:val="24"/>
          <w:highlight w:val="none"/>
          <w:shd w:val="clear" w:color="auto" w:fill="FFFFFF"/>
          <w14:textFill>
            <w14:solidFill>
              <w14:schemeClr w14:val="tx1"/>
            </w14:solidFill>
          </w14:textFill>
        </w:rPr>
        <w:t>3</w:t>
      </w:r>
      <w:r>
        <w:rPr>
          <w:rFonts w:hint="eastAsia" w:ascii="宋体" w:hAnsi="宋体" w:cs="宋体"/>
          <w:color w:val="000000" w:themeColor="text1"/>
          <w:szCs w:val="24"/>
          <w:highlight w:val="none"/>
          <w:shd w:val="clear" w:color="auto" w:fill="FFFFFF"/>
          <w:lang w:val="zh-CN"/>
          <w14:textFill>
            <w14:solidFill>
              <w14:schemeClr w14:val="tx1"/>
            </w14:solidFill>
          </w14:textFill>
        </w:rPr>
        <w:t>0%；实施后</w:t>
      </w:r>
      <w:r>
        <w:rPr>
          <w:rFonts w:hint="eastAsia" w:ascii="宋体" w:hAnsi="宋体" w:cs="宋体"/>
          <w:color w:val="000000" w:themeColor="text1"/>
          <w:szCs w:val="24"/>
          <w:highlight w:val="none"/>
          <w:shd w:val="clear" w:color="auto" w:fill="FFFFFF"/>
          <w14:textFill>
            <w14:solidFill>
              <w14:schemeClr w14:val="tx1"/>
            </w14:solidFill>
          </w14:textFill>
        </w:rPr>
        <w:t>3</w:t>
      </w:r>
      <w:r>
        <w:rPr>
          <w:rFonts w:hint="eastAsia" w:ascii="宋体" w:hAnsi="宋体" w:cs="宋体"/>
          <w:color w:val="000000" w:themeColor="text1"/>
          <w:szCs w:val="24"/>
          <w:highlight w:val="none"/>
          <w:shd w:val="clear" w:color="auto" w:fill="FFFFFF"/>
          <w:lang w:val="zh-CN"/>
          <w14:textFill>
            <w14:solidFill>
              <w14:schemeClr w14:val="tx1"/>
            </w14:solidFill>
          </w14:textFill>
        </w:rPr>
        <w:t>个月内，采购人支付中标供应商合同金额的</w:t>
      </w:r>
      <w:r>
        <w:rPr>
          <w:rFonts w:hint="eastAsia" w:ascii="宋体" w:hAnsi="宋体" w:cs="宋体"/>
          <w:color w:val="000000" w:themeColor="text1"/>
          <w:szCs w:val="24"/>
          <w:highlight w:val="none"/>
          <w:shd w:val="clear" w:color="auto" w:fill="FFFFFF"/>
          <w14:textFill>
            <w14:solidFill>
              <w14:schemeClr w14:val="tx1"/>
            </w14:solidFill>
          </w14:textFill>
        </w:rPr>
        <w:t>1</w:t>
      </w:r>
      <w:r>
        <w:rPr>
          <w:rFonts w:hint="eastAsia" w:ascii="宋体" w:hAnsi="宋体" w:cs="宋体"/>
          <w:color w:val="000000" w:themeColor="text1"/>
          <w:szCs w:val="24"/>
          <w:highlight w:val="none"/>
          <w:shd w:val="clear" w:color="auto" w:fill="FFFFFF"/>
          <w:lang w:val="zh-CN"/>
          <w14:textFill>
            <w14:solidFill>
              <w14:schemeClr w14:val="tx1"/>
            </w14:solidFill>
          </w14:textFill>
        </w:rPr>
        <w:t>0%。中标供应商将所有系统交付采购人指定地点，完成安装、调试、试运行、验收合格后5个工作日内，采购人支付中标供应商合同金额的</w:t>
      </w:r>
      <w:r>
        <w:rPr>
          <w:rFonts w:hint="eastAsia" w:ascii="宋体" w:hAnsi="宋体" w:cs="宋体"/>
          <w:color w:val="000000" w:themeColor="text1"/>
          <w:szCs w:val="24"/>
          <w:highlight w:val="none"/>
          <w:shd w:val="clear" w:color="auto" w:fill="FFFFFF"/>
          <w14:textFill>
            <w14:solidFill>
              <w14:schemeClr w14:val="tx1"/>
            </w14:solidFill>
          </w14:textFill>
        </w:rPr>
        <w:t>55</w:t>
      </w:r>
      <w:r>
        <w:rPr>
          <w:rFonts w:hint="eastAsia" w:ascii="宋体" w:hAnsi="宋体" w:cs="宋体"/>
          <w:color w:val="000000" w:themeColor="text1"/>
          <w:szCs w:val="24"/>
          <w:highlight w:val="none"/>
          <w:shd w:val="clear" w:color="auto" w:fill="FFFFFF"/>
          <w:lang w:val="zh-CN"/>
          <w14:textFill>
            <w14:solidFill>
              <w14:schemeClr w14:val="tx1"/>
            </w14:solidFill>
          </w14:textFill>
        </w:rPr>
        <w:t>%（中标供应商必须开具正式税务发票），同时无息返还履约保证金，终验通过之日起至</w:t>
      </w:r>
      <w:r>
        <w:rPr>
          <w:rFonts w:hint="eastAsia" w:ascii="宋体" w:hAnsi="宋体" w:cs="宋体"/>
          <w:color w:val="000000" w:themeColor="text1"/>
          <w:szCs w:val="24"/>
          <w:highlight w:val="none"/>
          <w:shd w:val="clear" w:color="auto" w:fill="FFFFFF"/>
          <w14:textFill>
            <w14:solidFill>
              <w14:schemeClr w14:val="tx1"/>
            </w14:solidFill>
          </w14:textFill>
        </w:rPr>
        <w:t>一</w:t>
      </w:r>
      <w:r>
        <w:rPr>
          <w:rFonts w:hint="eastAsia" w:ascii="宋体" w:hAnsi="宋体" w:cs="宋体"/>
          <w:color w:val="000000" w:themeColor="text1"/>
          <w:szCs w:val="24"/>
          <w:highlight w:val="none"/>
          <w:shd w:val="clear" w:color="auto" w:fill="FFFFFF"/>
          <w:lang w:val="zh-CN"/>
          <w14:textFill>
            <w14:solidFill>
              <w14:schemeClr w14:val="tx1"/>
            </w14:solidFill>
          </w14:textFill>
        </w:rPr>
        <w:t>年服务期结束，无质量与售后服务争议支付中标供应商合同金额的剩余</w:t>
      </w:r>
      <w:r>
        <w:rPr>
          <w:rFonts w:hint="eastAsia" w:ascii="宋体" w:hAnsi="宋体" w:cs="宋体"/>
          <w:color w:val="000000" w:themeColor="text1"/>
          <w:szCs w:val="24"/>
          <w:highlight w:val="none"/>
          <w:shd w:val="clear" w:color="auto" w:fill="FFFFFF"/>
          <w14:textFill>
            <w14:solidFill>
              <w14:schemeClr w14:val="tx1"/>
            </w14:solidFill>
          </w14:textFill>
        </w:rPr>
        <w:t>5</w:t>
      </w:r>
      <w:r>
        <w:rPr>
          <w:rFonts w:hint="eastAsia" w:ascii="宋体" w:hAnsi="宋体" w:cs="宋体"/>
          <w:color w:val="000000" w:themeColor="text1"/>
          <w:szCs w:val="24"/>
          <w:highlight w:val="none"/>
          <w:shd w:val="clear" w:color="auto" w:fill="FFFFFF"/>
          <w:lang w:val="zh-CN"/>
          <w14:textFill>
            <w14:solidFill>
              <w14:schemeClr w14:val="tx1"/>
            </w14:solidFill>
          </w14:textFill>
        </w:rPr>
        <w:t>%（中标供应商必须开具正式税务发票）。</w:t>
      </w:r>
    </w:p>
    <w:p>
      <w:pPr>
        <w:pStyle w:val="12"/>
        <w:adjustRightInd w:val="0"/>
        <w:snapToGrid w:val="0"/>
        <w:spacing w:line="420" w:lineRule="exact"/>
        <w:rPr>
          <w:rFonts w:hAnsi="宋体"/>
          <w:color w:val="000000" w:themeColor="text1"/>
          <w:sz w:val="22"/>
          <w:highlight w:val="none"/>
          <w:u w:val="single"/>
          <w14:textFill>
            <w14:solidFill>
              <w14:schemeClr w14:val="tx1"/>
            </w14:solidFill>
          </w14:textFill>
        </w:rPr>
      </w:pPr>
    </w:p>
    <w:p>
      <w:pPr>
        <w:pStyle w:val="12"/>
        <w:adjustRightInd w:val="0"/>
        <w:snapToGrid w:val="0"/>
        <w:spacing w:line="420" w:lineRule="exact"/>
        <w:ind w:firstLine="480"/>
        <w:rPr>
          <w:rFonts w:hAnsi="宋体"/>
          <w:color w:val="000000" w:themeColor="text1"/>
          <w:sz w:val="22"/>
          <w:highlight w:val="none"/>
          <w:u w:val="single"/>
          <w14:textFill>
            <w14:solidFill>
              <w14:schemeClr w14:val="tx1"/>
            </w14:solidFill>
          </w14:textFill>
        </w:rPr>
      </w:pPr>
    </w:p>
    <w:p>
      <w:pPr>
        <w:pStyle w:val="12"/>
        <w:adjustRightInd w:val="0"/>
        <w:snapToGrid w:val="0"/>
        <w:spacing w:line="420" w:lineRule="exact"/>
        <w:ind w:firstLine="480"/>
        <w:rPr>
          <w:rFonts w:hAnsi="宋体"/>
          <w:color w:val="000000" w:themeColor="text1"/>
          <w:sz w:val="22"/>
          <w:highlight w:val="none"/>
          <w:u w:val="single"/>
          <w14:textFill>
            <w14:solidFill>
              <w14:schemeClr w14:val="tx1"/>
            </w14:solidFill>
          </w14:textFill>
        </w:rPr>
      </w:pPr>
    </w:p>
    <w:p>
      <w:pPr>
        <w:pStyle w:val="12"/>
        <w:adjustRightInd w:val="0"/>
        <w:snapToGrid w:val="0"/>
        <w:spacing w:line="420" w:lineRule="exact"/>
        <w:ind w:firstLine="480"/>
        <w:rPr>
          <w:rFonts w:hAnsi="宋体"/>
          <w:color w:val="000000" w:themeColor="text1"/>
          <w:sz w:val="22"/>
          <w:highlight w:val="none"/>
          <w:u w:val="single"/>
          <w14:textFill>
            <w14:solidFill>
              <w14:schemeClr w14:val="tx1"/>
            </w14:solidFill>
          </w14:textFill>
        </w:rPr>
      </w:pPr>
    </w:p>
    <w:p>
      <w:pPr>
        <w:pStyle w:val="12"/>
        <w:adjustRightInd w:val="0"/>
        <w:snapToGrid w:val="0"/>
        <w:spacing w:line="420" w:lineRule="exact"/>
        <w:ind w:firstLine="480"/>
        <w:rPr>
          <w:rFonts w:hAnsi="宋体"/>
          <w:color w:val="000000" w:themeColor="text1"/>
          <w:sz w:val="22"/>
          <w:highlight w:val="none"/>
          <w:u w:val="single"/>
          <w14:textFill>
            <w14:solidFill>
              <w14:schemeClr w14:val="tx1"/>
            </w14:solidFill>
          </w14:textFill>
        </w:rPr>
      </w:pPr>
    </w:p>
    <w:p>
      <w:pPr>
        <w:pStyle w:val="12"/>
        <w:adjustRightInd w:val="0"/>
        <w:snapToGrid w:val="0"/>
        <w:spacing w:line="420" w:lineRule="exact"/>
        <w:ind w:firstLine="480"/>
        <w:rPr>
          <w:rFonts w:hAnsi="宋体"/>
          <w:color w:val="000000" w:themeColor="text1"/>
          <w:sz w:val="22"/>
          <w:highlight w:val="none"/>
          <w:u w:val="single"/>
          <w14:textFill>
            <w14:solidFill>
              <w14:schemeClr w14:val="tx1"/>
            </w14:solidFill>
          </w14:textFill>
        </w:rPr>
      </w:pPr>
    </w:p>
    <w:p>
      <w:pPr>
        <w:pStyle w:val="12"/>
        <w:adjustRightInd w:val="0"/>
        <w:snapToGrid w:val="0"/>
        <w:spacing w:line="420" w:lineRule="exact"/>
        <w:ind w:firstLine="480"/>
        <w:rPr>
          <w:rFonts w:hAnsi="宋体"/>
          <w:color w:val="000000" w:themeColor="text1"/>
          <w:sz w:val="22"/>
          <w:highlight w:val="none"/>
          <w:u w:val="single"/>
          <w14:textFill>
            <w14:solidFill>
              <w14:schemeClr w14:val="tx1"/>
            </w14:solidFill>
          </w14:textFill>
        </w:rPr>
      </w:pPr>
    </w:p>
    <w:p>
      <w:pPr>
        <w:pStyle w:val="12"/>
        <w:adjustRightInd w:val="0"/>
        <w:snapToGrid w:val="0"/>
        <w:spacing w:line="420" w:lineRule="exact"/>
        <w:ind w:firstLine="480"/>
        <w:rPr>
          <w:rFonts w:hAnsi="宋体"/>
          <w:color w:val="000000" w:themeColor="text1"/>
          <w:sz w:val="22"/>
          <w:highlight w:val="none"/>
          <w:u w:val="single"/>
          <w14:textFill>
            <w14:solidFill>
              <w14:schemeClr w14:val="tx1"/>
            </w14:solidFill>
          </w14:textFill>
        </w:rPr>
      </w:pPr>
    </w:p>
    <w:p>
      <w:pPr>
        <w:pStyle w:val="12"/>
        <w:adjustRightInd w:val="0"/>
        <w:snapToGrid w:val="0"/>
        <w:spacing w:line="420" w:lineRule="exact"/>
        <w:ind w:firstLine="480"/>
        <w:rPr>
          <w:rFonts w:hAnsi="宋体"/>
          <w:color w:val="000000" w:themeColor="text1"/>
          <w:sz w:val="22"/>
          <w:highlight w:val="none"/>
          <w:u w:val="single"/>
          <w14:textFill>
            <w14:solidFill>
              <w14:schemeClr w14:val="tx1"/>
            </w14:solidFill>
          </w14:textFill>
        </w:rPr>
      </w:pPr>
    </w:p>
    <w:p>
      <w:pPr>
        <w:pStyle w:val="12"/>
        <w:adjustRightInd w:val="0"/>
        <w:snapToGrid w:val="0"/>
        <w:spacing w:line="420" w:lineRule="exact"/>
        <w:ind w:firstLine="480"/>
        <w:rPr>
          <w:rFonts w:hAnsi="宋体"/>
          <w:color w:val="000000" w:themeColor="text1"/>
          <w:sz w:val="22"/>
          <w:highlight w:val="none"/>
          <w:u w:val="single"/>
          <w14:textFill>
            <w14:solidFill>
              <w14:schemeClr w14:val="tx1"/>
            </w14:solidFill>
          </w14:textFill>
        </w:rPr>
      </w:pPr>
    </w:p>
    <w:p>
      <w:pPr>
        <w:pStyle w:val="12"/>
        <w:adjustRightInd w:val="0"/>
        <w:snapToGrid w:val="0"/>
        <w:spacing w:line="420" w:lineRule="exact"/>
        <w:ind w:firstLine="480"/>
        <w:rPr>
          <w:rFonts w:hAnsi="宋体"/>
          <w:color w:val="000000" w:themeColor="text1"/>
          <w:sz w:val="22"/>
          <w:highlight w:val="none"/>
          <w:u w:val="single"/>
          <w14:textFill>
            <w14:solidFill>
              <w14:schemeClr w14:val="tx1"/>
            </w14:solidFill>
          </w14:textFill>
        </w:rPr>
      </w:pPr>
    </w:p>
    <w:p>
      <w:pPr>
        <w:pStyle w:val="12"/>
        <w:adjustRightInd w:val="0"/>
        <w:snapToGrid w:val="0"/>
        <w:spacing w:line="420" w:lineRule="exact"/>
        <w:ind w:firstLine="480"/>
        <w:rPr>
          <w:rFonts w:hAnsi="宋体"/>
          <w:color w:val="000000" w:themeColor="text1"/>
          <w:sz w:val="22"/>
          <w:highlight w:val="none"/>
          <w:u w:val="single"/>
          <w14:textFill>
            <w14:solidFill>
              <w14:schemeClr w14:val="tx1"/>
            </w14:solidFill>
          </w14:textFill>
        </w:rPr>
      </w:pPr>
    </w:p>
    <w:p>
      <w:pPr>
        <w:pStyle w:val="12"/>
        <w:adjustRightInd w:val="0"/>
        <w:snapToGrid w:val="0"/>
        <w:spacing w:line="420" w:lineRule="exact"/>
        <w:ind w:firstLine="480"/>
        <w:rPr>
          <w:rFonts w:hAnsi="宋体"/>
          <w:color w:val="000000" w:themeColor="text1"/>
          <w:sz w:val="22"/>
          <w:highlight w:val="none"/>
          <w:u w:val="single"/>
          <w14:textFill>
            <w14:solidFill>
              <w14:schemeClr w14:val="tx1"/>
            </w14:solidFill>
          </w14:textFill>
        </w:rPr>
      </w:pPr>
    </w:p>
    <w:p>
      <w:pPr>
        <w:pStyle w:val="12"/>
        <w:adjustRightInd w:val="0"/>
        <w:snapToGrid w:val="0"/>
        <w:spacing w:line="420" w:lineRule="exact"/>
        <w:ind w:firstLine="480"/>
        <w:rPr>
          <w:rFonts w:hAnsi="宋体"/>
          <w:color w:val="000000" w:themeColor="text1"/>
          <w:sz w:val="22"/>
          <w:highlight w:val="none"/>
          <w:u w:val="single"/>
          <w14:textFill>
            <w14:solidFill>
              <w14:schemeClr w14:val="tx1"/>
            </w14:solidFill>
          </w14:textFill>
        </w:rPr>
      </w:pPr>
    </w:p>
    <w:p>
      <w:pPr>
        <w:pStyle w:val="12"/>
        <w:adjustRightInd w:val="0"/>
        <w:snapToGrid w:val="0"/>
        <w:spacing w:line="420" w:lineRule="exact"/>
        <w:ind w:firstLine="480"/>
        <w:rPr>
          <w:rFonts w:hAnsi="宋体"/>
          <w:color w:val="000000" w:themeColor="text1"/>
          <w:sz w:val="22"/>
          <w:highlight w:val="none"/>
          <w:u w:val="single"/>
          <w14:textFill>
            <w14:solidFill>
              <w14:schemeClr w14:val="tx1"/>
            </w14:solidFill>
          </w14:textFill>
        </w:rPr>
      </w:pPr>
    </w:p>
    <w:p>
      <w:pPr>
        <w:pStyle w:val="12"/>
        <w:adjustRightInd w:val="0"/>
        <w:snapToGrid w:val="0"/>
        <w:spacing w:line="420" w:lineRule="exact"/>
        <w:ind w:firstLine="480"/>
        <w:rPr>
          <w:rFonts w:hAnsi="宋体"/>
          <w:color w:val="000000" w:themeColor="text1"/>
          <w:sz w:val="22"/>
          <w:highlight w:val="none"/>
          <w:u w:val="single"/>
          <w14:textFill>
            <w14:solidFill>
              <w14:schemeClr w14:val="tx1"/>
            </w14:solidFill>
          </w14:textFill>
        </w:rPr>
      </w:pPr>
    </w:p>
    <w:p>
      <w:pPr>
        <w:pStyle w:val="12"/>
        <w:adjustRightInd w:val="0"/>
        <w:snapToGrid w:val="0"/>
        <w:spacing w:line="420" w:lineRule="exact"/>
        <w:ind w:firstLine="480"/>
        <w:rPr>
          <w:rFonts w:hAnsi="宋体"/>
          <w:color w:val="000000" w:themeColor="text1"/>
          <w:sz w:val="22"/>
          <w:highlight w:val="none"/>
          <w:u w:val="single"/>
          <w14:textFill>
            <w14:solidFill>
              <w14:schemeClr w14:val="tx1"/>
            </w14:solidFill>
          </w14:textFill>
        </w:rPr>
      </w:pPr>
    </w:p>
    <w:p>
      <w:pPr>
        <w:pStyle w:val="12"/>
        <w:adjustRightInd w:val="0"/>
        <w:snapToGrid w:val="0"/>
        <w:spacing w:line="420" w:lineRule="exact"/>
        <w:ind w:firstLine="480"/>
        <w:rPr>
          <w:rFonts w:hAnsi="宋体"/>
          <w:color w:val="000000" w:themeColor="text1"/>
          <w:sz w:val="22"/>
          <w:highlight w:val="none"/>
          <w:u w:val="single"/>
          <w14:textFill>
            <w14:solidFill>
              <w14:schemeClr w14:val="tx1"/>
            </w14:solidFill>
          </w14:textFill>
        </w:rPr>
      </w:pPr>
    </w:p>
    <w:p>
      <w:pPr>
        <w:pStyle w:val="12"/>
        <w:adjustRightInd w:val="0"/>
        <w:snapToGrid w:val="0"/>
        <w:spacing w:line="420" w:lineRule="exact"/>
        <w:ind w:firstLine="480"/>
        <w:rPr>
          <w:rFonts w:hAnsi="宋体"/>
          <w:color w:val="000000" w:themeColor="text1"/>
          <w:sz w:val="22"/>
          <w:highlight w:val="none"/>
          <w:u w:val="single"/>
          <w14:textFill>
            <w14:solidFill>
              <w14:schemeClr w14:val="tx1"/>
            </w14:solidFill>
          </w14:textFill>
        </w:rPr>
      </w:pPr>
    </w:p>
    <w:p>
      <w:pPr>
        <w:pStyle w:val="12"/>
        <w:adjustRightInd w:val="0"/>
        <w:snapToGrid w:val="0"/>
        <w:spacing w:line="420" w:lineRule="exact"/>
        <w:ind w:firstLine="480"/>
        <w:rPr>
          <w:rFonts w:hAnsi="宋体"/>
          <w:color w:val="000000" w:themeColor="text1"/>
          <w:sz w:val="22"/>
          <w:highlight w:val="none"/>
          <w:u w:val="single"/>
          <w14:textFill>
            <w14:solidFill>
              <w14:schemeClr w14:val="tx1"/>
            </w14:solidFill>
          </w14:textFill>
        </w:rPr>
      </w:pPr>
    </w:p>
    <w:p>
      <w:pPr>
        <w:pStyle w:val="12"/>
        <w:adjustRightInd w:val="0"/>
        <w:snapToGrid w:val="0"/>
        <w:spacing w:line="420" w:lineRule="exact"/>
        <w:ind w:firstLine="480"/>
        <w:rPr>
          <w:rFonts w:hAnsi="宋体"/>
          <w:color w:val="000000" w:themeColor="text1"/>
          <w:sz w:val="22"/>
          <w:highlight w:val="none"/>
          <w:u w:val="single"/>
          <w14:textFill>
            <w14:solidFill>
              <w14:schemeClr w14:val="tx1"/>
            </w14:solidFill>
          </w14:textFill>
        </w:rPr>
      </w:pPr>
    </w:p>
    <w:p>
      <w:pPr>
        <w:pStyle w:val="12"/>
        <w:adjustRightInd w:val="0"/>
        <w:snapToGrid w:val="0"/>
        <w:spacing w:line="420" w:lineRule="exact"/>
        <w:ind w:firstLine="480"/>
        <w:rPr>
          <w:rFonts w:hAnsi="宋体"/>
          <w:color w:val="000000" w:themeColor="text1"/>
          <w:sz w:val="22"/>
          <w:highlight w:val="none"/>
          <w:u w:val="single"/>
          <w14:textFill>
            <w14:solidFill>
              <w14:schemeClr w14:val="tx1"/>
            </w14:solidFill>
          </w14:textFill>
        </w:rPr>
      </w:pPr>
    </w:p>
    <w:p>
      <w:pPr>
        <w:pStyle w:val="12"/>
        <w:adjustRightInd w:val="0"/>
        <w:snapToGrid w:val="0"/>
        <w:spacing w:line="420" w:lineRule="exact"/>
        <w:ind w:firstLine="480"/>
        <w:rPr>
          <w:rFonts w:hAnsi="宋体"/>
          <w:color w:val="000000" w:themeColor="text1"/>
          <w:sz w:val="22"/>
          <w:highlight w:val="none"/>
          <w:u w:val="single"/>
          <w14:textFill>
            <w14:solidFill>
              <w14:schemeClr w14:val="tx1"/>
            </w14:solidFill>
          </w14:textFill>
        </w:rPr>
      </w:pPr>
    </w:p>
    <w:p>
      <w:pPr>
        <w:pStyle w:val="12"/>
        <w:adjustRightInd w:val="0"/>
        <w:snapToGrid w:val="0"/>
        <w:spacing w:line="420" w:lineRule="exact"/>
        <w:ind w:firstLine="480"/>
        <w:rPr>
          <w:rFonts w:hAnsi="宋体"/>
          <w:color w:val="000000" w:themeColor="text1"/>
          <w:sz w:val="22"/>
          <w:highlight w:val="none"/>
          <w:u w:val="single"/>
          <w14:textFill>
            <w14:solidFill>
              <w14:schemeClr w14:val="tx1"/>
            </w14:solidFill>
          </w14:textFill>
        </w:rPr>
      </w:pPr>
    </w:p>
    <w:p>
      <w:pPr>
        <w:pStyle w:val="12"/>
        <w:adjustRightInd w:val="0"/>
        <w:snapToGrid w:val="0"/>
        <w:spacing w:line="420" w:lineRule="exact"/>
        <w:ind w:firstLine="480"/>
        <w:rPr>
          <w:rFonts w:hAnsi="宋体"/>
          <w:color w:val="000000" w:themeColor="text1"/>
          <w:sz w:val="22"/>
          <w:highlight w:val="none"/>
          <w:u w:val="single"/>
          <w14:textFill>
            <w14:solidFill>
              <w14:schemeClr w14:val="tx1"/>
            </w14:solidFill>
          </w14:textFill>
        </w:rPr>
      </w:pPr>
    </w:p>
    <w:bookmarkEnd w:id="1"/>
    <w:p>
      <w:pPr>
        <w:numPr>
          <w:ilvl w:val="0"/>
          <w:numId w:val="4"/>
        </w:numPr>
        <w:spacing w:line="360" w:lineRule="auto"/>
        <w:jc w:val="center"/>
        <w:rPr>
          <w:rFonts w:asciiTheme="minorEastAsia" w:hAnsiTheme="minorEastAsia" w:eastAsiaTheme="minorEastAsia"/>
          <w:b/>
          <w:color w:val="000000" w:themeColor="text1"/>
          <w:sz w:val="36"/>
          <w:szCs w:val="36"/>
          <w:highlight w:val="none"/>
          <w14:textFill>
            <w14:solidFill>
              <w14:schemeClr w14:val="tx1"/>
            </w14:solidFill>
          </w14:textFill>
        </w:rPr>
      </w:pPr>
      <w:r>
        <w:rPr>
          <w:rFonts w:hint="eastAsia" w:asciiTheme="minorEastAsia" w:hAnsiTheme="minorEastAsia" w:eastAsiaTheme="minorEastAsia"/>
          <w:b/>
          <w:color w:val="000000" w:themeColor="text1"/>
          <w:sz w:val="36"/>
          <w:szCs w:val="36"/>
          <w:highlight w:val="none"/>
          <w14:textFill>
            <w14:solidFill>
              <w14:schemeClr w14:val="tx1"/>
            </w14:solidFill>
          </w14:textFill>
        </w:rPr>
        <w:t>政府采购合同主要条款指引</w:t>
      </w:r>
    </w:p>
    <w:p>
      <w:pPr>
        <w:widowControl/>
        <w:shd w:val="clear" w:color="auto" w:fill="FFFFFF"/>
        <w:spacing w:after="150" w:line="420" w:lineRule="exact"/>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以下为中标后签定本项目合同的通用条款，中标供应商不得提出实质性的修改，关于专用条款将由采购人与中标供应商结合本项目具体情况协商后签订。</w:t>
      </w:r>
    </w:p>
    <w:p>
      <w:pPr>
        <w:pStyle w:val="12"/>
        <w:snapToGrid w:val="0"/>
        <w:spacing w:before="120" w:after="120" w:line="360" w:lineRule="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项目名称：                                     项目编号：</w:t>
      </w:r>
    </w:p>
    <w:p>
      <w:pPr>
        <w:pStyle w:val="12"/>
        <w:snapToGrid w:val="0"/>
        <w:spacing w:before="120" w:after="120" w:line="360" w:lineRule="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甲方：（</w:t>
      </w:r>
      <w:r>
        <w:rPr>
          <w:rFonts w:hint="eastAsia" w:hAnsi="宋体"/>
          <w:color w:val="000000" w:themeColor="text1"/>
          <w:sz w:val="24"/>
          <w:highlight w:val="none"/>
          <w14:textFill>
            <w14:solidFill>
              <w14:schemeClr w14:val="tx1"/>
            </w14:solidFill>
          </w14:textFill>
        </w:rPr>
        <w:t>采购单位</w:t>
      </w:r>
      <w:r>
        <w:rPr>
          <w:rFonts w:hAnsi="宋体"/>
          <w:color w:val="000000" w:themeColor="text1"/>
          <w:sz w:val="24"/>
          <w:highlight w:val="none"/>
          <w14:textFill>
            <w14:solidFill>
              <w14:schemeClr w14:val="tx1"/>
            </w14:solidFill>
          </w14:textFill>
        </w:rPr>
        <w:t>）</w:t>
      </w:r>
      <w:r>
        <w:rPr>
          <w:rFonts w:hint="eastAsia" w:hAnsi="宋体"/>
          <w:color w:val="000000" w:themeColor="text1"/>
          <w:sz w:val="24"/>
          <w:highlight w:val="none"/>
          <w14:textFill>
            <w14:solidFill>
              <w14:schemeClr w14:val="tx1"/>
            </w14:solidFill>
          </w14:textFill>
        </w:rPr>
        <w:t xml:space="preserve">                            所在地：                              </w:t>
      </w:r>
    </w:p>
    <w:p>
      <w:pPr>
        <w:pStyle w:val="12"/>
        <w:snapToGrid w:val="0"/>
        <w:spacing w:before="120" w:after="120" w:line="360" w:lineRule="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乙方：（</w:t>
      </w:r>
      <w:r>
        <w:rPr>
          <w:rFonts w:hint="eastAsia" w:hAnsi="宋体"/>
          <w:color w:val="000000" w:themeColor="text1"/>
          <w:sz w:val="24"/>
          <w:highlight w:val="none"/>
          <w14:textFill>
            <w14:solidFill>
              <w14:schemeClr w14:val="tx1"/>
            </w14:solidFill>
          </w14:textFill>
        </w:rPr>
        <w:t>中标供应商</w:t>
      </w:r>
      <w:r>
        <w:rPr>
          <w:rFonts w:hAnsi="宋体"/>
          <w:color w:val="000000" w:themeColor="text1"/>
          <w:sz w:val="24"/>
          <w:highlight w:val="none"/>
          <w14:textFill>
            <w14:solidFill>
              <w14:schemeClr w14:val="tx1"/>
            </w14:solidFill>
          </w14:textFill>
        </w:rPr>
        <w:t>）</w:t>
      </w:r>
      <w:r>
        <w:rPr>
          <w:rFonts w:hint="eastAsia" w:hAnsi="宋体"/>
          <w:color w:val="000000" w:themeColor="text1"/>
          <w:sz w:val="24"/>
          <w:highlight w:val="none"/>
          <w14:textFill>
            <w14:solidFill>
              <w14:schemeClr w14:val="tx1"/>
            </w14:solidFill>
          </w14:textFill>
        </w:rPr>
        <w:t xml:space="preserve">                          所在地：</w:t>
      </w:r>
    </w:p>
    <w:p>
      <w:pPr>
        <w:widowControl/>
        <w:shd w:val="clear" w:color="auto" w:fill="FFFFFF"/>
        <w:spacing w:after="150" w:line="375" w:lineRule="atLeast"/>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甲、乙双方根据</w:t>
      </w:r>
      <w:r>
        <w:rPr>
          <w:rFonts w:hint="eastAsia" w:cs="Arial"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(采购组织机构名称）</w:t>
      </w:r>
      <w:r>
        <w:rPr>
          <w:rFonts w:ascii="宋体" w:hAnsi="宋体"/>
          <w:color w:val="000000" w:themeColor="text1"/>
          <w:sz w:val="24"/>
          <w:highlight w:val="none"/>
          <w14:textFill>
            <w14:solidFill>
              <w14:schemeClr w14:val="tx1"/>
            </w14:solidFill>
          </w14:textFill>
        </w:rPr>
        <w:t>关于</w:t>
      </w:r>
      <w:r>
        <w:rPr>
          <w:rFonts w:hint="eastAsia" w:cs="Arial" w:asciiTheme="minorEastAsia" w:hAnsiTheme="minorEastAsia" w:eastAsiaTheme="minorEastAsia"/>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项目</w:t>
      </w:r>
      <w:r>
        <w:rPr>
          <w:rFonts w:hint="eastAsia" w:ascii="宋体" w:hAnsi="宋体"/>
          <w:color w:val="000000" w:themeColor="text1"/>
          <w:sz w:val="24"/>
          <w:highlight w:val="none"/>
          <w14:textFill>
            <w14:solidFill>
              <w14:schemeClr w14:val="tx1"/>
            </w14:solidFill>
          </w14:textFill>
        </w:rPr>
        <w:t>公开招标</w:t>
      </w:r>
      <w:r>
        <w:rPr>
          <w:rFonts w:ascii="宋体" w:hAnsi="宋体"/>
          <w:color w:val="000000" w:themeColor="text1"/>
          <w:sz w:val="24"/>
          <w:highlight w:val="none"/>
          <w14:textFill>
            <w14:solidFill>
              <w14:schemeClr w14:val="tx1"/>
            </w14:solidFill>
          </w14:textFill>
        </w:rPr>
        <w:t>的结果，签署本合同。</w:t>
      </w:r>
    </w:p>
    <w:p>
      <w:pPr>
        <w:spacing w:line="360" w:lineRule="auto"/>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 xml:space="preserve">一、合同文件： </w:t>
      </w:r>
    </w:p>
    <w:p>
      <w:pPr>
        <w:spacing w:line="360" w:lineRule="auto"/>
        <w:ind w:firstLine="480"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1.合同条款。</w:t>
      </w:r>
    </w:p>
    <w:p>
      <w:pPr>
        <w:spacing w:line="360" w:lineRule="auto"/>
        <w:ind w:firstLine="480"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2.中标通知书。</w:t>
      </w:r>
    </w:p>
    <w:p>
      <w:pPr>
        <w:spacing w:line="360" w:lineRule="auto"/>
        <w:ind w:firstLine="480"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3.更正补充文件。</w:t>
      </w:r>
    </w:p>
    <w:p>
      <w:pPr>
        <w:spacing w:line="360" w:lineRule="auto"/>
        <w:ind w:firstLine="480"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4.招标文件。</w:t>
      </w:r>
    </w:p>
    <w:p>
      <w:pPr>
        <w:spacing w:line="360" w:lineRule="auto"/>
        <w:ind w:firstLine="480"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5.中标供应商投标文件。</w:t>
      </w:r>
    </w:p>
    <w:p>
      <w:pPr>
        <w:spacing w:line="360" w:lineRule="auto"/>
        <w:ind w:firstLine="480"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6.其他。</w:t>
      </w:r>
    </w:p>
    <w:p>
      <w:pPr>
        <w:pStyle w:val="12"/>
        <w:snapToGrid w:val="0"/>
        <w:spacing w:line="360" w:lineRule="auto"/>
        <w:ind w:firstLine="480" w:firstLineChars="200"/>
        <w:rPr>
          <w:rFonts w:hAnsi="Times New Roman"/>
          <w:color w:val="000000" w:themeColor="text1"/>
          <w:sz w:val="24"/>
          <w:highlight w:val="none"/>
          <w:lang w:val="zh-CN"/>
          <w14:textFill>
            <w14:solidFill>
              <w14:schemeClr w14:val="tx1"/>
            </w14:solidFill>
          </w14:textFill>
        </w:rPr>
      </w:pPr>
      <w:r>
        <w:rPr>
          <w:rFonts w:hint="eastAsia"/>
          <w:color w:val="000000" w:themeColor="text1"/>
          <w:sz w:val="24"/>
          <w:highlight w:val="none"/>
          <w:lang w:val="zh-CN"/>
          <w14:textFill>
            <w14:solidFill>
              <w14:schemeClr w14:val="tx1"/>
            </w14:solidFill>
          </w14:textFill>
        </w:rPr>
        <w:t>上述所指合同文件应认为是互相补充和解释的，但是有模棱两可或互相矛盾之处，以其所列内容顺序为准。</w:t>
      </w:r>
    </w:p>
    <w:p>
      <w:pPr>
        <w:widowControl/>
        <w:shd w:val="clear" w:color="auto" w:fill="FFFFFF"/>
        <w:spacing w:after="150" w:line="375" w:lineRule="atLeast"/>
        <w:jc w:val="left"/>
        <w:rPr>
          <w:rFonts w:ascii="宋体" w:hAnsi="宋体"/>
          <w:b/>
          <w:color w:val="000000" w:themeColor="text1"/>
          <w:sz w:val="24"/>
          <w:highlight w:val="none"/>
          <w14:textFill>
            <w14:solidFill>
              <w14:schemeClr w14:val="tx1"/>
            </w14:solidFill>
          </w14:textFill>
        </w:rPr>
      </w:pPr>
    </w:p>
    <w:p>
      <w:pPr>
        <w:widowControl/>
        <w:shd w:val="clear" w:color="auto" w:fill="FFFFFF"/>
        <w:spacing w:after="150" w:line="375" w:lineRule="atLeast"/>
        <w:jc w:val="left"/>
        <w:rPr>
          <w:rFonts w:ascii="宋体" w:hAnsi="宋体" w:cs="Arial"/>
          <w:b/>
          <w:color w:val="000000" w:themeColor="text1"/>
          <w:kern w:val="0"/>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二</w:t>
      </w:r>
      <w:r>
        <w:rPr>
          <w:rFonts w:ascii="宋体" w:hAnsi="宋体"/>
          <w:b/>
          <w:color w:val="000000" w:themeColor="text1"/>
          <w:sz w:val="24"/>
          <w:highlight w:val="none"/>
          <w14:textFill>
            <w14:solidFill>
              <w14:schemeClr w14:val="tx1"/>
            </w14:solidFill>
          </w14:textFill>
        </w:rPr>
        <w:t>、</w:t>
      </w:r>
      <w:r>
        <w:rPr>
          <w:rFonts w:ascii="宋体" w:hAnsi="宋体" w:cs="Arial"/>
          <w:b/>
          <w:color w:val="000000" w:themeColor="text1"/>
          <w:kern w:val="0"/>
          <w:sz w:val="24"/>
          <w:highlight w:val="none"/>
          <w14:textFill>
            <w14:solidFill>
              <w14:schemeClr w14:val="tx1"/>
            </w14:solidFill>
          </w14:textFill>
        </w:rPr>
        <w:t>合同内容及服务标准</w:t>
      </w:r>
    </w:p>
    <w:p>
      <w:pPr>
        <w:widowControl/>
        <w:shd w:val="clear" w:color="auto" w:fill="FFFFFF"/>
        <w:spacing w:after="150" w:line="375" w:lineRule="atLeast"/>
        <w:ind w:firstLine="480"/>
        <w:jc w:val="left"/>
        <w:rPr>
          <w:rFonts w:ascii="宋体" w:hAnsi="宋体" w:cs="Arial"/>
          <w:color w:val="000000" w:themeColor="text1"/>
          <w:kern w:val="0"/>
          <w:sz w:val="24"/>
          <w:highlight w:val="none"/>
          <w14:textFill>
            <w14:solidFill>
              <w14:schemeClr w14:val="tx1"/>
            </w14:solidFill>
          </w14:textFill>
        </w:rPr>
      </w:pPr>
      <w:r>
        <w:rPr>
          <w:rFonts w:ascii="宋体" w:hAnsi="宋体" w:cs="Arial"/>
          <w:color w:val="000000" w:themeColor="text1"/>
          <w:kern w:val="0"/>
          <w:sz w:val="24"/>
          <w:highlight w:val="none"/>
          <w14:textFill>
            <w14:solidFill>
              <w14:schemeClr w14:val="tx1"/>
            </w14:solidFill>
          </w14:textFill>
        </w:rPr>
        <w:t>（具体见项目需求）</w:t>
      </w:r>
    </w:p>
    <w:p>
      <w:pPr>
        <w:pStyle w:val="12"/>
        <w:snapToGrid w:val="0"/>
        <w:spacing w:before="120" w:after="120" w:line="360" w:lineRule="auto"/>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三</w:t>
      </w:r>
      <w:r>
        <w:rPr>
          <w:rFonts w:hAnsi="宋体"/>
          <w:b/>
          <w:color w:val="000000" w:themeColor="text1"/>
          <w:sz w:val="24"/>
          <w:highlight w:val="none"/>
          <w14:textFill>
            <w14:solidFill>
              <w14:schemeClr w14:val="tx1"/>
            </w14:solidFill>
          </w14:textFill>
        </w:rPr>
        <w:t>、合同金额</w:t>
      </w:r>
    </w:p>
    <w:p>
      <w:pPr>
        <w:pStyle w:val="12"/>
        <w:snapToGrid w:val="0"/>
        <w:spacing w:before="120" w:after="120" w:line="360" w:lineRule="auto"/>
        <w:ind w:left="410" w:hanging="410" w:hangingChars="171"/>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本合同金额为（大写）：____________________________________元（￥_______________元）人民币。</w:t>
      </w:r>
    </w:p>
    <w:p>
      <w:pPr>
        <w:widowControl/>
        <w:shd w:val="clear" w:color="auto" w:fill="FFFFFF"/>
        <w:spacing w:after="150" w:line="375" w:lineRule="atLeast"/>
        <w:jc w:val="left"/>
        <w:rPr>
          <w:rFonts w:ascii="宋体" w:hAnsi="宋体" w:cs="Arial"/>
          <w:b/>
          <w:color w:val="000000" w:themeColor="text1"/>
          <w:kern w:val="0"/>
          <w:sz w:val="24"/>
          <w:highlight w:val="none"/>
          <w14:textFill>
            <w14:solidFill>
              <w14:schemeClr w14:val="tx1"/>
            </w14:solidFill>
          </w14:textFill>
        </w:rPr>
      </w:pPr>
      <w:r>
        <w:rPr>
          <w:rFonts w:hint="eastAsia" w:ascii="宋体" w:hAnsi="宋体" w:cs="Arial"/>
          <w:b/>
          <w:color w:val="000000" w:themeColor="text1"/>
          <w:kern w:val="0"/>
          <w:sz w:val="24"/>
          <w:highlight w:val="none"/>
          <w14:textFill>
            <w14:solidFill>
              <w14:schemeClr w14:val="tx1"/>
            </w14:solidFill>
          </w14:textFill>
        </w:rPr>
        <w:t>四</w:t>
      </w:r>
      <w:r>
        <w:rPr>
          <w:rFonts w:ascii="宋体" w:hAnsi="宋体" w:cs="Arial"/>
          <w:b/>
          <w:color w:val="000000" w:themeColor="text1"/>
          <w:kern w:val="0"/>
          <w:sz w:val="24"/>
          <w:highlight w:val="none"/>
          <w14:textFill>
            <w14:solidFill>
              <w14:schemeClr w14:val="tx1"/>
            </w14:solidFill>
          </w14:textFill>
        </w:rPr>
        <w:t>、甲乙双方责任</w:t>
      </w:r>
    </w:p>
    <w:p>
      <w:pPr>
        <w:pStyle w:val="18"/>
        <w:shd w:val="clear" w:color="auto" w:fill="FFFFFF"/>
        <w:spacing w:before="0" w:beforeAutospacing="0" w:after="150" w:afterAutospacing="0" w:line="375" w:lineRule="atLeast"/>
        <w:ind w:firstLine="480"/>
        <w:rPr>
          <w:rFonts w:hint="default" w:cs="Arial"/>
          <w:color w:val="000000" w:themeColor="text1"/>
          <w:highlight w:val="none"/>
          <w14:textFill>
            <w14:solidFill>
              <w14:schemeClr w14:val="tx1"/>
            </w14:solidFill>
          </w14:textFill>
        </w:rPr>
      </w:pPr>
      <w:r>
        <w:rPr>
          <w:rFonts w:cs="Arial"/>
          <w:color w:val="000000" w:themeColor="text1"/>
          <w:highlight w:val="none"/>
          <w14:textFill>
            <w14:solidFill>
              <w14:schemeClr w14:val="tx1"/>
            </w14:solidFill>
          </w14:textFill>
        </w:rPr>
        <w:t>（一）甲方责任</w:t>
      </w:r>
    </w:p>
    <w:p>
      <w:pPr>
        <w:pStyle w:val="18"/>
        <w:shd w:val="clear" w:color="auto" w:fill="FFFFFF"/>
        <w:spacing w:before="0" w:beforeAutospacing="0" w:after="150" w:afterAutospacing="0" w:line="375" w:lineRule="atLeast"/>
        <w:ind w:firstLine="480"/>
        <w:rPr>
          <w:rFonts w:hint="default" w:cs="Arial"/>
          <w:color w:val="000000" w:themeColor="text1"/>
          <w:highlight w:val="none"/>
          <w14:textFill>
            <w14:solidFill>
              <w14:schemeClr w14:val="tx1"/>
            </w14:solidFill>
          </w14:textFill>
        </w:rPr>
      </w:pPr>
      <w:r>
        <w:rPr>
          <w:rFonts w:cs="Arial"/>
          <w:color w:val="000000" w:themeColor="text1"/>
          <w:highlight w:val="none"/>
          <w14:textFill>
            <w14:solidFill>
              <w14:schemeClr w14:val="tx1"/>
            </w14:solidFill>
          </w14:textFill>
        </w:rPr>
        <w:t>（根据招标结果确定）</w:t>
      </w:r>
    </w:p>
    <w:p>
      <w:pPr>
        <w:pStyle w:val="18"/>
        <w:shd w:val="clear" w:color="auto" w:fill="FFFFFF"/>
        <w:spacing w:before="0" w:beforeAutospacing="0" w:after="150" w:afterAutospacing="0" w:line="375" w:lineRule="atLeast"/>
        <w:ind w:firstLine="480"/>
        <w:rPr>
          <w:rFonts w:hint="default" w:cs="Arial"/>
          <w:color w:val="000000" w:themeColor="text1"/>
          <w:highlight w:val="none"/>
          <w14:textFill>
            <w14:solidFill>
              <w14:schemeClr w14:val="tx1"/>
            </w14:solidFill>
          </w14:textFill>
        </w:rPr>
      </w:pPr>
      <w:r>
        <w:rPr>
          <w:rFonts w:cs="Arial"/>
          <w:color w:val="000000" w:themeColor="text1"/>
          <w:highlight w:val="none"/>
          <w14:textFill>
            <w14:solidFill>
              <w14:schemeClr w14:val="tx1"/>
            </w14:solidFill>
          </w14:textFill>
        </w:rPr>
        <w:t>（二）乙方责任</w:t>
      </w:r>
    </w:p>
    <w:p>
      <w:pPr>
        <w:pStyle w:val="18"/>
        <w:shd w:val="clear" w:color="auto" w:fill="FFFFFF"/>
        <w:spacing w:before="0" w:beforeAutospacing="0" w:after="150" w:afterAutospacing="0" w:line="375" w:lineRule="atLeast"/>
        <w:ind w:firstLine="480"/>
        <w:rPr>
          <w:rFonts w:hint="default" w:cs="Arial"/>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（根据招标结果确定）</w:t>
      </w:r>
    </w:p>
    <w:p>
      <w:pPr>
        <w:pStyle w:val="12"/>
        <w:snapToGrid w:val="0"/>
        <w:spacing w:before="120" w:after="120" w:line="360" w:lineRule="auto"/>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五</w:t>
      </w:r>
      <w:r>
        <w:rPr>
          <w:rFonts w:hAnsi="宋体"/>
          <w:b/>
          <w:color w:val="000000" w:themeColor="text1"/>
          <w:sz w:val="24"/>
          <w:highlight w:val="none"/>
          <w14:textFill>
            <w14:solidFill>
              <w14:schemeClr w14:val="tx1"/>
            </w14:solidFill>
          </w14:textFill>
        </w:rPr>
        <w:t>、技术资料</w:t>
      </w:r>
    </w:p>
    <w:p>
      <w:pPr>
        <w:pStyle w:val="12"/>
        <w:snapToGrid w:val="0"/>
        <w:spacing w:before="120" w:after="120" w:line="360" w:lineRule="auto"/>
        <w:ind w:left="410" w:hanging="410" w:hangingChars="171"/>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1</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乙方应按招标文件规定的时间向甲方提供有关技术资料。</w:t>
      </w:r>
    </w:p>
    <w:p>
      <w:pPr>
        <w:pStyle w:val="12"/>
        <w:snapToGrid w:val="0"/>
        <w:spacing w:before="120" w:after="120" w:line="360" w:lineRule="auto"/>
        <w:ind w:left="410" w:hanging="410" w:hangingChars="171"/>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2</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2"/>
        <w:snapToGrid w:val="0"/>
        <w:spacing w:before="120" w:after="120" w:line="360" w:lineRule="auto"/>
        <w:ind w:left="412" w:hanging="412" w:hangingChars="171"/>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六</w:t>
      </w:r>
      <w:r>
        <w:rPr>
          <w:rFonts w:hAnsi="宋体"/>
          <w:b/>
          <w:color w:val="000000" w:themeColor="text1"/>
          <w:sz w:val="24"/>
          <w:highlight w:val="none"/>
          <w14:textFill>
            <w14:solidFill>
              <w14:schemeClr w14:val="tx1"/>
            </w14:solidFill>
          </w14:textFill>
        </w:rPr>
        <w:t>、知识产权</w:t>
      </w:r>
    </w:p>
    <w:p>
      <w:pPr>
        <w:pStyle w:val="12"/>
        <w:snapToGrid w:val="0"/>
        <w:spacing w:before="120" w:after="120" w:line="360" w:lineRule="auto"/>
        <w:ind w:left="410" w:hanging="410" w:hangingChars="171"/>
        <w:rPr>
          <w:rFonts w:hAnsi="宋体"/>
          <w:b/>
          <w:bCs/>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乙方应保证提供服务过程中不会侵犯任何第三方的知识产权。</w:t>
      </w:r>
    </w:p>
    <w:p>
      <w:pPr>
        <w:pStyle w:val="12"/>
        <w:snapToGrid w:val="0"/>
        <w:spacing w:before="120" w:after="120" w:line="360" w:lineRule="auto"/>
        <w:ind w:left="410" w:hanging="410" w:hangingChars="170"/>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七</w:t>
      </w:r>
      <w:r>
        <w:rPr>
          <w:rFonts w:hAnsi="宋体"/>
          <w:b/>
          <w:color w:val="000000" w:themeColor="text1"/>
          <w:sz w:val="24"/>
          <w:highlight w:val="none"/>
          <w14:textFill>
            <w14:solidFill>
              <w14:schemeClr w14:val="tx1"/>
            </w14:solidFill>
          </w14:textFill>
        </w:rPr>
        <w:t>、履约保证金</w:t>
      </w:r>
    </w:p>
    <w:p>
      <w:pPr>
        <w:tabs>
          <w:tab w:val="left" w:pos="1418"/>
        </w:tabs>
        <w:autoSpaceDE w:val="0"/>
        <w:autoSpaceDN w:val="0"/>
        <w:adjustRightInd w:val="0"/>
        <w:spacing w:line="360" w:lineRule="auto"/>
        <w:ind w:left="480"/>
        <w:rPr>
          <w:rFonts w:ascii="宋体" w:hAnsi="宋体" w:cstheme="minorBidi"/>
          <w:color w:val="000000" w:themeColor="text1"/>
          <w:sz w:val="24"/>
          <w:highlight w:val="none"/>
          <w14:textFill>
            <w14:solidFill>
              <w14:schemeClr w14:val="tx1"/>
            </w14:solidFill>
          </w14:textFill>
        </w:rPr>
      </w:pPr>
      <w:r>
        <w:rPr>
          <w:rFonts w:hint="eastAsia" w:ascii="宋体" w:hAnsi="宋体" w:cstheme="minorBidi"/>
          <w:color w:val="000000" w:themeColor="text1"/>
          <w:sz w:val="24"/>
          <w:highlight w:val="none"/>
          <w14:textFill>
            <w14:solidFill>
              <w14:schemeClr w14:val="tx1"/>
            </w14:solidFill>
          </w14:textFill>
        </w:rPr>
        <w:t>本项目履约保证金为合同金额的</w:t>
      </w:r>
      <w:r>
        <w:rPr>
          <w:rFonts w:ascii="宋体" w:hAnsi="宋体" w:cstheme="minorBidi"/>
          <w:color w:val="000000" w:themeColor="text1"/>
          <w:sz w:val="24"/>
          <w:highlight w:val="none"/>
          <w14:textFill>
            <w14:solidFill>
              <w14:schemeClr w14:val="tx1"/>
            </w14:solidFill>
          </w14:textFill>
        </w:rPr>
        <w:t>____</w:t>
      </w:r>
      <w:r>
        <w:rPr>
          <w:rFonts w:hint="eastAsia" w:ascii="宋体" w:hAnsi="宋体" w:cstheme="minorBidi"/>
          <w:color w:val="000000" w:themeColor="text1"/>
          <w:sz w:val="24"/>
          <w:highlight w:val="none"/>
          <w14:textFill>
            <w14:solidFill>
              <w14:schemeClr w14:val="tx1"/>
            </w14:solidFill>
          </w14:textFill>
        </w:rPr>
        <w:t>% 。</w:t>
      </w:r>
      <w:r>
        <w:rPr>
          <w:rFonts w:hint="eastAsia" w:ascii="宋体" w:hAnsi="宋体" w:cstheme="minorBidi"/>
          <w:color w:val="000000" w:themeColor="text1"/>
          <w:sz w:val="24"/>
          <w:highlight w:val="none"/>
          <w:lang w:val="zh-CN"/>
          <w14:textFill>
            <w14:solidFill>
              <w14:schemeClr w14:val="tx1"/>
            </w14:solidFill>
          </w14:textFill>
        </w:rPr>
        <w:t>[履约保证金交至采购人处，在合同约定交货验收合格满（</w:t>
      </w:r>
      <w:r>
        <w:rPr>
          <w:rFonts w:hint="eastAsia" w:ascii="宋体" w:hAnsi="宋体" w:cstheme="minorBidi"/>
          <w:color w:val="000000" w:themeColor="text1"/>
          <w:sz w:val="24"/>
          <w:highlight w:val="none"/>
          <w14:textFill>
            <w14:solidFill>
              <w14:schemeClr w14:val="tx1"/>
            </w14:solidFill>
          </w14:textFill>
        </w:rPr>
        <w:t xml:space="preserve"> </w:t>
      </w:r>
      <w:r>
        <w:rPr>
          <w:rFonts w:hint="eastAsia" w:ascii="宋体" w:hAnsi="宋体" w:cstheme="minorBidi"/>
          <w:color w:val="000000" w:themeColor="text1"/>
          <w:sz w:val="24"/>
          <w:highlight w:val="none"/>
          <w:lang w:val="zh-CN"/>
          <w14:textFill>
            <w14:solidFill>
              <w14:schemeClr w14:val="tx1"/>
            </w14:solidFill>
          </w14:textFill>
        </w:rPr>
        <w:t>）个月之日起5个工作日内无息退还]</w:t>
      </w:r>
    </w:p>
    <w:p>
      <w:pPr>
        <w:snapToGrid w:val="0"/>
        <w:spacing w:before="156" w:beforeLines="50" w:after="156" w:afterLines="50" w:line="360" w:lineRule="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八、转包或分包</w:t>
      </w:r>
    </w:p>
    <w:p>
      <w:pPr>
        <w:snapToGrid w:val="0"/>
        <w:spacing w:before="156" w:beforeLines="50" w:after="156" w:afterLines="50" w:line="360" w:lineRule="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.本合同范围的服务，应由</w:t>
      </w:r>
      <w:r>
        <w:rPr>
          <w:rFonts w:ascii="宋体" w:hAnsi="宋体"/>
          <w:color w:val="000000" w:themeColor="text1"/>
          <w:sz w:val="24"/>
          <w:highlight w:val="none"/>
          <w14:textFill>
            <w14:solidFill>
              <w14:schemeClr w14:val="tx1"/>
            </w14:solidFill>
          </w14:textFill>
        </w:rPr>
        <w:t>乙</w:t>
      </w:r>
      <w:r>
        <w:rPr>
          <w:rFonts w:hint="eastAsia" w:ascii="宋体" w:hAnsi="宋体"/>
          <w:color w:val="000000" w:themeColor="text1"/>
          <w:sz w:val="24"/>
          <w:highlight w:val="none"/>
          <w14:textFill>
            <w14:solidFill>
              <w14:schemeClr w14:val="tx1"/>
            </w14:solidFill>
          </w14:textFill>
        </w:rPr>
        <w:t>方直接供应，不得转让他人供应；</w:t>
      </w:r>
    </w:p>
    <w:p>
      <w:pPr>
        <w:snapToGrid w:val="0"/>
        <w:spacing w:before="156" w:beforeLines="50" w:after="156" w:afterLines="50" w:line="360" w:lineRule="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除非得到甲方的书面同意，</w:t>
      </w:r>
      <w:r>
        <w:rPr>
          <w:rFonts w:ascii="宋体" w:hAnsi="宋体"/>
          <w:color w:val="000000" w:themeColor="text1"/>
          <w:sz w:val="24"/>
          <w:highlight w:val="none"/>
          <w14:textFill>
            <w14:solidFill>
              <w14:schemeClr w14:val="tx1"/>
            </w14:solidFill>
          </w14:textFill>
        </w:rPr>
        <w:t>乙</w:t>
      </w:r>
      <w:r>
        <w:rPr>
          <w:rFonts w:hint="eastAsia" w:ascii="宋体" w:hAnsi="宋体"/>
          <w:color w:val="000000" w:themeColor="text1"/>
          <w:sz w:val="24"/>
          <w:highlight w:val="none"/>
          <w14:textFill>
            <w14:solidFill>
              <w14:schemeClr w14:val="tx1"/>
            </w14:solidFill>
          </w14:textFill>
        </w:rPr>
        <w:t>方不得将本合同范围的服务全部或部分分包给他人供应；</w:t>
      </w:r>
    </w:p>
    <w:p>
      <w:pPr>
        <w:snapToGrid w:val="0"/>
        <w:spacing w:before="156" w:beforeLines="50" w:after="156" w:afterLines="50" w:line="360" w:lineRule="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.如有转让和未经甲方同意的分包行为，甲方有权解除合同，没收履约保证金并追究乙方的违约责任。</w:t>
      </w:r>
    </w:p>
    <w:p>
      <w:pPr>
        <w:pStyle w:val="12"/>
        <w:snapToGrid w:val="0"/>
        <w:spacing w:before="120" w:after="120" w:line="360" w:lineRule="auto"/>
        <w:rPr>
          <w:rFonts w:hAnsi="宋体"/>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九</w:t>
      </w:r>
      <w:r>
        <w:rPr>
          <w:rFonts w:hAnsi="宋体"/>
          <w:b/>
          <w:color w:val="000000" w:themeColor="text1"/>
          <w:sz w:val="24"/>
          <w:highlight w:val="none"/>
          <w14:textFill>
            <w14:solidFill>
              <w14:schemeClr w14:val="tx1"/>
            </w14:solidFill>
          </w14:textFill>
        </w:rPr>
        <w:t>、服务质量保证期 (选用)</w:t>
      </w:r>
    </w:p>
    <w:p>
      <w:pPr>
        <w:pStyle w:val="12"/>
        <w:snapToGrid w:val="0"/>
        <w:spacing w:before="120" w:after="120" w:line="360" w:lineRule="auto"/>
        <w:ind w:left="410" w:hanging="410" w:hangingChars="171"/>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1</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 xml:space="preserve"> 服务质量保证期</w:t>
      </w:r>
      <w:r>
        <w:rPr>
          <w:rFonts w:hAnsi="宋体"/>
          <w:color w:val="000000" w:themeColor="text1"/>
          <w:sz w:val="24"/>
          <w:highlight w:val="none"/>
          <w:u w:val="single"/>
          <w14:textFill>
            <w14:solidFill>
              <w14:schemeClr w14:val="tx1"/>
            </w14:solidFill>
          </w14:textFill>
        </w:rPr>
        <w:t xml:space="preserve">      </w:t>
      </w:r>
      <w:r>
        <w:rPr>
          <w:rFonts w:hAnsi="宋体"/>
          <w:color w:val="000000" w:themeColor="text1"/>
          <w:sz w:val="24"/>
          <w:highlight w:val="none"/>
          <w14:textFill>
            <w14:solidFill>
              <w14:schemeClr w14:val="tx1"/>
            </w14:solidFill>
          </w14:textFill>
        </w:rPr>
        <w:t>年。（自验收合格之日起计）</w:t>
      </w:r>
    </w:p>
    <w:p>
      <w:pPr>
        <w:pStyle w:val="12"/>
        <w:snapToGrid w:val="0"/>
        <w:spacing w:before="120" w:after="120" w:line="360" w:lineRule="auto"/>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十</w:t>
      </w:r>
      <w:r>
        <w:rPr>
          <w:rFonts w:hAnsi="宋体"/>
          <w:b/>
          <w:color w:val="000000" w:themeColor="text1"/>
          <w:sz w:val="24"/>
          <w:highlight w:val="none"/>
          <w14:textFill>
            <w14:solidFill>
              <w14:schemeClr w14:val="tx1"/>
            </w14:solidFill>
          </w14:textFill>
        </w:rPr>
        <w:t>、合同履行时间、履行方式及履行地点</w:t>
      </w:r>
    </w:p>
    <w:p>
      <w:pPr>
        <w:pStyle w:val="12"/>
        <w:snapToGrid w:val="0"/>
        <w:spacing w:before="120" w:after="120" w:line="360" w:lineRule="auto"/>
        <w:rPr>
          <w:rFonts w:hAnsi="宋体"/>
          <w:bCs/>
          <w:color w:val="000000" w:themeColor="text1"/>
          <w:sz w:val="24"/>
          <w:highlight w:val="none"/>
          <w14:textFill>
            <w14:solidFill>
              <w14:schemeClr w14:val="tx1"/>
            </w14:solidFill>
          </w14:textFill>
        </w:rPr>
      </w:pPr>
      <w:r>
        <w:rPr>
          <w:rFonts w:hAnsi="宋体"/>
          <w:bCs/>
          <w:color w:val="000000" w:themeColor="text1"/>
          <w:sz w:val="24"/>
          <w:highlight w:val="none"/>
          <w14:textFill>
            <w14:solidFill>
              <w14:schemeClr w14:val="tx1"/>
            </w14:solidFill>
          </w14:textFill>
        </w:rPr>
        <w:t>1</w:t>
      </w:r>
      <w:r>
        <w:rPr>
          <w:rFonts w:hint="eastAsia" w:hAnsi="宋体"/>
          <w:bCs/>
          <w:color w:val="000000" w:themeColor="text1"/>
          <w:sz w:val="24"/>
          <w:highlight w:val="none"/>
          <w14:textFill>
            <w14:solidFill>
              <w14:schemeClr w14:val="tx1"/>
            </w14:solidFill>
          </w14:textFill>
        </w:rPr>
        <w:t>.</w:t>
      </w:r>
      <w:r>
        <w:rPr>
          <w:rFonts w:hAnsi="宋体"/>
          <w:bCs/>
          <w:color w:val="000000" w:themeColor="text1"/>
          <w:sz w:val="24"/>
          <w:highlight w:val="none"/>
          <w14:textFill>
            <w14:solidFill>
              <w14:schemeClr w14:val="tx1"/>
            </w14:solidFill>
          </w14:textFill>
        </w:rPr>
        <w:t xml:space="preserve"> </w:t>
      </w:r>
      <w:r>
        <w:rPr>
          <w:rFonts w:hAnsi="宋体"/>
          <w:color w:val="000000" w:themeColor="text1"/>
          <w:sz w:val="24"/>
          <w:highlight w:val="none"/>
          <w14:textFill>
            <w14:solidFill>
              <w14:schemeClr w14:val="tx1"/>
            </w14:solidFill>
          </w14:textFill>
        </w:rPr>
        <w:t>履行时间</w:t>
      </w:r>
      <w:r>
        <w:rPr>
          <w:rFonts w:hAnsi="宋体"/>
          <w:bCs/>
          <w:color w:val="000000" w:themeColor="text1"/>
          <w:sz w:val="24"/>
          <w:highlight w:val="none"/>
          <w14:textFill>
            <w14:solidFill>
              <w14:schemeClr w14:val="tx1"/>
            </w14:solidFill>
          </w14:textFill>
        </w:rPr>
        <w:t>：</w:t>
      </w:r>
    </w:p>
    <w:p>
      <w:pPr>
        <w:pStyle w:val="12"/>
        <w:snapToGrid w:val="0"/>
        <w:spacing w:before="120" w:after="120" w:line="360" w:lineRule="auto"/>
        <w:rPr>
          <w:rFonts w:hAnsi="宋体"/>
          <w:bCs/>
          <w:color w:val="000000" w:themeColor="text1"/>
          <w:sz w:val="24"/>
          <w:highlight w:val="none"/>
          <w14:textFill>
            <w14:solidFill>
              <w14:schemeClr w14:val="tx1"/>
            </w14:solidFill>
          </w14:textFill>
        </w:rPr>
      </w:pPr>
      <w:r>
        <w:rPr>
          <w:rFonts w:hAnsi="宋体"/>
          <w:bCs/>
          <w:color w:val="000000" w:themeColor="text1"/>
          <w:sz w:val="24"/>
          <w:highlight w:val="none"/>
          <w14:textFill>
            <w14:solidFill>
              <w14:schemeClr w14:val="tx1"/>
            </w14:solidFill>
          </w14:textFill>
        </w:rPr>
        <w:t>2</w:t>
      </w:r>
      <w:r>
        <w:rPr>
          <w:rFonts w:hint="eastAsia" w:hAnsi="宋体"/>
          <w:bCs/>
          <w:color w:val="000000" w:themeColor="text1"/>
          <w:sz w:val="24"/>
          <w:highlight w:val="none"/>
          <w14:textFill>
            <w14:solidFill>
              <w14:schemeClr w14:val="tx1"/>
            </w14:solidFill>
          </w14:textFill>
        </w:rPr>
        <w:t>.</w:t>
      </w:r>
      <w:r>
        <w:rPr>
          <w:rFonts w:hAnsi="宋体"/>
          <w:bCs/>
          <w:color w:val="000000" w:themeColor="text1"/>
          <w:sz w:val="24"/>
          <w:highlight w:val="none"/>
          <w14:textFill>
            <w14:solidFill>
              <w14:schemeClr w14:val="tx1"/>
            </w14:solidFill>
          </w14:textFill>
        </w:rPr>
        <w:t xml:space="preserve"> </w:t>
      </w:r>
      <w:r>
        <w:rPr>
          <w:rFonts w:hAnsi="宋体"/>
          <w:color w:val="000000" w:themeColor="text1"/>
          <w:sz w:val="24"/>
          <w:highlight w:val="none"/>
          <w14:textFill>
            <w14:solidFill>
              <w14:schemeClr w14:val="tx1"/>
            </w14:solidFill>
          </w14:textFill>
        </w:rPr>
        <w:t>履行方式</w:t>
      </w:r>
      <w:r>
        <w:rPr>
          <w:rFonts w:hAnsi="宋体"/>
          <w:bCs/>
          <w:color w:val="000000" w:themeColor="text1"/>
          <w:sz w:val="24"/>
          <w:highlight w:val="none"/>
          <w14:textFill>
            <w14:solidFill>
              <w14:schemeClr w14:val="tx1"/>
            </w14:solidFill>
          </w14:textFill>
        </w:rPr>
        <w:t>：</w:t>
      </w:r>
    </w:p>
    <w:p>
      <w:pPr>
        <w:pStyle w:val="12"/>
        <w:snapToGrid w:val="0"/>
        <w:spacing w:before="120" w:after="120" w:line="360" w:lineRule="auto"/>
        <w:rPr>
          <w:rFonts w:hAnsi="宋体"/>
          <w:color w:val="000000" w:themeColor="text1"/>
          <w:sz w:val="24"/>
          <w:highlight w:val="none"/>
          <w14:textFill>
            <w14:solidFill>
              <w14:schemeClr w14:val="tx1"/>
            </w14:solidFill>
          </w14:textFill>
        </w:rPr>
      </w:pPr>
      <w:r>
        <w:rPr>
          <w:rFonts w:hAnsi="宋体"/>
          <w:bCs/>
          <w:color w:val="000000" w:themeColor="text1"/>
          <w:sz w:val="24"/>
          <w:highlight w:val="none"/>
          <w14:textFill>
            <w14:solidFill>
              <w14:schemeClr w14:val="tx1"/>
            </w14:solidFill>
          </w14:textFill>
        </w:rPr>
        <w:t>3</w:t>
      </w:r>
      <w:r>
        <w:rPr>
          <w:rFonts w:hint="eastAsia" w:hAnsi="宋体"/>
          <w:bCs/>
          <w:color w:val="000000" w:themeColor="text1"/>
          <w:sz w:val="24"/>
          <w:highlight w:val="none"/>
          <w14:textFill>
            <w14:solidFill>
              <w14:schemeClr w14:val="tx1"/>
            </w14:solidFill>
          </w14:textFill>
        </w:rPr>
        <w:t>.</w:t>
      </w:r>
      <w:r>
        <w:rPr>
          <w:rFonts w:hAnsi="宋体"/>
          <w:bCs/>
          <w:color w:val="000000" w:themeColor="text1"/>
          <w:sz w:val="24"/>
          <w:highlight w:val="none"/>
          <w14:textFill>
            <w14:solidFill>
              <w14:schemeClr w14:val="tx1"/>
            </w14:solidFill>
          </w14:textFill>
        </w:rPr>
        <w:t xml:space="preserve"> </w:t>
      </w:r>
      <w:r>
        <w:rPr>
          <w:rFonts w:hAnsi="宋体"/>
          <w:color w:val="000000" w:themeColor="text1"/>
          <w:sz w:val="24"/>
          <w:highlight w:val="none"/>
          <w14:textFill>
            <w14:solidFill>
              <w14:schemeClr w14:val="tx1"/>
            </w14:solidFill>
          </w14:textFill>
        </w:rPr>
        <w:t>履行地点</w:t>
      </w:r>
      <w:r>
        <w:rPr>
          <w:rFonts w:hAnsi="宋体"/>
          <w:bCs/>
          <w:color w:val="000000" w:themeColor="text1"/>
          <w:sz w:val="24"/>
          <w:highlight w:val="none"/>
          <w14:textFill>
            <w14:solidFill>
              <w14:schemeClr w14:val="tx1"/>
            </w14:solidFill>
          </w14:textFill>
        </w:rPr>
        <w:t>：</w:t>
      </w:r>
    </w:p>
    <w:p>
      <w:pPr>
        <w:pStyle w:val="12"/>
        <w:snapToGrid w:val="0"/>
        <w:spacing w:before="120" w:after="120" w:line="360" w:lineRule="auto"/>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十一</w:t>
      </w:r>
      <w:r>
        <w:rPr>
          <w:rFonts w:hAnsi="宋体"/>
          <w:b/>
          <w:color w:val="000000" w:themeColor="text1"/>
          <w:sz w:val="24"/>
          <w:highlight w:val="none"/>
          <w14:textFill>
            <w14:solidFill>
              <w14:schemeClr w14:val="tx1"/>
            </w14:solidFill>
          </w14:textFill>
        </w:rPr>
        <w:t>、款项支付</w:t>
      </w:r>
    </w:p>
    <w:p>
      <w:pPr>
        <w:pStyle w:val="12"/>
        <w:snapToGrid w:val="0"/>
        <w:spacing w:before="120" w:after="120" w:line="360" w:lineRule="auto"/>
        <w:rPr>
          <w:rFonts w:hAnsi="宋体"/>
          <w:bCs/>
          <w:color w:val="000000" w:themeColor="text1"/>
          <w:sz w:val="24"/>
          <w:highlight w:val="none"/>
          <w14:textFill>
            <w14:solidFill>
              <w14:schemeClr w14:val="tx1"/>
            </w14:solidFill>
          </w14:textFill>
        </w:rPr>
      </w:pPr>
      <w:r>
        <w:rPr>
          <w:rFonts w:hAnsi="宋体"/>
          <w:bCs/>
          <w:color w:val="000000" w:themeColor="text1"/>
          <w:sz w:val="24"/>
          <w:highlight w:val="none"/>
          <w14:textFill>
            <w14:solidFill>
              <w14:schemeClr w14:val="tx1"/>
            </w14:solidFill>
          </w14:textFill>
        </w:rPr>
        <w:t xml:space="preserve"> 付款方式：</w:t>
      </w:r>
    </w:p>
    <w:p>
      <w:pPr>
        <w:snapToGrid w:val="0"/>
        <w:spacing w:before="156" w:beforeLines="50" w:after="156" w:afterLines="50" w:line="360" w:lineRule="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十二、税费</w:t>
      </w:r>
    </w:p>
    <w:p>
      <w:pPr>
        <w:snapToGrid w:val="0"/>
        <w:spacing w:before="156" w:beforeLines="50" w:after="156" w:afterLines="50"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本合同执行中相关的一切税费均由</w:t>
      </w:r>
      <w:r>
        <w:rPr>
          <w:rFonts w:ascii="宋体" w:hAnsi="宋体"/>
          <w:color w:val="000000" w:themeColor="text1"/>
          <w:sz w:val="24"/>
          <w:highlight w:val="none"/>
          <w14:textFill>
            <w14:solidFill>
              <w14:schemeClr w14:val="tx1"/>
            </w14:solidFill>
          </w14:textFill>
        </w:rPr>
        <w:t>乙</w:t>
      </w:r>
      <w:r>
        <w:rPr>
          <w:rFonts w:hint="eastAsia" w:ascii="宋体" w:hAnsi="宋体"/>
          <w:color w:val="000000" w:themeColor="text1"/>
          <w:sz w:val="24"/>
          <w:highlight w:val="none"/>
          <w14:textFill>
            <w14:solidFill>
              <w14:schemeClr w14:val="tx1"/>
            </w14:solidFill>
          </w14:textFill>
        </w:rPr>
        <w:t>方负担。</w:t>
      </w:r>
    </w:p>
    <w:p>
      <w:pPr>
        <w:pStyle w:val="12"/>
        <w:snapToGrid w:val="0"/>
        <w:spacing w:before="120" w:after="120" w:line="360" w:lineRule="auto"/>
        <w:ind w:left="412" w:hanging="412" w:hangingChars="171"/>
        <w:rPr>
          <w:rFonts w:hAnsi="宋体"/>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十</w:t>
      </w:r>
      <w:r>
        <w:rPr>
          <w:rFonts w:hint="eastAsia" w:hAnsi="宋体"/>
          <w:b/>
          <w:color w:val="000000" w:themeColor="text1"/>
          <w:sz w:val="24"/>
          <w:highlight w:val="none"/>
          <w14:textFill>
            <w14:solidFill>
              <w14:schemeClr w14:val="tx1"/>
            </w14:solidFill>
          </w14:textFill>
        </w:rPr>
        <w:t>三</w:t>
      </w:r>
      <w:r>
        <w:rPr>
          <w:rFonts w:hAnsi="宋体"/>
          <w:b/>
          <w:color w:val="000000" w:themeColor="text1"/>
          <w:sz w:val="24"/>
          <w:highlight w:val="none"/>
          <w14:textFill>
            <w14:solidFill>
              <w14:schemeClr w14:val="tx1"/>
            </w14:solidFill>
          </w14:textFill>
        </w:rPr>
        <w:t>、质量保证及后续服务</w:t>
      </w:r>
    </w:p>
    <w:p>
      <w:pPr>
        <w:pStyle w:val="12"/>
        <w:snapToGrid w:val="0"/>
        <w:spacing w:before="120" w:after="120" w:line="360" w:lineRule="auto"/>
        <w:ind w:left="410" w:hanging="410" w:hangingChars="171"/>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1</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 xml:space="preserve"> 乙方应按招标文件规定向甲方提供服务。</w:t>
      </w:r>
    </w:p>
    <w:p>
      <w:pPr>
        <w:pStyle w:val="12"/>
        <w:snapToGrid w:val="0"/>
        <w:spacing w:before="120" w:after="120" w:line="360" w:lineRule="auto"/>
        <w:ind w:left="480" w:hanging="480" w:hangingChars="20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2</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 xml:space="preserve"> 乙方提供的服务成果在服务质量保证期内发生故障，乙方应负责免费提供后续服务。对达不到要求者，根据实际情况，经双方协商，可按以下办法处理：</w:t>
      </w:r>
    </w:p>
    <w:p>
      <w:pPr>
        <w:pStyle w:val="12"/>
        <w:snapToGrid w:val="0"/>
        <w:spacing w:before="120" w:after="120" w:line="360" w:lineRule="auto"/>
        <w:ind w:firstLine="42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⑴重做：由乙方承担所发生的全部费用。</w:t>
      </w:r>
    </w:p>
    <w:p>
      <w:pPr>
        <w:pStyle w:val="12"/>
        <w:snapToGrid w:val="0"/>
        <w:spacing w:before="120" w:after="120" w:line="360" w:lineRule="auto"/>
        <w:ind w:firstLine="42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⑵贬值处理：由甲乙双方合议定价。</w:t>
      </w:r>
    </w:p>
    <w:p>
      <w:pPr>
        <w:pStyle w:val="12"/>
        <w:snapToGrid w:val="0"/>
        <w:spacing w:before="120" w:after="120" w:line="360" w:lineRule="auto"/>
        <w:ind w:left="420" w:leftChars="20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⑶解除合同。</w:t>
      </w:r>
    </w:p>
    <w:p>
      <w:pPr>
        <w:pStyle w:val="12"/>
        <w:snapToGrid w:val="0"/>
        <w:spacing w:before="120" w:after="120" w:line="360" w:lineRule="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3</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 xml:space="preserve"> 如在使用过程中发生问题，乙方在接到甲方通知后在</w:t>
      </w:r>
      <w:r>
        <w:rPr>
          <w:rFonts w:hint="eastAsia" w:hAnsi="宋体"/>
          <w:color w:val="000000" w:themeColor="text1"/>
          <w:sz w:val="24"/>
          <w:highlight w:val="none"/>
          <w:u w:val="single"/>
          <w14:textFill>
            <w14:solidFill>
              <w14:schemeClr w14:val="tx1"/>
            </w14:solidFill>
          </w14:textFill>
        </w:rPr>
        <w:t xml:space="preserve">   </w:t>
      </w:r>
      <w:r>
        <w:rPr>
          <w:rFonts w:hAnsi="宋体"/>
          <w:color w:val="000000" w:themeColor="text1"/>
          <w:sz w:val="24"/>
          <w:highlight w:val="none"/>
          <w14:textFill>
            <w14:solidFill>
              <w14:schemeClr w14:val="tx1"/>
            </w14:solidFill>
          </w14:textFill>
        </w:rPr>
        <w:t>小时内到达甲方现场。</w:t>
      </w:r>
    </w:p>
    <w:p>
      <w:pPr>
        <w:pStyle w:val="12"/>
        <w:snapToGrid w:val="0"/>
        <w:spacing w:before="120" w:after="120" w:line="360" w:lineRule="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4</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在</w:t>
      </w:r>
      <w:r>
        <w:rPr>
          <w:rFonts w:hAnsi="宋体"/>
          <w:b/>
          <w:color w:val="000000" w:themeColor="text1"/>
          <w:sz w:val="24"/>
          <w:highlight w:val="none"/>
          <w14:textFill>
            <w14:solidFill>
              <w14:schemeClr w14:val="tx1"/>
            </w14:solidFill>
          </w14:textFill>
        </w:rPr>
        <w:t>服务质量保证期</w:t>
      </w:r>
      <w:r>
        <w:rPr>
          <w:rFonts w:hAnsi="宋体"/>
          <w:color w:val="000000" w:themeColor="text1"/>
          <w:sz w:val="24"/>
          <w:highlight w:val="none"/>
          <w14:textFill>
            <w14:solidFill>
              <w14:schemeClr w14:val="tx1"/>
            </w14:solidFill>
          </w14:textFill>
        </w:rPr>
        <w:t>内，乙方应对出现的质量及安全问题负责处理解决并承担</w:t>
      </w:r>
    </w:p>
    <w:p>
      <w:pPr>
        <w:pStyle w:val="12"/>
        <w:snapToGrid w:val="0"/>
        <w:spacing w:before="120" w:after="120" w:line="360" w:lineRule="auto"/>
        <w:ind w:firstLine="360" w:firstLineChars="15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一切费用。</w:t>
      </w:r>
    </w:p>
    <w:p>
      <w:pPr>
        <w:pStyle w:val="12"/>
        <w:snapToGrid w:val="0"/>
        <w:spacing w:before="120" w:after="120" w:line="360" w:lineRule="auto"/>
        <w:rPr>
          <w:rFonts w:hAnsi="宋体"/>
          <w:b/>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十</w:t>
      </w:r>
      <w:r>
        <w:rPr>
          <w:rFonts w:hint="eastAsia" w:hAnsi="宋体"/>
          <w:b/>
          <w:color w:val="000000" w:themeColor="text1"/>
          <w:sz w:val="24"/>
          <w:highlight w:val="none"/>
          <w14:textFill>
            <w14:solidFill>
              <w14:schemeClr w14:val="tx1"/>
            </w14:solidFill>
          </w14:textFill>
        </w:rPr>
        <w:t>四</w:t>
      </w:r>
      <w:r>
        <w:rPr>
          <w:rFonts w:hAnsi="宋体"/>
          <w:b/>
          <w:color w:val="000000" w:themeColor="text1"/>
          <w:sz w:val="24"/>
          <w:highlight w:val="none"/>
          <w14:textFill>
            <w14:solidFill>
              <w14:schemeClr w14:val="tx1"/>
            </w14:solidFill>
          </w14:textFill>
        </w:rPr>
        <w:t>、违约责任</w:t>
      </w:r>
    </w:p>
    <w:p>
      <w:pPr>
        <w:pStyle w:val="12"/>
        <w:snapToGrid w:val="0"/>
        <w:spacing w:before="120" w:after="120" w:line="360" w:lineRule="auto"/>
        <w:ind w:left="410" w:hanging="410" w:hangingChars="171"/>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1</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甲方无正当理由拒收接受服务的，甲方向乙方偿付合同款项</w:t>
      </w:r>
      <w:r>
        <w:rPr>
          <w:rFonts w:hAnsi="宋体"/>
          <w:color w:val="000000" w:themeColor="text1"/>
          <w:sz w:val="24"/>
          <w:highlight w:val="none"/>
          <w:u w:val="single"/>
          <w14:textFill>
            <w14:solidFill>
              <w14:schemeClr w14:val="tx1"/>
            </w14:solidFill>
          </w14:textFill>
        </w:rPr>
        <w:t>百分之五</w:t>
      </w:r>
      <w:r>
        <w:rPr>
          <w:rFonts w:hAnsi="宋体"/>
          <w:color w:val="000000" w:themeColor="text1"/>
          <w:sz w:val="24"/>
          <w:highlight w:val="none"/>
          <w14:textFill>
            <w14:solidFill>
              <w14:schemeClr w14:val="tx1"/>
            </w14:solidFill>
          </w14:textFill>
        </w:rPr>
        <w:t>作为违约金。</w:t>
      </w:r>
    </w:p>
    <w:p>
      <w:pPr>
        <w:pStyle w:val="12"/>
        <w:snapToGrid w:val="0"/>
        <w:spacing w:before="120" w:after="120" w:line="360" w:lineRule="auto"/>
        <w:ind w:left="410" w:hanging="410" w:hangingChars="171"/>
        <w:rPr>
          <w:rFonts w:hAnsi="宋体"/>
          <w:color w:val="000000" w:themeColor="text1"/>
          <w:sz w:val="24"/>
          <w:highlight w:val="none"/>
          <w:u w:val="single"/>
          <w14:textFill>
            <w14:solidFill>
              <w14:schemeClr w14:val="tx1"/>
            </w14:solidFill>
          </w14:textFill>
        </w:rPr>
      </w:pPr>
      <w:r>
        <w:rPr>
          <w:rFonts w:hAnsi="宋体"/>
          <w:color w:val="000000" w:themeColor="text1"/>
          <w:sz w:val="24"/>
          <w:highlight w:val="none"/>
          <w14:textFill>
            <w14:solidFill>
              <w14:schemeClr w14:val="tx1"/>
            </w14:solidFill>
          </w14:textFill>
        </w:rPr>
        <w:t>2</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甲方无故逾期验收和办理款项支付手续的,甲方应按逾期付款总额</w:t>
      </w:r>
      <w:r>
        <w:rPr>
          <w:rFonts w:hAnsi="宋体"/>
          <w:color w:val="000000" w:themeColor="text1"/>
          <w:sz w:val="24"/>
          <w:highlight w:val="none"/>
          <w:u w:val="single"/>
          <w14:textFill>
            <w14:solidFill>
              <w14:schemeClr w14:val="tx1"/>
            </w14:solidFill>
          </w14:textFill>
        </w:rPr>
        <w:t>每日万分之</w:t>
      </w:r>
    </w:p>
    <w:p>
      <w:pPr>
        <w:pStyle w:val="12"/>
        <w:snapToGrid w:val="0"/>
        <w:spacing w:before="120" w:after="120" w:line="360" w:lineRule="auto"/>
        <w:ind w:left="407" w:leftChars="114" w:hanging="168" w:hangingChars="70"/>
        <w:rPr>
          <w:rFonts w:hAnsi="宋体"/>
          <w:color w:val="000000" w:themeColor="text1"/>
          <w:sz w:val="24"/>
          <w:highlight w:val="none"/>
          <w14:textFill>
            <w14:solidFill>
              <w14:schemeClr w14:val="tx1"/>
            </w14:solidFill>
          </w14:textFill>
        </w:rPr>
      </w:pPr>
      <w:r>
        <w:rPr>
          <w:rFonts w:hAnsi="宋体"/>
          <w:color w:val="000000" w:themeColor="text1"/>
          <w:sz w:val="24"/>
          <w:highlight w:val="none"/>
          <w:u w:val="single"/>
          <w14:textFill>
            <w14:solidFill>
              <w14:schemeClr w14:val="tx1"/>
            </w14:solidFill>
          </w14:textFill>
        </w:rPr>
        <w:t>五</w:t>
      </w:r>
      <w:r>
        <w:rPr>
          <w:rFonts w:hAnsi="宋体"/>
          <w:color w:val="000000" w:themeColor="text1"/>
          <w:sz w:val="24"/>
          <w:highlight w:val="none"/>
          <w14:textFill>
            <w14:solidFill>
              <w14:schemeClr w14:val="tx1"/>
            </w14:solidFill>
          </w14:textFill>
        </w:rPr>
        <w:t>向乙方支付违约金。</w:t>
      </w:r>
    </w:p>
    <w:p>
      <w:pPr>
        <w:pStyle w:val="12"/>
        <w:snapToGrid w:val="0"/>
        <w:spacing w:before="120" w:after="120" w:line="360" w:lineRule="auto"/>
        <w:ind w:left="410" w:hanging="410" w:hangingChars="171"/>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3</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 xml:space="preserve"> 乙方</w:t>
      </w:r>
      <w:r>
        <w:rPr>
          <w:rFonts w:hint="eastAsia" w:hAnsi="宋体"/>
          <w:color w:val="000000" w:themeColor="text1"/>
          <w:sz w:val="24"/>
          <w:highlight w:val="none"/>
          <w14:textFill>
            <w14:solidFill>
              <w14:schemeClr w14:val="tx1"/>
            </w14:solidFill>
          </w14:textFill>
        </w:rPr>
        <w:t>未能如</w:t>
      </w:r>
      <w:r>
        <w:rPr>
          <w:rFonts w:hAnsi="宋体"/>
          <w:color w:val="000000" w:themeColor="text1"/>
          <w:sz w:val="24"/>
          <w:highlight w:val="none"/>
          <w14:textFill>
            <w14:solidFill>
              <w14:schemeClr w14:val="tx1"/>
            </w14:solidFill>
          </w14:textFill>
        </w:rPr>
        <w:t>期提供服务的，每日向甲方支付</w:t>
      </w:r>
      <w:r>
        <w:rPr>
          <w:rFonts w:hint="eastAsia" w:hAnsi="宋体"/>
          <w:color w:val="000000" w:themeColor="text1"/>
          <w:sz w:val="24"/>
          <w:highlight w:val="none"/>
          <w14:textFill>
            <w14:solidFill>
              <w14:schemeClr w14:val="tx1"/>
            </w14:solidFill>
          </w14:textFill>
        </w:rPr>
        <w:t>合同款项的</w:t>
      </w:r>
      <w:r>
        <w:rPr>
          <w:rFonts w:hAnsi="宋体"/>
          <w:color w:val="000000" w:themeColor="text1"/>
          <w:sz w:val="24"/>
          <w:highlight w:val="none"/>
          <w:u w:val="single"/>
          <w14:textFill>
            <w14:solidFill>
              <w14:schemeClr w14:val="tx1"/>
            </w14:solidFill>
          </w14:textFill>
        </w:rPr>
        <w:t>千分之六</w:t>
      </w:r>
      <w:r>
        <w:rPr>
          <w:rFonts w:hint="eastAsia" w:hAnsi="宋体"/>
          <w:color w:val="000000" w:themeColor="text1"/>
          <w:sz w:val="24"/>
          <w:highlight w:val="none"/>
          <w14:textFill>
            <w14:solidFill>
              <w14:schemeClr w14:val="tx1"/>
            </w14:solidFill>
          </w14:textFill>
        </w:rPr>
        <w:t>作为</w:t>
      </w:r>
      <w:r>
        <w:rPr>
          <w:rFonts w:hAnsi="宋体"/>
          <w:color w:val="000000" w:themeColor="text1"/>
          <w:sz w:val="24"/>
          <w:highlight w:val="none"/>
          <w14:textFill>
            <w14:solidFill>
              <w14:schemeClr w14:val="tx1"/>
            </w14:solidFill>
          </w14:textFill>
        </w:rPr>
        <w:t>违约金。乙方超过约定日期10个工作日</w:t>
      </w:r>
      <w:r>
        <w:rPr>
          <w:rFonts w:hint="eastAsia" w:hAnsi="宋体"/>
          <w:color w:val="000000" w:themeColor="text1"/>
          <w:sz w:val="24"/>
          <w:highlight w:val="none"/>
          <w14:textFill>
            <w14:solidFill>
              <w14:schemeClr w14:val="tx1"/>
            </w14:solidFill>
          </w14:textFill>
        </w:rPr>
        <w:t>仍</w:t>
      </w:r>
      <w:r>
        <w:rPr>
          <w:rFonts w:hAnsi="宋体"/>
          <w:color w:val="000000" w:themeColor="text1"/>
          <w:sz w:val="24"/>
          <w:highlight w:val="none"/>
          <w14:textFill>
            <w14:solidFill>
              <w14:schemeClr w14:val="tx1"/>
            </w14:solidFill>
          </w14:textFill>
        </w:rPr>
        <w:t>不能</w:t>
      </w:r>
      <w:r>
        <w:rPr>
          <w:rFonts w:hint="eastAsia" w:hAnsi="宋体"/>
          <w:color w:val="000000" w:themeColor="text1"/>
          <w:sz w:val="24"/>
          <w:highlight w:val="none"/>
          <w14:textFill>
            <w14:solidFill>
              <w14:schemeClr w14:val="tx1"/>
            </w14:solidFill>
          </w14:textFill>
        </w:rPr>
        <w:t>提供服务</w:t>
      </w:r>
      <w:r>
        <w:rPr>
          <w:rFonts w:hAnsi="宋体"/>
          <w:color w:val="000000" w:themeColor="text1"/>
          <w:sz w:val="24"/>
          <w:highlight w:val="none"/>
          <w14:textFill>
            <w14:solidFill>
              <w14:schemeClr w14:val="tx1"/>
            </w14:solidFill>
          </w14:textFill>
        </w:rPr>
        <w:t>的，甲方可解除本合同。乙方因</w:t>
      </w:r>
      <w:r>
        <w:rPr>
          <w:rFonts w:hint="eastAsia" w:hAnsi="宋体"/>
          <w:color w:val="000000" w:themeColor="text1"/>
          <w:sz w:val="24"/>
          <w:highlight w:val="none"/>
          <w14:textFill>
            <w14:solidFill>
              <w14:schemeClr w14:val="tx1"/>
            </w14:solidFill>
          </w14:textFill>
        </w:rPr>
        <w:t>未能如</w:t>
      </w:r>
      <w:r>
        <w:rPr>
          <w:rFonts w:hAnsi="宋体"/>
          <w:color w:val="000000" w:themeColor="text1"/>
          <w:sz w:val="24"/>
          <w:highlight w:val="none"/>
          <w14:textFill>
            <w14:solidFill>
              <w14:schemeClr w14:val="tx1"/>
            </w14:solidFill>
          </w14:textFill>
        </w:rPr>
        <w:t>期提供服务或因其他违约行为导致甲方解除合同的，乙方应向甲方支付合同总值</w:t>
      </w:r>
      <w:r>
        <w:rPr>
          <w:rFonts w:hAnsi="宋体"/>
          <w:color w:val="000000" w:themeColor="text1"/>
          <w:sz w:val="24"/>
          <w:highlight w:val="none"/>
          <w:u w:val="single"/>
          <w14:textFill>
            <w14:solidFill>
              <w14:schemeClr w14:val="tx1"/>
            </w14:solidFill>
          </w14:textFill>
        </w:rPr>
        <w:t>5%</w:t>
      </w:r>
      <w:r>
        <w:rPr>
          <w:rFonts w:hAnsi="宋体"/>
          <w:color w:val="000000" w:themeColor="text1"/>
          <w:sz w:val="24"/>
          <w:highlight w:val="none"/>
          <w14:textFill>
            <w14:solidFill>
              <w14:schemeClr w14:val="tx1"/>
            </w14:solidFill>
          </w14:textFill>
        </w:rPr>
        <w:t xml:space="preserve">的违约金，如造成甲方损失超过违约金的，超出部分由乙方继续承担赔偿责任。 </w:t>
      </w:r>
    </w:p>
    <w:p>
      <w:pPr>
        <w:pStyle w:val="12"/>
        <w:snapToGrid w:val="0"/>
        <w:spacing w:before="120" w:after="120" w:line="360" w:lineRule="auto"/>
        <w:rPr>
          <w:rFonts w:hAnsi="宋体"/>
          <w:b/>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十</w:t>
      </w:r>
      <w:r>
        <w:rPr>
          <w:rFonts w:hint="eastAsia" w:hAnsi="宋体"/>
          <w:b/>
          <w:color w:val="000000" w:themeColor="text1"/>
          <w:sz w:val="24"/>
          <w:highlight w:val="none"/>
          <w14:textFill>
            <w14:solidFill>
              <w14:schemeClr w14:val="tx1"/>
            </w14:solidFill>
          </w14:textFill>
        </w:rPr>
        <w:t>五</w:t>
      </w:r>
      <w:r>
        <w:rPr>
          <w:rFonts w:hAnsi="宋体"/>
          <w:b/>
          <w:color w:val="000000" w:themeColor="text1"/>
          <w:sz w:val="24"/>
          <w:highlight w:val="none"/>
          <w14:textFill>
            <w14:solidFill>
              <w14:schemeClr w14:val="tx1"/>
            </w14:solidFill>
          </w14:textFill>
        </w:rPr>
        <w:t>、不可抗力事件处理</w:t>
      </w:r>
    </w:p>
    <w:p>
      <w:pPr>
        <w:pStyle w:val="12"/>
        <w:snapToGrid w:val="0"/>
        <w:spacing w:before="120" w:after="120" w:line="360" w:lineRule="auto"/>
        <w:ind w:left="480" w:hanging="480" w:hangingChars="20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1</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在合同有效期内，任何一方因不可抗力事件导致不能履行合同，则合同履行</w:t>
      </w:r>
    </w:p>
    <w:p>
      <w:pPr>
        <w:pStyle w:val="12"/>
        <w:snapToGrid w:val="0"/>
        <w:spacing w:before="120" w:after="120" w:line="360" w:lineRule="auto"/>
        <w:ind w:firstLine="360" w:firstLineChars="15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期可延长，其延长期与不可抗力影响期相同。</w:t>
      </w:r>
    </w:p>
    <w:p>
      <w:pPr>
        <w:pStyle w:val="12"/>
        <w:snapToGrid w:val="0"/>
        <w:spacing w:before="120" w:after="120" w:line="360" w:lineRule="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2</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不可抗力事件发生后，应立即通知对方，并寄送有关权威机构出具的证明。</w:t>
      </w:r>
    </w:p>
    <w:p>
      <w:pPr>
        <w:pStyle w:val="12"/>
        <w:snapToGrid w:val="0"/>
        <w:spacing w:before="120" w:after="120" w:line="360" w:lineRule="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3</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不可抗力事件延续120天以上，双方应通过友好协商，确定是否继续履行合</w:t>
      </w:r>
    </w:p>
    <w:p>
      <w:pPr>
        <w:pStyle w:val="12"/>
        <w:snapToGrid w:val="0"/>
        <w:spacing w:before="120" w:after="120" w:line="360" w:lineRule="auto"/>
        <w:ind w:firstLine="360" w:firstLineChars="15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同。</w:t>
      </w:r>
    </w:p>
    <w:p>
      <w:pPr>
        <w:pStyle w:val="12"/>
        <w:snapToGrid w:val="0"/>
        <w:spacing w:before="120" w:after="120" w:line="360" w:lineRule="auto"/>
        <w:rPr>
          <w:rFonts w:hAnsi="宋体"/>
          <w:b/>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十</w:t>
      </w:r>
      <w:r>
        <w:rPr>
          <w:rFonts w:hint="eastAsia" w:hAnsi="宋体"/>
          <w:b/>
          <w:color w:val="000000" w:themeColor="text1"/>
          <w:sz w:val="24"/>
          <w:highlight w:val="none"/>
          <w14:textFill>
            <w14:solidFill>
              <w14:schemeClr w14:val="tx1"/>
            </w14:solidFill>
          </w14:textFill>
        </w:rPr>
        <w:t>六</w:t>
      </w:r>
      <w:r>
        <w:rPr>
          <w:rFonts w:hAnsi="宋体"/>
          <w:b/>
          <w:color w:val="000000" w:themeColor="text1"/>
          <w:sz w:val="24"/>
          <w:highlight w:val="none"/>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解决争议的方法</w:t>
      </w:r>
    </w:p>
    <w:p>
      <w:pPr>
        <w:pStyle w:val="12"/>
        <w:snapToGrid w:val="0"/>
        <w:spacing w:before="120" w:after="120" w:line="360" w:lineRule="auto"/>
        <w:rPr>
          <w:rFonts w:hAnsi="宋体" w:cs="宋体"/>
          <w:color w:val="000000" w:themeColor="text1"/>
          <w:kern w:val="0"/>
          <w:sz w:val="24"/>
          <w:highlight w:val="none"/>
          <w14:textFill>
            <w14:solidFill>
              <w14:schemeClr w14:val="tx1"/>
            </w14:solidFill>
          </w14:textFill>
        </w:rPr>
      </w:pPr>
      <w:r>
        <w:rPr>
          <w:rFonts w:hint="eastAsia" w:hAnsi="宋体" w:cs="宋体"/>
          <w:color w:val="000000" w:themeColor="text1"/>
          <w:kern w:val="0"/>
          <w:sz w:val="24"/>
          <w:highlight w:val="none"/>
          <w14:textFill>
            <w14:solidFill>
              <w14:schemeClr w14:val="tx1"/>
            </w14:solidFill>
          </w14:textFill>
        </w:rPr>
        <w:t xml:space="preserve">1. </w:t>
      </w:r>
      <w:r>
        <w:rPr>
          <w:rFonts w:hAnsi="宋体" w:cs="宋体"/>
          <w:color w:val="000000" w:themeColor="text1"/>
          <w:kern w:val="0"/>
          <w:sz w:val="24"/>
          <w:highlight w:val="none"/>
          <w14:textFill>
            <w14:solidFill>
              <w14:schemeClr w14:val="tx1"/>
            </w14:solidFill>
          </w14:textFill>
        </w:rPr>
        <w:t>如双方在履行合同时发生纠纷，应协商解决；协商不成时，可提请政府采购管理部门调解；调解不成的</w:t>
      </w:r>
      <w:r>
        <w:rPr>
          <w:rFonts w:hint="eastAsia" w:hAnsi="宋体" w:cs="宋体"/>
          <w:color w:val="000000" w:themeColor="text1"/>
          <w:kern w:val="0"/>
          <w:sz w:val="24"/>
          <w:highlight w:val="none"/>
          <w14:textFill>
            <w14:solidFill>
              <w14:schemeClr w14:val="tx1"/>
            </w14:solidFill>
          </w14:textFill>
        </w:rPr>
        <w:t>，</w:t>
      </w:r>
      <w:r>
        <w:rPr>
          <w:rFonts w:hAnsi="宋体" w:cs="宋体"/>
          <w:color w:val="000000" w:themeColor="text1"/>
          <w:kern w:val="0"/>
          <w:sz w:val="24"/>
          <w:highlight w:val="none"/>
          <w14:textFill>
            <w14:solidFill>
              <w14:schemeClr w14:val="tx1"/>
            </w14:solidFill>
          </w14:textFill>
        </w:rPr>
        <w:t>依法向</w:t>
      </w:r>
      <w:r>
        <w:rPr>
          <w:rFonts w:hint="eastAsia" w:hAnsi="宋体" w:cs="宋体"/>
          <w:color w:val="000000" w:themeColor="text1"/>
          <w:kern w:val="0"/>
          <w:sz w:val="24"/>
          <w:highlight w:val="none"/>
          <w14:textFill>
            <w14:solidFill>
              <w14:schemeClr w14:val="tx1"/>
            </w14:solidFill>
          </w14:textFill>
        </w:rPr>
        <w:t>玉环市</w:t>
      </w:r>
      <w:r>
        <w:rPr>
          <w:rFonts w:hAnsi="宋体" w:cs="宋体"/>
          <w:color w:val="000000" w:themeColor="text1"/>
          <w:kern w:val="0"/>
          <w:sz w:val="24"/>
          <w:highlight w:val="none"/>
          <w14:textFill>
            <w14:solidFill>
              <w14:schemeClr w14:val="tx1"/>
            </w14:solidFill>
          </w14:textFill>
        </w:rPr>
        <w:t>人民法院提起诉讼。</w:t>
      </w:r>
    </w:p>
    <w:p>
      <w:pPr>
        <w:pStyle w:val="12"/>
        <w:snapToGrid w:val="0"/>
        <w:spacing w:before="120" w:after="120" w:line="360" w:lineRule="auto"/>
        <w:rPr>
          <w:rFonts w:hAnsi="宋体"/>
          <w:b/>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十</w:t>
      </w:r>
      <w:r>
        <w:rPr>
          <w:rFonts w:hint="eastAsia" w:hAnsi="宋体"/>
          <w:b/>
          <w:color w:val="000000" w:themeColor="text1"/>
          <w:sz w:val="24"/>
          <w:highlight w:val="none"/>
          <w14:textFill>
            <w14:solidFill>
              <w14:schemeClr w14:val="tx1"/>
            </w14:solidFill>
          </w14:textFill>
        </w:rPr>
        <w:t>七</w:t>
      </w:r>
      <w:r>
        <w:rPr>
          <w:rFonts w:hAnsi="宋体"/>
          <w:b/>
          <w:color w:val="000000" w:themeColor="text1"/>
          <w:sz w:val="24"/>
          <w:highlight w:val="none"/>
          <w14:textFill>
            <w14:solidFill>
              <w14:schemeClr w14:val="tx1"/>
            </w14:solidFill>
          </w14:textFill>
        </w:rPr>
        <w:t>、合同生效及其它</w:t>
      </w:r>
    </w:p>
    <w:p>
      <w:pPr>
        <w:pStyle w:val="12"/>
        <w:snapToGrid w:val="0"/>
        <w:spacing w:before="120" w:after="120" w:line="360" w:lineRule="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1</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 xml:space="preserve"> 合同经双方法定代表人或授权代表</w:t>
      </w:r>
      <w:r>
        <w:rPr>
          <w:rFonts w:hint="eastAsia" w:hAnsi="宋体"/>
          <w:color w:val="000000" w:themeColor="text1"/>
          <w:sz w:val="24"/>
          <w:highlight w:val="none"/>
          <w14:textFill>
            <w14:solidFill>
              <w14:schemeClr w14:val="tx1"/>
            </w14:solidFill>
          </w14:textFill>
        </w:rPr>
        <w:t>签字</w:t>
      </w:r>
      <w:r>
        <w:rPr>
          <w:rFonts w:hAnsi="宋体"/>
          <w:color w:val="000000" w:themeColor="text1"/>
          <w:sz w:val="24"/>
          <w:highlight w:val="none"/>
          <w14:textFill>
            <w14:solidFill>
              <w14:schemeClr w14:val="tx1"/>
            </w14:solidFill>
          </w14:textFill>
        </w:rPr>
        <w:t>并加盖单位公章后生效。</w:t>
      </w:r>
    </w:p>
    <w:p>
      <w:pPr>
        <w:pStyle w:val="12"/>
        <w:snapToGrid w:val="0"/>
        <w:spacing w:before="120" w:after="120" w:line="360" w:lineRule="auto"/>
        <w:ind w:left="480" w:hanging="480" w:hanging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 xml:space="preserve">2. </w:t>
      </w:r>
      <w:r>
        <w:rPr>
          <w:rFonts w:hAnsi="宋体"/>
          <w:color w:val="000000" w:themeColor="text1"/>
          <w:sz w:val="24"/>
          <w:highlight w:val="none"/>
          <w14:textFill>
            <w14:solidFill>
              <w14:schemeClr w14:val="tx1"/>
            </w14:solidFill>
          </w14:textFill>
        </w:rPr>
        <w:t>本合同未尽事宜，遵照《合同法》有关条文执行。</w:t>
      </w:r>
    </w:p>
    <w:p>
      <w:pPr>
        <w:widowControl/>
        <w:spacing w:line="360" w:lineRule="auto"/>
        <w:rPr>
          <w:rFonts w:ascii="宋体" w:hAnsi="宋体" w:cstheme="minorBidi"/>
          <w:color w:val="000000" w:themeColor="text1"/>
          <w:sz w:val="24"/>
          <w:highlight w:val="none"/>
          <w14:textFill>
            <w14:solidFill>
              <w14:schemeClr w14:val="tx1"/>
            </w14:solidFill>
          </w14:textFill>
        </w:rPr>
      </w:pPr>
      <w:r>
        <w:rPr>
          <w:rFonts w:hint="eastAsia" w:ascii="宋体" w:hAnsi="宋体" w:cstheme="minorBidi"/>
          <w:color w:val="000000" w:themeColor="text1"/>
          <w:sz w:val="24"/>
          <w:highlight w:val="none"/>
          <w14:textFill>
            <w14:solidFill>
              <w14:schemeClr w14:val="tx1"/>
            </w14:solidFill>
          </w14:textFill>
        </w:rPr>
        <w:t>3. 本合同一式四份。甲、乙双方各执一份，</w:t>
      </w:r>
      <w:r>
        <w:rPr>
          <w:rFonts w:hint="eastAsia" w:ascii="宋体" w:hAnsi="宋体"/>
          <w:color w:val="000000" w:themeColor="text1"/>
          <w:sz w:val="24"/>
          <w:highlight w:val="none"/>
          <w14:textFill>
            <w14:solidFill>
              <w14:schemeClr w14:val="tx1"/>
            </w14:solidFill>
          </w14:textFill>
        </w:rPr>
        <w:t>采购组织机构及同级人民政府财政部门各执一份</w:t>
      </w:r>
      <w:r>
        <w:rPr>
          <w:rFonts w:hint="eastAsia" w:ascii="宋体" w:hAnsi="宋体" w:cstheme="minorBidi"/>
          <w:color w:val="000000" w:themeColor="text1"/>
          <w:sz w:val="24"/>
          <w:highlight w:val="none"/>
          <w14:textFill>
            <w14:solidFill>
              <w14:schemeClr w14:val="tx1"/>
            </w14:solidFill>
          </w14:textFill>
        </w:rPr>
        <w:t>。本项目未尽事宜以招标文件、投标文件及澄清文件等为准。</w:t>
      </w:r>
    </w:p>
    <w:p>
      <w:pPr>
        <w:widowControl/>
        <w:spacing w:line="360" w:lineRule="auto"/>
        <w:rPr>
          <w:rFonts w:ascii="宋体" w:hAnsi="宋体"/>
          <w:color w:val="000000" w:themeColor="text1"/>
          <w:kern w:val="0"/>
          <w:sz w:val="24"/>
          <w:highlight w:val="none"/>
          <w14:textFill>
            <w14:solidFill>
              <w14:schemeClr w14:val="tx1"/>
            </w14:solidFill>
          </w14:textFill>
        </w:rPr>
      </w:pPr>
    </w:p>
    <w:p>
      <w:pPr>
        <w:widowControl/>
        <w:spacing w:line="360" w:lineRule="auto"/>
        <w:rPr>
          <w:rFonts w:ascii="宋体" w:hAnsi="宋体"/>
          <w:b/>
          <w:color w:val="000000" w:themeColor="text1"/>
          <w:sz w:val="24"/>
          <w:highlight w:val="none"/>
          <w14:textFill>
            <w14:solidFill>
              <w14:schemeClr w14:val="tx1"/>
            </w14:solidFill>
          </w14:textFill>
        </w:rPr>
      </w:pPr>
    </w:p>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甲方（公章）                                     乙方（公章）</w:t>
      </w:r>
    </w:p>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                                     法定代表人：</w:t>
      </w:r>
    </w:p>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委托代理人：                                     委托代理人：</w:t>
      </w:r>
    </w:p>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联系电话：                                       联系电话：</w:t>
      </w:r>
    </w:p>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开户银行：                                       开户银行：</w:t>
      </w:r>
    </w:p>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帐号：                                           帐号：</w:t>
      </w:r>
    </w:p>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地址及邮编：                                     地址及邮编：</w:t>
      </w:r>
    </w:p>
    <w:p>
      <w:pPr>
        <w:spacing w:line="360" w:lineRule="auto"/>
        <w:rPr>
          <w:rFonts w:ascii="宋体" w:hAnsi="宋体"/>
          <w:color w:val="000000" w:themeColor="text1"/>
          <w:sz w:val="24"/>
          <w:highlight w:val="none"/>
          <w14:textFill>
            <w14:solidFill>
              <w14:schemeClr w14:val="tx1"/>
            </w14:solidFill>
          </w14:textFill>
        </w:rPr>
      </w:pPr>
    </w:p>
    <w:p>
      <w:pPr>
        <w:pStyle w:val="3"/>
        <w:rPr>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签订时间：    年   月    日</w:t>
      </w: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numPr>
          <w:ilvl w:val="0"/>
          <w:numId w:val="4"/>
        </w:numPr>
        <w:spacing w:line="360" w:lineRule="auto"/>
        <w:jc w:val="center"/>
        <w:rPr>
          <w:rFonts w:asciiTheme="minorEastAsia" w:hAnsiTheme="minorEastAsia" w:eastAsiaTheme="minorEastAsia"/>
          <w:b/>
          <w:color w:val="000000" w:themeColor="text1"/>
          <w:sz w:val="36"/>
          <w:szCs w:val="36"/>
          <w:highlight w:val="none"/>
          <w14:textFill>
            <w14:solidFill>
              <w14:schemeClr w14:val="tx1"/>
            </w14:solidFill>
          </w14:textFill>
        </w:rPr>
      </w:pPr>
      <w:r>
        <w:rPr>
          <w:rFonts w:hint="eastAsia" w:asciiTheme="minorEastAsia" w:hAnsiTheme="minorEastAsia" w:eastAsiaTheme="minorEastAsia"/>
          <w:b/>
          <w:color w:val="000000" w:themeColor="text1"/>
          <w:sz w:val="36"/>
          <w:szCs w:val="36"/>
          <w:highlight w:val="none"/>
          <w14:textFill>
            <w14:solidFill>
              <w14:schemeClr w14:val="tx1"/>
            </w14:solidFill>
          </w14:textFill>
        </w:rPr>
        <w:t>投标文件格式附件</w:t>
      </w:r>
    </w:p>
    <w:p>
      <w:pPr>
        <w:rPr>
          <w:rFonts w:ascii="宋体" w:hAnsi="宋体"/>
          <w:b/>
          <w:color w:val="000000" w:themeColor="text1"/>
          <w:kern w:val="0"/>
          <w:sz w:val="28"/>
          <w:szCs w:val="28"/>
          <w:highlight w:val="none"/>
          <w14:textFill>
            <w14:solidFill>
              <w14:schemeClr w14:val="tx1"/>
            </w14:solidFill>
          </w14:textFill>
        </w:rPr>
      </w:pPr>
      <w:r>
        <w:rPr>
          <w:rFonts w:hint="eastAsia" w:ascii="宋体" w:hAnsi="宋体"/>
          <w:b/>
          <w:color w:val="000000" w:themeColor="text1"/>
          <w:kern w:val="0"/>
          <w:sz w:val="28"/>
          <w:szCs w:val="28"/>
          <w:highlight w:val="none"/>
          <w14:textFill>
            <w14:solidFill>
              <w14:schemeClr w14:val="tx1"/>
            </w14:solidFill>
          </w14:textFill>
        </w:rPr>
        <w:t>附件1</w:t>
      </w:r>
      <w:r>
        <w:rPr>
          <w:rFonts w:hint="eastAsia" w:ascii="宋体" w:hAnsi="宋体"/>
          <w:b/>
          <w:color w:val="000000" w:themeColor="text1"/>
          <w:sz w:val="30"/>
          <w:szCs w:val="30"/>
          <w:highlight w:val="none"/>
          <w14:textFill>
            <w14:solidFill>
              <w14:schemeClr w14:val="tx1"/>
            </w14:solidFill>
          </w14:textFill>
        </w:rPr>
        <w:t xml:space="preserve">                             </w:t>
      </w:r>
      <w:r>
        <w:rPr>
          <w:rFonts w:hint="eastAsia" w:ascii="宋体" w:hAnsi="宋体"/>
          <w:color w:val="000000" w:themeColor="text1"/>
          <w:sz w:val="30"/>
          <w:szCs w:val="30"/>
          <w:highlight w:val="none"/>
          <w14:textFill>
            <w14:solidFill>
              <w14:schemeClr w14:val="tx1"/>
            </w14:solidFill>
          </w14:textFill>
        </w:rPr>
        <w:t xml:space="preserve"> 　　　</w:t>
      </w:r>
      <w:r>
        <w:rPr>
          <w:rFonts w:hint="eastAsia" w:ascii="宋体" w:hAnsi="宋体"/>
          <w:b/>
          <w:color w:val="000000" w:themeColor="text1"/>
          <w:sz w:val="28"/>
          <w:highlight w:val="none"/>
          <w14:textFill>
            <w14:solidFill>
              <w14:schemeClr w14:val="tx1"/>
            </w14:solidFill>
          </w14:textFill>
        </w:rPr>
        <w:t xml:space="preserve">        </w:t>
      </w:r>
      <w:r>
        <w:rPr>
          <w:rFonts w:hint="eastAsia" w:ascii="宋体" w:hAnsi="宋体"/>
          <w:b/>
          <w:color w:val="000000" w:themeColor="text1"/>
          <w:sz w:val="28"/>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本</w:t>
      </w:r>
    </w:p>
    <w:p>
      <w:pPr>
        <w:spacing w:line="360" w:lineRule="auto"/>
        <w:rPr>
          <w:rFonts w:asciiTheme="minorEastAsia" w:hAnsiTheme="minorEastAsia" w:eastAsiaTheme="minorEastAsia"/>
          <w:b/>
          <w:color w:val="000000" w:themeColor="text1"/>
          <w:sz w:val="30"/>
          <w:szCs w:val="30"/>
          <w:highlight w:val="none"/>
          <w14:textFill>
            <w14:solidFill>
              <w14:schemeClr w14:val="tx1"/>
            </w14:solidFill>
          </w14:textFill>
        </w:rPr>
      </w:pPr>
    </w:p>
    <w:p>
      <w:pPr>
        <w:spacing w:line="360" w:lineRule="auto"/>
        <w:ind w:right="-110"/>
        <w:jc w:val="center"/>
        <w:rPr>
          <w:rFonts w:ascii="宋体" w:hAnsi="宋体"/>
          <w:color w:val="000000" w:themeColor="text1"/>
          <w:spacing w:val="40"/>
          <w:sz w:val="52"/>
          <w:szCs w:val="52"/>
          <w:highlight w:val="none"/>
          <w14:textFill>
            <w14:solidFill>
              <w14:schemeClr w14:val="tx1"/>
            </w14:solidFill>
          </w14:textFill>
        </w:rPr>
      </w:pPr>
      <w:r>
        <w:rPr>
          <w:rFonts w:hint="eastAsia" w:ascii="宋体" w:hAnsi="宋体"/>
          <w:color w:val="000000" w:themeColor="text1"/>
          <w:spacing w:val="40"/>
          <w:sz w:val="52"/>
          <w:szCs w:val="52"/>
          <w:highlight w:val="none"/>
          <w14:textFill>
            <w14:solidFill>
              <w14:schemeClr w14:val="tx1"/>
            </w14:solidFill>
          </w14:textFill>
        </w:rPr>
        <w:t>玉环市人民医院健共体集团基于集成平台的信息系统建设</w:t>
      </w:r>
    </w:p>
    <w:p>
      <w:pPr>
        <w:spacing w:before="312" w:beforeLines="100" w:line="360" w:lineRule="auto"/>
        <w:ind w:right="-108"/>
        <w:jc w:val="center"/>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项目编号：</w:t>
      </w:r>
      <w:r>
        <w:rPr>
          <w:rFonts w:hint="eastAsia" w:ascii="宋体" w:hAnsi="宋体"/>
          <w:color w:val="000000" w:themeColor="text1"/>
          <w:sz w:val="36"/>
          <w:szCs w:val="36"/>
          <w:highlight w:val="none"/>
          <w:u w:val="single"/>
          <w:lang w:eastAsia="zh-CN"/>
          <w14:textFill>
            <w14:solidFill>
              <w14:schemeClr w14:val="tx1"/>
            </w14:solidFill>
          </w14:textFill>
        </w:rPr>
        <w:t>HQ-YHZFCG-2019-72</w:t>
      </w:r>
      <w:r>
        <w:rPr>
          <w:rFonts w:hint="eastAsia" w:ascii="宋体" w:hAnsi="宋体"/>
          <w:color w:val="000000" w:themeColor="text1"/>
          <w:sz w:val="36"/>
          <w:szCs w:val="36"/>
          <w:highlight w:val="none"/>
          <w:u w:val="single"/>
          <w14:textFill>
            <w14:solidFill>
              <w14:schemeClr w14:val="tx1"/>
            </w14:solidFill>
          </w14:textFill>
        </w:rPr>
        <w:t xml:space="preserve"> </w:t>
      </w:r>
    </w:p>
    <w:p>
      <w:pP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投</w:t>
      </w:r>
    </w:p>
    <w:p>
      <w:pP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标</w:t>
      </w:r>
    </w:p>
    <w:p>
      <w:pPr>
        <w:autoSpaceDE w:val="0"/>
        <w:autoSpaceDN w:val="0"/>
        <w:adjustRightInd w:val="0"/>
        <w:spacing w:line="360" w:lineRule="auto"/>
        <w:jc w:val="center"/>
        <w:rPr>
          <w:rFonts w:ascii="宋体" w:hAnsi="宋体"/>
          <w:color w:val="000000" w:themeColor="text1"/>
          <w:sz w:val="84"/>
          <w:szCs w:val="84"/>
          <w:highlight w:val="none"/>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文</w:t>
      </w:r>
    </w:p>
    <w:p>
      <w:pPr>
        <w:spacing w:after="100" w:afterAutospacing="1" w:line="360" w:lineRule="auto"/>
        <w:ind w:right="-108"/>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件</w:t>
      </w:r>
    </w:p>
    <w:p>
      <w:pPr>
        <w:spacing w:after="100" w:afterAutospacing="1" w:line="360" w:lineRule="auto"/>
        <w:ind w:right="-108"/>
        <w:jc w:val="center"/>
        <w:rPr>
          <w:rFonts w:ascii="宋体" w:hAnsi="宋体"/>
          <w:b/>
          <w:color w:val="000000" w:themeColor="text1"/>
          <w:spacing w:val="40"/>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zh-CN"/>
          <w14:textFill>
            <w14:solidFill>
              <w14:schemeClr w14:val="tx1"/>
            </w14:solidFill>
          </w14:textFill>
        </w:rPr>
        <w:t>（</w:t>
      </w:r>
      <w:r>
        <w:rPr>
          <w:rFonts w:hint="eastAsia" w:ascii="宋体" w:hAnsi="宋体"/>
          <w:b/>
          <w:color w:val="000000" w:themeColor="text1"/>
          <w:spacing w:val="40"/>
          <w:sz w:val="28"/>
          <w:szCs w:val="28"/>
          <w:highlight w:val="none"/>
          <w14:textFill>
            <w14:solidFill>
              <w14:schemeClr w14:val="tx1"/>
            </w14:solidFill>
          </w14:textFill>
        </w:rPr>
        <w:t>资格证明文件）</w:t>
      </w:r>
    </w:p>
    <w:p>
      <w:pPr>
        <w:spacing w:line="360" w:lineRule="auto"/>
        <w:ind w:right="532"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投标人全称（公章）：</w:t>
      </w:r>
    </w:p>
    <w:p>
      <w:pPr>
        <w:spacing w:line="360" w:lineRule="auto"/>
        <w:ind w:right="532"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地    址：</w:t>
      </w:r>
    </w:p>
    <w:p>
      <w:pPr>
        <w:spacing w:line="360" w:lineRule="auto"/>
        <w:ind w:right="532"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时    间：</w:t>
      </w:r>
    </w:p>
    <w:p>
      <w:pPr>
        <w:snapToGrid w:val="0"/>
        <w:spacing w:before="50" w:after="50" w:line="360" w:lineRule="auto"/>
        <w:rPr>
          <w:rFonts w:ascii="仿宋_GB2312" w:hAnsi="宋体" w:eastAsia="仿宋_GB2312"/>
          <w:b/>
          <w:color w:val="000000" w:themeColor="text1"/>
          <w:sz w:val="36"/>
          <w:szCs w:val="36"/>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snapToGrid w:val="0"/>
        <w:spacing w:before="50" w:after="50" w:line="360" w:lineRule="auto"/>
        <w:jc w:val="center"/>
        <w:rPr>
          <w:rFonts w:ascii="宋体" w:hAnsi="宋体"/>
          <w:b/>
          <w:bCs/>
          <w:color w:val="000000" w:themeColor="text1"/>
          <w:sz w:val="36"/>
          <w:szCs w:val="36"/>
          <w:highlight w:val="none"/>
          <w14:textFill>
            <w14:solidFill>
              <w14:schemeClr w14:val="tx1"/>
            </w14:solidFill>
          </w14:textFill>
        </w:rPr>
      </w:pPr>
      <w:r>
        <w:rPr>
          <w:rFonts w:hint="eastAsia" w:ascii="宋体" w:hAnsi="宋体"/>
          <w:b/>
          <w:bCs/>
          <w:color w:val="000000" w:themeColor="text1"/>
          <w:sz w:val="36"/>
          <w:szCs w:val="36"/>
          <w:highlight w:val="none"/>
          <w14:textFill>
            <w14:solidFill>
              <w14:schemeClr w14:val="tx1"/>
            </w14:solidFill>
          </w14:textFill>
        </w:rPr>
        <w:t>资格证明文件目录</w:t>
      </w:r>
    </w:p>
    <w:p>
      <w:pPr>
        <w:snapToGrid w:val="0"/>
        <w:spacing w:before="50" w:after="50" w:line="360" w:lineRule="auto"/>
        <w:jc w:val="center"/>
        <w:rPr>
          <w:rFonts w:ascii="仿宋_GB2312" w:hAnsi="宋体" w:eastAsia="仿宋_GB2312"/>
          <w:b/>
          <w:bCs/>
          <w:color w:val="000000" w:themeColor="text1"/>
          <w:sz w:val="36"/>
          <w:szCs w:val="36"/>
          <w:highlight w:val="none"/>
          <w14:textFill>
            <w14:solidFill>
              <w14:schemeClr w14:val="tx1"/>
            </w14:solidFill>
          </w14:textFill>
        </w:rPr>
      </w:pPr>
    </w:p>
    <w:p>
      <w:pPr>
        <w:numPr>
          <w:ilvl w:val="0"/>
          <w:numId w:val="16"/>
        </w:numPr>
        <w:snapToGrid w:val="0"/>
        <w:spacing w:line="360" w:lineRule="auto"/>
        <w:ind w:firstLine="548" w:firstLineChars="196"/>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声明书（附件2）</w:t>
      </w:r>
    </w:p>
    <w:p>
      <w:pPr>
        <w:numPr>
          <w:ilvl w:val="0"/>
          <w:numId w:val="16"/>
        </w:numPr>
        <w:snapToGrid w:val="0"/>
        <w:spacing w:line="360" w:lineRule="auto"/>
        <w:ind w:firstLine="548" w:firstLineChars="196"/>
        <w:rPr>
          <w:rFonts w:ascii="宋体" w:hAnsi="宋体"/>
          <w:color w:val="000000" w:themeColor="text1"/>
          <w:kern w:val="0"/>
          <w:sz w:val="28"/>
          <w:szCs w:val="28"/>
          <w:highlight w:val="none"/>
          <w14:textFill>
            <w14:solidFill>
              <w14:schemeClr w14:val="tx1"/>
            </w14:solidFill>
          </w14:textFill>
        </w:rPr>
      </w:pPr>
      <w:r>
        <w:rPr>
          <w:bCs/>
          <w:color w:val="000000" w:themeColor="text1"/>
          <w:sz w:val="28"/>
          <w:szCs w:val="28"/>
          <w:highlight w:val="none"/>
          <w14:textFill>
            <w14:solidFill>
              <w14:schemeClr w14:val="tx1"/>
            </w14:solidFill>
          </w14:textFill>
        </w:rPr>
        <w:t>授权</w:t>
      </w:r>
      <w:r>
        <w:rPr>
          <w:rFonts w:hint="eastAsia"/>
          <w:bCs/>
          <w:color w:val="000000" w:themeColor="text1"/>
          <w:sz w:val="28"/>
          <w:szCs w:val="28"/>
          <w:highlight w:val="none"/>
          <w14:textFill>
            <w14:solidFill>
              <w14:schemeClr w14:val="tx1"/>
            </w14:solidFill>
          </w14:textFill>
        </w:rPr>
        <w:t>委托</w:t>
      </w:r>
      <w:r>
        <w:rPr>
          <w:bCs/>
          <w:color w:val="000000" w:themeColor="text1"/>
          <w:sz w:val="28"/>
          <w:szCs w:val="28"/>
          <w:highlight w:val="none"/>
          <w14:textFill>
            <w14:solidFill>
              <w14:schemeClr w14:val="tx1"/>
            </w14:solidFill>
          </w14:textFill>
        </w:rPr>
        <w:t>书</w:t>
      </w:r>
      <w:r>
        <w:rPr>
          <w:rFonts w:hint="eastAsia" w:ascii="宋体" w:hAnsi="宋体"/>
          <w:bCs/>
          <w:color w:val="000000" w:themeColor="text1"/>
          <w:sz w:val="28"/>
          <w:szCs w:val="28"/>
          <w:highlight w:val="none"/>
          <w14:textFill>
            <w14:solidFill>
              <w14:schemeClr w14:val="tx1"/>
            </w14:solidFill>
          </w14:textFill>
        </w:rPr>
        <w:t>（附件3）</w:t>
      </w:r>
    </w:p>
    <w:p>
      <w:pPr>
        <w:numPr>
          <w:ilvl w:val="0"/>
          <w:numId w:val="16"/>
        </w:numPr>
        <w:snapToGrid w:val="0"/>
        <w:spacing w:line="360" w:lineRule="auto"/>
        <w:ind w:left="1050" w:leftChars="259" w:hanging="506" w:hangingChars="181"/>
        <w:rPr>
          <w:rFonts w:ascii="宋体" w:hAnsi="宋体"/>
          <w:color w:val="000000" w:themeColor="text1"/>
          <w:kern w:val="0"/>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法人或者其他组织的营业执照等证明文件，自然人的身份证明</w:t>
      </w:r>
    </w:p>
    <w:p>
      <w:pPr>
        <w:snapToGrid w:val="0"/>
        <w:spacing w:line="360" w:lineRule="auto"/>
        <w:ind w:firstLine="560" w:firstLineChars="200"/>
        <w:rPr>
          <w:rFonts w:ascii="宋体" w:hAnsi="宋体"/>
          <w:color w:val="000000" w:themeColor="text1"/>
          <w:kern w:val="0"/>
          <w:sz w:val="28"/>
          <w:szCs w:val="28"/>
          <w:highlight w:val="none"/>
          <w14:textFill>
            <w14:solidFill>
              <w14:schemeClr w14:val="tx1"/>
            </w14:solidFill>
          </w14:textFill>
        </w:rPr>
      </w:pPr>
      <w:r>
        <w:rPr>
          <w:rFonts w:hint="eastAsia" w:ascii="宋体" w:hAnsi="宋体"/>
          <w:color w:val="000000" w:themeColor="text1"/>
          <w:kern w:val="0"/>
          <w:sz w:val="28"/>
          <w:szCs w:val="28"/>
          <w:highlight w:val="none"/>
          <w14:textFill>
            <w14:solidFill>
              <w14:schemeClr w14:val="tx1"/>
            </w14:solidFill>
          </w14:textFill>
        </w:rPr>
        <w:t>4、</w:t>
      </w:r>
      <w:r>
        <w:rPr>
          <w:color w:val="000000" w:themeColor="text1"/>
          <w:sz w:val="28"/>
          <w:szCs w:val="28"/>
          <w:highlight w:val="none"/>
          <w14:textFill>
            <w14:solidFill>
              <w14:schemeClr w14:val="tx1"/>
            </w14:solidFill>
          </w14:textFill>
        </w:rPr>
        <w:t>财务状况报告，依法缴纳税收和社会保障资金的相关材料</w:t>
      </w:r>
    </w:p>
    <w:p>
      <w:pPr>
        <w:snapToGrid w:val="0"/>
        <w:spacing w:line="360" w:lineRule="auto"/>
        <w:ind w:firstLine="560" w:firstLineChars="20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5、</w:t>
      </w:r>
      <w:r>
        <w:rPr>
          <w:color w:val="000000" w:themeColor="text1"/>
          <w:sz w:val="28"/>
          <w:szCs w:val="28"/>
          <w:highlight w:val="none"/>
          <w14:textFill>
            <w14:solidFill>
              <w14:schemeClr w14:val="tx1"/>
            </w14:solidFill>
          </w14:textFill>
        </w:rPr>
        <w:t>具备履行合同所必需的设备和专业技术能力的证明材料</w:t>
      </w:r>
    </w:p>
    <w:p>
      <w:pPr>
        <w:snapToGrid w:val="0"/>
        <w:spacing w:line="360" w:lineRule="auto"/>
        <w:ind w:firstLine="548" w:firstLineChars="196"/>
        <w:rPr>
          <w:rFonts w:ascii="宋体" w:hAnsi="宋体"/>
          <w:color w:val="000000" w:themeColor="text1"/>
          <w:kern w:val="0"/>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6、</w:t>
      </w:r>
      <w:r>
        <w:rPr>
          <w:rFonts w:hint="eastAsia" w:ascii="宋体" w:hAnsi="宋体"/>
          <w:color w:val="000000" w:themeColor="text1"/>
          <w:kern w:val="0"/>
          <w:sz w:val="28"/>
          <w:szCs w:val="28"/>
          <w:highlight w:val="none"/>
          <w14:textFill>
            <w14:solidFill>
              <w14:schemeClr w14:val="tx1"/>
            </w14:solidFill>
          </w14:textFill>
        </w:rPr>
        <w:t>本项目要求的特定资质证书</w:t>
      </w:r>
    </w:p>
    <w:p>
      <w:pPr>
        <w:spacing w:line="360" w:lineRule="auto"/>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pStyle w:val="3"/>
        <w:rPr>
          <w:rFonts w:ascii="宋体" w:hAnsi="宋体"/>
          <w:b/>
          <w:color w:val="000000" w:themeColor="text1"/>
          <w:sz w:val="28"/>
          <w:highlight w:val="none"/>
          <w14:textFill>
            <w14:solidFill>
              <w14:schemeClr w14:val="tx1"/>
            </w14:solidFill>
          </w14:textFill>
        </w:rPr>
      </w:pPr>
    </w:p>
    <w:p>
      <w:pPr>
        <w:pStyle w:val="3"/>
        <w:rPr>
          <w:rFonts w:ascii="宋体" w:hAnsi="宋体"/>
          <w:b/>
          <w:color w:val="000000" w:themeColor="text1"/>
          <w:sz w:val="28"/>
          <w:highlight w:val="none"/>
          <w14:textFill>
            <w14:solidFill>
              <w14:schemeClr w14:val="tx1"/>
            </w14:solidFill>
          </w14:textFill>
        </w:rPr>
      </w:pPr>
    </w:p>
    <w:p>
      <w:pPr>
        <w:pStyle w:val="3"/>
        <w:rPr>
          <w:rFonts w:ascii="宋体" w:hAnsi="宋体"/>
          <w:b/>
          <w:color w:val="000000" w:themeColor="text1"/>
          <w:sz w:val="28"/>
          <w:highlight w:val="none"/>
          <w14:textFill>
            <w14:solidFill>
              <w14:schemeClr w14:val="tx1"/>
            </w14:solidFill>
          </w14:textFill>
        </w:rPr>
      </w:pPr>
    </w:p>
    <w:p>
      <w:pPr>
        <w:pStyle w:val="3"/>
        <w:rPr>
          <w:rFonts w:ascii="宋体" w:hAnsi="宋体"/>
          <w:b/>
          <w:color w:val="000000" w:themeColor="text1"/>
          <w:sz w:val="28"/>
          <w:highlight w:val="none"/>
          <w14:textFill>
            <w14:solidFill>
              <w14:schemeClr w14:val="tx1"/>
            </w14:solidFill>
          </w14:textFill>
        </w:rPr>
      </w:pPr>
    </w:p>
    <w:p>
      <w:pPr>
        <w:pStyle w:val="3"/>
        <w:rPr>
          <w:rFonts w:ascii="宋体" w:hAnsi="宋体"/>
          <w:b/>
          <w:color w:val="000000" w:themeColor="text1"/>
          <w:sz w:val="28"/>
          <w:highlight w:val="none"/>
          <w14:textFill>
            <w14:solidFill>
              <w14:schemeClr w14:val="tx1"/>
            </w14:solidFill>
          </w14:textFill>
        </w:rPr>
      </w:pPr>
    </w:p>
    <w:p>
      <w:pPr>
        <w:pStyle w:val="3"/>
        <w:rPr>
          <w:rFonts w:ascii="宋体" w:hAnsi="宋体"/>
          <w:b/>
          <w:color w:val="000000" w:themeColor="text1"/>
          <w:sz w:val="28"/>
          <w:highlight w:val="none"/>
          <w14:textFill>
            <w14:solidFill>
              <w14:schemeClr w14:val="tx1"/>
            </w14:solidFill>
          </w14:textFill>
        </w:rPr>
      </w:pPr>
    </w:p>
    <w:p>
      <w:pPr>
        <w:pStyle w:val="3"/>
        <w:rPr>
          <w:rFonts w:ascii="宋体" w:hAnsi="宋体"/>
          <w:b/>
          <w:color w:val="000000" w:themeColor="text1"/>
          <w:sz w:val="28"/>
          <w:highlight w:val="none"/>
          <w14:textFill>
            <w14:solidFill>
              <w14:schemeClr w14:val="tx1"/>
            </w14:solidFill>
          </w14:textFill>
        </w:rPr>
      </w:pPr>
    </w:p>
    <w:p>
      <w:pPr>
        <w:pStyle w:val="3"/>
        <w:rPr>
          <w:rFonts w:ascii="宋体" w:hAnsi="宋体"/>
          <w:b/>
          <w:color w:val="000000" w:themeColor="text1"/>
          <w:sz w:val="28"/>
          <w:highlight w:val="none"/>
          <w14:textFill>
            <w14:solidFill>
              <w14:schemeClr w14:val="tx1"/>
            </w14:solidFill>
          </w14:textFill>
        </w:rPr>
      </w:pPr>
    </w:p>
    <w:p>
      <w:pPr>
        <w:pStyle w:val="3"/>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spacing w:line="360" w:lineRule="auto"/>
        <w:rPr>
          <w:rFonts w:ascii="宋体" w:hAnsi="宋体"/>
          <w:b/>
          <w:color w:val="000000" w:themeColor="text1"/>
          <w:sz w:val="28"/>
          <w:highlight w:val="none"/>
          <w14:textFill>
            <w14:solidFill>
              <w14:schemeClr w14:val="tx1"/>
            </w14:solidFill>
          </w14:textFill>
        </w:rPr>
      </w:pPr>
    </w:p>
    <w:p>
      <w:pPr>
        <w:spacing w:line="380" w:lineRule="exact"/>
        <w:ind w:left="420"/>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附件2</w:t>
      </w:r>
    </w:p>
    <w:p>
      <w:pPr>
        <w:adjustRightInd w:val="0"/>
        <w:snapToGrid w:val="0"/>
        <w:spacing w:line="380" w:lineRule="exact"/>
        <w:ind w:right="480"/>
        <w:jc w:val="center"/>
        <w:rPr>
          <w:rFonts w:ascii="宋体" w:hAnsi="宋体"/>
          <w:b/>
          <w:color w:val="000000" w:themeColor="text1"/>
          <w:kern w:val="0"/>
          <w:sz w:val="32"/>
          <w:szCs w:val="32"/>
          <w:highlight w:val="none"/>
          <w:lang w:val="zh-CN"/>
          <w14:textFill>
            <w14:solidFill>
              <w14:schemeClr w14:val="tx1"/>
            </w14:solidFill>
          </w14:textFill>
        </w:rPr>
      </w:pPr>
      <w:r>
        <w:rPr>
          <w:rFonts w:hint="eastAsia" w:ascii="宋体" w:hAnsi="宋体"/>
          <w:b/>
          <w:color w:val="000000" w:themeColor="text1"/>
          <w:kern w:val="0"/>
          <w:sz w:val="32"/>
          <w:szCs w:val="32"/>
          <w:highlight w:val="none"/>
          <w:lang w:val="zh-CN"/>
          <w14:textFill>
            <w14:solidFill>
              <w14:schemeClr w14:val="tx1"/>
            </w14:solidFill>
          </w14:textFill>
        </w:rPr>
        <w:t>投标声明书</w:t>
      </w:r>
    </w:p>
    <w:p>
      <w:pPr>
        <w:snapToGrid w:val="0"/>
        <w:spacing w:before="156" w:beforeLines="50" w:after="50" w:line="38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杭州华旗招标代理有限公司：</w:t>
      </w:r>
    </w:p>
    <w:p>
      <w:pPr>
        <w:snapToGrid w:val="0"/>
        <w:spacing w:before="156" w:beforeLines="50" w:after="50" w:line="38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（投标人名称）系中华人民共和国合法企业，经营地址。</w:t>
      </w:r>
    </w:p>
    <w:p>
      <w:pPr>
        <w:snapToGrid w:val="0"/>
        <w:spacing w:before="156" w:beforeLines="50" w:after="50" w:line="38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宋体"/>
          <w:color w:val="000000" w:themeColor="text1"/>
          <w:kern w:val="0"/>
          <w:sz w:val="24"/>
          <w:highlight w:val="none"/>
          <w:u w:val="single"/>
          <w14:textFill>
            <w14:solidFill>
              <w14:schemeClr w14:val="tx1"/>
            </w14:solidFill>
          </w14:textFill>
        </w:rPr>
        <w:t xml:space="preserve"> 姓名 </w:t>
      </w:r>
      <w:r>
        <w:rPr>
          <w:rFonts w:hint="eastAsia" w:ascii="宋体" w:hAnsi="宋体" w:cs="宋体"/>
          <w:color w:val="000000" w:themeColor="text1"/>
          <w:kern w:val="0"/>
          <w:sz w:val="24"/>
          <w:highlight w:val="none"/>
          <w14:textFill>
            <w14:solidFill>
              <w14:schemeClr w14:val="tx1"/>
            </w14:solidFill>
          </w14:textFill>
        </w:rPr>
        <w:t>）系（</w:t>
      </w:r>
      <w:r>
        <w:rPr>
          <w:rFonts w:hint="eastAsia" w:ascii="宋体" w:hAnsi="宋体" w:cs="宋体"/>
          <w:color w:val="000000" w:themeColor="text1"/>
          <w:kern w:val="0"/>
          <w:sz w:val="24"/>
          <w:highlight w:val="none"/>
          <w:u w:val="single"/>
          <w14:textFill>
            <w14:solidFill>
              <w14:schemeClr w14:val="tx1"/>
            </w14:solidFill>
          </w14:textFill>
        </w:rPr>
        <w:t xml:space="preserve"> 投标人名称 </w:t>
      </w:r>
      <w:r>
        <w:rPr>
          <w:rFonts w:hint="eastAsia" w:ascii="宋体" w:hAnsi="宋体" w:cs="宋体"/>
          <w:color w:val="000000" w:themeColor="text1"/>
          <w:kern w:val="0"/>
          <w:sz w:val="24"/>
          <w:highlight w:val="none"/>
          <w14:textFill>
            <w14:solidFill>
              <w14:schemeClr w14:val="tx1"/>
            </w14:solidFill>
          </w14:textFill>
        </w:rPr>
        <w:t>）的法定代表人，我公司自愿参加贵方组织的玉环市人民医院健共体集团基于集成平台的信息系统建设（</w:t>
      </w:r>
      <w:r>
        <w:rPr>
          <w:rFonts w:hint="eastAsia" w:ascii="宋体" w:hAnsi="宋体" w:cs="宋体"/>
          <w:color w:val="000000" w:themeColor="text1"/>
          <w:kern w:val="0"/>
          <w:sz w:val="24"/>
          <w:highlight w:val="none"/>
          <w:lang w:eastAsia="zh-CN"/>
          <w14:textFill>
            <w14:solidFill>
              <w14:schemeClr w14:val="tx1"/>
            </w14:solidFill>
          </w14:textFill>
        </w:rPr>
        <w:t>HQ-YHZFCG-2019-72</w:t>
      </w:r>
      <w:r>
        <w:rPr>
          <w:rFonts w:hint="eastAsia" w:ascii="宋体" w:hAnsi="宋体" w:cs="宋体"/>
          <w:color w:val="000000" w:themeColor="text1"/>
          <w:kern w:val="0"/>
          <w:sz w:val="24"/>
          <w:highlight w:val="none"/>
          <w14:textFill>
            <w14:solidFill>
              <w14:schemeClr w14:val="tx1"/>
            </w14:solidFill>
          </w14:textFill>
        </w:rPr>
        <w:t>）的投标，为此，我公司就本次投标有关事项郑重声明如下：</w:t>
      </w:r>
    </w:p>
    <w:p>
      <w:pPr>
        <w:snapToGrid w:val="0"/>
        <w:spacing w:before="156" w:beforeLines="50" w:after="50" w:line="380" w:lineRule="exact"/>
        <w:ind w:firstLine="480" w:firstLineChars="200"/>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hint="eastAsia" w:ascii="Arial" w:hAnsi="Arial" w:cs="Arial"/>
          <w:color w:val="000000" w:themeColor="text1"/>
          <w:sz w:val="24"/>
          <w:highlight w:val="none"/>
          <w14:textFill>
            <w14:solidFill>
              <w14:schemeClr w14:val="tx1"/>
            </w14:solidFill>
          </w14:textFill>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snapToGrid w:val="0"/>
        <w:spacing w:before="156" w:beforeLines="50" w:after="50" w:line="38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2、我公司</w:t>
      </w:r>
      <w:r>
        <w:rPr>
          <w:rFonts w:ascii="宋体" w:hAnsi="宋体" w:cs="宋体"/>
          <w:color w:val="000000" w:themeColor="text1"/>
          <w:kern w:val="0"/>
          <w:sz w:val="24"/>
          <w:highlight w:val="none"/>
          <w14:textFill>
            <w14:solidFill>
              <w14:schemeClr w14:val="tx1"/>
            </w14:solidFill>
          </w14:textFill>
        </w:rPr>
        <w:t>在参与投标前已</w:t>
      </w:r>
      <w:r>
        <w:rPr>
          <w:rFonts w:hint="eastAsia" w:ascii="宋体" w:hAnsi="宋体" w:cs="宋体"/>
          <w:color w:val="000000" w:themeColor="text1"/>
          <w:kern w:val="0"/>
          <w:sz w:val="24"/>
          <w:highlight w:val="none"/>
          <w14:textFill>
            <w14:solidFill>
              <w14:schemeClr w14:val="tx1"/>
            </w14:solidFill>
          </w14:textFill>
        </w:rPr>
        <w:t>详细审查</w:t>
      </w:r>
      <w:r>
        <w:rPr>
          <w:rFonts w:ascii="宋体" w:hAnsi="宋体" w:cs="宋体"/>
          <w:color w:val="000000" w:themeColor="text1"/>
          <w:kern w:val="0"/>
          <w:sz w:val="24"/>
          <w:highlight w:val="none"/>
          <w14:textFill>
            <w14:solidFill>
              <w14:schemeClr w14:val="tx1"/>
            </w14:solidFill>
          </w14:textFill>
        </w:rPr>
        <w:t>了招标文件和所有相关资料，我方完全明白并认为此招标文件没有倾向性，也没有存在排斥潜在投标人的内容，我方同意招标文件的相关条款，放弃对招标文件提出误解和质疑的一切权</w:t>
      </w:r>
      <w:r>
        <w:rPr>
          <w:rFonts w:hint="eastAsia" w:ascii="宋体" w:hAnsi="宋体" w:cs="宋体"/>
          <w:color w:val="000000" w:themeColor="text1"/>
          <w:kern w:val="0"/>
          <w:sz w:val="24"/>
          <w:highlight w:val="none"/>
          <w14:textFill>
            <w14:solidFill>
              <w14:schemeClr w14:val="tx1"/>
            </w14:solidFill>
          </w14:textFill>
        </w:rPr>
        <w:t>利。</w:t>
      </w:r>
    </w:p>
    <w:p>
      <w:pPr>
        <w:numPr>
          <w:ilvl w:val="255"/>
          <w:numId w:val="0"/>
        </w:numPr>
        <w:snapToGrid w:val="0"/>
        <w:spacing w:before="156" w:beforeLines="50" w:after="50" w:line="38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3、我</w:t>
      </w:r>
      <w:r>
        <w:rPr>
          <w:rFonts w:hint="eastAsia" w:ascii="宋体" w:hAnsi="宋体" w:cs="仿宋_GB2312"/>
          <w:color w:val="000000" w:themeColor="text1"/>
          <w:kern w:val="0"/>
          <w:sz w:val="24"/>
          <w:highlight w:val="none"/>
          <w:lang w:val="zh-CN"/>
          <w14:textFill>
            <w14:solidFill>
              <w14:schemeClr w14:val="tx1"/>
            </w14:solidFill>
          </w14:textFill>
        </w:rPr>
        <w:t>公司</w:t>
      </w:r>
      <w:r>
        <w:rPr>
          <w:rFonts w:hint="eastAsia" w:ascii="宋体" w:hAnsi="宋体"/>
          <w:color w:val="000000" w:themeColor="text1"/>
          <w:sz w:val="24"/>
          <w:highlight w:val="none"/>
          <w14:textFill>
            <w14:solidFill>
              <w14:schemeClr w14:val="tx1"/>
            </w14:solidFill>
          </w14:textFill>
        </w:rPr>
        <w:t>不是采购人的附属机构；在获知本项目采购信息后，与采购人聘请的为此项目提供咨询服务的公司及其附属机构没有任何联系。</w:t>
      </w:r>
    </w:p>
    <w:p>
      <w:pPr>
        <w:snapToGrid w:val="0"/>
        <w:spacing w:before="156" w:beforeLines="50" w:after="50" w:line="380" w:lineRule="exact"/>
        <w:ind w:firstLine="480" w:firstLineChars="200"/>
        <w:rPr>
          <w:rFonts w:ascii="宋体" w:hAnsi="宋体"/>
          <w:color w:val="000000" w:themeColor="text1"/>
          <w:kern w:val="0"/>
          <w:sz w:val="24"/>
          <w:highlight w:val="none"/>
          <w:lang w:val="af-ZA"/>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w:t>
      </w: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仿宋_GB2312"/>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kern w:val="0"/>
          <w:sz w:val="24"/>
          <w:highlight w:val="none"/>
          <w14:textFill>
            <w14:solidFill>
              <w14:schemeClr w14:val="tx1"/>
            </w14:solidFill>
          </w14:textFill>
        </w:rPr>
        <w:t>保证，</w:t>
      </w:r>
      <w:r>
        <w:rPr>
          <w:rFonts w:hint="eastAsia" w:ascii="宋体" w:hAnsi="宋体"/>
          <w:color w:val="000000" w:themeColor="text1"/>
          <w:kern w:val="0"/>
          <w:sz w:val="24"/>
          <w:highlight w:val="none"/>
          <w:lang w:val="af-ZA"/>
          <w14:textFill>
            <w14:solidFill>
              <w14:schemeClr w14:val="tx1"/>
            </w14:solidFill>
          </w14:textFill>
        </w:rPr>
        <w:t>采购人在中华人民共和国境内使用</w:t>
      </w: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仿宋_GB2312"/>
          <w:color w:val="000000" w:themeColor="text1"/>
          <w:kern w:val="0"/>
          <w:sz w:val="24"/>
          <w:highlight w:val="none"/>
          <w:lang w:val="zh-CN"/>
          <w14:textFill>
            <w14:solidFill>
              <w14:schemeClr w14:val="tx1"/>
            </w14:solidFill>
          </w14:textFill>
        </w:rPr>
        <w:t>公司</w:t>
      </w:r>
      <w:r>
        <w:rPr>
          <w:rFonts w:hint="eastAsia" w:ascii="宋体" w:hAnsi="宋体"/>
          <w:color w:val="000000" w:themeColor="text1"/>
          <w:kern w:val="0"/>
          <w:sz w:val="24"/>
          <w:highlight w:val="none"/>
          <w:lang w:val="af-ZA"/>
          <w14:textFill>
            <w14:solidFill>
              <w14:schemeClr w14:val="tx1"/>
            </w14:solidFill>
          </w14:textFill>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000000" w:themeColor="text1"/>
          <w:kern w:val="0"/>
          <w:sz w:val="24"/>
          <w:highlight w:val="none"/>
          <w:lang w:val="af-ZA"/>
          <w14:textFill>
            <w14:solidFill>
              <w14:schemeClr w14:val="tx1"/>
            </w14:solidFill>
          </w14:textFill>
        </w:rPr>
        <w:t>我方</w:t>
      </w:r>
      <w:r>
        <w:rPr>
          <w:rFonts w:hint="eastAsia" w:ascii="宋体" w:hAnsi="宋体"/>
          <w:color w:val="000000" w:themeColor="text1"/>
          <w:kern w:val="0"/>
          <w:sz w:val="24"/>
          <w:highlight w:val="none"/>
          <w:lang w:val="af-ZA"/>
          <w14:textFill>
            <w14:solidFill>
              <w14:schemeClr w14:val="tx1"/>
            </w14:solidFill>
          </w14:textFill>
        </w:rPr>
        <w:t>承担。</w:t>
      </w:r>
      <w:r>
        <w:rPr>
          <w:rFonts w:hint="eastAsia" w:ascii="宋体" w:hAnsi="宋体" w:cs="宋体"/>
          <w:color w:val="000000" w:themeColor="text1"/>
          <w:kern w:val="0"/>
          <w:sz w:val="24"/>
          <w:highlight w:val="none"/>
          <w:lang w:val="af-ZA"/>
          <w14:textFill>
            <w14:solidFill>
              <w14:schemeClr w14:val="tx1"/>
            </w14:solidFill>
          </w14:textFill>
        </w:rPr>
        <w:t>我方的</w:t>
      </w:r>
      <w:r>
        <w:rPr>
          <w:rFonts w:hint="eastAsia" w:ascii="宋体" w:hAnsi="宋体"/>
          <w:color w:val="000000" w:themeColor="text1"/>
          <w:kern w:val="0"/>
          <w:sz w:val="24"/>
          <w:highlight w:val="none"/>
          <w:lang w:val="af-ZA"/>
          <w14:textFill>
            <w14:solidFill>
              <w14:schemeClr w14:val="tx1"/>
            </w14:solidFill>
          </w14:textFill>
        </w:rPr>
        <w:t>投标报价</w:t>
      </w:r>
      <w:r>
        <w:rPr>
          <w:rFonts w:hint="eastAsia" w:ascii="宋体" w:hAnsi="宋体" w:cs="宋体"/>
          <w:color w:val="000000" w:themeColor="text1"/>
          <w:kern w:val="0"/>
          <w:sz w:val="24"/>
          <w:highlight w:val="none"/>
          <w:lang w:val="af-ZA"/>
          <w14:textFill>
            <w14:solidFill>
              <w14:schemeClr w14:val="tx1"/>
            </w14:solidFill>
          </w14:textFill>
        </w:rPr>
        <w:t>已</w:t>
      </w:r>
      <w:r>
        <w:rPr>
          <w:rFonts w:hint="eastAsia" w:ascii="宋体" w:hAnsi="宋体"/>
          <w:color w:val="000000" w:themeColor="text1"/>
          <w:kern w:val="0"/>
          <w:sz w:val="24"/>
          <w:highlight w:val="none"/>
          <w:lang w:val="af-ZA"/>
          <w14:textFill>
            <w14:solidFill>
              <w14:schemeClr w14:val="tx1"/>
            </w14:solidFill>
          </w14:textFill>
        </w:rPr>
        <w:t>包含所有应向所有权人支付的专利权、商标权或其它知识产权的一切相关费用。</w:t>
      </w:r>
    </w:p>
    <w:p>
      <w:pPr>
        <w:snapToGrid w:val="0"/>
        <w:spacing w:before="156" w:beforeLines="50" w:after="50" w:line="380" w:lineRule="exact"/>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af-ZA"/>
          <w14:textFill>
            <w14:solidFill>
              <w14:schemeClr w14:val="tx1"/>
            </w14:solidFill>
          </w14:textFill>
        </w:rPr>
        <w:t>5、我</w:t>
      </w:r>
      <w:r>
        <w:rPr>
          <w:rFonts w:hint="eastAsia" w:ascii="宋体" w:hAnsi="宋体" w:cs="宋体"/>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kern w:val="0"/>
          <w:sz w:val="24"/>
          <w:highlight w:val="none"/>
          <w:lang w:val="af-ZA"/>
          <w14:textFill>
            <w14:solidFill>
              <w14:schemeClr w14:val="tx1"/>
            </w14:solidFill>
          </w14:textFill>
        </w:rPr>
        <w:t>严格履行政府采购合同，不降低合同约定的产品质量和服务，不擅自变更、中止、终止合同，或拒绝履行合同义务；</w:t>
      </w:r>
    </w:p>
    <w:p>
      <w:pPr>
        <w:snapToGrid w:val="0"/>
        <w:spacing w:before="156" w:beforeLines="50" w:after="50" w:line="38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6、以上事项如有虚假或隐瞒，我</w:t>
      </w:r>
      <w:r>
        <w:rPr>
          <w:rFonts w:hint="eastAsia" w:ascii="宋体" w:hAnsi="宋体" w:cs="仿宋_GB2312"/>
          <w:color w:val="000000" w:themeColor="text1"/>
          <w:kern w:val="0"/>
          <w:sz w:val="24"/>
          <w:highlight w:val="none"/>
          <w:lang w:val="zh-CN"/>
          <w14:textFill>
            <w14:solidFill>
              <w14:schemeClr w14:val="tx1"/>
            </w14:solidFill>
          </w14:textFill>
        </w:rPr>
        <w:t>公司</w:t>
      </w:r>
      <w:r>
        <w:rPr>
          <w:rFonts w:hint="eastAsia" w:ascii="宋体" w:hAnsi="宋体"/>
          <w:color w:val="000000" w:themeColor="text1"/>
          <w:sz w:val="24"/>
          <w:highlight w:val="none"/>
          <w14:textFill>
            <w14:solidFill>
              <w14:schemeClr w14:val="tx1"/>
            </w14:solidFill>
          </w14:textFill>
        </w:rPr>
        <w:t>愿意承担一切后果，并不再寻求任何旨在减轻或免除法律责任的辩解。</w:t>
      </w:r>
    </w:p>
    <w:p>
      <w:pPr>
        <w:adjustRightInd w:val="0"/>
        <w:snapToGrid w:val="0"/>
        <w:spacing w:line="380" w:lineRule="exact"/>
        <w:ind w:firstLine="480"/>
        <w:rPr>
          <w:rFonts w:ascii="宋体" w:hAnsi="宋体" w:cs="仿宋_GB2312"/>
          <w:color w:val="000000" w:themeColor="text1"/>
          <w:kern w:val="0"/>
          <w:sz w:val="24"/>
          <w:highlight w:val="none"/>
          <w14:textFill>
            <w14:solidFill>
              <w14:schemeClr w14:val="tx1"/>
            </w14:solidFill>
          </w14:textFill>
        </w:rPr>
      </w:pPr>
    </w:p>
    <w:p>
      <w:pPr>
        <w:adjustRightInd w:val="0"/>
        <w:snapToGrid w:val="0"/>
        <w:spacing w:line="380" w:lineRule="exact"/>
        <w:ind w:firstLine="4680" w:firstLineChars="1950"/>
        <w:rPr>
          <w:rFonts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 xml:space="preserve">    投标人名称(公章)：</w:t>
      </w:r>
    </w:p>
    <w:p>
      <w:pPr>
        <w:adjustRightInd w:val="0"/>
        <w:snapToGrid w:val="0"/>
        <w:spacing w:line="380" w:lineRule="exact"/>
        <w:rPr>
          <w:rFonts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 xml:space="preserve">                                       法定代表人或授权委托人(签字)：</w:t>
      </w:r>
    </w:p>
    <w:p>
      <w:pPr>
        <w:adjustRightInd w:val="0"/>
        <w:snapToGrid w:val="0"/>
        <w:spacing w:line="380" w:lineRule="exact"/>
        <w:ind w:right="480"/>
        <w:jc w:val="center"/>
        <w:rPr>
          <w:rFonts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 xml:space="preserve">                                  日期：</w:t>
      </w:r>
      <w:r>
        <w:rPr>
          <w:rFonts w:hint="eastAsia" w:ascii="宋体" w:hAnsi="宋体" w:cstheme="minorBidi"/>
          <w:color w:val="000000" w:themeColor="text1"/>
          <w:sz w:val="24"/>
          <w:highlight w:val="none"/>
          <w14:textFill>
            <w14:solidFill>
              <w14:schemeClr w14:val="tx1"/>
            </w14:solidFill>
          </w14:textFill>
        </w:rPr>
        <w:t xml:space="preserve">    </w:t>
      </w:r>
      <w:r>
        <w:rPr>
          <w:rFonts w:hint="eastAsia" w:ascii="宋体" w:hAnsi="宋体" w:cs="仿宋_GB2312"/>
          <w:color w:val="000000" w:themeColor="text1"/>
          <w:kern w:val="0"/>
          <w:sz w:val="24"/>
          <w:highlight w:val="none"/>
          <w:lang w:val="zh-CN"/>
          <w14:textFill>
            <w14:solidFill>
              <w14:schemeClr w14:val="tx1"/>
            </w14:solidFill>
          </w14:textFill>
        </w:rPr>
        <w:t xml:space="preserve">年 </w:t>
      </w:r>
      <w:r>
        <w:rPr>
          <w:rFonts w:hint="eastAsia" w:ascii="宋体" w:hAnsi="宋体" w:cstheme="minorBidi"/>
          <w:color w:val="000000" w:themeColor="text1"/>
          <w:sz w:val="24"/>
          <w:highlight w:val="none"/>
          <w14:textFill>
            <w14:solidFill>
              <w14:schemeClr w14:val="tx1"/>
            </w14:solidFill>
          </w14:textFill>
        </w:rPr>
        <w:t xml:space="preserve">   </w:t>
      </w:r>
      <w:r>
        <w:rPr>
          <w:rFonts w:hint="eastAsia" w:ascii="宋体" w:hAnsi="宋体" w:cs="仿宋_GB2312"/>
          <w:color w:val="000000" w:themeColor="text1"/>
          <w:kern w:val="0"/>
          <w:sz w:val="24"/>
          <w:highlight w:val="none"/>
          <w:lang w:val="zh-CN"/>
          <w14:textFill>
            <w14:solidFill>
              <w14:schemeClr w14:val="tx1"/>
            </w14:solidFill>
          </w14:textFill>
        </w:rPr>
        <w:t xml:space="preserve">月 </w:t>
      </w:r>
      <w:r>
        <w:rPr>
          <w:rFonts w:hint="eastAsia" w:ascii="宋体" w:hAnsi="宋体" w:cstheme="minorBidi"/>
          <w:color w:val="000000" w:themeColor="text1"/>
          <w:sz w:val="24"/>
          <w:highlight w:val="none"/>
          <w14:textFill>
            <w14:solidFill>
              <w14:schemeClr w14:val="tx1"/>
            </w14:solidFill>
          </w14:textFill>
        </w:rPr>
        <w:t xml:space="preserve">   </w:t>
      </w:r>
      <w:r>
        <w:rPr>
          <w:rFonts w:hint="eastAsia" w:ascii="宋体" w:hAnsi="宋体" w:cs="仿宋_GB2312"/>
          <w:color w:val="000000" w:themeColor="text1"/>
          <w:kern w:val="0"/>
          <w:sz w:val="24"/>
          <w:highlight w:val="none"/>
          <w:lang w:val="zh-CN"/>
          <w14:textFill>
            <w14:solidFill>
              <w14:schemeClr w14:val="tx1"/>
            </w14:solidFill>
          </w14:textFill>
        </w:rPr>
        <w:t xml:space="preserve"> 日</w:t>
      </w:r>
    </w:p>
    <w:p>
      <w:pPr>
        <w:adjustRightInd w:val="0"/>
        <w:snapToGrid w:val="0"/>
        <w:spacing w:line="380" w:lineRule="exact"/>
        <w:ind w:right="480"/>
        <w:rPr>
          <w:rFonts w:ascii="宋体" w:hAnsi="宋体"/>
          <w:b/>
          <w:color w:val="000000" w:themeColor="text1"/>
          <w:sz w:val="28"/>
          <w:highlight w:val="none"/>
          <w14:textFill>
            <w14:solidFill>
              <w14:schemeClr w14:val="tx1"/>
            </w14:solidFill>
          </w14:textFill>
        </w:rPr>
      </w:pPr>
    </w:p>
    <w:p>
      <w:pPr>
        <w:adjustRightInd w:val="0"/>
        <w:snapToGrid w:val="0"/>
        <w:spacing w:line="360" w:lineRule="auto"/>
        <w:ind w:right="480"/>
        <w:rPr>
          <w:rFonts w:ascii="宋体" w:hAnsi="宋体"/>
          <w:b/>
          <w:color w:val="000000" w:themeColor="text1"/>
          <w:sz w:val="28"/>
          <w:highlight w:val="none"/>
          <w14:textFill>
            <w14:solidFill>
              <w14:schemeClr w14:val="tx1"/>
            </w14:solidFill>
          </w14:textFill>
        </w:rPr>
      </w:pPr>
    </w:p>
    <w:p>
      <w:pPr>
        <w:adjustRightInd w:val="0"/>
        <w:snapToGrid w:val="0"/>
        <w:spacing w:line="360" w:lineRule="auto"/>
        <w:ind w:right="480"/>
        <w:rPr>
          <w:rFonts w:ascii="宋体" w:hAnsi="宋体"/>
          <w:b/>
          <w:color w:val="000000" w:themeColor="text1"/>
          <w:sz w:val="28"/>
          <w:highlight w:val="none"/>
          <w14:textFill>
            <w14:solidFill>
              <w14:schemeClr w14:val="tx1"/>
            </w14:solidFill>
          </w14:textFill>
        </w:rPr>
      </w:pPr>
    </w:p>
    <w:p>
      <w:pPr>
        <w:adjustRightInd w:val="0"/>
        <w:snapToGrid w:val="0"/>
        <w:spacing w:line="400" w:lineRule="atLeast"/>
        <w:ind w:right="480"/>
        <w:rPr>
          <w:rFonts w:ascii="宋体" w:hAnsi="宋体"/>
          <w:b/>
          <w:color w:val="000000" w:themeColor="text1"/>
          <w:sz w:val="28"/>
          <w:highlight w:val="none"/>
          <w14:textFill>
            <w14:solidFill>
              <w14:schemeClr w14:val="tx1"/>
            </w14:solidFill>
          </w14:textFill>
        </w:rPr>
      </w:pPr>
    </w:p>
    <w:p>
      <w:pPr>
        <w:adjustRightInd w:val="0"/>
        <w:snapToGrid w:val="0"/>
        <w:spacing w:line="400" w:lineRule="atLeast"/>
        <w:ind w:right="480"/>
        <w:rPr>
          <w:rFonts w:ascii="宋体"/>
          <w:b/>
          <w:color w:val="000000" w:themeColor="text1"/>
          <w:sz w:val="30"/>
          <w:szCs w:val="30"/>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附件3</w:t>
      </w:r>
    </w:p>
    <w:p>
      <w:pPr>
        <w:spacing w:line="400" w:lineRule="atLeast"/>
        <w:ind w:firstLine="321" w:firstLineChars="100"/>
        <w:jc w:val="center"/>
        <w:rPr>
          <w:rFonts w:hAnsi="宋体"/>
          <w:b/>
          <w:color w:val="000000" w:themeColor="text1"/>
          <w:sz w:val="32"/>
          <w:szCs w:val="32"/>
          <w:highlight w:val="none"/>
          <w:u w:val="single"/>
          <w14:textFill>
            <w14:solidFill>
              <w14:schemeClr w14:val="tx1"/>
            </w14:solidFill>
          </w14:textFill>
        </w:rPr>
      </w:pPr>
      <w:r>
        <w:rPr>
          <w:b/>
          <w:color w:val="000000" w:themeColor="text1"/>
          <w:sz w:val="32"/>
          <w:szCs w:val="32"/>
          <w:highlight w:val="none"/>
          <w14:textFill>
            <w14:solidFill>
              <w14:schemeClr w14:val="tx1"/>
            </w14:solidFill>
          </w14:textFill>
        </w:rPr>
        <w:t>授权</w:t>
      </w:r>
      <w:r>
        <w:rPr>
          <w:rFonts w:hint="eastAsia"/>
          <w:b/>
          <w:color w:val="000000" w:themeColor="text1"/>
          <w:sz w:val="32"/>
          <w:szCs w:val="32"/>
          <w:highlight w:val="none"/>
          <w14:textFill>
            <w14:solidFill>
              <w14:schemeClr w14:val="tx1"/>
            </w14:solidFill>
          </w14:textFill>
        </w:rPr>
        <w:t>委托</w:t>
      </w:r>
      <w:r>
        <w:rPr>
          <w:b/>
          <w:color w:val="000000" w:themeColor="text1"/>
          <w:sz w:val="32"/>
          <w:szCs w:val="32"/>
          <w:highlight w:val="none"/>
          <w14:textFill>
            <w14:solidFill>
              <w14:schemeClr w14:val="tx1"/>
            </w14:solidFill>
          </w14:textFill>
        </w:rPr>
        <w:t>书</w:t>
      </w:r>
    </w:p>
    <w:p>
      <w:pPr>
        <w:snapToGrid w:val="0"/>
        <w:spacing w:before="156" w:beforeLines="50" w:after="50" w:line="400" w:lineRule="atLeas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杭州华旗招标代理有限公司：</w:t>
      </w:r>
    </w:p>
    <w:p>
      <w:pPr>
        <w:pStyle w:val="12"/>
        <w:spacing w:line="400" w:lineRule="atLeast"/>
        <w:ind w:left="240" w:hanging="240" w:hangingChars="10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 xml:space="preserve">    </w:t>
      </w:r>
      <w:r>
        <w:rPr>
          <w:rFonts w:hAnsi="宋体"/>
          <w:color w:val="000000" w:themeColor="text1"/>
          <w:sz w:val="24"/>
          <w:highlight w:val="none"/>
          <w:u w:val="single"/>
          <w14:textFill>
            <w14:solidFill>
              <w14:schemeClr w14:val="tx1"/>
            </w14:solidFill>
          </w14:textFill>
        </w:rPr>
        <w:t xml:space="preserve">  （投标人全称）  </w:t>
      </w:r>
      <w:r>
        <w:rPr>
          <w:rFonts w:hAnsi="宋体"/>
          <w:color w:val="000000" w:themeColor="text1"/>
          <w:sz w:val="24"/>
          <w:highlight w:val="none"/>
          <w14:textFill>
            <w14:solidFill>
              <w14:schemeClr w14:val="tx1"/>
            </w14:solidFill>
          </w14:textFill>
        </w:rPr>
        <w:t>法定代表人</w:t>
      </w:r>
      <w:r>
        <w:rPr>
          <w:rFonts w:hint="eastAsia" w:ascii="Arial" w:hAnsi="Arial" w:cs="Arial"/>
          <w:color w:val="000000" w:themeColor="text1"/>
          <w:sz w:val="24"/>
          <w:highlight w:val="none"/>
          <w14:textFill>
            <w14:solidFill>
              <w14:schemeClr w14:val="tx1"/>
            </w14:solidFill>
          </w14:textFill>
        </w:rPr>
        <w:t>（或营业执照中单位负责人）</w:t>
      </w:r>
      <w:r>
        <w:rPr>
          <w:rFonts w:hAnsi="宋体"/>
          <w:color w:val="000000" w:themeColor="text1"/>
          <w:sz w:val="24"/>
          <w:highlight w:val="none"/>
          <w:u w:val="single"/>
          <w14:textFill>
            <w14:solidFill>
              <w14:schemeClr w14:val="tx1"/>
            </w14:solidFill>
          </w14:textFill>
        </w:rPr>
        <w:tab/>
      </w:r>
      <w:r>
        <w:rPr>
          <w:rFonts w:hAnsi="宋体"/>
          <w:color w:val="000000" w:themeColor="text1"/>
          <w:sz w:val="24"/>
          <w:highlight w:val="none"/>
          <w:u w:val="single"/>
          <w14:textFill>
            <w14:solidFill>
              <w14:schemeClr w14:val="tx1"/>
            </w14:solidFill>
          </w14:textFill>
        </w:rPr>
        <w:t>（法定代表</w:t>
      </w:r>
      <w:r>
        <w:rPr>
          <w:rFonts w:hint="eastAsia" w:hAnsi="宋体"/>
          <w:color w:val="000000" w:themeColor="text1"/>
          <w:sz w:val="24"/>
          <w:highlight w:val="none"/>
          <w:u w:val="single"/>
          <w14:textFill>
            <w14:solidFill>
              <w14:schemeClr w14:val="tx1"/>
            </w14:solidFill>
          </w14:textFill>
        </w:rPr>
        <w:t>人</w:t>
      </w:r>
      <w:r>
        <w:rPr>
          <w:rFonts w:hint="eastAsia" w:ascii="Arial" w:hAnsi="Arial" w:cs="Arial"/>
          <w:color w:val="000000" w:themeColor="text1"/>
          <w:sz w:val="24"/>
          <w:highlight w:val="none"/>
          <w:u w:val="single"/>
          <w14:textFill>
            <w14:solidFill>
              <w14:schemeClr w14:val="tx1"/>
            </w14:solidFill>
          </w14:textFill>
        </w:rPr>
        <w:t>或营业执照中单位负责人</w:t>
      </w:r>
      <w:r>
        <w:rPr>
          <w:rFonts w:hAnsi="宋体"/>
          <w:color w:val="000000" w:themeColor="text1"/>
          <w:sz w:val="24"/>
          <w:highlight w:val="none"/>
          <w:u w:val="single"/>
          <w14:textFill>
            <w14:solidFill>
              <w14:schemeClr w14:val="tx1"/>
            </w14:solidFill>
          </w14:textFill>
        </w:rPr>
        <w:t xml:space="preserve">姓名） </w:t>
      </w:r>
      <w:r>
        <w:rPr>
          <w:rFonts w:hAnsi="宋体"/>
          <w:color w:val="000000" w:themeColor="text1"/>
          <w:sz w:val="24"/>
          <w:highlight w:val="none"/>
          <w14:textFill>
            <w14:solidFill>
              <w14:schemeClr w14:val="tx1"/>
            </w14:solidFill>
          </w14:textFill>
        </w:rPr>
        <w:t>授权</w:t>
      </w:r>
      <w:r>
        <w:rPr>
          <w:rFonts w:hint="eastAsia" w:hAnsi="宋体"/>
          <w:color w:val="000000" w:themeColor="text1"/>
          <w:sz w:val="24"/>
          <w:highlight w:val="none"/>
          <w:u w:val="single"/>
          <w14:textFill>
            <w14:solidFill>
              <w14:schemeClr w14:val="tx1"/>
            </w14:solidFill>
          </w14:textFill>
        </w:rPr>
        <w:t xml:space="preserve">   （全权代表</w:t>
      </w:r>
      <w:r>
        <w:rPr>
          <w:rFonts w:hAnsi="宋体"/>
          <w:color w:val="000000" w:themeColor="text1"/>
          <w:sz w:val="24"/>
          <w:highlight w:val="none"/>
          <w:u w:val="single"/>
          <w14:textFill>
            <w14:solidFill>
              <w14:schemeClr w14:val="tx1"/>
            </w14:solidFill>
          </w14:textFill>
        </w:rPr>
        <w:t>姓名</w:t>
      </w:r>
      <w:r>
        <w:rPr>
          <w:rFonts w:hint="eastAsia" w:hAnsi="宋体"/>
          <w:color w:val="000000" w:themeColor="text1"/>
          <w:sz w:val="24"/>
          <w:highlight w:val="none"/>
          <w:u w:val="single"/>
          <w14:textFill>
            <w14:solidFill>
              <w14:schemeClr w14:val="tx1"/>
            </w14:solidFill>
          </w14:textFill>
        </w:rPr>
        <w:t xml:space="preserve">） </w:t>
      </w:r>
      <w:r>
        <w:rPr>
          <w:rFonts w:hAnsi="宋体"/>
          <w:color w:val="000000" w:themeColor="text1"/>
          <w:sz w:val="24"/>
          <w:highlight w:val="none"/>
          <w14:textFill>
            <w14:solidFill>
              <w14:schemeClr w14:val="tx1"/>
            </w14:solidFill>
          </w14:textFill>
        </w:rPr>
        <w:t>为</w:t>
      </w:r>
      <w:r>
        <w:rPr>
          <w:rFonts w:hint="eastAsia" w:hAnsi="宋体"/>
          <w:color w:val="000000" w:themeColor="text1"/>
          <w:sz w:val="24"/>
          <w:highlight w:val="none"/>
          <w14:textFill>
            <w14:solidFill>
              <w14:schemeClr w14:val="tx1"/>
            </w14:solidFill>
          </w14:textFill>
        </w:rPr>
        <w:t>全权代表</w:t>
      </w:r>
      <w:r>
        <w:rPr>
          <w:rFonts w:hAnsi="宋体"/>
          <w:color w:val="000000" w:themeColor="text1"/>
          <w:sz w:val="24"/>
          <w:highlight w:val="none"/>
          <w14:textFill>
            <w14:solidFill>
              <w14:schemeClr w14:val="tx1"/>
            </w14:solidFill>
          </w14:textFill>
        </w:rPr>
        <w:t>，参加贵单位组织的</w:t>
      </w:r>
      <w:r>
        <w:rPr>
          <w:rFonts w:hAnsi="宋体"/>
          <w:color w:val="000000" w:themeColor="text1"/>
          <w:sz w:val="24"/>
          <w:highlight w:val="none"/>
          <w:u w:val="single"/>
          <w14:textFill>
            <w14:solidFill>
              <w14:schemeClr w14:val="tx1"/>
            </w14:solidFill>
          </w14:textFill>
        </w:rPr>
        <w:tab/>
      </w:r>
      <w:r>
        <w:rPr>
          <w:rFonts w:hint="eastAsia" w:hAnsi="宋体"/>
          <w:color w:val="000000" w:themeColor="text1"/>
          <w:sz w:val="24"/>
          <w:highlight w:val="none"/>
          <w:u w:val="single"/>
          <w14:textFill>
            <w14:solidFill>
              <w14:schemeClr w14:val="tx1"/>
            </w14:solidFill>
          </w14:textFill>
        </w:rPr>
        <w:t xml:space="preserve">    </w:t>
      </w:r>
      <w:r>
        <w:rPr>
          <w:rFonts w:hAnsi="宋体"/>
          <w:color w:val="000000" w:themeColor="text1"/>
          <w:sz w:val="24"/>
          <w:highlight w:val="none"/>
          <w14:textFill>
            <w14:solidFill>
              <w14:schemeClr w14:val="tx1"/>
            </w14:solidFill>
          </w14:textFill>
        </w:rPr>
        <w:t>项目的采购活动，并代表我方全权办理针对上述项目的投标、开标、评标、签约等具体事务和签署相关文件。</w:t>
      </w:r>
      <w:r>
        <w:rPr>
          <w:rFonts w:hint="eastAsia" w:hAnsi="宋体"/>
          <w:color w:val="000000" w:themeColor="text1"/>
          <w:sz w:val="24"/>
          <w:highlight w:val="none"/>
          <w14:textFill>
            <w14:solidFill>
              <w14:schemeClr w14:val="tx1"/>
            </w14:solidFill>
          </w14:textFill>
        </w:rPr>
        <w:t>我方对全权代表的签字事项负全部责任。</w:t>
      </w:r>
    </w:p>
    <w:p>
      <w:pPr>
        <w:pStyle w:val="12"/>
        <w:spacing w:line="400" w:lineRule="atLeast"/>
        <w:ind w:left="139" w:leftChars="66"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在撤销授权的书面通知以前，本授权书一直有效。全权代表在授权委托书有效期内签署的所有文件不因授权的撤销而失效。</w:t>
      </w:r>
    </w:p>
    <w:p>
      <w:pPr>
        <w:pStyle w:val="12"/>
        <w:spacing w:line="400" w:lineRule="atLeast"/>
        <w:ind w:left="139" w:leftChars="66"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全权代表无转委托权，特此委托。</w:t>
      </w:r>
    </w:p>
    <w:p>
      <w:pPr>
        <w:spacing w:line="400" w:lineRule="atLeast"/>
        <w:rPr>
          <w:color w:val="000000" w:themeColor="text1"/>
          <w:sz w:val="24"/>
          <w:highlight w:val="none"/>
          <w14:textFill>
            <w14:solidFill>
              <w14:schemeClr w14:val="tx1"/>
            </w14:solidFill>
          </w14:textFill>
        </w:rPr>
      </w:pPr>
    </w:p>
    <w:p>
      <w:pPr>
        <w:spacing w:line="400" w:lineRule="atLeast"/>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法定代表人签字或盖章：</w:t>
      </w:r>
    </w:p>
    <w:p>
      <w:pPr>
        <w:spacing w:line="400" w:lineRule="atLeast"/>
        <w:rPr>
          <w:color w:val="000000" w:themeColor="text1"/>
          <w:sz w:val="24"/>
          <w:highlight w:val="none"/>
          <w14:textFill>
            <w14:solidFill>
              <w14:schemeClr w14:val="tx1"/>
            </w14:solidFill>
          </w14:textFill>
        </w:rPr>
      </w:pPr>
    </w:p>
    <w:p>
      <w:pPr>
        <w:spacing w:line="400" w:lineRule="atLeast"/>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投标人全称（公章）：                              日期：</w:t>
      </w:r>
    </w:p>
    <w:p>
      <w:pPr>
        <w:spacing w:line="400" w:lineRule="atLeast"/>
        <w:rPr>
          <w:color w:val="000000" w:themeColor="text1"/>
          <w:sz w:val="24"/>
          <w:highlight w:val="none"/>
          <w14:textFill>
            <w14:solidFill>
              <w14:schemeClr w14:val="tx1"/>
            </w14:solidFill>
          </w14:textFill>
        </w:rPr>
      </w:pPr>
    </w:p>
    <w:p>
      <w:pPr>
        <w:spacing w:line="400" w:lineRule="atLeast"/>
        <w:rPr>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w:t>
      </w:r>
    </w:p>
    <w:tbl>
      <w:tblPr>
        <w:tblStyle w:val="2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trPr>
        <w:tc>
          <w:tcPr>
            <w:tcW w:w="4080" w:type="dxa"/>
          </w:tcPr>
          <w:p>
            <w:pPr>
              <w:spacing w:line="400" w:lineRule="atLeast"/>
              <w:rPr>
                <w:rFonts w:ascii="宋体"/>
                <w:b/>
                <w:color w:val="000000" w:themeColor="text1"/>
                <w:sz w:val="24"/>
                <w:highlight w:val="none"/>
                <w14:textFill>
                  <w14:solidFill>
                    <w14:schemeClr w14:val="tx1"/>
                  </w14:solidFill>
                </w14:textFill>
              </w:rPr>
            </w:pPr>
          </w:p>
          <w:p>
            <w:pPr>
              <w:spacing w:line="400" w:lineRule="atLeast"/>
              <w:ind w:firstLine="361" w:firstLineChars="150"/>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法定代表身份证复印件粘帖处</w:t>
            </w:r>
          </w:p>
        </w:tc>
      </w:tr>
    </w:tbl>
    <w:p>
      <w:pPr>
        <w:spacing w:line="400" w:lineRule="atLeast"/>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法定代表人姓名：                                 </w:t>
      </w:r>
    </w:p>
    <w:p>
      <w:pPr>
        <w:spacing w:line="400" w:lineRule="atLeast"/>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传真：</w:t>
      </w:r>
    </w:p>
    <w:p>
      <w:pPr>
        <w:spacing w:line="400" w:lineRule="atLeas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电话：</w:t>
      </w:r>
    </w:p>
    <w:p>
      <w:pPr>
        <w:spacing w:line="400" w:lineRule="atLeast"/>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详细通讯地址：</w:t>
      </w:r>
    </w:p>
    <w:p>
      <w:pPr>
        <w:spacing w:line="400" w:lineRule="atLeas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邮政编码：</w:t>
      </w:r>
    </w:p>
    <w:p>
      <w:pPr>
        <w:spacing w:line="400" w:lineRule="atLeast"/>
        <w:rPr>
          <w:b/>
          <w:color w:val="000000" w:themeColor="text1"/>
          <w:sz w:val="24"/>
          <w:highlight w:val="none"/>
          <w14:textFill>
            <w14:solidFill>
              <w14:schemeClr w14:val="tx1"/>
            </w14:solidFill>
          </w14:textFill>
        </w:rPr>
      </w:pPr>
    </w:p>
    <w:tbl>
      <w:tblPr>
        <w:tblStyle w:val="2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trPr>
        <w:tc>
          <w:tcPr>
            <w:tcW w:w="4080" w:type="dxa"/>
          </w:tcPr>
          <w:p>
            <w:pPr>
              <w:spacing w:line="400" w:lineRule="atLeast"/>
              <w:rPr>
                <w:rFonts w:ascii="宋体"/>
                <w:b/>
                <w:color w:val="000000" w:themeColor="text1"/>
                <w:sz w:val="24"/>
                <w:highlight w:val="none"/>
                <w14:textFill>
                  <w14:solidFill>
                    <w14:schemeClr w14:val="tx1"/>
                  </w14:solidFill>
                </w14:textFill>
              </w:rPr>
            </w:pPr>
          </w:p>
          <w:p>
            <w:pPr>
              <w:spacing w:line="400" w:lineRule="atLeast"/>
              <w:ind w:firstLine="361" w:firstLineChars="150"/>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全权代表身份证复印件粘帖处</w:t>
            </w:r>
          </w:p>
        </w:tc>
      </w:tr>
    </w:tbl>
    <w:p>
      <w:pPr>
        <w:spacing w:line="400" w:lineRule="atLeas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全权代表姓名：       </w:t>
      </w:r>
    </w:p>
    <w:p>
      <w:pPr>
        <w:spacing w:line="400" w:lineRule="atLeast"/>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职务：                           </w:t>
      </w:r>
    </w:p>
    <w:p>
      <w:pPr>
        <w:spacing w:line="400" w:lineRule="atLeast"/>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传真：</w:t>
      </w:r>
    </w:p>
    <w:p>
      <w:pPr>
        <w:spacing w:line="400" w:lineRule="atLeas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电话：</w:t>
      </w:r>
    </w:p>
    <w:p>
      <w:pPr>
        <w:spacing w:line="400" w:lineRule="atLeast"/>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详细通讯地址：</w:t>
      </w:r>
    </w:p>
    <w:p>
      <w:pPr>
        <w:spacing w:line="400" w:lineRule="atLeas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邮政编码：</w:t>
      </w:r>
    </w:p>
    <w:p>
      <w:pPr>
        <w:snapToGrid w:val="0"/>
        <w:spacing w:before="156" w:beforeLines="50" w:after="50" w:line="380" w:lineRule="atLeast"/>
        <w:rPr>
          <w:rFonts w:ascii="宋体" w:hAnsi="宋体"/>
          <w:b/>
          <w:color w:val="000000" w:themeColor="text1"/>
          <w:sz w:val="28"/>
          <w:highlight w:val="none"/>
          <w14:textFill>
            <w14:solidFill>
              <w14:schemeClr w14:val="tx1"/>
            </w14:solidFill>
          </w14:textFill>
        </w:rPr>
      </w:pPr>
    </w:p>
    <w:p>
      <w:pPr>
        <w:snapToGrid w:val="0"/>
        <w:spacing w:before="156" w:beforeLines="50" w:after="50" w:line="380" w:lineRule="atLeast"/>
        <w:rPr>
          <w:rFonts w:ascii="宋体" w:hAnsi="宋体"/>
          <w:b/>
          <w:color w:val="000000" w:themeColor="text1"/>
          <w:sz w:val="28"/>
          <w:highlight w:val="none"/>
          <w14:textFill>
            <w14:solidFill>
              <w14:schemeClr w14:val="tx1"/>
            </w14:solidFill>
          </w14:textFill>
        </w:rPr>
      </w:pPr>
    </w:p>
    <w:p>
      <w:pPr>
        <w:snapToGrid w:val="0"/>
        <w:spacing w:before="156" w:beforeLines="50" w:after="50" w:line="380" w:lineRule="atLeast"/>
        <w:rPr>
          <w:rFonts w:ascii="仿宋_GB2312" w:hAnsi="宋体" w:eastAsia="仿宋_GB2312"/>
          <w:b/>
          <w:color w:val="000000" w:themeColor="text1"/>
          <w:sz w:val="30"/>
          <w:szCs w:val="30"/>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附件4：</w:t>
      </w:r>
    </w:p>
    <w:p>
      <w:pPr>
        <w:snapToGrid w:val="0"/>
        <w:spacing w:before="156" w:beforeLines="50" w:after="50" w:line="360" w:lineRule="auto"/>
        <w:jc w:val="right"/>
        <w:rPr>
          <w:rFonts w:ascii="仿宋_GB2312" w:hAnsi="宋体" w:eastAsia="仿宋_GB2312"/>
          <w:bCs/>
          <w:color w:val="000000" w:themeColor="text1"/>
          <w:sz w:val="30"/>
          <w:szCs w:val="30"/>
          <w:highlight w:val="none"/>
          <w14:textFill>
            <w14:solidFill>
              <w14:schemeClr w14:val="tx1"/>
            </w14:solidFill>
          </w14:textFill>
        </w:rPr>
      </w:pPr>
    </w:p>
    <w:p>
      <w:pPr>
        <w:spacing w:line="360" w:lineRule="auto"/>
        <w:ind w:right="-110"/>
        <w:jc w:val="center"/>
        <w:rPr>
          <w:rFonts w:ascii="宋体" w:hAnsi="宋体"/>
          <w:color w:val="000000" w:themeColor="text1"/>
          <w:spacing w:val="40"/>
          <w:sz w:val="52"/>
          <w:szCs w:val="52"/>
          <w:highlight w:val="none"/>
          <w14:textFill>
            <w14:solidFill>
              <w14:schemeClr w14:val="tx1"/>
            </w14:solidFill>
          </w14:textFill>
        </w:rPr>
      </w:pPr>
      <w:r>
        <w:rPr>
          <w:rFonts w:hint="eastAsia" w:ascii="宋体" w:hAnsi="宋体"/>
          <w:color w:val="000000" w:themeColor="text1"/>
          <w:spacing w:val="40"/>
          <w:sz w:val="52"/>
          <w:szCs w:val="52"/>
          <w:highlight w:val="none"/>
          <w14:textFill>
            <w14:solidFill>
              <w14:schemeClr w14:val="tx1"/>
            </w14:solidFill>
          </w14:textFill>
        </w:rPr>
        <w:t>玉环市人民医院健共体集团基于集成平台的信息系统建设</w:t>
      </w:r>
    </w:p>
    <w:p>
      <w:pPr>
        <w:spacing w:before="312" w:beforeLines="100" w:line="360" w:lineRule="auto"/>
        <w:ind w:right="-108"/>
        <w:jc w:val="center"/>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项目编号：</w:t>
      </w:r>
      <w:r>
        <w:rPr>
          <w:rFonts w:hint="eastAsia" w:ascii="宋体" w:hAnsi="宋体"/>
          <w:color w:val="000000" w:themeColor="text1"/>
          <w:sz w:val="36"/>
          <w:szCs w:val="36"/>
          <w:highlight w:val="none"/>
          <w:lang w:eastAsia="zh-CN"/>
          <w14:textFill>
            <w14:solidFill>
              <w14:schemeClr w14:val="tx1"/>
            </w14:solidFill>
          </w14:textFill>
        </w:rPr>
        <w:t>HQ-YHZFCG-2019-72</w:t>
      </w:r>
      <w:r>
        <w:rPr>
          <w:rFonts w:hint="eastAsia" w:ascii="宋体" w:hAnsi="宋体"/>
          <w:color w:val="000000" w:themeColor="text1"/>
          <w:sz w:val="36"/>
          <w:szCs w:val="36"/>
          <w:highlight w:val="none"/>
          <w14:textFill>
            <w14:solidFill>
              <w14:schemeClr w14:val="tx1"/>
            </w14:solidFill>
          </w14:textFill>
        </w:rPr>
        <w:t xml:space="preserve"> </w:t>
      </w:r>
    </w:p>
    <w:p>
      <w:pP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p>
    <w:p>
      <w:pP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投</w:t>
      </w:r>
    </w:p>
    <w:p>
      <w:pP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标</w:t>
      </w:r>
    </w:p>
    <w:p>
      <w:pPr>
        <w:autoSpaceDE w:val="0"/>
        <w:autoSpaceDN w:val="0"/>
        <w:adjustRightInd w:val="0"/>
        <w:spacing w:line="360" w:lineRule="auto"/>
        <w:jc w:val="center"/>
        <w:rPr>
          <w:rFonts w:ascii="宋体" w:hAnsi="宋体"/>
          <w:color w:val="000000" w:themeColor="text1"/>
          <w:sz w:val="84"/>
          <w:szCs w:val="84"/>
          <w:highlight w:val="none"/>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文</w:t>
      </w:r>
    </w:p>
    <w:p>
      <w:pPr>
        <w:spacing w:after="100" w:afterAutospacing="1" w:line="360" w:lineRule="auto"/>
        <w:ind w:right="-108"/>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件</w:t>
      </w:r>
    </w:p>
    <w:p>
      <w:pPr>
        <w:spacing w:after="100" w:afterAutospacing="1" w:line="360" w:lineRule="auto"/>
        <w:ind w:right="-108"/>
        <w:jc w:val="center"/>
        <w:rPr>
          <w:rFonts w:ascii="宋体" w:hAnsi="宋体"/>
          <w:b/>
          <w:color w:val="000000" w:themeColor="text1"/>
          <w:spacing w:val="40"/>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zh-CN"/>
          <w14:textFill>
            <w14:solidFill>
              <w14:schemeClr w14:val="tx1"/>
            </w14:solidFill>
          </w14:textFill>
        </w:rPr>
        <w:t>（</w:t>
      </w:r>
      <w:r>
        <w:rPr>
          <w:rFonts w:hint="eastAsia" w:ascii="宋体" w:hAnsi="宋体"/>
          <w:bCs/>
          <w:color w:val="000000" w:themeColor="text1"/>
          <w:sz w:val="24"/>
          <w:highlight w:val="none"/>
          <w:lang w:val="zh-CN"/>
          <w14:textFill>
            <w14:solidFill>
              <w14:schemeClr w14:val="tx1"/>
            </w14:solidFill>
          </w14:textFill>
        </w:rPr>
        <w:t>商务与技术文件</w:t>
      </w:r>
      <w:r>
        <w:rPr>
          <w:rFonts w:hint="eastAsia" w:ascii="宋体" w:hAnsi="宋体"/>
          <w:b/>
          <w:color w:val="000000" w:themeColor="text1"/>
          <w:spacing w:val="40"/>
          <w:sz w:val="28"/>
          <w:szCs w:val="28"/>
          <w:highlight w:val="none"/>
          <w14:textFill>
            <w14:solidFill>
              <w14:schemeClr w14:val="tx1"/>
            </w14:solidFill>
          </w14:textFill>
        </w:rPr>
        <w:t>）</w:t>
      </w:r>
    </w:p>
    <w:p>
      <w:pPr>
        <w:spacing w:line="360" w:lineRule="auto"/>
        <w:ind w:right="532"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投标人全称（公章）：</w:t>
      </w:r>
    </w:p>
    <w:p>
      <w:pPr>
        <w:spacing w:line="360" w:lineRule="auto"/>
        <w:ind w:right="532"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地    址：</w:t>
      </w:r>
    </w:p>
    <w:p>
      <w:pPr>
        <w:spacing w:line="360" w:lineRule="auto"/>
        <w:ind w:right="532"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时    间：</w:t>
      </w:r>
    </w:p>
    <w:p>
      <w:pPr>
        <w:spacing w:line="360" w:lineRule="auto"/>
        <w:ind w:right="532" w:firstLine="720" w:firstLineChars="200"/>
        <w:rPr>
          <w:rFonts w:ascii="宋体" w:hAnsi="宋体"/>
          <w:color w:val="000000" w:themeColor="text1"/>
          <w:sz w:val="36"/>
          <w:szCs w:val="36"/>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snapToGrid w:val="0"/>
        <w:spacing w:before="50" w:after="50" w:line="360" w:lineRule="auto"/>
        <w:rPr>
          <w:rFonts w:ascii="仿宋_GB2312" w:hAnsi="宋体" w:eastAsia="仿宋_GB2312"/>
          <w:b/>
          <w:color w:val="000000" w:themeColor="text1"/>
          <w:sz w:val="36"/>
          <w:szCs w:val="36"/>
          <w:highlight w:val="none"/>
          <w14:textFill>
            <w14:solidFill>
              <w14:schemeClr w14:val="tx1"/>
            </w14:solidFill>
          </w14:textFill>
        </w:rPr>
      </w:pPr>
    </w:p>
    <w:p>
      <w:pPr>
        <w:snapToGrid w:val="0"/>
        <w:spacing w:before="50" w:after="50" w:line="360" w:lineRule="auto"/>
        <w:jc w:val="center"/>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lang w:val="zh-CN"/>
          <w14:textFill>
            <w14:solidFill>
              <w14:schemeClr w14:val="tx1"/>
            </w14:solidFill>
          </w14:textFill>
        </w:rPr>
        <w:t>商务与技术文件</w:t>
      </w:r>
      <w:r>
        <w:rPr>
          <w:rFonts w:hint="eastAsia" w:ascii="宋体" w:hAnsi="宋体"/>
          <w:b/>
          <w:bCs/>
          <w:color w:val="000000" w:themeColor="text1"/>
          <w:sz w:val="32"/>
          <w:szCs w:val="32"/>
          <w:highlight w:val="none"/>
          <w14:textFill>
            <w14:solidFill>
              <w14:schemeClr w14:val="tx1"/>
            </w14:solidFill>
          </w14:textFill>
        </w:rPr>
        <w:t>目录</w:t>
      </w:r>
    </w:p>
    <w:p>
      <w:pPr>
        <w:snapToGrid w:val="0"/>
        <w:spacing w:line="360" w:lineRule="auto"/>
        <w:rPr>
          <w:rFonts w:ascii="宋体" w:hAnsi="宋体"/>
          <w:color w:val="000000" w:themeColor="text1"/>
          <w:sz w:val="24"/>
          <w:highlight w:val="none"/>
          <w14:textFill>
            <w14:solidFill>
              <w14:schemeClr w14:val="tx1"/>
            </w14:solidFill>
          </w14:textFill>
        </w:rPr>
      </w:pPr>
    </w:p>
    <w:p>
      <w:pPr>
        <w:snapToGrid w:val="0"/>
        <w:spacing w:line="360" w:lineRule="auto"/>
        <w:ind w:firstLine="562" w:firstLineChars="200"/>
        <w:rPr>
          <w:rFonts w:ascii="宋体" w:hAnsi="宋体"/>
          <w:b/>
          <w:bCs/>
          <w:color w:val="000000" w:themeColor="text1"/>
          <w:sz w:val="28"/>
          <w:szCs w:val="28"/>
          <w:highlight w:val="none"/>
          <w14:textFill>
            <w14:solidFill>
              <w14:schemeClr w14:val="tx1"/>
            </w14:solidFill>
          </w14:textFill>
        </w:rPr>
      </w:pPr>
      <w:r>
        <w:rPr>
          <w:rFonts w:hint="eastAsia" w:ascii="宋体" w:hAnsi="宋体"/>
          <w:b/>
          <w:bCs/>
          <w:color w:val="000000" w:themeColor="text1"/>
          <w:sz w:val="28"/>
          <w:szCs w:val="28"/>
          <w:highlight w:val="none"/>
          <w14:textFill>
            <w14:solidFill>
              <w14:schemeClr w14:val="tx1"/>
            </w14:solidFill>
          </w14:textFill>
        </w:rPr>
        <w:t>第一部分  技术方案描述部分</w:t>
      </w:r>
    </w:p>
    <w:p>
      <w:pPr>
        <w:snapToGrid w:val="0"/>
        <w:spacing w:line="360" w:lineRule="auto"/>
        <w:ind w:firstLine="560" w:firstLineChars="200"/>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1、</w:t>
      </w:r>
      <w:r>
        <w:rPr>
          <w:rFonts w:hint="eastAsia" w:ascii="宋体" w:hAnsi="宋体" w:cs="宋体"/>
          <w:color w:val="000000" w:themeColor="text1"/>
          <w:sz w:val="28"/>
          <w:szCs w:val="28"/>
          <w:highlight w:val="none"/>
          <w14:textFill>
            <w14:solidFill>
              <w14:schemeClr w14:val="tx1"/>
            </w14:solidFill>
          </w14:textFill>
        </w:rPr>
        <w:t>投标人情况介绍</w:t>
      </w:r>
      <w:r>
        <w:rPr>
          <w:rFonts w:hint="eastAsia" w:ascii="宋体" w:hAnsi="宋体"/>
          <w:color w:val="000000" w:themeColor="text1"/>
          <w:sz w:val="28"/>
          <w:szCs w:val="28"/>
          <w:highlight w:val="none"/>
          <w14:textFill>
            <w14:solidFill>
              <w14:schemeClr w14:val="tx1"/>
            </w14:solidFill>
          </w14:textFill>
        </w:rPr>
        <w:t>（附件5）；</w:t>
      </w:r>
    </w:p>
    <w:p>
      <w:pPr>
        <w:snapToGrid w:val="0"/>
        <w:spacing w:line="360" w:lineRule="auto"/>
        <w:ind w:firstLine="560" w:firstLineChars="200"/>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2、</w:t>
      </w:r>
      <w:r>
        <w:rPr>
          <w:rFonts w:hint="eastAsia" w:ascii="宋体" w:hAnsi="宋体" w:cs="宋体"/>
          <w:color w:val="000000" w:themeColor="text1"/>
          <w:sz w:val="28"/>
          <w:szCs w:val="28"/>
          <w:highlight w:val="none"/>
          <w14:textFill>
            <w14:solidFill>
              <w14:schemeClr w14:val="tx1"/>
            </w14:solidFill>
          </w14:textFill>
        </w:rPr>
        <w:t>项目需求的理解与分析</w:t>
      </w:r>
      <w:r>
        <w:rPr>
          <w:rFonts w:hint="eastAsia" w:ascii="宋体" w:hAnsi="宋体"/>
          <w:color w:val="000000" w:themeColor="text1"/>
          <w:sz w:val="28"/>
          <w:szCs w:val="28"/>
          <w:highlight w:val="none"/>
          <w14:textFill>
            <w14:solidFill>
              <w14:schemeClr w14:val="tx1"/>
            </w14:solidFill>
          </w14:textFill>
        </w:rPr>
        <w:t>；</w:t>
      </w:r>
    </w:p>
    <w:p>
      <w:pPr>
        <w:snapToGrid w:val="0"/>
        <w:spacing w:line="360" w:lineRule="auto"/>
        <w:ind w:firstLine="560" w:firstLineChars="200"/>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3、</w:t>
      </w:r>
      <w:r>
        <w:rPr>
          <w:rFonts w:hint="eastAsia" w:ascii="宋体" w:hAnsi="宋体" w:cs="宋体"/>
          <w:color w:val="000000" w:themeColor="text1"/>
          <w:sz w:val="28"/>
          <w:szCs w:val="28"/>
          <w:highlight w:val="none"/>
          <w14:textFill>
            <w14:solidFill>
              <w14:schemeClr w14:val="tx1"/>
            </w14:solidFill>
          </w14:textFill>
        </w:rPr>
        <w:t>项目组织实施方案(附件6、附件7)</w:t>
      </w:r>
      <w:r>
        <w:rPr>
          <w:rFonts w:ascii="宋体" w:hAnsi="宋体"/>
          <w:color w:val="000000" w:themeColor="text1"/>
          <w:sz w:val="28"/>
          <w:szCs w:val="28"/>
          <w:highlight w:val="none"/>
          <w14:textFill>
            <w14:solidFill>
              <w14:schemeClr w14:val="tx1"/>
            </w14:solidFill>
          </w14:textFill>
        </w:rPr>
        <w:t xml:space="preserve">； </w:t>
      </w:r>
    </w:p>
    <w:p>
      <w:pPr>
        <w:snapToGrid w:val="0"/>
        <w:spacing w:line="360" w:lineRule="auto"/>
        <w:ind w:firstLine="560" w:firstLineChars="200"/>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4、</w:t>
      </w:r>
      <w:r>
        <w:rPr>
          <w:rFonts w:hint="eastAsia" w:asciiTheme="minorEastAsia" w:hAnsiTheme="minorEastAsia" w:eastAsiaTheme="minorEastAsia"/>
          <w:color w:val="000000" w:themeColor="text1"/>
          <w:kern w:val="0"/>
          <w:sz w:val="28"/>
          <w:szCs w:val="28"/>
          <w:highlight w:val="none"/>
          <w14:textFill>
            <w14:solidFill>
              <w14:schemeClr w14:val="tx1"/>
            </w14:solidFill>
          </w14:textFill>
        </w:rPr>
        <w:t>技术、服务、安全标准</w:t>
      </w:r>
      <w:r>
        <w:rPr>
          <w:rFonts w:asciiTheme="minorEastAsia" w:hAnsiTheme="minorEastAsia" w:eastAsiaTheme="minorEastAsia"/>
          <w:color w:val="000000" w:themeColor="text1"/>
          <w:kern w:val="0"/>
          <w:sz w:val="28"/>
          <w:szCs w:val="28"/>
          <w:highlight w:val="none"/>
          <w14:textFill>
            <w14:solidFill>
              <w14:schemeClr w14:val="tx1"/>
            </w14:solidFill>
          </w14:textFill>
        </w:rPr>
        <w:t>及验收方案</w:t>
      </w:r>
      <w:r>
        <w:rPr>
          <w:rFonts w:hint="eastAsia" w:ascii="宋体" w:hAnsi="宋体"/>
          <w:color w:val="000000" w:themeColor="text1"/>
          <w:sz w:val="28"/>
          <w:szCs w:val="28"/>
          <w:highlight w:val="none"/>
          <w14:textFill>
            <w14:solidFill>
              <w14:schemeClr w14:val="tx1"/>
            </w14:solidFill>
          </w14:textFill>
        </w:rPr>
        <w:t>；</w:t>
      </w:r>
    </w:p>
    <w:p>
      <w:pPr>
        <w:snapToGrid w:val="0"/>
        <w:spacing w:line="360" w:lineRule="auto"/>
        <w:ind w:firstLine="562" w:firstLineChars="200"/>
        <w:jc w:val="left"/>
        <w:rPr>
          <w:rFonts w:ascii="宋体" w:hAnsi="宋体"/>
          <w:b/>
          <w:bCs/>
          <w:color w:val="000000" w:themeColor="text1"/>
          <w:sz w:val="28"/>
          <w:szCs w:val="28"/>
          <w:highlight w:val="none"/>
          <w14:textFill>
            <w14:solidFill>
              <w14:schemeClr w14:val="tx1"/>
            </w14:solidFill>
          </w14:textFill>
        </w:rPr>
      </w:pPr>
      <w:r>
        <w:rPr>
          <w:rFonts w:hint="eastAsia" w:ascii="宋体" w:hAnsi="宋体"/>
          <w:b/>
          <w:bCs/>
          <w:color w:val="000000" w:themeColor="text1"/>
          <w:sz w:val="28"/>
          <w:szCs w:val="28"/>
          <w:highlight w:val="none"/>
          <w14:textFill>
            <w14:solidFill>
              <w14:schemeClr w14:val="tx1"/>
            </w14:solidFill>
          </w14:textFill>
        </w:rPr>
        <w:t>第二部分  投标产品描述部分</w:t>
      </w:r>
    </w:p>
    <w:p>
      <w:pPr>
        <w:snapToGrid w:val="0"/>
        <w:spacing w:line="360" w:lineRule="auto"/>
        <w:ind w:firstLine="548" w:firstLineChars="196"/>
        <w:rPr>
          <w:rFonts w:ascii="宋体" w:hAnsi="宋体"/>
          <w:color w:val="000000" w:themeColor="text1"/>
          <w:kern w:val="0"/>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1、</w:t>
      </w:r>
      <w:r>
        <w:rPr>
          <w:rFonts w:hint="eastAsia" w:ascii="宋体" w:hAnsi="宋体"/>
          <w:color w:val="000000" w:themeColor="text1"/>
          <w:kern w:val="0"/>
          <w:sz w:val="28"/>
          <w:szCs w:val="28"/>
          <w:highlight w:val="none"/>
          <w14:textFill>
            <w14:solidFill>
              <w14:schemeClr w14:val="tx1"/>
            </w14:solidFill>
          </w14:textFill>
        </w:rPr>
        <w:t>投标产品描述及相关资料（</w:t>
      </w:r>
      <w:r>
        <w:rPr>
          <w:rFonts w:hint="eastAsia" w:ascii="宋体" w:hAnsi="宋体" w:cs="宋体"/>
          <w:color w:val="000000" w:themeColor="text1"/>
          <w:sz w:val="28"/>
          <w:szCs w:val="28"/>
          <w:highlight w:val="none"/>
          <w14:textFill>
            <w14:solidFill>
              <w14:schemeClr w14:val="tx1"/>
            </w14:solidFill>
          </w14:textFill>
        </w:rPr>
        <w:t>附件8、附件9</w:t>
      </w:r>
      <w:r>
        <w:rPr>
          <w:rFonts w:hint="eastAsia" w:ascii="宋体" w:hAnsi="宋体"/>
          <w:color w:val="000000" w:themeColor="text1"/>
          <w:kern w:val="0"/>
          <w:sz w:val="28"/>
          <w:szCs w:val="28"/>
          <w:highlight w:val="none"/>
          <w14:textFill>
            <w14:solidFill>
              <w14:schemeClr w14:val="tx1"/>
            </w14:solidFill>
          </w14:textFill>
        </w:rPr>
        <w:t>）；</w:t>
      </w:r>
    </w:p>
    <w:p>
      <w:pPr>
        <w:snapToGrid w:val="0"/>
        <w:spacing w:line="360" w:lineRule="auto"/>
        <w:ind w:left="837" w:leftChars="260" w:hanging="291" w:hangingChars="104"/>
        <w:rPr>
          <w:rFonts w:ascii="宋体" w:hAnsi="宋体"/>
          <w:color w:val="000000" w:themeColor="text1"/>
          <w:kern w:val="0"/>
          <w:sz w:val="28"/>
          <w:szCs w:val="28"/>
          <w:highlight w:val="none"/>
          <w14:textFill>
            <w14:solidFill>
              <w14:schemeClr w14:val="tx1"/>
            </w14:solidFill>
          </w14:textFill>
        </w:rPr>
      </w:pPr>
      <w:r>
        <w:rPr>
          <w:rFonts w:hint="eastAsia" w:ascii="宋体" w:hAnsi="宋体"/>
          <w:color w:val="000000" w:themeColor="text1"/>
          <w:kern w:val="0"/>
          <w:sz w:val="28"/>
          <w:szCs w:val="28"/>
          <w:highlight w:val="none"/>
          <w14:textFill>
            <w14:solidFill>
              <w14:schemeClr w14:val="tx1"/>
            </w14:solidFill>
          </w14:textFill>
        </w:rPr>
        <w:t>2、</w:t>
      </w:r>
      <w:r>
        <w:rPr>
          <w:rFonts w:hint="eastAsia" w:ascii="宋体" w:hAnsi="宋体"/>
          <w:color w:val="000000" w:themeColor="text1"/>
          <w:sz w:val="28"/>
          <w:szCs w:val="28"/>
          <w:highlight w:val="none"/>
          <w14:textFill>
            <w14:solidFill>
              <w14:schemeClr w14:val="tx1"/>
            </w14:solidFill>
          </w14:textFill>
        </w:rPr>
        <w:t>投标人</w:t>
      </w:r>
      <w:r>
        <w:rPr>
          <w:rFonts w:ascii="宋体" w:hAnsi="宋体"/>
          <w:color w:val="000000" w:themeColor="text1"/>
          <w:sz w:val="28"/>
          <w:szCs w:val="28"/>
          <w:highlight w:val="none"/>
          <w14:textFill>
            <w14:solidFill>
              <w14:schemeClr w14:val="tx1"/>
            </w14:solidFill>
          </w14:textFill>
        </w:rPr>
        <w:t>需要说明的其他</w:t>
      </w:r>
      <w:r>
        <w:rPr>
          <w:rFonts w:hint="eastAsia" w:ascii="宋体" w:hAnsi="宋体"/>
          <w:color w:val="000000" w:themeColor="text1"/>
          <w:sz w:val="28"/>
          <w:szCs w:val="28"/>
          <w:highlight w:val="none"/>
          <w14:textFill>
            <w14:solidFill>
              <w14:schemeClr w14:val="tx1"/>
            </w14:solidFill>
          </w14:textFill>
        </w:rPr>
        <w:t>内容；（</w:t>
      </w:r>
      <w:r>
        <w:rPr>
          <w:rFonts w:hint="eastAsia" w:ascii="宋体" w:hAnsi="宋体" w:cs="宋体"/>
          <w:color w:val="000000" w:themeColor="text1"/>
          <w:sz w:val="28"/>
          <w:szCs w:val="28"/>
          <w:highlight w:val="none"/>
          <w14:textFill>
            <w14:solidFill>
              <w14:schemeClr w14:val="tx1"/>
            </w14:solidFill>
          </w14:textFill>
        </w:rPr>
        <w:t>包括可能影响投标人技术性能评分项的各类证明材料）</w:t>
      </w:r>
    </w:p>
    <w:p>
      <w:pPr>
        <w:snapToGrid w:val="0"/>
        <w:spacing w:line="360" w:lineRule="auto"/>
        <w:ind w:firstLine="551" w:firstLineChars="196"/>
        <w:rPr>
          <w:rFonts w:ascii="宋体" w:hAnsi="宋体"/>
          <w:b/>
          <w:bCs/>
          <w:color w:val="000000" w:themeColor="text1"/>
          <w:kern w:val="0"/>
          <w:sz w:val="28"/>
          <w:szCs w:val="28"/>
          <w:highlight w:val="none"/>
          <w14:textFill>
            <w14:solidFill>
              <w14:schemeClr w14:val="tx1"/>
            </w14:solidFill>
          </w14:textFill>
        </w:rPr>
      </w:pPr>
      <w:r>
        <w:rPr>
          <w:rFonts w:hint="eastAsia" w:ascii="宋体" w:hAnsi="宋体"/>
          <w:b/>
          <w:bCs/>
          <w:color w:val="000000" w:themeColor="text1"/>
          <w:kern w:val="0"/>
          <w:sz w:val="28"/>
          <w:szCs w:val="28"/>
          <w:highlight w:val="none"/>
          <w14:textFill>
            <w14:solidFill>
              <w14:schemeClr w14:val="tx1"/>
            </w14:solidFill>
          </w14:textFill>
        </w:rPr>
        <w:t>第三部分  商务响应部分</w:t>
      </w:r>
    </w:p>
    <w:p>
      <w:pPr>
        <w:snapToGrid w:val="0"/>
        <w:spacing w:line="360" w:lineRule="auto"/>
        <w:ind w:firstLine="548" w:firstLineChars="196"/>
        <w:rPr>
          <w:rFonts w:ascii="宋体" w:hAnsi="宋体"/>
          <w:color w:val="000000" w:themeColor="text1"/>
          <w:kern w:val="0"/>
          <w:sz w:val="28"/>
          <w:szCs w:val="28"/>
          <w:highlight w:val="none"/>
          <w14:textFill>
            <w14:solidFill>
              <w14:schemeClr w14:val="tx1"/>
            </w14:solidFill>
          </w14:textFill>
        </w:rPr>
      </w:pPr>
      <w:r>
        <w:rPr>
          <w:rFonts w:hint="eastAsia" w:ascii="宋体" w:hAnsi="宋体"/>
          <w:color w:val="000000" w:themeColor="text1"/>
          <w:kern w:val="0"/>
          <w:sz w:val="28"/>
          <w:szCs w:val="28"/>
          <w:highlight w:val="none"/>
          <w14:textFill>
            <w14:solidFill>
              <w14:schemeClr w14:val="tx1"/>
            </w14:solidFill>
          </w14:textFill>
        </w:rPr>
        <w:t>1、证书一览表（附件10）；</w:t>
      </w:r>
    </w:p>
    <w:p>
      <w:pPr>
        <w:snapToGrid w:val="0"/>
        <w:spacing w:line="360" w:lineRule="auto"/>
        <w:ind w:firstLine="548" w:firstLineChars="196"/>
        <w:rPr>
          <w:rFonts w:ascii="宋体" w:hAnsi="宋体"/>
          <w:color w:val="000000" w:themeColor="text1"/>
          <w:kern w:val="0"/>
          <w:sz w:val="28"/>
          <w:szCs w:val="28"/>
          <w:highlight w:val="none"/>
          <w14:textFill>
            <w14:solidFill>
              <w14:schemeClr w14:val="tx1"/>
            </w14:solidFill>
          </w14:textFill>
        </w:rPr>
      </w:pPr>
      <w:r>
        <w:rPr>
          <w:rFonts w:hint="eastAsia" w:ascii="宋体" w:hAnsi="宋体"/>
          <w:color w:val="000000" w:themeColor="text1"/>
          <w:kern w:val="0"/>
          <w:sz w:val="28"/>
          <w:szCs w:val="28"/>
          <w:highlight w:val="none"/>
          <w14:textFill>
            <w14:solidFill>
              <w14:schemeClr w14:val="tx1"/>
            </w14:solidFill>
          </w14:textFill>
        </w:rPr>
        <w:t>2、近三年来类似项目的成功案例（附件11）</w:t>
      </w:r>
    </w:p>
    <w:p>
      <w:pPr>
        <w:snapToGrid w:val="0"/>
        <w:spacing w:line="360" w:lineRule="auto"/>
        <w:ind w:firstLine="548" w:firstLineChars="196"/>
        <w:rPr>
          <w:rFonts w:ascii="宋体" w:hAnsi="宋体"/>
          <w:color w:val="000000" w:themeColor="text1"/>
          <w:kern w:val="0"/>
          <w:sz w:val="28"/>
          <w:szCs w:val="28"/>
          <w:highlight w:val="none"/>
          <w14:textFill>
            <w14:solidFill>
              <w14:schemeClr w14:val="tx1"/>
            </w14:solidFill>
          </w14:textFill>
        </w:rPr>
      </w:pPr>
      <w:r>
        <w:rPr>
          <w:rFonts w:hint="eastAsia" w:ascii="宋体" w:hAnsi="宋体"/>
          <w:color w:val="000000" w:themeColor="text1"/>
          <w:kern w:val="0"/>
          <w:sz w:val="28"/>
          <w:szCs w:val="28"/>
          <w:highlight w:val="none"/>
          <w14:textFill>
            <w14:solidFill>
              <w14:schemeClr w14:val="tx1"/>
            </w14:solidFill>
          </w14:textFill>
        </w:rPr>
        <w:t>3、售后服务描述及承诺（附件12，附件13）；</w:t>
      </w:r>
    </w:p>
    <w:p>
      <w:pPr>
        <w:snapToGrid w:val="0"/>
        <w:spacing w:line="360" w:lineRule="auto"/>
        <w:ind w:left="837" w:leftChars="260" w:hanging="291" w:hangingChars="104"/>
        <w:rPr>
          <w:rFonts w:ascii="宋体" w:hAnsi="宋体"/>
          <w:color w:val="000000" w:themeColor="text1"/>
          <w:kern w:val="0"/>
          <w:sz w:val="28"/>
          <w:szCs w:val="28"/>
          <w:highlight w:val="none"/>
          <w14:textFill>
            <w14:solidFill>
              <w14:schemeClr w14:val="tx1"/>
            </w14:solidFill>
          </w14:textFill>
        </w:rPr>
      </w:pPr>
      <w:r>
        <w:rPr>
          <w:rFonts w:hint="eastAsia" w:ascii="宋体" w:hAnsi="宋体"/>
          <w:color w:val="000000" w:themeColor="text1"/>
          <w:kern w:val="0"/>
          <w:sz w:val="28"/>
          <w:szCs w:val="28"/>
          <w:highlight w:val="none"/>
          <w14:textFill>
            <w14:solidFill>
              <w14:schemeClr w14:val="tx1"/>
            </w14:solidFill>
          </w14:textFill>
        </w:rPr>
        <w:t>4、投标人需要说明的其他内容。（包括可能影响投标人企业实力及信誉评分项以及售后服务评分项的各类证明材料）</w:t>
      </w:r>
    </w:p>
    <w:p>
      <w:pPr>
        <w:snapToGrid w:val="0"/>
        <w:spacing w:line="360" w:lineRule="auto"/>
        <w:ind w:firstLine="562" w:firstLineChars="200"/>
        <w:jc w:val="left"/>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第四部分  其他参考表格（此部分视情况选用）</w:t>
      </w:r>
    </w:p>
    <w:p>
      <w:pPr>
        <w:snapToGrid w:val="0"/>
        <w:spacing w:line="360" w:lineRule="auto"/>
        <w:ind w:firstLine="560" w:firstLineChars="200"/>
        <w:jc w:val="lef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1、主要货物用材响应表(附件14)</w:t>
      </w:r>
    </w:p>
    <w:p>
      <w:pPr>
        <w:snapToGrid w:val="0"/>
        <w:spacing w:line="360" w:lineRule="auto"/>
        <w:ind w:left="837" w:leftChars="260" w:hanging="291" w:hangingChars="104"/>
        <w:rPr>
          <w:rFonts w:ascii="宋体" w:hAnsi="宋体"/>
          <w:color w:val="000000" w:themeColor="text1"/>
          <w:kern w:val="0"/>
          <w:sz w:val="28"/>
          <w:szCs w:val="28"/>
          <w:highlight w:val="none"/>
          <w14:textFill>
            <w14:solidFill>
              <w14:schemeClr w14:val="tx1"/>
            </w14:solidFill>
          </w14:textFill>
        </w:rPr>
      </w:pPr>
      <w:r>
        <w:rPr>
          <w:rFonts w:hint="eastAsia" w:ascii="宋体" w:hAnsi="宋体"/>
          <w:color w:val="000000" w:themeColor="text1"/>
          <w:kern w:val="0"/>
          <w:sz w:val="28"/>
          <w:szCs w:val="28"/>
          <w:highlight w:val="none"/>
          <w14:textFill>
            <w14:solidFill>
              <w14:schemeClr w14:val="tx1"/>
            </w14:solidFill>
          </w14:textFill>
        </w:rPr>
        <w:t>（以上内容具体描述详见“第三部分投标人须知”中“三、投标文件”的组成说明）</w:t>
      </w: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1"/>
        <w:shd w:val="clear" w:color="auto" w:fill="FFFFFF"/>
        <w:spacing w:before="0" w:beforeAutospacing="0" w:after="0" w:afterAutospacing="0" w:line="360" w:lineRule="auto"/>
        <w:rPr>
          <w:b/>
          <w:color w:val="000000" w:themeColor="text1"/>
          <w:sz w:val="28"/>
          <w:highlight w:val="none"/>
          <w14:textFill>
            <w14:solidFill>
              <w14:schemeClr w14:val="tx1"/>
            </w14:solidFill>
          </w14:textFill>
        </w:rPr>
      </w:pPr>
      <w:r>
        <w:rPr>
          <w:rFonts w:hint="eastAsia"/>
          <w:b/>
          <w:color w:val="000000" w:themeColor="text1"/>
          <w:sz w:val="28"/>
          <w:highlight w:val="none"/>
          <w14:textFill>
            <w14:solidFill>
              <w14:schemeClr w14:val="tx1"/>
            </w14:solidFill>
          </w14:textFill>
        </w:rPr>
        <w:t>附件5</w:t>
      </w:r>
    </w:p>
    <w:p>
      <w:pPr>
        <w:pStyle w:val="31"/>
        <w:shd w:val="clear" w:color="auto" w:fill="FFFFFF"/>
        <w:spacing w:before="0" w:beforeAutospacing="0" w:after="0" w:afterAutospacing="0" w:line="360" w:lineRule="auto"/>
        <w:jc w:val="center"/>
        <w:rPr>
          <w:b/>
          <w:bCs/>
          <w:color w:val="000000" w:themeColor="text1"/>
          <w:spacing w:val="21"/>
          <w:sz w:val="32"/>
          <w:szCs w:val="32"/>
          <w:highlight w:val="none"/>
          <w14:textFill>
            <w14:solidFill>
              <w14:schemeClr w14:val="tx1"/>
            </w14:solidFill>
          </w14:textFill>
        </w:rPr>
      </w:pPr>
      <w:r>
        <w:rPr>
          <w:rFonts w:hint="eastAsia"/>
          <w:b/>
          <w:color w:val="000000" w:themeColor="text1"/>
          <w:sz w:val="32"/>
          <w:szCs w:val="32"/>
          <w:highlight w:val="none"/>
          <w14:textFill>
            <w14:solidFill>
              <w14:schemeClr w14:val="tx1"/>
            </w14:solidFill>
          </w14:textFill>
        </w:rPr>
        <w:t xml:space="preserve">  投标</w:t>
      </w:r>
      <w:r>
        <w:rPr>
          <w:rFonts w:hint="eastAsia"/>
          <w:b/>
          <w:bCs/>
          <w:color w:val="000000" w:themeColor="text1"/>
          <w:spacing w:val="21"/>
          <w:sz w:val="32"/>
          <w:szCs w:val="32"/>
          <w:highlight w:val="none"/>
          <w14:textFill>
            <w14:solidFill>
              <w14:schemeClr w14:val="tx1"/>
            </w14:solidFill>
          </w14:textFill>
        </w:rPr>
        <w:t>人基本情况表</w:t>
      </w:r>
    </w:p>
    <w:tbl>
      <w:tblPr>
        <w:tblStyle w:val="20"/>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682" w:type="dxa"/>
          </w:tcPr>
          <w:p>
            <w:pPr>
              <w:pStyle w:val="31"/>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企业名称</w:t>
            </w:r>
          </w:p>
        </w:tc>
        <w:tc>
          <w:tcPr>
            <w:tcW w:w="3979" w:type="dxa"/>
            <w:gridSpan w:val="6"/>
          </w:tcPr>
          <w:p>
            <w:pPr>
              <w:pStyle w:val="31"/>
              <w:shd w:val="clear" w:color="auto" w:fill="FFFFFF"/>
              <w:spacing w:line="360" w:lineRule="auto"/>
              <w:rPr>
                <w:bCs/>
                <w:color w:val="000000" w:themeColor="text1"/>
                <w:highlight w:val="none"/>
                <w14:textFill>
                  <w14:solidFill>
                    <w14:schemeClr w14:val="tx1"/>
                  </w14:solidFill>
                </w14:textFill>
              </w:rPr>
            </w:pPr>
          </w:p>
        </w:tc>
        <w:tc>
          <w:tcPr>
            <w:tcW w:w="2001" w:type="dxa"/>
            <w:gridSpan w:val="3"/>
          </w:tcPr>
          <w:p>
            <w:pPr>
              <w:pStyle w:val="31"/>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法人代表</w:t>
            </w:r>
          </w:p>
        </w:tc>
        <w:tc>
          <w:tcPr>
            <w:tcW w:w="2151" w:type="dxa"/>
            <w:gridSpan w:val="2"/>
          </w:tcPr>
          <w:p>
            <w:pPr>
              <w:pStyle w:val="31"/>
              <w:shd w:val="clear" w:color="auto" w:fill="FFFFFF"/>
              <w:spacing w:line="360" w:lineRule="auto"/>
              <w:rPr>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82" w:type="dxa"/>
          </w:tcPr>
          <w:p>
            <w:pPr>
              <w:pStyle w:val="31"/>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地址</w:t>
            </w:r>
          </w:p>
        </w:tc>
        <w:tc>
          <w:tcPr>
            <w:tcW w:w="3979" w:type="dxa"/>
            <w:gridSpan w:val="6"/>
            <w:tcBorders>
              <w:bottom w:val="single" w:color="auto" w:sz="4" w:space="0"/>
            </w:tcBorders>
          </w:tcPr>
          <w:p>
            <w:pPr>
              <w:pStyle w:val="31"/>
              <w:shd w:val="clear" w:color="auto" w:fill="FFFFFF"/>
              <w:spacing w:line="360" w:lineRule="auto"/>
              <w:rPr>
                <w:bCs/>
                <w:color w:val="000000" w:themeColor="text1"/>
                <w:spacing w:val="16"/>
                <w:highlight w:val="none"/>
                <w14:textFill>
                  <w14:solidFill>
                    <w14:schemeClr w14:val="tx1"/>
                  </w14:solidFill>
                </w14:textFill>
              </w:rPr>
            </w:pPr>
          </w:p>
        </w:tc>
        <w:tc>
          <w:tcPr>
            <w:tcW w:w="2001" w:type="dxa"/>
            <w:gridSpan w:val="3"/>
          </w:tcPr>
          <w:p>
            <w:pPr>
              <w:pStyle w:val="31"/>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企业性质</w:t>
            </w:r>
          </w:p>
        </w:tc>
        <w:tc>
          <w:tcPr>
            <w:tcW w:w="2151" w:type="dxa"/>
            <w:gridSpan w:val="2"/>
          </w:tcPr>
          <w:p>
            <w:pPr>
              <w:pStyle w:val="31"/>
              <w:shd w:val="clear" w:color="auto" w:fill="FFFFFF"/>
              <w:spacing w:line="360" w:lineRule="auto"/>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682" w:type="dxa"/>
            <w:tcBorders>
              <w:bottom w:val="single" w:color="auto" w:sz="4" w:space="0"/>
            </w:tcBorders>
          </w:tcPr>
          <w:p>
            <w:pPr>
              <w:pStyle w:val="31"/>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股东姓名</w:t>
            </w:r>
          </w:p>
        </w:tc>
        <w:tc>
          <w:tcPr>
            <w:tcW w:w="701" w:type="dxa"/>
            <w:tcBorders>
              <w:bottom w:val="single" w:color="auto" w:sz="4" w:space="0"/>
            </w:tcBorders>
          </w:tcPr>
          <w:p>
            <w:pPr>
              <w:pStyle w:val="31"/>
              <w:shd w:val="clear" w:color="auto" w:fill="FFFFFF"/>
              <w:spacing w:before="0" w:beforeAutospacing="0" w:after="0" w:afterAutospacing="0" w:line="360" w:lineRule="auto"/>
              <w:rPr>
                <w:bCs/>
                <w:color w:val="000000" w:themeColor="text1"/>
                <w:spacing w:val="16"/>
                <w:highlight w:val="none"/>
                <w14:textFill>
                  <w14:solidFill>
                    <w14:schemeClr w14:val="tx1"/>
                  </w14:solidFill>
                </w14:textFill>
              </w:rPr>
            </w:pPr>
          </w:p>
        </w:tc>
        <w:tc>
          <w:tcPr>
            <w:tcW w:w="910" w:type="dxa"/>
            <w:gridSpan w:val="2"/>
            <w:tcBorders>
              <w:bottom w:val="single" w:color="auto" w:sz="4" w:space="0"/>
            </w:tcBorders>
          </w:tcPr>
          <w:p>
            <w:pPr>
              <w:pStyle w:val="31"/>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股权结构（%）</w:t>
            </w:r>
          </w:p>
        </w:tc>
        <w:tc>
          <w:tcPr>
            <w:tcW w:w="2368" w:type="dxa"/>
            <w:gridSpan w:val="3"/>
            <w:tcBorders>
              <w:bottom w:val="single" w:color="auto" w:sz="4" w:space="0"/>
            </w:tcBorders>
          </w:tcPr>
          <w:p>
            <w:pPr>
              <w:widowControl/>
              <w:spacing w:line="360" w:lineRule="auto"/>
              <w:jc w:val="left"/>
              <w:rPr>
                <w:rFonts w:ascii="宋体" w:hAnsi="宋体" w:cs="宋体"/>
                <w:bCs/>
                <w:color w:val="000000" w:themeColor="text1"/>
                <w:spacing w:val="16"/>
                <w:kern w:val="0"/>
                <w:sz w:val="24"/>
                <w:highlight w:val="none"/>
                <w14:textFill>
                  <w14:solidFill>
                    <w14:schemeClr w14:val="tx1"/>
                  </w14:solidFill>
                </w14:textFill>
              </w:rPr>
            </w:pPr>
          </w:p>
          <w:p>
            <w:pPr>
              <w:pStyle w:val="31"/>
              <w:shd w:val="clear" w:color="auto" w:fill="FFFFFF"/>
              <w:spacing w:line="360" w:lineRule="auto"/>
              <w:rPr>
                <w:bCs/>
                <w:color w:val="000000" w:themeColor="text1"/>
                <w:spacing w:val="16"/>
                <w:highlight w:val="none"/>
                <w14:textFill>
                  <w14:solidFill>
                    <w14:schemeClr w14:val="tx1"/>
                  </w14:solidFill>
                </w14:textFill>
              </w:rPr>
            </w:pPr>
          </w:p>
        </w:tc>
        <w:tc>
          <w:tcPr>
            <w:tcW w:w="2001" w:type="dxa"/>
            <w:gridSpan w:val="3"/>
          </w:tcPr>
          <w:p>
            <w:pPr>
              <w:pStyle w:val="31"/>
              <w:shd w:val="clear" w:color="auto" w:fill="FFFFFF"/>
              <w:spacing w:line="360" w:lineRule="auto"/>
              <w:ind w:left="107"/>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股东关系</w:t>
            </w:r>
          </w:p>
        </w:tc>
        <w:tc>
          <w:tcPr>
            <w:tcW w:w="2151" w:type="dxa"/>
            <w:gridSpan w:val="2"/>
          </w:tcPr>
          <w:p>
            <w:pPr>
              <w:pStyle w:val="31"/>
              <w:shd w:val="clear" w:color="auto" w:fill="FFFFFF"/>
              <w:spacing w:line="360" w:lineRule="auto"/>
              <w:ind w:left="107"/>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682" w:type="dxa"/>
            <w:vMerge w:val="restart"/>
          </w:tcPr>
          <w:p>
            <w:pPr>
              <w:pStyle w:val="31"/>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2"/>
                <w:highlight w:val="none"/>
                <w14:textFill>
                  <w14:solidFill>
                    <w14:schemeClr w14:val="tx1"/>
                  </w14:solidFill>
                </w14:textFill>
              </w:rPr>
              <w:t>联系人</w:t>
            </w:r>
            <w:r>
              <w:rPr>
                <w:rFonts w:hint="eastAsia"/>
                <w:bCs/>
                <w:color w:val="000000" w:themeColor="text1"/>
                <w:spacing w:val="27"/>
                <w:highlight w:val="none"/>
                <w14:textFill>
                  <w14:solidFill>
                    <w14:schemeClr w14:val="tx1"/>
                  </w14:solidFill>
                </w14:textFill>
              </w:rPr>
              <w:t>姓名</w:t>
            </w:r>
          </w:p>
        </w:tc>
        <w:tc>
          <w:tcPr>
            <w:tcW w:w="701" w:type="dxa"/>
            <w:vMerge w:val="restart"/>
            <w:tcBorders>
              <w:top w:val="nil"/>
            </w:tcBorders>
          </w:tcPr>
          <w:p>
            <w:pPr>
              <w:pStyle w:val="31"/>
              <w:shd w:val="clear" w:color="auto" w:fill="FFFFFF"/>
              <w:spacing w:line="360" w:lineRule="auto"/>
              <w:rPr>
                <w:bCs/>
                <w:color w:val="000000" w:themeColor="text1"/>
                <w:spacing w:val="16"/>
                <w:highlight w:val="none"/>
                <w14:textFill>
                  <w14:solidFill>
                    <w14:schemeClr w14:val="tx1"/>
                  </w14:solidFill>
                </w14:textFill>
              </w:rPr>
            </w:pPr>
          </w:p>
        </w:tc>
        <w:tc>
          <w:tcPr>
            <w:tcW w:w="910" w:type="dxa"/>
            <w:gridSpan w:val="2"/>
            <w:tcBorders>
              <w:top w:val="nil"/>
              <w:bottom w:val="single" w:color="auto" w:sz="4" w:space="0"/>
            </w:tcBorders>
          </w:tcPr>
          <w:p>
            <w:pPr>
              <w:pStyle w:val="31"/>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固定电话</w:t>
            </w:r>
          </w:p>
        </w:tc>
        <w:tc>
          <w:tcPr>
            <w:tcW w:w="2368" w:type="dxa"/>
            <w:gridSpan w:val="3"/>
            <w:tcBorders>
              <w:top w:val="nil"/>
              <w:bottom w:val="single" w:color="auto" w:sz="4" w:space="0"/>
            </w:tcBorders>
          </w:tcPr>
          <w:p>
            <w:pPr>
              <w:widowControl/>
              <w:spacing w:line="360" w:lineRule="auto"/>
              <w:jc w:val="left"/>
              <w:rPr>
                <w:rFonts w:ascii="宋体" w:hAnsi="宋体" w:cs="宋体"/>
                <w:bCs/>
                <w:color w:val="000000" w:themeColor="text1"/>
                <w:spacing w:val="16"/>
                <w:kern w:val="0"/>
                <w:sz w:val="24"/>
                <w:highlight w:val="none"/>
                <w14:textFill>
                  <w14:solidFill>
                    <w14:schemeClr w14:val="tx1"/>
                  </w14:solidFill>
                </w14:textFill>
              </w:rPr>
            </w:pPr>
          </w:p>
          <w:p>
            <w:pPr>
              <w:pStyle w:val="31"/>
              <w:shd w:val="clear" w:color="auto" w:fill="FFFFFF"/>
              <w:spacing w:line="360" w:lineRule="auto"/>
              <w:rPr>
                <w:bCs/>
                <w:color w:val="000000" w:themeColor="text1"/>
                <w:spacing w:val="16"/>
                <w:highlight w:val="none"/>
                <w14:textFill>
                  <w14:solidFill>
                    <w14:schemeClr w14:val="tx1"/>
                  </w14:solidFill>
                </w14:textFill>
              </w:rPr>
            </w:pPr>
          </w:p>
        </w:tc>
        <w:tc>
          <w:tcPr>
            <w:tcW w:w="2001" w:type="dxa"/>
            <w:gridSpan w:val="3"/>
            <w:vMerge w:val="restart"/>
          </w:tcPr>
          <w:p>
            <w:pPr>
              <w:pStyle w:val="31"/>
              <w:shd w:val="clear" w:color="auto" w:fill="FFFFFF"/>
              <w:spacing w:before="0" w:beforeAutospacing="0" w:after="0" w:afterAutospacing="0"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传真</w:t>
            </w:r>
          </w:p>
        </w:tc>
        <w:tc>
          <w:tcPr>
            <w:tcW w:w="2151" w:type="dxa"/>
            <w:gridSpan w:val="2"/>
            <w:vMerge w:val="restart"/>
          </w:tcPr>
          <w:p>
            <w:pPr>
              <w:pStyle w:val="31"/>
              <w:shd w:val="clear" w:color="auto" w:fill="FFFFFF"/>
              <w:spacing w:line="360" w:lineRule="auto"/>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682" w:type="dxa"/>
            <w:vMerge w:val="continue"/>
            <w:tcBorders>
              <w:bottom w:val="single" w:color="auto" w:sz="4" w:space="0"/>
            </w:tcBorders>
          </w:tcPr>
          <w:p>
            <w:pPr>
              <w:pStyle w:val="31"/>
              <w:shd w:val="clear" w:color="auto" w:fill="FFFFFF"/>
              <w:spacing w:line="360" w:lineRule="auto"/>
              <w:ind w:left="107"/>
              <w:rPr>
                <w:bCs/>
                <w:color w:val="000000" w:themeColor="text1"/>
                <w:highlight w:val="none"/>
                <w14:textFill>
                  <w14:solidFill>
                    <w14:schemeClr w14:val="tx1"/>
                  </w14:solidFill>
                </w14:textFill>
              </w:rPr>
            </w:pPr>
          </w:p>
        </w:tc>
        <w:tc>
          <w:tcPr>
            <w:tcW w:w="701" w:type="dxa"/>
            <w:vMerge w:val="continue"/>
            <w:tcBorders>
              <w:bottom w:val="single" w:color="auto" w:sz="4" w:space="0"/>
            </w:tcBorders>
          </w:tcPr>
          <w:p>
            <w:pPr>
              <w:pStyle w:val="31"/>
              <w:shd w:val="clear" w:color="auto" w:fill="FFFFFF"/>
              <w:spacing w:line="360" w:lineRule="auto"/>
              <w:rPr>
                <w:bCs/>
                <w:color w:val="000000" w:themeColor="text1"/>
                <w:spacing w:val="16"/>
                <w:highlight w:val="none"/>
                <w14:textFill>
                  <w14:solidFill>
                    <w14:schemeClr w14:val="tx1"/>
                  </w14:solidFill>
                </w14:textFill>
              </w:rPr>
            </w:pPr>
          </w:p>
        </w:tc>
        <w:tc>
          <w:tcPr>
            <w:tcW w:w="910" w:type="dxa"/>
            <w:gridSpan w:val="2"/>
            <w:tcBorders>
              <w:bottom w:val="single" w:color="auto" w:sz="4" w:space="0"/>
            </w:tcBorders>
          </w:tcPr>
          <w:p>
            <w:pPr>
              <w:pStyle w:val="31"/>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手机</w:t>
            </w:r>
          </w:p>
        </w:tc>
        <w:tc>
          <w:tcPr>
            <w:tcW w:w="2368" w:type="dxa"/>
            <w:gridSpan w:val="3"/>
            <w:tcBorders>
              <w:bottom w:val="single" w:color="auto" w:sz="4" w:space="0"/>
            </w:tcBorders>
          </w:tcPr>
          <w:p>
            <w:pPr>
              <w:pStyle w:val="31"/>
              <w:shd w:val="clear" w:color="auto" w:fill="FFFFFF"/>
              <w:spacing w:line="360" w:lineRule="auto"/>
              <w:rPr>
                <w:bCs/>
                <w:color w:val="000000" w:themeColor="text1"/>
                <w:spacing w:val="16"/>
                <w:highlight w:val="none"/>
                <w14:textFill>
                  <w14:solidFill>
                    <w14:schemeClr w14:val="tx1"/>
                  </w14:solidFill>
                </w14:textFill>
              </w:rPr>
            </w:pPr>
          </w:p>
        </w:tc>
        <w:tc>
          <w:tcPr>
            <w:tcW w:w="2001" w:type="dxa"/>
            <w:gridSpan w:val="3"/>
            <w:vMerge w:val="continue"/>
          </w:tcPr>
          <w:p>
            <w:pPr>
              <w:pStyle w:val="31"/>
              <w:shd w:val="clear" w:color="auto" w:fill="FFFFFF"/>
              <w:spacing w:line="360" w:lineRule="auto"/>
              <w:rPr>
                <w:bCs/>
                <w:color w:val="000000" w:themeColor="text1"/>
                <w:spacing w:val="16"/>
                <w:highlight w:val="none"/>
                <w14:textFill>
                  <w14:solidFill>
                    <w14:schemeClr w14:val="tx1"/>
                  </w14:solidFill>
                </w14:textFill>
              </w:rPr>
            </w:pPr>
          </w:p>
        </w:tc>
        <w:tc>
          <w:tcPr>
            <w:tcW w:w="2151" w:type="dxa"/>
            <w:gridSpan w:val="2"/>
            <w:vMerge w:val="continue"/>
          </w:tcPr>
          <w:p>
            <w:pPr>
              <w:pStyle w:val="31"/>
              <w:shd w:val="clear" w:color="auto" w:fill="FFFFFF"/>
              <w:spacing w:line="360" w:lineRule="auto"/>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682" w:type="dxa"/>
            <w:vMerge w:val="restart"/>
          </w:tcPr>
          <w:p>
            <w:pPr>
              <w:pStyle w:val="31"/>
              <w:shd w:val="clear" w:color="auto" w:fill="FFFFFF"/>
              <w:spacing w:line="360" w:lineRule="auto"/>
              <w:ind w:left="107"/>
              <w:rPr>
                <w:bCs/>
                <w:color w:val="000000" w:themeColor="text1"/>
                <w:highlight w:val="none"/>
                <w14:textFill>
                  <w14:solidFill>
                    <w14:schemeClr w14:val="tx1"/>
                  </w14:solidFill>
                </w14:textFill>
              </w:rPr>
            </w:pPr>
            <w:r>
              <w:rPr>
                <w:bCs/>
                <w:color w:val="000000" w:themeColor="text1"/>
                <w:highlight w:val="none"/>
                <w14:textFill>
                  <w14:solidFill>
                    <w14:schemeClr w14:val="tx1"/>
                  </w14:solidFill>
                </w14:textFill>
              </w:rPr>
              <w:t>1</w:t>
            </w:r>
            <w:r>
              <w:rPr>
                <w:rFonts w:hint="eastAsia"/>
                <w:bCs/>
                <w:color w:val="000000" w:themeColor="text1"/>
                <w:highlight w:val="none"/>
                <w14:textFill>
                  <w14:solidFill>
                    <w14:schemeClr w14:val="tx1"/>
                  </w14:solidFill>
                </w14:textFill>
              </w:rPr>
              <w:t>.</w:t>
            </w:r>
          </w:p>
          <w:p>
            <w:pPr>
              <w:pStyle w:val="31"/>
              <w:shd w:val="clear" w:color="auto" w:fill="FFFFFF"/>
              <w:spacing w:line="360" w:lineRule="auto"/>
              <w:ind w:left="107"/>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企</w:t>
            </w:r>
          </w:p>
          <w:p>
            <w:pPr>
              <w:pStyle w:val="31"/>
              <w:shd w:val="clear" w:color="auto" w:fill="FFFFFF"/>
              <w:spacing w:line="360" w:lineRule="auto"/>
              <w:ind w:left="107"/>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业</w:t>
            </w:r>
          </w:p>
          <w:p>
            <w:pPr>
              <w:pStyle w:val="31"/>
              <w:shd w:val="clear" w:color="auto" w:fill="FFFFFF"/>
              <w:spacing w:line="360" w:lineRule="auto"/>
              <w:ind w:left="107"/>
              <w:rPr>
                <w:bCs/>
                <w:color w:val="000000" w:themeColor="text1"/>
                <w:spacing w:val="27"/>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概</w:t>
            </w:r>
          </w:p>
          <w:p>
            <w:pPr>
              <w:pStyle w:val="31"/>
              <w:shd w:val="clear" w:color="auto" w:fill="FFFFFF"/>
              <w:spacing w:line="360" w:lineRule="auto"/>
              <w:ind w:left="107"/>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况</w:t>
            </w:r>
          </w:p>
        </w:tc>
        <w:tc>
          <w:tcPr>
            <w:tcW w:w="701" w:type="dxa"/>
            <w:tcBorders>
              <w:top w:val="nil"/>
            </w:tcBorders>
          </w:tcPr>
          <w:p>
            <w:pPr>
              <w:pStyle w:val="31"/>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职工人数</w:t>
            </w:r>
          </w:p>
        </w:tc>
        <w:tc>
          <w:tcPr>
            <w:tcW w:w="910" w:type="dxa"/>
            <w:gridSpan w:val="2"/>
            <w:tcBorders>
              <w:top w:val="nil"/>
            </w:tcBorders>
          </w:tcPr>
          <w:p>
            <w:pPr>
              <w:pStyle w:val="31"/>
              <w:shd w:val="clear" w:color="auto" w:fill="FFFFFF"/>
              <w:spacing w:line="360" w:lineRule="auto"/>
              <w:rPr>
                <w:bCs/>
                <w:color w:val="000000" w:themeColor="text1"/>
                <w:spacing w:val="16"/>
                <w:highlight w:val="none"/>
                <w14:textFill>
                  <w14:solidFill>
                    <w14:schemeClr w14:val="tx1"/>
                  </w14:solidFill>
                </w14:textFill>
              </w:rPr>
            </w:pPr>
          </w:p>
        </w:tc>
        <w:tc>
          <w:tcPr>
            <w:tcW w:w="1163" w:type="dxa"/>
            <w:tcBorders>
              <w:top w:val="nil"/>
            </w:tcBorders>
          </w:tcPr>
          <w:p>
            <w:pPr>
              <w:pStyle w:val="31"/>
              <w:shd w:val="clear" w:color="auto" w:fill="FFFFFF"/>
              <w:spacing w:before="0" w:beforeAutospacing="0" w:after="0" w:afterAutospacing="0" w:line="360" w:lineRule="auto"/>
              <w:rPr>
                <w:bCs/>
                <w:color w:val="000000" w:themeColor="text1"/>
                <w:highlight w:val="none"/>
                <w14:textFill>
                  <w14:solidFill>
                    <w14:schemeClr w14:val="tx1"/>
                  </w14:solidFill>
                </w14:textFill>
              </w:rPr>
            </w:pPr>
            <w:r>
              <w:rPr>
                <w:rFonts w:hint="eastAsia"/>
                <w:bCs/>
                <w:color w:val="000000" w:themeColor="text1"/>
                <w:spacing w:val="18"/>
                <w:highlight w:val="none"/>
                <w14:textFill>
                  <w14:solidFill>
                    <w14:schemeClr w14:val="tx1"/>
                  </w14:solidFill>
                </w14:textFill>
              </w:rPr>
              <w:t>具备大专以</w:t>
            </w:r>
            <w:r>
              <w:rPr>
                <w:rFonts w:hint="eastAsia"/>
                <w:bCs/>
                <w:color w:val="000000" w:themeColor="text1"/>
                <w:spacing w:val="12"/>
                <w:highlight w:val="none"/>
                <w14:textFill>
                  <w14:solidFill>
                    <w14:schemeClr w14:val="tx1"/>
                  </w14:solidFill>
                </w14:textFill>
              </w:rPr>
              <w:t>上学历人数</w:t>
            </w:r>
          </w:p>
        </w:tc>
        <w:tc>
          <w:tcPr>
            <w:tcW w:w="1205" w:type="dxa"/>
            <w:gridSpan w:val="2"/>
            <w:tcBorders>
              <w:top w:val="nil"/>
            </w:tcBorders>
          </w:tcPr>
          <w:p>
            <w:pPr>
              <w:widowControl/>
              <w:spacing w:line="360" w:lineRule="auto"/>
              <w:jc w:val="left"/>
              <w:rPr>
                <w:rFonts w:ascii="宋体" w:hAnsi="宋体" w:cs="宋体"/>
                <w:bCs/>
                <w:color w:val="000000" w:themeColor="text1"/>
                <w:spacing w:val="16"/>
                <w:kern w:val="0"/>
                <w:sz w:val="24"/>
                <w:highlight w:val="none"/>
                <w14:textFill>
                  <w14:solidFill>
                    <w14:schemeClr w14:val="tx1"/>
                  </w14:solidFill>
                </w14:textFill>
              </w:rPr>
            </w:pPr>
          </w:p>
          <w:p>
            <w:pPr>
              <w:widowControl/>
              <w:spacing w:line="360" w:lineRule="auto"/>
              <w:jc w:val="left"/>
              <w:rPr>
                <w:rFonts w:ascii="宋体" w:hAnsi="宋体" w:cs="宋体"/>
                <w:bCs/>
                <w:color w:val="000000" w:themeColor="text1"/>
                <w:spacing w:val="16"/>
                <w:kern w:val="0"/>
                <w:sz w:val="24"/>
                <w:highlight w:val="none"/>
                <w14:textFill>
                  <w14:solidFill>
                    <w14:schemeClr w14:val="tx1"/>
                  </w14:solidFill>
                </w14:textFill>
              </w:rPr>
            </w:pPr>
          </w:p>
          <w:p>
            <w:pPr>
              <w:pStyle w:val="31"/>
              <w:shd w:val="clear" w:color="auto" w:fill="FFFFFF"/>
              <w:spacing w:line="360" w:lineRule="auto"/>
              <w:rPr>
                <w:bCs/>
                <w:color w:val="000000" w:themeColor="text1"/>
                <w:spacing w:val="16"/>
                <w:highlight w:val="none"/>
                <w14:textFill>
                  <w14:solidFill>
                    <w14:schemeClr w14:val="tx1"/>
                  </w14:solidFill>
                </w14:textFill>
              </w:rPr>
            </w:pPr>
          </w:p>
        </w:tc>
        <w:tc>
          <w:tcPr>
            <w:tcW w:w="2001" w:type="dxa"/>
            <w:gridSpan w:val="3"/>
          </w:tcPr>
          <w:p>
            <w:pPr>
              <w:pStyle w:val="31"/>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65"/>
                <w:highlight w:val="none"/>
                <w14:textFill>
                  <w14:solidFill>
                    <w14:schemeClr w14:val="tx1"/>
                  </w14:solidFill>
                </w14:textFill>
              </w:rPr>
              <w:t>国家授予技</w:t>
            </w:r>
            <w:r>
              <w:rPr>
                <w:rFonts w:hint="eastAsia"/>
                <w:bCs/>
                <w:color w:val="000000" w:themeColor="text1"/>
                <w:spacing w:val="12"/>
                <w:highlight w:val="none"/>
                <w14:textFill>
                  <w14:solidFill>
                    <w14:schemeClr w14:val="tx1"/>
                  </w14:solidFill>
                </w14:textFill>
              </w:rPr>
              <w:t>术职称人数</w:t>
            </w:r>
          </w:p>
        </w:tc>
        <w:tc>
          <w:tcPr>
            <w:tcW w:w="2151" w:type="dxa"/>
            <w:gridSpan w:val="2"/>
          </w:tcPr>
          <w:p>
            <w:pPr>
              <w:widowControl/>
              <w:spacing w:line="360" w:lineRule="auto"/>
              <w:jc w:val="left"/>
              <w:rPr>
                <w:rFonts w:ascii="宋体" w:hAnsi="宋体" w:cs="宋体"/>
                <w:bCs/>
                <w:color w:val="000000" w:themeColor="text1"/>
                <w:spacing w:val="16"/>
                <w:kern w:val="0"/>
                <w:sz w:val="24"/>
                <w:highlight w:val="none"/>
                <w14:textFill>
                  <w14:solidFill>
                    <w14:schemeClr w14:val="tx1"/>
                  </w14:solidFill>
                </w14:textFill>
              </w:rPr>
            </w:pPr>
          </w:p>
          <w:p>
            <w:pPr>
              <w:pStyle w:val="31"/>
              <w:shd w:val="clear" w:color="auto" w:fill="FFFFFF"/>
              <w:spacing w:line="360" w:lineRule="auto"/>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8" w:hRule="atLeast"/>
        </w:trPr>
        <w:tc>
          <w:tcPr>
            <w:tcW w:w="682" w:type="dxa"/>
            <w:vMerge w:val="continue"/>
          </w:tcPr>
          <w:p>
            <w:pPr>
              <w:pStyle w:val="31"/>
              <w:shd w:val="clear" w:color="auto" w:fill="FFFFFF"/>
              <w:spacing w:line="360" w:lineRule="auto"/>
              <w:ind w:left="107"/>
              <w:rPr>
                <w:bCs/>
                <w:color w:val="000000" w:themeColor="text1"/>
                <w:highlight w:val="none"/>
                <w14:textFill>
                  <w14:solidFill>
                    <w14:schemeClr w14:val="tx1"/>
                  </w14:solidFill>
                </w14:textFill>
              </w:rPr>
            </w:pPr>
          </w:p>
        </w:tc>
        <w:tc>
          <w:tcPr>
            <w:tcW w:w="701" w:type="dxa"/>
          </w:tcPr>
          <w:p>
            <w:pPr>
              <w:pStyle w:val="31"/>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占地面积</w:t>
            </w:r>
          </w:p>
        </w:tc>
        <w:tc>
          <w:tcPr>
            <w:tcW w:w="910" w:type="dxa"/>
            <w:gridSpan w:val="2"/>
          </w:tcPr>
          <w:p>
            <w:pPr>
              <w:pStyle w:val="31"/>
              <w:shd w:val="clear" w:color="auto" w:fill="FFFFFF"/>
              <w:spacing w:line="360" w:lineRule="auto"/>
              <w:rPr>
                <w:bCs/>
                <w:color w:val="000000" w:themeColor="text1"/>
                <w:highlight w:val="none"/>
                <w14:textFill>
                  <w14:solidFill>
                    <w14:schemeClr w14:val="tx1"/>
                  </w14:solidFill>
                </w14:textFill>
              </w:rPr>
            </w:pPr>
          </w:p>
        </w:tc>
        <w:tc>
          <w:tcPr>
            <w:tcW w:w="1163" w:type="dxa"/>
          </w:tcPr>
          <w:p>
            <w:pPr>
              <w:pStyle w:val="31"/>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建筑面积</w:t>
            </w:r>
          </w:p>
        </w:tc>
        <w:tc>
          <w:tcPr>
            <w:tcW w:w="1205" w:type="dxa"/>
            <w:gridSpan w:val="2"/>
          </w:tcPr>
          <w:p>
            <w:pPr>
              <w:pStyle w:val="31"/>
              <w:shd w:val="clear" w:color="auto" w:fill="FFFFFF"/>
              <w:spacing w:line="360" w:lineRule="auto"/>
              <w:ind w:firstLine="480" w:firstLineChars="200"/>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 xml:space="preserve">平方米 </w:t>
            </w:r>
          </w:p>
          <w:p>
            <w:pPr>
              <w:pStyle w:val="31"/>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□自有□租賃</w:t>
            </w:r>
          </w:p>
        </w:tc>
        <w:tc>
          <w:tcPr>
            <w:tcW w:w="2001" w:type="dxa"/>
            <w:gridSpan w:val="3"/>
          </w:tcPr>
          <w:p>
            <w:pPr>
              <w:pStyle w:val="31"/>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生产经营场所及场所的设施与设备</w:t>
            </w:r>
          </w:p>
        </w:tc>
        <w:tc>
          <w:tcPr>
            <w:tcW w:w="2151" w:type="dxa"/>
            <w:gridSpan w:val="2"/>
          </w:tcPr>
          <w:p>
            <w:pPr>
              <w:pStyle w:val="31"/>
              <w:shd w:val="clear" w:color="auto" w:fill="FFFFFF"/>
              <w:spacing w:before="0" w:beforeAutospacing="0" w:after="0" w:afterAutospacing="0" w:line="360" w:lineRule="auto"/>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682" w:type="dxa"/>
            <w:vMerge w:val="continue"/>
          </w:tcPr>
          <w:p>
            <w:pPr>
              <w:pStyle w:val="31"/>
              <w:shd w:val="clear" w:color="auto" w:fill="FFFFFF"/>
              <w:spacing w:line="360" w:lineRule="auto"/>
              <w:ind w:left="107"/>
              <w:rPr>
                <w:bCs/>
                <w:color w:val="000000" w:themeColor="text1"/>
                <w:highlight w:val="none"/>
                <w14:textFill>
                  <w14:solidFill>
                    <w14:schemeClr w14:val="tx1"/>
                  </w14:solidFill>
                </w14:textFill>
              </w:rPr>
            </w:pPr>
          </w:p>
        </w:tc>
        <w:tc>
          <w:tcPr>
            <w:tcW w:w="701" w:type="dxa"/>
          </w:tcPr>
          <w:p>
            <w:pPr>
              <w:pStyle w:val="31"/>
              <w:shd w:val="clear" w:color="auto" w:fill="FFFFFF"/>
              <w:spacing w:line="360" w:lineRule="auto"/>
              <w:ind w:left="2"/>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注册资金</w:t>
            </w:r>
          </w:p>
        </w:tc>
        <w:tc>
          <w:tcPr>
            <w:tcW w:w="910" w:type="dxa"/>
            <w:gridSpan w:val="2"/>
          </w:tcPr>
          <w:p>
            <w:pPr>
              <w:pStyle w:val="31"/>
              <w:shd w:val="clear" w:color="auto" w:fill="FFFFFF"/>
              <w:spacing w:line="360" w:lineRule="auto"/>
              <w:ind w:left="2"/>
              <w:rPr>
                <w:bCs/>
                <w:color w:val="000000" w:themeColor="text1"/>
                <w:highlight w:val="none"/>
                <w14:textFill>
                  <w14:solidFill>
                    <w14:schemeClr w14:val="tx1"/>
                  </w14:solidFill>
                </w14:textFill>
              </w:rPr>
            </w:pPr>
          </w:p>
        </w:tc>
        <w:tc>
          <w:tcPr>
            <w:tcW w:w="1163" w:type="dxa"/>
          </w:tcPr>
          <w:p>
            <w:pPr>
              <w:pStyle w:val="31"/>
              <w:shd w:val="clear" w:color="auto" w:fill="FFFFFF"/>
              <w:spacing w:line="360" w:lineRule="auto"/>
              <w:ind w:left="107"/>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注册发证</w:t>
            </w:r>
            <w:r>
              <w:rPr>
                <w:rFonts w:hint="eastAsia"/>
                <w:bCs/>
                <w:color w:val="000000" w:themeColor="text1"/>
                <w:spacing w:val="27"/>
                <w:highlight w:val="none"/>
                <w14:textFill>
                  <w14:solidFill>
                    <w14:schemeClr w14:val="tx1"/>
                  </w14:solidFill>
                </w14:textFill>
              </w:rPr>
              <w:t>机关</w:t>
            </w:r>
          </w:p>
        </w:tc>
        <w:tc>
          <w:tcPr>
            <w:tcW w:w="3206" w:type="dxa"/>
            <w:gridSpan w:val="5"/>
          </w:tcPr>
          <w:p>
            <w:pPr>
              <w:widowControl/>
              <w:spacing w:line="360" w:lineRule="auto"/>
              <w:jc w:val="left"/>
              <w:rPr>
                <w:rFonts w:ascii="宋体" w:hAnsi="宋体" w:cs="宋体"/>
                <w:bCs/>
                <w:color w:val="000000" w:themeColor="text1"/>
                <w:kern w:val="0"/>
                <w:sz w:val="24"/>
                <w:highlight w:val="none"/>
                <w14:textFill>
                  <w14:solidFill>
                    <w14:schemeClr w14:val="tx1"/>
                  </w14:solidFill>
                </w14:textFill>
              </w:rPr>
            </w:pPr>
          </w:p>
          <w:p>
            <w:pPr>
              <w:pStyle w:val="31"/>
              <w:shd w:val="clear" w:color="auto" w:fill="FFFFFF"/>
              <w:spacing w:line="360" w:lineRule="auto"/>
              <w:ind w:left="107"/>
              <w:rPr>
                <w:bCs/>
                <w:color w:val="000000" w:themeColor="text1"/>
                <w:highlight w:val="none"/>
                <w14:textFill>
                  <w14:solidFill>
                    <w14:schemeClr w14:val="tx1"/>
                  </w14:solidFill>
                </w14:textFill>
              </w:rPr>
            </w:pPr>
          </w:p>
        </w:tc>
        <w:tc>
          <w:tcPr>
            <w:tcW w:w="1218" w:type="dxa"/>
          </w:tcPr>
          <w:p>
            <w:pPr>
              <w:pStyle w:val="31"/>
              <w:shd w:val="clear" w:color="auto" w:fill="FFFFFF"/>
              <w:spacing w:line="360" w:lineRule="auto"/>
              <w:ind w:left="107"/>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公司成</w:t>
            </w:r>
            <w:r>
              <w:rPr>
                <w:rFonts w:hint="eastAsia"/>
                <w:bCs/>
                <w:color w:val="000000" w:themeColor="text1"/>
                <w:spacing w:val="12"/>
                <w:highlight w:val="none"/>
                <w14:textFill>
                  <w14:solidFill>
                    <w14:schemeClr w14:val="tx1"/>
                  </w14:solidFill>
                </w14:textFill>
              </w:rPr>
              <w:t>立时间</w:t>
            </w:r>
          </w:p>
        </w:tc>
        <w:tc>
          <w:tcPr>
            <w:tcW w:w="933" w:type="dxa"/>
          </w:tcPr>
          <w:p>
            <w:pPr>
              <w:pStyle w:val="31"/>
              <w:shd w:val="clear" w:color="auto" w:fill="FFFFFF"/>
              <w:spacing w:line="360" w:lineRule="auto"/>
              <w:ind w:left="107"/>
              <w:rPr>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trPr>
        <w:tc>
          <w:tcPr>
            <w:tcW w:w="682" w:type="dxa"/>
            <w:vMerge w:val="continue"/>
          </w:tcPr>
          <w:p>
            <w:pPr>
              <w:pStyle w:val="31"/>
              <w:shd w:val="clear" w:color="auto" w:fill="FFFFFF"/>
              <w:spacing w:line="360" w:lineRule="auto"/>
              <w:ind w:left="107"/>
              <w:rPr>
                <w:bCs/>
                <w:color w:val="000000" w:themeColor="text1"/>
                <w:highlight w:val="none"/>
                <w14:textFill>
                  <w14:solidFill>
                    <w14:schemeClr w14:val="tx1"/>
                  </w14:solidFill>
                </w14:textFill>
              </w:rPr>
            </w:pPr>
          </w:p>
        </w:tc>
        <w:tc>
          <w:tcPr>
            <w:tcW w:w="701" w:type="dxa"/>
          </w:tcPr>
          <w:p>
            <w:pPr>
              <w:pStyle w:val="31"/>
              <w:shd w:val="clear" w:color="auto" w:fill="FFFFFF"/>
              <w:spacing w:line="360" w:lineRule="auto"/>
              <w:ind w:left="2"/>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核准经营范围</w:t>
            </w:r>
          </w:p>
        </w:tc>
        <w:tc>
          <w:tcPr>
            <w:tcW w:w="7430" w:type="dxa"/>
            <w:gridSpan w:val="10"/>
          </w:tcPr>
          <w:p>
            <w:pPr>
              <w:pStyle w:val="31"/>
              <w:shd w:val="clear" w:color="auto" w:fill="FFFFFF"/>
              <w:spacing w:line="360" w:lineRule="auto"/>
              <w:ind w:left="107"/>
              <w:rPr>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trPr>
        <w:tc>
          <w:tcPr>
            <w:tcW w:w="682" w:type="dxa"/>
            <w:vMerge w:val="continue"/>
          </w:tcPr>
          <w:p>
            <w:pPr>
              <w:pStyle w:val="31"/>
              <w:shd w:val="clear" w:color="auto" w:fill="FFFFFF"/>
              <w:spacing w:line="360" w:lineRule="auto"/>
              <w:ind w:left="107"/>
              <w:rPr>
                <w:bCs/>
                <w:color w:val="000000" w:themeColor="text1"/>
                <w:highlight w:val="none"/>
                <w14:textFill>
                  <w14:solidFill>
                    <w14:schemeClr w14:val="tx1"/>
                  </w14:solidFill>
                </w14:textFill>
              </w:rPr>
            </w:pPr>
          </w:p>
        </w:tc>
        <w:tc>
          <w:tcPr>
            <w:tcW w:w="8131" w:type="dxa"/>
            <w:gridSpan w:val="11"/>
          </w:tcPr>
          <w:p>
            <w:pPr>
              <w:pStyle w:val="31"/>
              <w:shd w:val="clear" w:color="auto" w:fill="FFFFFF"/>
              <w:spacing w:line="360" w:lineRule="auto"/>
              <w:rPr>
                <w:bCs/>
                <w:color w:val="000000" w:themeColor="text1"/>
                <w:spacing w:val="13"/>
                <w:highlight w:val="none"/>
                <w14:textFill>
                  <w14:solidFill>
                    <w14:schemeClr w14:val="tx1"/>
                  </w14:solidFill>
                </w14:textFill>
              </w:rPr>
            </w:pPr>
            <w:r>
              <w:rPr>
                <w:rFonts w:hint="eastAsia"/>
                <w:bCs/>
                <w:color w:val="000000" w:themeColor="text1"/>
                <w:spacing w:val="13"/>
                <w:highlight w:val="none"/>
                <w14:textFill>
                  <w14:solidFill>
                    <w14:schemeClr w14:val="tx1"/>
                  </w14:solidFill>
                </w14:textFill>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682" w:type="dxa"/>
            <w:vMerge w:val="restart"/>
          </w:tcPr>
          <w:p>
            <w:pPr>
              <w:pStyle w:val="31"/>
              <w:shd w:val="clear" w:color="auto" w:fill="FFFFFF"/>
              <w:spacing w:line="360" w:lineRule="auto"/>
              <w:ind w:left="107"/>
              <w:rPr>
                <w:bCs/>
                <w:color w:val="000000" w:themeColor="text1"/>
                <w:highlight w:val="none"/>
                <w14:textFill>
                  <w14:solidFill>
                    <w14:schemeClr w14:val="tx1"/>
                  </w14:solidFill>
                </w14:textFill>
              </w:rPr>
            </w:pPr>
            <w:r>
              <w:rPr>
                <w:bCs/>
                <w:color w:val="000000" w:themeColor="text1"/>
                <w:highlight w:val="none"/>
                <w14:textFill>
                  <w14:solidFill>
                    <w14:schemeClr w14:val="tx1"/>
                  </w14:solidFill>
                </w14:textFill>
              </w:rPr>
              <w:t>2</w:t>
            </w:r>
            <w:r>
              <w:rPr>
                <w:rFonts w:hint="eastAsia"/>
                <w:bCs/>
                <w:color w:val="000000" w:themeColor="text1"/>
                <w:highlight w:val="none"/>
                <w14:textFill>
                  <w14:solidFill>
                    <w14:schemeClr w14:val="tx1"/>
                  </w14:solidFill>
                </w14:textFill>
              </w:rPr>
              <w:t>．</w:t>
            </w:r>
          </w:p>
          <w:p>
            <w:pPr>
              <w:pStyle w:val="31"/>
              <w:shd w:val="clear" w:color="auto" w:fill="FFFFFF"/>
              <w:spacing w:line="360" w:lineRule="auto"/>
              <w:ind w:left="107"/>
              <w:rPr>
                <w:bCs/>
                <w:color w:val="000000" w:themeColor="text1"/>
                <w:spacing w:val="16"/>
                <w:highlight w:val="none"/>
                <w14:textFill>
                  <w14:solidFill>
                    <w14:schemeClr w14:val="tx1"/>
                  </w14:solidFill>
                </w14:textFill>
              </w:rPr>
            </w:pPr>
            <w:r>
              <w:rPr>
                <w:rFonts w:hint="eastAsia"/>
                <w:bCs/>
                <w:color w:val="000000" w:themeColor="text1"/>
                <w:highlight w:val="none"/>
                <w14:textFill>
                  <w14:solidFill>
                    <w14:schemeClr w14:val="tx1"/>
                  </w14:solidFill>
                </w14:textFill>
              </w:rPr>
              <w:t>企</w:t>
            </w:r>
            <w:r>
              <w:rPr>
                <w:rFonts w:hint="eastAsia"/>
                <w:bCs/>
                <w:color w:val="000000" w:themeColor="text1"/>
                <w:spacing w:val="12"/>
                <w:highlight w:val="none"/>
                <w14:textFill>
                  <w14:solidFill>
                    <w14:schemeClr w14:val="tx1"/>
                  </w14:solidFill>
                </w14:textFill>
              </w:rPr>
              <w:t>业有关资质获证情况</w:t>
            </w:r>
          </w:p>
        </w:tc>
        <w:tc>
          <w:tcPr>
            <w:tcW w:w="1553" w:type="dxa"/>
            <w:gridSpan w:val="2"/>
            <w:vMerge w:val="restart"/>
          </w:tcPr>
          <w:p>
            <w:pPr>
              <w:pStyle w:val="31"/>
              <w:shd w:val="clear" w:color="auto" w:fill="FFFFFF"/>
              <w:spacing w:before="0" w:beforeAutospacing="0" w:after="0" w:afterAutospacing="0" w:line="360" w:lineRule="auto"/>
              <w:rPr>
                <w:bCs/>
                <w:color w:val="000000" w:themeColor="text1"/>
                <w:spacing w:val="16"/>
                <w:highlight w:val="none"/>
                <w14:textFill>
                  <w14:solidFill>
                    <w14:schemeClr w14:val="tx1"/>
                  </w14:solidFill>
                </w14:textFill>
              </w:rPr>
            </w:pPr>
            <w:r>
              <w:rPr>
                <w:rFonts w:hint="eastAsia"/>
                <w:bCs/>
                <w:color w:val="000000" w:themeColor="text1"/>
                <w:spacing w:val="12"/>
                <w:highlight w:val="none"/>
                <w14:textFill>
                  <w14:solidFill>
                    <w14:schemeClr w14:val="tx1"/>
                  </w14:solidFill>
                </w14:textFill>
              </w:rPr>
              <w:t>产品生产许可证情况</w:t>
            </w:r>
            <w:r>
              <w:rPr>
                <w:rFonts w:hint="eastAsia"/>
                <w:bCs/>
                <w:color w:val="000000" w:themeColor="text1"/>
                <w:spacing w:val="41"/>
                <w:highlight w:val="none"/>
                <w14:textFill>
                  <w14:solidFill>
                    <w14:schemeClr w14:val="tx1"/>
                  </w14:solidFill>
                </w14:textFill>
              </w:rPr>
              <w:t>（对需获得生产许可证的</w:t>
            </w:r>
            <w:r>
              <w:rPr>
                <w:rFonts w:hint="eastAsia"/>
                <w:bCs/>
                <w:color w:val="000000" w:themeColor="text1"/>
                <w:spacing w:val="11"/>
                <w:highlight w:val="none"/>
                <w14:textFill>
                  <w14:solidFill>
                    <w14:schemeClr w14:val="tx1"/>
                  </w14:solidFill>
                </w14:textFill>
              </w:rPr>
              <w:t>产品要填写此栏）</w:t>
            </w:r>
          </w:p>
        </w:tc>
        <w:tc>
          <w:tcPr>
            <w:tcW w:w="1333" w:type="dxa"/>
            <w:gridSpan w:val="3"/>
          </w:tcPr>
          <w:p>
            <w:pPr>
              <w:pStyle w:val="31"/>
              <w:shd w:val="clear" w:color="auto" w:fill="FFFFFF"/>
              <w:spacing w:line="360" w:lineRule="auto"/>
              <w:ind w:right="-78" w:rightChars="-37"/>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产品名称</w:t>
            </w:r>
          </w:p>
        </w:tc>
        <w:tc>
          <w:tcPr>
            <w:tcW w:w="1418" w:type="dxa"/>
            <w:gridSpan w:val="2"/>
          </w:tcPr>
          <w:p>
            <w:pPr>
              <w:pStyle w:val="31"/>
              <w:shd w:val="clear" w:color="auto" w:fill="FFFFFF"/>
              <w:spacing w:before="0" w:beforeAutospacing="0" w:after="0" w:afterAutospacing="0"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发证机关</w:t>
            </w:r>
          </w:p>
        </w:tc>
        <w:tc>
          <w:tcPr>
            <w:tcW w:w="1276" w:type="dxa"/>
          </w:tcPr>
          <w:p>
            <w:pPr>
              <w:pStyle w:val="31"/>
              <w:shd w:val="clear" w:color="auto" w:fill="FFFFFF"/>
              <w:spacing w:line="360" w:lineRule="auto"/>
              <w:jc w:val="center"/>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编号</w:t>
            </w:r>
          </w:p>
        </w:tc>
        <w:tc>
          <w:tcPr>
            <w:tcW w:w="1618" w:type="dxa"/>
            <w:gridSpan w:val="2"/>
          </w:tcPr>
          <w:p>
            <w:pPr>
              <w:pStyle w:val="31"/>
              <w:shd w:val="clear" w:color="auto" w:fill="FFFFFF"/>
              <w:spacing w:line="360" w:lineRule="auto"/>
              <w:jc w:val="center"/>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发证时间</w:t>
            </w:r>
          </w:p>
        </w:tc>
        <w:tc>
          <w:tcPr>
            <w:tcW w:w="933" w:type="dxa"/>
          </w:tcPr>
          <w:p>
            <w:pPr>
              <w:pStyle w:val="31"/>
              <w:shd w:val="clear" w:color="auto" w:fill="FFFFFF"/>
              <w:spacing w:before="0" w:beforeAutospacing="0" w:after="0" w:afterAutospacing="0" w:line="360" w:lineRule="auto"/>
              <w:jc w:val="center"/>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trPr>
        <w:tc>
          <w:tcPr>
            <w:tcW w:w="682" w:type="dxa"/>
            <w:vMerge w:val="continue"/>
          </w:tcPr>
          <w:p>
            <w:pPr>
              <w:pStyle w:val="31"/>
              <w:shd w:val="clear" w:color="auto" w:fill="FFFFFF"/>
              <w:spacing w:line="360" w:lineRule="auto"/>
              <w:ind w:left="107"/>
              <w:rPr>
                <w:bCs/>
                <w:color w:val="000000" w:themeColor="text1"/>
                <w:highlight w:val="none"/>
                <w14:textFill>
                  <w14:solidFill>
                    <w14:schemeClr w14:val="tx1"/>
                  </w14:solidFill>
                </w14:textFill>
              </w:rPr>
            </w:pPr>
          </w:p>
        </w:tc>
        <w:tc>
          <w:tcPr>
            <w:tcW w:w="1553" w:type="dxa"/>
            <w:gridSpan w:val="2"/>
            <w:vMerge w:val="continue"/>
          </w:tcPr>
          <w:p>
            <w:pPr>
              <w:pStyle w:val="31"/>
              <w:shd w:val="clear" w:color="auto" w:fill="FFFFFF"/>
              <w:spacing w:line="360" w:lineRule="auto"/>
              <w:rPr>
                <w:bCs/>
                <w:color w:val="000000" w:themeColor="text1"/>
                <w:highlight w:val="none"/>
                <w14:textFill>
                  <w14:solidFill>
                    <w14:schemeClr w14:val="tx1"/>
                  </w14:solidFill>
                </w14:textFill>
              </w:rPr>
            </w:pPr>
          </w:p>
        </w:tc>
        <w:tc>
          <w:tcPr>
            <w:tcW w:w="1333" w:type="dxa"/>
            <w:gridSpan w:val="3"/>
          </w:tcPr>
          <w:p>
            <w:pPr>
              <w:pStyle w:val="31"/>
              <w:shd w:val="clear" w:color="auto" w:fill="FFFFFF"/>
              <w:spacing w:line="360" w:lineRule="auto"/>
              <w:rPr>
                <w:bCs/>
                <w:color w:val="000000" w:themeColor="text1"/>
                <w:highlight w:val="none"/>
                <w14:textFill>
                  <w14:solidFill>
                    <w14:schemeClr w14:val="tx1"/>
                  </w14:solidFill>
                </w14:textFill>
              </w:rPr>
            </w:pPr>
          </w:p>
        </w:tc>
        <w:tc>
          <w:tcPr>
            <w:tcW w:w="1418" w:type="dxa"/>
            <w:gridSpan w:val="2"/>
          </w:tcPr>
          <w:p>
            <w:pPr>
              <w:pStyle w:val="31"/>
              <w:shd w:val="clear" w:color="auto" w:fill="FFFFFF"/>
              <w:spacing w:line="360" w:lineRule="auto"/>
              <w:rPr>
                <w:bCs/>
                <w:color w:val="000000" w:themeColor="text1"/>
                <w:highlight w:val="none"/>
                <w14:textFill>
                  <w14:solidFill>
                    <w14:schemeClr w14:val="tx1"/>
                  </w14:solidFill>
                </w14:textFill>
              </w:rPr>
            </w:pPr>
          </w:p>
        </w:tc>
        <w:tc>
          <w:tcPr>
            <w:tcW w:w="1276" w:type="dxa"/>
          </w:tcPr>
          <w:p>
            <w:pPr>
              <w:pStyle w:val="31"/>
              <w:shd w:val="clear" w:color="auto" w:fill="FFFFFF"/>
              <w:spacing w:line="360" w:lineRule="auto"/>
              <w:rPr>
                <w:bCs/>
                <w:color w:val="000000" w:themeColor="text1"/>
                <w:highlight w:val="none"/>
                <w14:textFill>
                  <w14:solidFill>
                    <w14:schemeClr w14:val="tx1"/>
                  </w14:solidFill>
                </w14:textFill>
              </w:rPr>
            </w:pPr>
          </w:p>
        </w:tc>
        <w:tc>
          <w:tcPr>
            <w:tcW w:w="2551" w:type="dxa"/>
            <w:gridSpan w:val="3"/>
          </w:tcPr>
          <w:p>
            <w:pPr>
              <w:pStyle w:val="31"/>
              <w:shd w:val="clear" w:color="auto" w:fill="FFFFFF"/>
              <w:spacing w:line="360" w:lineRule="auto"/>
              <w:rPr>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trPr>
        <w:tc>
          <w:tcPr>
            <w:tcW w:w="682" w:type="dxa"/>
            <w:vMerge w:val="continue"/>
          </w:tcPr>
          <w:p>
            <w:pPr>
              <w:pStyle w:val="31"/>
              <w:shd w:val="clear" w:color="auto" w:fill="FFFFFF"/>
              <w:spacing w:line="360" w:lineRule="auto"/>
              <w:ind w:left="107"/>
              <w:rPr>
                <w:bCs/>
                <w:color w:val="000000" w:themeColor="text1"/>
                <w:spacing w:val="16"/>
                <w:highlight w:val="none"/>
                <w14:textFill>
                  <w14:solidFill>
                    <w14:schemeClr w14:val="tx1"/>
                  </w14:solidFill>
                </w14:textFill>
              </w:rPr>
            </w:pPr>
          </w:p>
        </w:tc>
        <w:tc>
          <w:tcPr>
            <w:tcW w:w="1553" w:type="dxa"/>
            <w:gridSpan w:val="2"/>
          </w:tcPr>
          <w:p>
            <w:pPr>
              <w:pStyle w:val="31"/>
              <w:shd w:val="clear" w:color="auto" w:fill="FFFFFF"/>
              <w:spacing w:before="0" w:beforeAutospacing="0" w:after="0" w:afterAutospacing="0" w:line="360" w:lineRule="auto"/>
              <w:ind w:right="-107" w:rightChars="-51"/>
              <w:rPr>
                <w:bCs/>
                <w:color w:val="000000" w:themeColor="text1"/>
                <w:spacing w:val="41"/>
                <w:highlight w:val="none"/>
                <w14:textFill>
                  <w14:solidFill>
                    <w14:schemeClr w14:val="tx1"/>
                  </w14:solidFill>
                </w14:textFill>
              </w:rPr>
            </w:pPr>
            <w:r>
              <w:rPr>
                <w:rFonts w:hint="eastAsia"/>
                <w:bCs/>
                <w:color w:val="000000" w:themeColor="text1"/>
                <w:spacing w:val="41"/>
                <w:highlight w:val="none"/>
                <w14:textFill>
                  <w14:solidFill>
                    <w14:schemeClr w14:val="tx1"/>
                  </w14:solidFill>
                </w14:textFill>
              </w:rPr>
              <w:t>企业通过质量体系、环保</w:t>
            </w:r>
            <w:r>
              <w:rPr>
                <w:rFonts w:hint="eastAsia"/>
                <w:bCs/>
                <w:color w:val="000000" w:themeColor="text1"/>
                <w:spacing w:val="11"/>
                <w:highlight w:val="none"/>
                <w14:textFill>
                  <w14:solidFill>
                    <w14:schemeClr w14:val="tx1"/>
                  </w14:solidFill>
                </w14:textFill>
              </w:rPr>
              <w:t>体系、计量等认证情况</w:t>
            </w:r>
          </w:p>
        </w:tc>
        <w:tc>
          <w:tcPr>
            <w:tcW w:w="6578" w:type="dxa"/>
            <w:gridSpan w:val="9"/>
          </w:tcPr>
          <w:p>
            <w:pPr>
              <w:pStyle w:val="31"/>
              <w:shd w:val="clear" w:color="auto" w:fill="FFFFFF"/>
              <w:spacing w:line="360" w:lineRule="auto"/>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trPr>
        <w:tc>
          <w:tcPr>
            <w:tcW w:w="682" w:type="dxa"/>
            <w:vMerge w:val="continue"/>
          </w:tcPr>
          <w:p>
            <w:pPr>
              <w:pStyle w:val="31"/>
              <w:shd w:val="clear" w:color="auto" w:fill="FFFFFF"/>
              <w:spacing w:line="360" w:lineRule="auto"/>
              <w:ind w:left="107"/>
              <w:rPr>
                <w:bCs/>
                <w:color w:val="000000" w:themeColor="text1"/>
                <w:spacing w:val="27"/>
                <w:highlight w:val="none"/>
                <w14:textFill>
                  <w14:solidFill>
                    <w14:schemeClr w14:val="tx1"/>
                  </w14:solidFill>
                </w14:textFill>
              </w:rPr>
            </w:pPr>
          </w:p>
        </w:tc>
        <w:tc>
          <w:tcPr>
            <w:tcW w:w="1553" w:type="dxa"/>
            <w:gridSpan w:val="2"/>
          </w:tcPr>
          <w:p>
            <w:pPr>
              <w:pStyle w:val="31"/>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0"/>
                <w:highlight w:val="none"/>
                <w14:textFill>
                  <w14:solidFill>
                    <w14:schemeClr w14:val="tx1"/>
                  </w14:solidFill>
                </w14:textFill>
              </w:rPr>
              <w:t>企业获得专利情况</w:t>
            </w:r>
          </w:p>
        </w:tc>
        <w:tc>
          <w:tcPr>
            <w:tcW w:w="6578" w:type="dxa"/>
            <w:gridSpan w:val="9"/>
          </w:tcPr>
          <w:p>
            <w:pPr>
              <w:pStyle w:val="31"/>
              <w:shd w:val="clear" w:color="auto" w:fill="FFFFFF"/>
              <w:spacing w:line="360" w:lineRule="auto"/>
              <w:rPr>
                <w:bCs/>
                <w:color w:val="000000" w:themeColor="text1"/>
                <w:spacing w:val="16"/>
                <w:highlight w:val="none"/>
                <w14:textFill>
                  <w14:solidFill>
                    <w14:schemeClr w14:val="tx1"/>
                  </w14:solidFill>
                </w14:textFill>
              </w:rPr>
            </w:pPr>
          </w:p>
        </w:tc>
      </w:tr>
    </w:tbl>
    <w:p>
      <w:pPr>
        <w:pStyle w:val="31"/>
        <w:shd w:val="clear" w:color="auto" w:fill="FFFFFF"/>
        <w:spacing w:before="0" w:beforeAutospacing="0" w:after="0" w:afterAutospacing="0" w:line="360" w:lineRule="auto"/>
        <w:rPr>
          <w:rFonts w:ascii="仿宋_GB2312" w:eastAsia="仿宋_GB2312"/>
          <w:color w:val="000000" w:themeColor="text1"/>
          <w:highlight w:val="none"/>
          <w14:textFill>
            <w14:solidFill>
              <w14:schemeClr w14:val="tx1"/>
            </w14:solidFill>
          </w14:textFill>
        </w:rPr>
      </w:pPr>
    </w:p>
    <w:p>
      <w:pPr>
        <w:pStyle w:val="31"/>
        <w:shd w:val="clear" w:color="auto" w:fill="FFFFFF"/>
        <w:spacing w:before="0" w:beforeAutospacing="0" w:after="0" w:afterAutospacing="0" w:line="360" w:lineRule="auto"/>
        <w:rPr>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要求：</w:t>
      </w:r>
    </w:p>
    <w:p>
      <w:pPr>
        <w:pStyle w:val="31"/>
        <w:shd w:val="clear" w:color="auto" w:fill="FFFFFF"/>
        <w:spacing w:before="0" w:beforeAutospacing="0" w:after="0" w:afterAutospacing="0" w:line="360" w:lineRule="auto"/>
        <w:ind w:firstLine="424" w:firstLineChars="202"/>
        <w:rPr>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1.</w:t>
      </w:r>
      <w:r>
        <w:rPr>
          <w:rFonts w:hint="eastAsia"/>
          <w:color w:val="000000" w:themeColor="text1"/>
          <w:sz w:val="21"/>
          <w:szCs w:val="21"/>
          <w:highlight w:val="none"/>
          <w14:textFill>
            <w14:solidFill>
              <w14:schemeClr w14:val="tx1"/>
            </w14:solidFill>
          </w14:textFill>
        </w:rPr>
        <w:t>姓名栏必须将所有股东都统计在内，若非股份公司此行（第三行）无需填写；</w:t>
      </w:r>
    </w:p>
    <w:p>
      <w:pPr>
        <w:spacing w:line="360" w:lineRule="auto"/>
        <w:ind w:firstLine="424" w:firstLineChars="177"/>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60" w:lineRule="auto"/>
        <w:ind w:firstLine="424" w:firstLineChars="17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60" w:lineRule="auto"/>
        <w:ind w:firstLine="424" w:firstLineChars="177"/>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pStyle w:val="31"/>
        <w:shd w:val="clear" w:color="auto" w:fill="FFFFFF"/>
        <w:spacing w:before="0" w:beforeAutospacing="0" w:after="0" w:afterAutospacing="0" w:line="360" w:lineRule="auto"/>
        <w:ind w:firstLine="424" w:firstLineChars="177"/>
        <w:rPr>
          <w:b/>
          <w:bCs/>
          <w:color w:val="000000" w:themeColor="text1"/>
          <w:spacing w:val="11"/>
          <w:highlight w:val="none"/>
          <w14:textFill>
            <w14:solidFill>
              <w14:schemeClr w14:val="tx1"/>
            </w14:solidFill>
          </w14:textFill>
        </w:rPr>
      </w:pPr>
      <w:r>
        <w:rPr>
          <w:rFonts w:hint="eastAsia"/>
          <w:color w:val="000000" w:themeColor="text1"/>
          <w:highlight w:val="none"/>
          <w14:textFill>
            <w14:solidFill>
              <w14:schemeClr w14:val="tx1"/>
            </w14:solidFill>
          </w14:textFill>
        </w:rPr>
        <w:t>日        期：：</w:t>
      </w:r>
    </w:p>
    <w:p>
      <w:pPr>
        <w:spacing w:line="360" w:lineRule="auto"/>
        <w:rPr>
          <w:rFonts w:ascii="宋体" w:hAnsi="宋体"/>
          <w:b/>
          <w:color w:val="000000" w:themeColor="text1"/>
          <w:sz w:val="24"/>
          <w:highlight w:val="none"/>
          <w14:textFill>
            <w14:solidFill>
              <w14:schemeClr w14:val="tx1"/>
            </w14:solidFill>
          </w14:textFill>
        </w:rPr>
      </w:pPr>
    </w:p>
    <w:p>
      <w:pPr>
        <w:spacing w:line="360" w:lineRule="auto"/>
        <w:ind w:firstLine="435"/>
        <w:rPr>
          <w:rFonts w:ascii="宋体" w:hAnsi="宋体"/>
          <w:b/>
          <w:color w:val="000000" w:themeColor="text1"/>
          <w:sz w:val="28"/>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附件6</w:t>
      </w:r>
    </w:p>
    <w:p>
      <w:pPr>
        <w:snapToGrid w:val="0"/>
        <w:spacing w:before="156" w:beforeLines="50" w:after="50" w:line="360" w:lineRule="auto"/>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项目实施人员一览表</w:t>
      </w:r>
    </w:p>
    <w:p>
      <w:pPr>
        <w:snapToGrid w:val="0"/>
        <w:spacing w:before="156" w:beforeLines="50" w:after="50" w:line="360" w:lineRule="auto"/>
        <w:jc w:val="center"/>
        <w:rPr>
          <w:rFonts w:ascii="宋体" w:hAnsi="宋体"/>
          <w:b/>
          <w:color w:val="000000" w:themeColor="text1"/>
          <w:sz w:val="36"/>
          <w:szCs w:val="36"/>
          <w:highlight w:val="none"/>
          <w14:textFill>
            <w14:solidFill>
              <w14:schemeClr w14:val="tx1"/>
            </w14:solidFill>
          </w14:textFill>
        </w:rPr>
      </w:pPr>
    </w:p>
    <w:p>
      <w:pPr>
        <w:snapToGrid w:val="0"/>
        <w:spacing w:before="156" w:beforeLines="50" w:after="50" w:line="360" w:lineRule="auto"/>
        <w:ind w:firstLine="2400" w:firstLineChars="10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（主要从业人员及其技术资格）</w:t>
      </w:r>
    </w:p>
    <w:tbl>
      <w:tblPr>
        <w:tblStyle w:val="20"/>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szCs w:val="20"/>
                <w:highlight w:val="none"/>
                <w14:textFill>
                  <w14:solidFill>
                    <w14:schemeClr w14:val="tx1"/>
                  </w14:solidFill>
                </w14:textFill>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szCs w:val="20"/>
                <w:highlight w:val="none"/>
                <w14:textFill>
                  <w14:solidFill>
                    <w14:schemeClr w14:val="tx1"/>
                  </w14:solidFill>
                </w14:textFill>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bCs/>
                <w:color w:val="000000" w:themeColor="text1"/>
                <w:sz w:val="24"/>
                <w:szCs w:val="20"/>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bCs/>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pStyle w:val="13"/>
              <w:snapToGrid w:val="0"/>
              <w:spacing w:before="156" w:beforeLines="50" w:after="50" w:line="360" w:lineRule="auto"/>
              <w:ind w:left="5250"/>
              <w:rPr>
                <w:rFonts w:ascii="宋体" w:hAnsi="宋体" w:eastAsia="宋体"/>
                <w:b/>
                <w:color w:val="000000" w:themeColor="text1"/>
                <w:kern w:val="44"/>
                <w:sz w:val="24"/>
                <w:szCs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pStyle w:val="13"/>
              <w:snapToGrid w:val="0"/>
              <w:spacing w:before="156" w:beforeLines="50" w:after="50" w:line="360" w:lineRule="auto"/>
              <w:ind w:left="5250"/>
              <w:rPr>
                <w:rFonts w:ascii="宋体" w:hAnsi="宋体" w:eastAsia="宋体"/>
                <w:b/>
                <w:color w:val="000000" w:themeColor="text1"/>
                <w:kern w:val="44"/>
                <w:sz w:val="24"/>
                <w:szCs w:val="24"/>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pStyle w:val="13"/>
              <w:spacing w:line="360" w:lineRule="auto"/>
              <w:ind w:left="5250"/>
              <w:rPr>
                <w:rFonts w:ascii="宋体" w:hAnsi="宋体"/>
                <w:color w:val="000000" w:themeColor="text1"/>
                <w:sz w:val="24"/>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r>
    </w:tbl>
    <w:p>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要求：</w:t>
      </w:r>
    </w:p>
    <w:p>
      <w:pPr>
        <w:spacing w:line="360" w:lineRule="auto"/>
        <w:ind w:left="437"/>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在填写时，如本表格不适合投标单位的实际情况，可根据本表格式自行划表填写。</w:t>
      </w:r>
    </w:p>
    <w:p>
      <w:pPr>
        <w:pStyle w:val="32"/>
        <w:spacing w:line="360" w:lineRule="auto"/>
        <w:ind w:left="424" w:leftChars="20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2.附人员证书复印件；</w:t>
      </w:r>
    </w:p>
    <w:p>
      <w:pPr>
        <w:pStyle w:val="32"/>
        <w:spacing w:line="360" w:lineRule="auto"/>
        <w:ind w:left="424" w:hanging="424" w:hangingChars="20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3.出具上述人员在本单位服务的外部证明，如：</w:t>
      </w:r>
      <w:r>
        <w:rPr>
          <w:rFonts w:ascii="宋体" w:hAnsi="宋体"/>
          <w:color w:val="000000" w:themeColor="text1"/>
          <w:szCs w:val="21"/>
          <w:highlight w:val="none"/>
          <w14:textFill>
            <w14:solidFill>
              <w14:schemeClr w14:val="tx1"/>
            </w14:solidFill>
          </w14:textFill>
        </w:rPr>
        <w:t>投标截止日之前六个月以内的</w:t>
      </w:r>
      <w:r>
        <w:rPr>
          <w:rFonts w:hint="eastAsia" w:ascii="宋体" w:hAnsi="宋体"/>
          <w:color w:val="000000" w:themeColor="text1"/>
          <w:szCs w:val="21"/>
          <w:highlight w:val="none"/>
          <w14:textFill>
            <w14:solidFill>
              <w14:schemeClr w14:val="tx1"/>
            </w14:solidFill>
          </w14:textFill>
        </w:rPr>
        <w:t>代缴个税税单、参加社会保险的《投保单》或《社会保险参保人员证明》等。</w:t>
      </w:r>
    </w:p>
    <w:p>
      <w:pPr>
        <w:spacing w:line="360" w:lineRule="auto"/>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p>
    <w:p>
      <w:pPr>
        <w:spacing w:line="360" w:lineRule="auto"/>
        <w:ind w:firstLine="435"/>
        <w:rPr>
          <w:rFonts w:ascii="宋体" w:hAnsi="宋体"/>
          <w:color w:val="000000" w:themeColor="text1"/>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附件7</w:t>
      </w:r>
    </w:p>
    <w:p>
      <w:pPr>
        <w:spacing w:before="156" w:beforeLines="50" w:after="156" w:afterLines="50" w:line="360" w:lineRule="auto"/>
        <w:ind w:right="-10"/>
        <w:jc w:val="center"/>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项目负责人资格情况表</w:t>
      </w:r>
    </w:p>
    <w:p>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采购项目：                                            采购编号：</w:t>
      </w:r>
    </w:p>
    <w:tbl>
      <w:tblPr>
        <w:tblStyle w:val="20"/>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注：业绩证明应提供旁证材料</w:t>
            </w:r>
          </w:p>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r>
              <w:rPr>
                <w:rFonts w:hint="eastAsia" w:ascii="宋体" w:hAnsi="宋体"/>
                <w:color w:val="000000" w:themeColor="text1"/>
                <w:highlight w:val="none"/>
                <w14:textFill>
                  <w14:solidFill>
                    <w14:schemeClr w14:val="tx1"/>
                  </w14:solidFill>
                </w14:textFill>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trPr>
        <w:tc>
          <w:tcPr>
            <w:tcW w:w="1974" w:type="dxa"/>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bl>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firstLine="480" w:firstLineChars="20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p>
    <w:p>
      <w:pPr>
        <w:snapToGrid w:val="0"/>
        <w:spacing w:before="50" w:after="50" w:line="360" w:lineRule="auto"/>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附件8</w:t>
      </w:r>
    </w:p>
    <w:p>
      <w:pPr>
        <w:spacing w:line="360" w:lineRule="auto"/>
        <w:ind w:left="480"/>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供货</w:t>
      </w:r>
      <w:r>
        <w:rPr>
          <w:rFonts w:ascii="宋体" w:hAnsi="宋体"/>
          <w:b/>
          <w:color w:val="000000" w:themeColor="text1"/>
          <w:sz w:val="32"/>
          <w:szCs w:val="32"/>
          <w:highlight w:val="none"/>
          <w14:textFill>
            <w14:solidFill>
              <w14:schemeClr w14:val="tx1"/>
            </w14:solidFill>
          </w14:textFill>
        </w:rPr>
        <w:t>清单</w:t>
      </w:r>
      <w:r>
        <w:rPr>
          <w:rFonts w:hint="eastAsia" w:ascii="宋体" w:hAnsi="宋体"/>
          <w:b/>
          <w:color w:val="000000" w:themeColor="text1"/>
          <w:sz w:val="32"/>
          <w:szCs w:val="32"/>
          <w:highlight w:val="none"/>
          <w14:textFill>
            <w14:solidFill>
              <w14:schemeClr w14:val="tx1"/>
            </w14:solidFill>
          </w14:textFill>
        </w:rPr>
        <w:t>（如有则提供）</w:t>
      </w:r>
    </w:p>
    <w:p>
      <w:pPr>
        <w:spacing w:line="360" w:lineRule="auto"/>
        <w:ind w:left="480"/>
        <w:rPr>
          <w:rFonts w:ascii="宋体" w:hAnsi="宋体"/>
          <w:color w:val="000000" w:themeColor="text1"/>
          <w:highlight w:val="none"/>
          <w14:textFill>
            <w14:solidFill>
              <w14:schemeClr w14:val="tx1"/>
            </w14:solidFill>
          </w14:textFill>
        </w:rPr>
      </w:pPr>
    </w:p>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项目编号：</w:t>
      </w:r>
    </w:p>
    <w:p>
      <w:pPr>
        <w:spacing w:line="360" w:lineRule="auto"/>
        <w:ind w:left="420"/>
        <w:rPr>
          <w:rFonts w:ascii="宋体" w:hAnsi="宋体"/>
          <w:color w:val="000000" w:themeColor="text1"/>
          <w:sz w:val="24"/>
          <w:highlight w:val="none"/>
          <w14:textFill>
            <w14:solidFill>
              <w14:schemeClr w14:val="tx1"/>
            </w14:solidFill>
          </w14:textFill>
        </w:rPr>
      </w:pPr>
    </w:p>
    <w:tbl>
      <w:tblPr>
        <w:tblStyle w:val="20"/>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2169"/>
        <w:gridCol w:w="1134"/>
        <w:gridCol w:w="1842"/>
        <w:gridCol w:w="99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525" w:type="dxa"/>
            <w:vAlign w:val="center"/>
          </w:tcPr>
          <w:p>
            <w:pPr>
              <w:spacing w:line="360" w:lineRule="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序号</w:t>
            </w:r>
          </w:p>
        </w:tc>
        <w:tc>
          <w:tcPr>
            <w:tcW w:w="2169" w:type="dxa"/>
            <w:vAlign w:val="center"/>
          </w:tcPr>
          <w:p>
            <w:pPr>
              <w:tabs>
                <w:tab w:val="left" w:pos="8280"/>
              </w:tabs>
              <w:autoSpaceDE w:val="0"/>
              <w:autoSpaceDN w:val="0"/>
              <w:adjustRightInd w:val="0"/>
              <w:spacing w:line="360" w:lineRule="auto"/>
              <w:ind w:right="25" w:firstLine="361" w:firstLineChars="150"/>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名称</w:t>
            </w:r>
          </w:p>
        </w:tc>
        <w:tc>
          <w:tcPr>
            <w:tcW w:w="1134" w:type="dxa"/>
            <w:vAlign w:val="center"/>
          </w:tcPr>
          <w:p>
            <w:pPr>
              <w:tabs>
                <w:tab w:val="left" w:pos="8280"/>
              </w:tabs>
              <w:autoSpaceDE w:val="0"/>
              <w:autoSpaceDN w:val="0"/>
              <w:adjustRightInd w:val="0"/>
              <w:spacing w:line="360" w:lineRule="auto"/>
              <w:ind w:right="25"/>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品牌</w:t>
            </w:r>
          </w:p>
        </w:tc>
        <w:tc>
          <w:tcPr>
            <w:tcW w:w="1842" w:type="dxa"/>
            <w:vAlign w:val="center"/>
          </w:tcPr>
          <w:p>
            <w:pPr>
              <w:tabs>
                <w:tab w:val="left" w:pos="8280"/>
              </w:tabs>
              <w:autoSpaceDE w:val="0"/>
              <w:autoSpaceDN w:val="0"/>
              <w:adjustRightInd w:val="0"/>
              <w:spacing w:line="360" w:lineRule="auto"/>
              <w:ind w:right="25"/>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规格型号</w:t>
            </w:r>
          </w:p>
        </w:tc>
        <w:tc>
          <w:tcPr>
            <w:tcW w:w="993" w:type="dxa"/>
            <w:vAlign w:val="center"/>
          </w:tcPr>
          <w:p>
            <w:pPr>
              <w:spacing w:line="360" w:lineRule="auto"/>
              <w:ind w:left="52"/>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产地</w:t>
            </w:r>
          </w:p>
        </w:tc>
        <w:tc>
          <w:tcPr>
            <w:tcW w:w="1559" w:type="dxa"/>
            <w:vAlign w:val="center"/>
          </w:tcPr>
          <w:p>
            <w:pPr>
              <w:spacing w:line="360" w:lineRule="auto"/>
              <w:ind w:left="152"/>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52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16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134"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4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3"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52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16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134"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4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3"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16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134"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4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3"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16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134"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4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3"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trPr>
        <w:tc>
          <w:tcPr>
            <w:tcW w:w="52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16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134"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4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3"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trPr>
        <w:tc>
          <w:tcPr>
            <w:tcW w:w="52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16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134"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4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3"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52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16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134"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4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3"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r>
    </w:tbl>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left="435"/>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要求：</w:t>
      </w:r>
    </w:p>
    <w:p>
      <w:pPr>
        <w:spacing w:line="360" w:lineRule="auto"/>
        <w:ind w:left="435" w:firstLine="559" w:firstLineChars="265"/>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本表中的名称、数量应与报价明细表中相对应的报价名称、数量一致</w:t>
      </w: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left="420" w:firstLine="571" w:firstLineChars="238"/>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firstLine="993"/>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993"/>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993"/>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p>
    <w:p>
      <w:pPr>
        <w:snapToGrid w:val="0"/>
        <w:spacing w:before="50" w:after="50" w:line="360" w:lineRule="auto"/>
        <w:rPr>
          <w:rFonts w:ascii="宋体" w:hAnsi="宋体"/>
          <w:b/>
          <w:color w:val="000000" w:themeColor="text1"/>
          <w:sz w:val="28"/>
          <w:highlight w:val="none"/>
          <w14:textFill>
            <w14:solidFill>
              <w14:schemeClr w14:val="tx1"/>
            </w14:solidFill>
          </w14:textFill>
        </w:rPr>
      </w:pPr>
    </w:p>
    <w:p>
      <w:pPr>
        <w:snapToGrid w:val="0"/>
        <w:spacing w:before="50" w:after="50" w:line="360" w:lineRule="auto"/>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附件9</w:t>
      </w:r>
    </w:p>
    <w:p>
      <w:pPr>
        <w:spacing w:line="360" w:lineRule="auto"/>
        <w:ind w:left="480"/>
        <w:jc w:val="center"/>
        <w:rPr>
          <w:rFonts w:ascii="宋体" w:hAnsi="宋体"/>
          <w:b/>
          <w:color w:val="000000" w:themeColor="text1"/>
          <w:sz w:val="32"/>
          <w:szCs w:val="32"/>
          <w:highlight w:val="none"/>
          <w14:textFill>
            <w14:solidFill>
              <w14:schemeClr w14:val="tx1"/>
            </w14:solidFill>
          </w14:textFill>
        </w:rPr>
      </w:pPr>
      <w:r>
        <w:rPr>
          <w:rFonts w:ascii="宋体" w:hAnsi="宋体"/>
          <w:color w:val="000000" w:themeColor="text1"/>
          <w:kern w:val="0"/>
          <w:sz w:val="32"/>
          <w:szCs w:val="32"/>
          <w:highlight w:val="none"/>
          <w14:textFill>
            <w14:solidFill>
              <w14:schemeClr w14:val="tx1"/>
            </w14:solidFill>
          </w14:textFill>
        </w:rPr>
        <w:t>技术</w:t>
      </w:r>
      <w:r>
        <w:rPr>
          <w:rFonts w:hint="eastAsia" w:ascii="宋体" w:hAnsi="宋体"/>
          <w:color w:val="000000" w:themeColor="text1"/>
          <w:kern w:val="0"/>
          <w:sz w:val="32"/>
          <w:szCs w:val="32"/>
          <w:highlight w:val="none"/>
          <w14:textFill>
            <w14:solidFill>
              <w14:schemeClr w14:val="tx1"/>
            </w14:solidFill>
          </w14:textFill>
        </w:rPr>
        <w:t>需求</w:t>
      </w:r>
      <w:r>
        <w:rPr>
          <w:rFonts w:ascii="宋体" w:hAnsi="宋体"/>
          <w:color w:val="000000" w:themeColor="text1"/>
          <w:kern w:val="0"/>
          <w:sz w:val="32"/>
          <w:szCs w:val="32"/>
          <w:highlight w:val="none"/>
          <w14:textFill>
            <w14:solidFill>
              <w14:schemeClr w14:val="tx1"/>
            </w14:solidFill>
          </w14:textFill>
        </w:rPr>
        <w:t>响应表</w:t>
      </w:r>
    </w:p>
    <w:p>
      <w:pPr>
        <w:spacing w:line="360" w:lineRule="auto"/>
        <w:rPr>
          <w:rFonts w:ascii="宋体" w:hAnsi="宋体"/>
          <w:color w:val="000000" w:themeColor="text1"/>
          <w:sz w:val="24"/>
          <w:highlight w:val="none"/>
          <w14:textFill>
            <w14:solidFill>
              <w14:schemeClr w14:val="tx1"/>
            </w14:solidFill>
          </w14:textFill>
        </w:rPr>
      </w:pPr>
    </w:p>
    <w:tbl>
      <w:tblPr>
        <w:tblStyle w:val="20"/>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1560"/>
        <w:gridCol w:w="1401"/>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735" w:type="dxa"/>
            <w:vAlign w:val="center"/>
          </w:tcPr>
          <w:p>
            <w:pPr>
              <w:spacing w:line="360" w:lineRule="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序号</w:t>
            </w:r>
          </w:p>
        </w:tc>
        <w:tc>
          <w:tcPr>
            <w:tcW w:w="1785" w:type="dxa"/>
            <w:vAlign w:val="center"/>
          </w:tcPr>
          <w:p>
            <w:pPr>
              <w:spacing w:line="360" w:lineRule="auto"/>
              <w:ind w:left="13" w:leftChars="6"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名称</w:t>
            </w:r>
          </w:p>
        </w:tc>
        <w:tc>
          <w:tcPr>
            <w:tcW w:w="1449" w:type="dxa"/>
            <w:vAlign w:val="center"/>
          </w:tcPr>
          <w:p>
            <w:pPr>
              <w:spacing w:line="360" w:lineRule="auto"/>
              <w:ind w:left="52"/>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规格型号</w:t>
            </w:r>
          </w:p>
        </w:tc>
        <w:tc>
          <w:tcPr>
            <w:tcW w:w="1560" w:type="dxa"/>
            <w:vAlign w:val="center"/>
          </w:tcPr>
          <w:p>
            <w:pPr>
              <w:spacing w:line="360" w:lineRule="auto"/>
              <w:ind w:left="152"/>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招标参数</w:t>
            </w:r>
          </w:p>
        </w:tc>
        <w:tc>
          <w:tcPr>
            <w:tcW w:w="1401" w:type="dxa"/>
            <w:vAlign w:val="center"/>
          </w:tcPr>
          <w:p>
            <w:pPr>
              <w:spacing w:line="360" w:lineRule="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投标参数</w:t>
            </w:r>
          </w:p>
        </w:tc>
        <w:tc>
          <w:tcPr>
            <w:tcW w:w="1365" w:type="dxa"/>
            <w:vAlign w:val="center"/>
          </w:tcPr>
          <w:p>
            <w:pPr>
              <w:spacing w:line="360" w:lineRule="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73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78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4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60"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01"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365"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73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78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4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60"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01"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365"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78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4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60"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01"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365"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78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4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60"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01"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365"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trPr>
        <w:tc>
          <w:tcPr>
            <w:tcW w:w="73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78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4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60"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01"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365"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trPr>
        <w:tc>
          <w:tcPr>
            <w:tcW w:w="73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78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4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60"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01"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365"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73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78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4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60"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01"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365" w:type="dxa"/>
            <w:vAlign w:val="center"/>
          </w:tcPr>
          <w:p>
            <w:pPr>
              <w:spacing w:line="360" w:lineRule="auto"/>
              <w:rPr>
                <w:rFonts w:ascii="宋体" w:hAnsi="宋体"/>
                <w:color w:val="000000" w:themeColor="text1"/>
                <w:sz w:val="24"/>
                <w:highlight w:val="none"/>
                <w14:textFill>
                  <w14:solidFill>
                    <w14:schemeClr w14:val="tx1"/>
                  </w14:solidFill>
                </w14:textFill>
              </w:rPr>
            </w:pPr>
          </w:p>
        </w:tc>
      </w:tr>
    </w:tbl>
    <w:p>
      <w:pPr>
        <w:pStyle w:val="33"/>
        <w:tabs>
          <w:tab w:val="left" w:pos="360"/>
        </w:tabs>
        <w:spacing w:line="360" w:lineRule="auto"/>
        <w:ind w:right="84" w:rightChars="40"/>
        <w:rPr>
          <w:rFonts w:ascii="宋体"/>
          <w:b/>
          <w:color w:val="000000" w:themeColor="text1"/>
          <w:szCs w:val="21"/>
          <w:highlight w:val="none"/>
          <w14:textFill>
            <w14:solidFill>
              <w14:schemeClr w14:val="tx1"/>
            </w14:solidFill>
          </w14:textFill>
        </w:rPr>
      </w:pPr>
      <w:r>
        <w:rPr>
          <w:rFonts w:hint="eastAsia" w:ascii="宋体"/>
          <w:b/>
          <w:color w:val="000000" w:themeColor="text1"/>
          <w:szCs w:val="21"/>
          <w:highlight w:val="none"/>
          <w14:textFill>
            <w14:solidFill>
              <w14:schemeClr w14:val="tx1"/>
            </w14:solidFill>
          </w14:textFill>
        </w:rPr>
        <w:t>要求：</w:t>
      </w:r>
    </w:p>
    <w:p>
      <w:pPr>
        <w:pStyle w:val="33"/>
        <w:tabs>
          <w:tab w:val="left" w:pos="360"/>
        </w:tabs>
        <w:spacing w:line="360" w:lineRule="auto"/>
        <w:ind w:right="84" w:rightChars="40" w:firstLine="420" w:firstLineChars="200"/>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1. 本表的名称须与《报价明细表》一致。</w:t>
      </w:r>
    </w:p>
    <w:p>
      <w:pPr>
        <w:pStyle w:val="33"/>
        <w:spacing w:line="360" w:lineRule="auto"/>
        <w:ind w:right="84" w:rightChars="40" w:firstLine="420" w:firstLineChars="200"/>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2.本表参照本招标文件第四部分“招标需求”内的“具体技术需求”填制，投标人应根据投标设备的性能指标、服务指标，对照招标文件要求在“偏离情况”栏注明“正偏离”、“负偏离”或“无偏离”。</w:t>
      </w:r>
    </w:p>
    <w:p>
      <w:pPr>
        <w:pStyle w:val="33"/>
        <w:spacing w:line="360" w:lineRule="auto"/>
        <w:ind w:right="84" w:rightChars="40" w:firstLine="420" w:firstLineChars="200"/>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pPr>
        <w:spacing w:line="360" w:lineRule="auto"/>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spacing w:line="360" w:lineRule="auto"/>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p>
    <w:p>
      <w:pPr>
        <w:pStyle w:val="34"/>
        <w:spacing w:line="360" w:lineRule="auto"/>
        <w:jc w:val="left"/>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附件10</w:t>
      </w:r>
    </w:p>
    <w:p>
      <w:pPr>
        <w:pStyle w:val="35"/>
        <w:spacing w:line="360" w:lineRule="auto"/>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证书一览表</w:t>
      </w:r>
    </w:p>
    <w:p>
      <w:pPr>
        <w:pStyle w:val="35"/>
        <w:spacing w:line="360" w:lineRule="auto"/>
        <w:jc w:val="center"/>
        <w:rPr>
          <w:rFonts w:ascii="宋体" w:hAnsi="宋体" w:cs="Arial"/>
          <w:color w:val="000000" w:themeColor="text1"/>
          <w:sz w:val="28"/>
          <w:szCs w:val="28"/>
          <w:highlight w:val="none"/>
          <w14:textFill>
            <w14:solidFill>
              <w14:schemeClr w14:val="tx1"/>
            </w14:solidFill>
          </w14:textFill>
        </w:rPr>
      </w:pPr>
    </w:p>
    <w:tbl>
      <w:tblPr>
        <w:tblStyle w:val="20"/>
        <w:tblW w:w="8432"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tcPr>
          <w:p>
            <w:pPr>
              <w:pStyle w:val="35"/>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证书名称</w:t>
            </w:r>
          </w:p>
        </w:tc>
        <w:tc>
          <w:tcPr>
            <w:tcW w:w="2258" w:type="dxa"/>
            <w:tcBorders>
              <w:top w:val="single" w:color="auto" w:sz="4" w:space="0"/>
              <w:bottom w:val="single" w:color="auto" w:sz="4" w:space="0"/>
            </w:tcBorders>
          </w:tcPr>
          <w:p>
            <w:pPr>
              <w:pStyle w:val="35"/>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发证单位</w:t>
            </w:r>
          </w:p>
        </w:tc>
        <w:tc>
          <w:tcPr>
            <w:tcW w:w="2260" w:type="dxa"/>
            <w:tcBorders>
              <w:top w:val="single" w:color="auto" w:sz="4" w:space="0"/>
              <w:bottom w:val="single" w:color="auto" w:sz="4" w:space="0"/>
            </w:tcBorders>
          </w:tcPr>
          <w:p>
            <w:pPr>
              <w:pStyle w:val="35"/>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证书等级</w:t>
            </w:r>
          </w:p>
        </w:tc>
        <w:tc>
          <w:tcPr>
            <w:tcW w:w="2047" w:type="dxa"/>
            <w:tcBorders>
              <w:top w:val="single" w:color="auto" w:sz="4" w:space="0"/>
              <w:bottom w:val="single" w:color="auto" w:sz="4" w:space="0"/>
              <w:right w:val="single" w:color="auto" w:sz="4" w:space="0"/>
            </w:tcBorders>
          </w:tcPr>
          <w:p>
            <w:pPr>
              <w:pStyle w:val="35"/>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top w:val="single" w:color="auto" w:sz="4" w:space="0"/>
              <w:left w:val="single" w:color="auto" w:sz="4" w:space="0"/>
            </w:tcBorders>
          </w:tcPr>
          <w:p>
            <w:pPr>
              <w:pStyle w:val="35"/>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tcBorders>
              <w:top w:val="single" w:color="auto" w:sz="4" w:space="0"/>
            </w:tcBorders>
          </w:tcPr>
          <w:p>
            <w:pPr>
              <w:pStyle w:val="35"/>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tcBorders>
              <w:top w:val="single" w:color="auto" w:sz="4" w:space="0"/>
            </w:tcBorders>
          </w:tcPr>
          <w:p>
            <w:pPr>
              <w:pStyle w:val="35"/>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top w:val="single" w:color="auto" w:sz="4" w:space="0"/>
              <w:right w:val="single" w:color="auto" w:sz="4" w:space="0"/>
            </w:tcBorders>
          </w:tcPr>
          <w:p>
            <w:pPr>
              <w:pStyle w:val="35"/>
              <w:spacing w:line="360" w:lineRule="auto"/>
              <w:jc w:val="center"/>
              <w:rPr>
                <w:rFonts w:ascii="宋体" w:hAnsi="宋体" w:cs="Arial"/>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35"/>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tcPr>
          <w:p>
            <w:pPr>
              <w:pStyle w:val="35"/>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tcPr>
          <w:p>
            <w:pPr>
              <w:pStyle w:val="35"/>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35"/>
              <w:spacing w:line="360" w:lineRule="auto"/>
              <w:jc w:val="center"/>
              <w:rPr>
                <w:rFonts w:ascii="宋体" w:hAnsi="宋体" w:cs="Arial"/>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35"/>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tcPr>
          <w:p>
            <w:pPr>
              <w:pStyle w:val="35"/>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tcPr>
          <w:p>
            <w:pPr>
              <w:pStyle w:val="35"/>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35"/>
              <w:spacing w:line="360" w:lineRule="auto"/>
              <w:jc w:val="center"/>
              <w:rPr>
                <w:rFonts w:ascii="宋体" w:hAnsi="宋体" w:cs="Arial"/>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35"/>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tcPr>
          <w:p>
            <w:pPr>
              <w:pStyle w:val="35"/>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tcPr>
          <w:p>
            <w:pPr>
              <w:pStyle w:val="35"/>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35"/>
              <w:spacing w:line="360" w:lineRule="auto"/>
              <w:jc w:val="center"/>
              <w:rPr>
                <w:rFonts w:ascii="宋体" w:hAnsi="宋体" w:cs="Arial"/>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35"/>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tcPr>
          <w:p>
            <w:pPr>
              <w:pStyle w:val="35"/>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tcPr>
          <w:p>
            <w:pPr>
              <w:pStyle w:val="35"/>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35"/>
              <w:spacing w:line="360" w:lineRule="auto"/>
              <w:jc w:val="center"/>
              <w:rPr>
                <w:rFonts w:ascii="宋体" w:hAnsi="宋体" w:cs="Arial"/>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35"/>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tcPr>
          <w:p>
            <w:pPr>
              <w:pStyle w:val="35"/>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tcPr>
          <w:p>
            <w:pPr>
              <w:pStyle w:val="35"/>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35"/>
              <w:spacing w:line="360" w:lineRule="auto"/>
              <w:jc w:val="center"/>
              <w:rPr>
                <w:rFonts w:ascii="宋体" w:hAnsi="宋体" w:cs="Arial"/>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tcPr>
          <w:p>
            <w:pPr>
              <w:pStyle w:val="35"/>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tcBorders>
              <w:bottom w:val="single" w:color="auto" w:sz="4" w:space="0"/>
            </w:tcBorders>
          </w:tcPr>
          <w:p>
            <w:pPr>
              <w:pStyle w:val="35"/>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tcBorders>
              <w:bottom w:val="single" w:color="auto" w:sz="4" w:space="0"/>
            </w:tcBorders>
          </w:tcPr>
          <w:p>
            <w:pPr>
              <w:pStyle w:val="35"/>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bottom w:val="single" w:color="auto" w:sz="4" w:space="0"/>
              <w:right w:val="single" w:color="auto" w:sz="4" w:space="0"/>
            </w:tcBorders>
          </w:tcPr>
          <w:p>
            <w:pPr>
              <w:pStyle w:val="35"/>
              <w:spacing w:line="360" w:lineRule="auto"/>
              <w:jc w:val="center"/>
              <w:rPr>
                <w:rFonts w:ascii="宋体" w:hAnsi="宋体" w:cs="Arial"/>
                <w:color w:val="000000" w:themeColor="text1"/>
                <w:szCs w:val="21"/>
                <w:highlight w:val="none"/>
                <w14:textFill>
                  <w14:solidFill>
                    <w14:schemeClr w14:val="tx1"/>
                  </w14:solidFill>
                </w14:textFill>
              </w:rPr>
            </w:pPr>
          </w:p>
        </w:tc>
      </w:tr>
    </w:tbl>
    <w:p>
      <w:pPr>
        <w:pStyle w:val="35"/>
        <w:tabs>
          <w:tab w:val="left" w:pos="1050"/>
        </w:tabs>
        <w:spacing w:line="360" w:lineRule="auto"/>
        <w:rPr>
          <w:rFonts w:ascii="仿宋_GB2312" w:hAnsi="宋体" w:eastAsia="仿宋_GB2312"/>
          <w:color w:val="000000" w:themeColor="text1"/>
          <w:sz w:val="24"/>
          <w:highlight w:val="none"/>
          <w14:textFill>
            <w14:solidFill>
              <w14:schemeClr w14:val="tx1"/>
            </w14:solidFill>
          </w14:textFill>
        </w:rPr>
      </w:pPr>
    </w:p>
    <w:p>
      <w:pPr>
        <w:pStyle w:val="35"/>
        <w:tabs>
          <w:tab w:val="left" w:pos="1050"/>
        </w:tabs>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要求：</w:t>
      </w:r>
    </w:p>
    <w:p>
      <w:pPr>
        <w:pStyle w:val="35"/>
        <w:tabs>
          <w:tab w:val="left" w:pos="1050"/>
        </w:tabs>
        <w:spacing w:line="360" w:lineRule="auto"/>
        <w:ind w:firstLine="424" w:firstLineChars="20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1.填写投标人获得资质、认证或企业信誉证书；</w:t>
      </w:r>
    </w:p>
    <w:p>
      <w:pPr>
        <w:pStyle w:val="35"/>
        <w:tabs>
          <w:tab w:val="left" w:pos="1050"/>
        </w:tabs>
        <w:spacing w:line="360" w:lineRule="auto"/>
        <w:ind w:firstLine="424" w:firstLineChars="20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2.附所列证书复印件或其他证明材料。</w:t>
      </w:r>
    </w:p>
    <w:p>
      <w:pPr>
        <w:pStyle w:val="35"/>
        <w:tabs>
          <w:tab w:val="left" w:pos="1050"/>
        </w:tabs>
        <w:spacing w:line="360" w:lineRule="auto"/>
        <w:ind w:firstLine="720" w:firstLineChars="300"/>
        <w:rPr>
          <w:rFonts w:ascii="仿宋_GB2312" w:hAnsi="宋体" w:eastAsia="仿宋_GB2312"/>
          <w:color w:val="000000" w:themeColor="text1"/>
          <w:sz w:val="24"/>
          <w:highlight w:val="none"/>
          <w14:textFill>
            <w14:solidFill>
              <w14:schemeClr w14:val="tx1"/>
            </w14:solidFill>
          </w14:textFill>
        </w:rPr>
      </w:pPr>
    </w:p>
    <w:p>
      <w:pPr>
        <w:pStyle w:val="35"/>
        <w:tabs>
          <w:tab w:val="left" w:pos="1050"/>
        </w:tabs>
        <w:spacing w:line="360" w:lineRule="auto"/>
        <w:ind w:firstLine="720" w:firstLineChars="300"/>
        <w:rPr>
          <w:rFonts w:ascii="仿宋_GB2312" w:hAnsi="宋体" w:eastAsia="仿宋_GB2312"/>
          <w:color w:val="000000" w:themeColor="text1"/>
          <w:sz w:val="24"/>
          <w:highlight w:val="none"/>
          <w14:textFill>
            <w14:solidFill>
              <w14:schemeClr w14:val="tx1"/>
            </w14:solidFill>
          </w14:textFill>
        </w:rPr>
      </w:pPr>
    </w:p>
    <w:p>
      <w:pPr>
        <w:pStyle w:val="35"/>
        <w:tabs>
          <w:tab w:val="left" w:pos="1050"/>
        </w:tabs>
        <w:spacing w:line="360" w:lineRule="auto"/>
        <w:ind w:firstLine="720" w:firstLineChars="300"/>
        <w:rPr>
          <w:rFonts w:ascii="仿宋_GB2312" w:hAnsi="宋体" w:eastAsia="仿宋_GB2312"/>
          <w:color w:val="000000" w:themeColor="text1"/>
          <w:sz w:val="24"/>
          <w:highlight w:val="none"/>
          <w14:textFill>
            <w14:solidFill>
              <w14:schemeClr w14:val="tx1"/>
            </w14:solidFill>
          </w14:textFill>
        </w:rPr>
      </w:pPr>
    </w:p>
    <w:p>
      <w:pPr>
        <w:spacing w:line="360" w:lineRule="auto"/>
        <w:ind w:firstLine="424" w:firstLineChars="177"/>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firstLine="424" w:firstLineChars="17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24" w:firstLineChars="177"/>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spacing w:line="360" w:lineRule="auto"/>
        <w:rPr>
          <w:rFonts w:ascii="宋体" w:hAnsi="宋体"/>
          <w:color w:val="000000" w:themeColor="text1"/>
          <w:sz w:val="24"/>
          <w:highlight w:val="none"/>
          <w14:textFill>
            <w14:solidFill>
              <w14:schemeClr w14:val="tx1"/>
            </w14:solidFill>
          </w14:textFill>
        </w:rPr>
      </w:pPr>
    </w:p>
    <w:p>
      <w:pPr>
        <w:pStyle w:val="31"/>
        <w:shd w:val="clear" w:color="auto" w:fill="FFFFFF"/>
        <w:spacing w:before="0" w:beforeAutospacing="0" w:after="0" w:afterAutospacing="0" w:line="360" w:lineRule="auto"/>
        <w:ind w:firstLine="424" w:firstLineChars="177"/>
        <w:rPr>
          <w:b/>
          <w:bCs/>
          <w:color w:val="000000" w:themeColor="text1"/>
          <w:spacing w:val="11"/>
          <w:highlight w:val="none"/>
          <w14:textFill>
            <w14:solidFill>
              <w14:schemeClr w14:val="tx1"/>
            </w14:solidFill>
          </w14:textFill>
        </w:rPr>
      </w:pPr>
      <w:r>
        <w:rPr>
          <w:rFonts w:hint="eastAsia"/>
          <w:color w:val="000000" w:themeColor="text1"/>
          <w:highlight w:val="none"/>
          <w14:textFill>
            <w14:solidFill>
              <w14:schemeClr w14:val="tx1"/>
            </w14:solidFill>
          </w14:textFill>
        </w:rPr>
        <w:t>日        期：：</w:t>
      </w:r>
    </w:p>
    <w:p>
      <w:pPr>
        <w:spacing w:line="360" w:lineRule="auto"/>
        <w:rPr>
          <w:rFonts w:ascii="宋体" w:hAnsi="宋体"/>
          <w:b/>
          <w:color w:val="000000" w:themeColor="text1"/>
          <w:sz w:val="28"/>
          <w:highlight w:val="none"/>
          <w14:textFill>
            <w14:solidFill>
              <w14:schemeClr w14:val="tx1"/>
            </w14:solidFill>
          </w14:textFill>
        </w:rPr>
      </w:pPr>
    </w:p>
    <w:p>
      <w:pPr>
        <w:spacing w:line="360" w:lineRule="auto"/>
        <w:rPr>
          <w:rFonts w:ascii="宋体" w:hAnsi="宋体"/>
          <w:b/>
          <w:color w:val="000000" w:themeColor="text1"/>
          <w:sz w:val="28"/>
          <w:highlight w:val="none"/>
          <w14:textFill>
            <w14:solidFill>
              <w14:schemeClr w14:val="tx1"/>
            </w14:solidFill>
          </w14:textFill>
        </w:rPr>
      </w:pPr>
    </w:p>
    <w:p>
      <w:pPr>
        <w:spacing w:line="360" w:lineRule="auto"/>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附件11</w:t>
      </w:r>
    </w:p>
    <w:p>
      <w:pPr>
        <w:pStyle w:val="34"/>
        <w:spacing w:line="360" w:lineRule="auto"/>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投标人类似项目实施情况一览表</w:t>
      </w:r>
    </w:p>
    <w:p>
      <w:pPr>
        <w:pStyle w:val="34"/>
        <w:spacing w:line="360" w:lineRule="auto"/>
        <w:jc w:val="center"/>
        <w:rPr>
          <w:rFonts w:ascii="仿宋_GB2312" w:eastAsia="仿宋_GB2312"/>
          <w:b/>
          <w:color w:val="000000" w:themeColor="text1"/>
          <w:sz w:val="28"/>
          <w:szCs w:val="28"/>
          <w:highlight w:val="none"/>
          <w14:textFill>
            <w14:solidFill>
              <w14:schemeClr w14:val="tx1"/>
            </w14:solidFill>
          </w14:textFill>
        </w:rPr>
      </w:pPr>
    </w:p>
    <w:tbl>
      <w:tblPr>
        <w:tblStyle w:val="20"/>
        <w:tblW w:w="954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4"/>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34"/>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34"/>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34"/>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34"/>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34"/>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34"/>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4"/>
              <w:spacing w:line="360" w:lineRule="auto"/>
              <w:jc w:val="center"/>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1</w:t>
            </w:r>
          </w:p>
        </w:tc>
        <w:tc>
          <w:tcPr>
            <w:tcW w:w="1293"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4"/>
              <w:spacing w:line="360" w:lineRule="auto"/>
              <w:jc w:val="center"/>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2</w:t>
            </w:r>
          </w:p>
        </w:tc>
        <w:tc>
          <w:tcPr>
            <w:tcW w:w="1293"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4"/>
              <w:spacing w:line="360" w:lineRule="auto"/>
              <w:jc w:val="center"/>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3</w:t>
            </w:r>
          </w:p>
        </w:tc>
        <w:tc>
          <w:tcPr>
            <w:tcW w:w="1293"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w:t>
            </w:r>
          </w:p>
        </w:tc>
        <w:tc>
          <w:tcPr>
            <w:tcW w:w="1293"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r>
    </w:tbl>
    <w:p>
      <w:pPr>
        <w:autoSpaceDE w:val="0"/>
        <w:autoSpaceDN w:val="0"/>
        <w:adjustRightInd w:val="0"/>
        <w:spacing w:before="156" w:beforeLines="50" w:line="360" w:lineRule="auto"/>
        <w:rPr>
          <w:rFonts w:ascii="宋体" w:hAnsi="宋体" w:cs="Arial"/>
          <w:b/>
          <w:color w:val="000000" w:themeColor="text1"/>
          <w:szCs w:val="21"/>
          <w:highlight w:val="none"/>
          <w14:textFill>
            <w14:solidFill>
              <w14:schemeClr w14:val="tx1"/>
            </w14:solidFill>
          </w14:textFill>
        </w:rPr>
      </w:pPr>
      <w:r>
        <w:rPr>
          <w:rFonts w:hint="eastAsia" w:ascii="宋体" w:hAnsi="宋体" w:cs="Arial"/>
          <w:b/>
          <w:color w:val="000000" w:themeColor="text1"/>
          <w:szCs w:val="21"/>
          <w:highlight w:val="none"/>
          <w14:textFill>
            <w14:solidFill>
              <w14:schemeClr w14:val="tx1"/>
            </w14:solidFill>
          </w14:textFill>
        </w:rPr>
        <w:t>要求</w:t>
      </w:r>
      <w:r>
        <w:rPr>
          <w:rFonts w:ascii="宋体" w:hAnsi="宋体" w:cs="Arial"/>
          <w:b/>
          <w:color w:val="000000" w:themeColor="text1"/>
          <w:szCs w:val="21"/>
          <w:highlight w:val="none"/>
          <w14:textFill>
            <w14:solidFill>
              <w14:schemeClr w14:val="tx1"/>
            </w14:solidFill>
          </w14:textFill>
        </w:rPr>
        <w:t>：</w:t>
      </w:r>
    </w:p>
    <w:p>
      <w:pPr>
        <w:autoSpaceDE w:val="0"/>
        <w:autoSpaceDN w:val="0"/>
        <w:adjustRightInd w:val="0"/>
        <w:spacing w:before="156" w:beforeLines="50" w:line="360" w:lineRule="auto"/>
        <w:ind w:firstLine="424" w:firstLineChars="202"/>
        <w:rPr>
          <w:rFonts w:ascii="宋体" w:hAnsi="宋体" w:cs="Arial"/>
          <w:b/>
          <w:color w:val="000000" w:themeColor="text1"/>
          <w:szCs w:val="21"/>
          <w:highlight w:val="none"/>
          <w14:textFill>
            <w14:solidFill>
              <w14:schemeClr w14:val="tx1"/>
            </w14:solidFill>
          </w14:textFill>
        </w:rPr>
      </w:pPr>
      <w:r>
        <w:rPr>
          <w:rFonts w:ascii="宋体" w:hAnsi="宋体" w:cs="Arial"/>
          <w:color w:val="000000" w:themeColor="text1"/>
          <w:szCs w:val="21"/>
          <w:highlight w:val="none"/>
          <w14:textFill>
            <w14:solidFill>
              <w14:schemeClr w14:val="tx1"/>
            </w14:solidFill>
          </w14:textFill>
        </w:rPr>
        <w:t>1</w:t>
      </w:r>
      <w:r>
        <w:rPr>
          <w:rFonts w:hint="eastAsia" w:ascii="宋体" w:hAnsi="宋体" w:cs="Arial"/>
          <w:color w:val="000000" w:themeColor="text1"/>
          <w:szCs w:val="21"/>
          <w:highlight w:val="none"/>
          <w14:textFill>
            <w14:solidFill>
              <w14:schemeClr w14:val="tx1"/>
            </w14:solidFill>
          </w14:textFill>
        </w:rPr>
        <w:t>.</w:t>
      </w:r>
      <w:r>
        <w:rPr>
          <w:rFonts w:ascii="宋体" w:hAnsi="宋体" w:cs="Arial"/>
          <w:color w:val="000000" w:themeColor="text1"/>
          <w:szCs w:val="21"/>
          <w:highlight w:val="none"/>
          <w14:textFill>
            <w14:solidFill>
              <w14:schemeClr w14:val="tx1"/>
            </w14:solidFill>
          </w14:textFill>
        </w:rPr>
        <w:t>业绩证明应提供证明材料（合同</w:t>
      </w:r>
      <w:r>
        <w:rPr>
          <w:rFonts w:hint="eastAsia" w:ascii="宋体" w:hAnsi="宋体" w:cs="Arial"/>
          <w:color w:val="000000" w:themeColor="text1"/>
          <w:szCs w:val="21"/>
          <w:highlight w:val="none"/>
          <w14:textFill>
            <w14:solidFill>
              <w14:schemeClr w14:val="tx1"/>
            </w14:solidFill>
          </w14:textFill>
        </w:rPr>
        <w:t>复印件可只提供首页、含金额页、盖章页并加盖投标人公章</w:t>
      </w:r>
      <w:r>
        <w:rPr>
          <w:rFonts w:ascii="宋体" w:hAnsi="宋体" w:cs="Arial"/>
          <w:color w:val="000000" w:themeColor="text1"/>
          <w:szCs w:val="21"/>
          <w:highlight w:val="none"/>
          <w14:textFill>
            <w14:solidFill>
              <w14:schemeClr w14:val="tx1"/>
            </w14:solidFill>
          </w14:textFill>
        </w:rPr>
        <w:t>）；</w:t>
      </w:r>
    </w:p>
    <w:p>
      <w:pPr>
        <w:spacing w:line="360" w:lineRule="auto"/>
        <w:ind w:firstLine="424" w:firstLineChars="202"/>
        <w:jc w:val="left"/>
        <w:rPr>
          <w:rFonts w:ascii="宋体" w:hAnsi="宋体" w:cs="Arial"/>
          <w:color w:val="000000" w:themeColor="text1"/>
          <w:szCs w:val="21"/>
          <w:highlight w:val="none"/>
          <w14:textFill>
            <w14:solidFill>
              <w14:schemeClr w14:val="tx1"/>
            </w14:solidFill>
          </w14:textFill>
        </w:rPr>
      </w:pPr>
      <w:r>
        <w:rPr>
          <w:rFonts w:ascii="宋体" w:hAnsi="宋体" w:cs="Arial"/>
          <w:color w:val="000000" w:themeColor="text1"/>
          <w:szCs w:val="21"/>
          <w:highlight w:val="none"/>
          <w14:textFill>
            <w14:solidFill>
              <w14:schemeClr w14:val="tx1"/>
            </w14:solidFill>
          </w14:textFill>
        </w:rPr>
        <w:t>2</w:t>
      </w:r>
      <w:r>
        <w:rPr>
          <w:rFonts w:hint="eastAsia" w:ascii="宋体" w:hAnsi="宋体" w:cs="Arial"/>
          <w:color w:val="000000" w:themeColor="text1"/>
          <w:szCs w:val="21"/>
          <w:highlight w:val="none"/>
          <w14:textFill>
            <w14:solidFill>
              <w14:schemeClr w14:val="tx1"/>
            </w14:solidFill>
          </w14:textFill>
        </w:rPr>
        <w:t>.报价供应商</w:t>
      </w:r>
      <w:r>
        <w:rPr>
          <w:rFonts w:ascii="宋体" w:hAnsi="宋体" w:cs="Arial"/>
          <w:color w:val="000000" w:themeColor="text1"/>
          <w:szCs w:val="21"/>
          <w:highlight w:val="none"/>
          <w14:textFill>
            <w14:solidFill>
              <w14:schemeClr w14:val="tx1"/>
            </w14:solidFill>
          </w14:textFill>
        </w:rPr>
        <w:t>可按此表格式复制</w:t>
      </w:r>
      <w:r>
        <w:rPr>
          <w:rFonts w:hint="eastAsia" w:ascii="宋体" w:hAnsi="宋体" w:cs="Arial"/>
          <w:color w:val="000000" w:themeColor="text1"/>
          <w:szCs w:val="21"/>
          <w:highlight w:val="none"/>
          <w14:textFill>
            <w14:solidFill>
              <w14:schemeClr w14:val="tx1"/>
            </w14:solidFill>
          </w14:textFill>
        </w:rPr>
        <w:t>。</w:t>
      </w:r>
    </w:p>
    <w:p>
      <w:pPr>
        <w:spacing w:line="360" w:lineRule="auto"/>
        <w:rPr>
          <w:rFonts w:ascii="宋体" w:hAnsi="宋体"/>
          <w:color w:val="000000" w:themeColor="text1"/>
          <w:sz w:val="22"/>
          <w:szCs w:val="22"/>
          <w:highlight w:val="none"/>
          <w14:textFill>
            <w14:solidFill>
              <w14:schemeClr w14:val="tx1"/>
            </w14:solidFill>
          </w14:textFill>
        </w:rPr>
      </w:pPr>
    </w:p>
    <w:p>
      <w:pPr>
        <w:spacing w:line="360" w:lineRule="auto"/>
        <w:rPr>
          <w:rFonts w:ascii="宋体" w:hAnsi="宋体"/>
          <w:color w:val="000000" w:themeColor="text1"/>
          <w:sz w:val="22"/>
          <w:szCs w:val="22"/>
          <w:highlight w:val="none"/>
          <w14:textFill>
            <w14:solidFill>
              <w14:schemeClr w14:val="tx1"/>
            </w14:solidFill>
          </w14:textFill>
        </w:rPr>
      </w:pPr>
    </w:p>
    <w:p>
      <w:pPr>
        <w:spacing w:line="360" w:lineRule="auto"/>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spacing w:line="360" w:lineRule="auto"/>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p>
    <w:p>
      <w:pPr>
        <w:jc w:val="center"/>
        <w:rPr>
          <w:rFonts w:ascii="仿宋" w:hAnsi="仿宋" w:eastAsia="仿宋"/>
          <w:snapToGrid w:val="0"/>
          <w:color w:val="000000" w:themeColor="text1"/>
          <w:kern w:val="0"/>
          <w:sz w:val="24"/>
          <w:highlight w:val="none"/>
          <w14:textFill>
            <w14:solidFill>
              <w14:schemeClr w14:val="tx1"/>
            </w14:solidFill>
          </w14:textFill>
        </w:rPr>
      </w:pPr>
    </w:p>
    <w:p>
      <w:pPr>
        <w:pStyle w:val="35"/>
        <w:tabs>
          <w:tab w:val="left" w:pos="1050"/>
        </w:tabs>
        <w:spacing w:line="360" w:lineRule="auto"/>
        <w:rPr>
          <w:rFonts w:ascii="仿宋_GB2312" w:hAnsi="宋体" w:eastAsia="仿宋_GB2312"/>
          <w:color w:val="000000" w:themeColor="text1"/>
          <w:sz w:val="24"/>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附件12</w:t>
      </w:r>
    </w:p>
    <w:p>
      <w:pPr>
        <w:spacing w:line="360" w:lineRule="auto"/>
        <w:ind w:left="549" w:hanging="549" w:hangingChars="171"/>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 xml:space="preserve">资信及商务需求响应表 </w:t>
      </w:r>
    </w:p>
    <w:p>
      <w:pPr>
        <w:spacing w:line="360" w:lineRule="auto"/>
        <w:ind w:left="481" w:leftChars="229" w:firstLine="813" w:firstLineChars="450"/>
        <w:rPr>
          <w:rFonts w:ascii="宋体" w:hAnsi="宋体"/>
          <w:b/>
          <w:color w:val="000000" w:themeColor="text1"/>
          <w:sz w:val="18"/>
          <w:szCs w:val="18"/>
          <w:highlight w:val="none"/>
          <w14:textFill>
            <w14:solidFill>
              <w14:schemeClr w14:val="tx1"/>
            </w14:solidFill>
          </w14:textFill>
        </w:rPr>
      </w:pPr>
    </w:p>
    <w:tbl>
      <w:tblPr>
        <w:tblStyle w:val="20"/>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6" w:hRule="atLeast"/>
        </w:trPr>
        <w:tc>
          <w:tcPr>
            <w:tcW w:w="735" w:type="dxa"/>
            <w:vAlign w:val="center"/>
          </w:tcPr>
          <w:p>
            <w:pP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序号</w:t>
            </w:r>
          </w:p>
        </w:tc>
        <w:tc>
          <w:tcPr>
            <w:tcW w:w="1785" w:type="dxa"/>
            <w:vAlign w:val="center"/>
          </w:tcPr>
          <w:p>
            <w:pP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 xml:space="preserve">   内容</w:t>
            </w:r>
          </w:p>
        </w:tc>
        <w:tc>
          <w:tcPr>
            <w:tcW w:w="1785" w:type="dxa"/>
            <w:vAlign w:val="center"/>
          </w:tcPr>
          <w:p>
            <w:pPr>
              <w:ind w:left="53" w:leftChars="25" w:firstLine="241" w:firstLineChars="1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招标需求</w:t>
            </w:r>
          </w:p>
        </w:tc>
        <w:tc>
          <w:tcPr>
            <w:tcW w:w="1365" w:type="dxa"/>
            <w:vAlign w:val="center"/>
          </w:tcPr>
          <w:p>
            <w:pPr>
              <w:ind w:left="152"/>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是否响应</w:t>
            </w:r>
          </w:p>
        </w:tc>
        <w:tc>
          <w:tcPr>
            <w:tcW w:w="2625" w:type="dxa"/>
            <w:vAlign w:val="center"/>
          </w:tcPr>
          <w:p>
            <w:pPr>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735" w:type="dxa"/>
            <w:vAlign w:val="center"/>
          </w:tcPr>
          <w:p>
            <w:pPr>
              <w:rPr>
                <w:rFonts w:ascii="宋体" w:hAnsi="宋体"/>
                <w:color w:val="000000" w:themeColor="text1"/>
                <w:sz w:val="24"/>
                <w:highlight w:val="none"/>
                <w14:textFill>
                  <w14:solidFill>
                    <w14:schemeClr w14:val="tx1"/>
                  </w14:solidFill>
                </w14:textFill>
              </w:rPr>
            </w:pPr>
          </w:p>
        </w:tc>
        <w:tc>
          <w:tcPr>
            <w:tcW w:w="1785" w:type="dxa"/>
          </w:tcPr>
          <w:p>
            <w:pPr>
              <w:snapToGrid w:val="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售后服务保障要求</w:t>
            </w:r>
          </w:p>
        </w:tc>
        <w:tc>
          <w:tcPr>
            <w:tcW w:w="1785" w:type="dxa"/>
            <w:vAlign w:val="center"/>
          </w:tcPr>
          <w:p>
            <w:pPr>
              <w:rPr>
                <w:rFonts w:ascii="宋体" w:hAnsi="宋体"/>
                <w:color w:val="000000" w:themeColor="text1"/>
                <w:sz w:val="24"/>
                <w:highlight w:val="none"/>
                <w14:textFill>
                  <w14:solidFill>
                    <w14:schemeClr w14:val="tx1"/>
                  </w14:solidFill>
                </w14:textFill>
              </w:rPr>
            </w:pPr>
          </w:p>
        </w:tc>
        <w:tc>
          <w:tcPr>
            <w:tcW w:w="1365" w:type="dxa"/>
            <w:vAlign w:val="center"/>
          </w:tcPr>
          <w:p>
            <w:pPr>
              <w:rPr>
                <w:rFonts w:ascii="宋体" w:hAnsi="宋体"/>
                <w:color w:val="000000" w:themeColor="text1"/>
                <w:sz w:val="24"/>
                <w:highlight w:val="none"/>
                <w14:textFill>
                  <w14:solidFill>
                    <w14:schemeClr w14:val="tx1"/>
                  </w14:solidFill>
                </w14:textFill>
              </w:rPr>
            </w:pPr>
          </w:p>
        </w:tc>
        <w:tc>
          <w:tcPr>
            <w:tcW w:w="2625" w:type="dxa"/>
            <w:vAlign w:val="center"/>
          </w:tcPr>
          <w:p>
            <w:pP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735" w:type="dxa"/>
            <w:vAlign w:val="center"/>
          </w:tcPr>
          <w:p>
            <w:pPr>
              <w:rPr>
                <w:rFonts w:ascii="宋体" w:hAnsi="宋体"/>
                <w:color w:val="000000" w:themeColor="text1"/>
                <w:sz w:val="24"/>
                <w:highlight w:val="none"/>
                <w14:textFill>
                  <w14:solidFill>
                    <w14:schemeClr w14:val="tx1"/>
                  </w14:solidFill>
                </w14:textFill>
              </w:rPr>
            </w:pPr>
          </w:p>
        </w:tc>
        <w:tc>
          <w:tcPr>
            <w:tcW w:w="1785" w:type="dxa"/>
          </w:tcPr>
          <w:p>
            <w:pPr>
              <w:snapToGrid w:val="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备品备件及耗材等要求</w:t>
            </w:r>
          </w:p>
        </w:tc>
        <w:tc>
          <w:tcPr>
            <w:tcW w:w="1785" w:type="dxa"/>
            <w:vAlign w:val="center"/>
          </w:tcPr>
          <w:p>
            <w:pPr>
              <w:rPr>
                <w:rFonts w:ascii="宋体" w:hAnsi="宋体"/>
                <w:color w:val="000000" w:themeColor="text1"/>
                <w:sz w:val="24"/>
                <w:highlight w:val="none"/>
                <w14:textFill>
                  <w14:solidFill>
                    <w14:schemeClr w14:val="tx1"/>
                  </w14:solidFill>
                </w14:textFill>
              </w:rPr>
            </w:pPr>
          </w:p>
        </w:tc>
        <w:tc>
          <w:tcPr>
            <w:tcW w:w="1365" w:type="dxa"/>
            <w:vAlign w:val="center"/>
          </w:tcPr>
          <w:p>
            <w:pPr>
              <w:rPr>
                <w:rFonts w:ascii="宋体" w:hAnsi="宋体"/>
                <w:color w:val="000000" w:themeColor="text1"/>
                <w:sz w:val="24"/>
                <w:highlight w:val="none"/>
                <w14:textFill>
                  <w14:solidFill>
                    <w14:schemeClr w14:val="tx1"/>
                  </w14:solidFill>
                </w14:textFill>
              </w:rPr>
            </w:pPr>
          </w:p>
        </w:tc>
        <w:tc>
          <w:tcPr>
            <w:tcW w:w="2625" w:type="dxa"/>
            <w:vAlign w:val="center"/>
          </w:tcPr>
          <w:p>
            <w:pP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rPr>
                <w:rFonts w:ascii="宋体" w:hAnsi="宋体"/>
                <w:color w:val="000000" w:themeColor="text1"/>
                <w:sz w:val="24"/>
                <w:highlight w:val="none"/>
                <w14:textFill>
                  <w14:solidFill>
                    <w14:schemeClr w14:val="tx1"/>
                  </w14:solidFill>
                </w14:textFill>
              </w:rPr>
            </w:pPr>
          </w:p>
        </w:tc>
        <w:tc>
          <w:tcPr>
            <w:tcW w:w="1785" w:type="dxa"/>
          </w:tcPr>
          <w:p>
            <w:pPr>
              <w:snapToGrid w:val="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质保期</w:t>
            </w:r>
          </w:p>
        </w:tc>
        <w:tc>
          <w:tcPr>
            <w:tcW w:w="1785" w:type="dxa"/>
            <w:vAlign w:val="center"/>
          </w:tcPr>
          <w:p>
            <w:pPr>
              <w:rPr>
                <w:rFonts w:ascii="宋体" w:hAnsi="宋体"/>
                <w:color w:val="000000" w:themeColor="text1"/>
                <w:sz w:val="24"/>
                <w:highlight w:val="none"/>
                <w14:textFill>
                  <w14:solidFill>
                    <w14:schemeClr w14:val="tx1"/>
                  </w14:solidFill>
                </w14:textFill>
              </w:rPr>
            </w:pPr>
          </w:p>
        </w:tc>
        <w:tc>
          <w:tcPr>
            <w:tcW w:w="1365" w:type="dxa"/>
            <w:vAlign w:val="center"/>
          </w:tcPr>
          <w:p>
            <w:pPr>
              <w:rPr>
                <w:rFonts w:ascii="宋体" w:hAnsi="宋体"/>
                <w:color w:val="000000" w:themeColor="text1"/>
                <w:sz w:val="24"/>
                <w:highlight w:val="none"/>
                <w14:textFill>
                  <w14:solidFill>
                    <w14:schemeClr w14:val="tx1"/>
                  </w14:solidFill>
                </w14:textFill>
              </w:rPr>
            </w:pPr>
          </w:p>
        </w:tc>
        <w:tc>
          <w:tcPr>
            <w:tcW w:w="2625" w:type="dxa"/>
            <w:vAlign w:val="center"/>
          </w:tcPr>
          <w:p>
            <w:pP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rPr>
                <w:rFonts w:ascii="宋体" w:hAnsi="宋体"/>
                <w:color w:val="000000" w:themeColor="text1"/>
                <w:sz w:val="24"/>
                <w:highlight w:val="none"/>
                <w14:textFill>
                  <w14:solidFill>
                    <w14:schemeClr w14:val="tx1"/>
                  </w14:solidFill>
                </w14:textFill>
              </w:rPr>
            </w:pPr>
          </w:p>
        </w:tc>
        <w:tc>
          <w:tcPr>
            <w:tcW w:w="1785" w:type="dxa"/>
          </w:tcPr>
          <w:p>
            <w:pPr>
              <w:snapToGrid w:val="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交货和服务</w:t>
            </w:r>
          </w:p>
          <w:p>
            <w:pPr>
              <w:snapToGrid w:val="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时间及地点</w:t>
            </w:r>
          </w:p>
        </w:tc>
        <w:tc>
          <w:tcPr>
            <w:tcW w:w="1785" w:type="dxa"/>
            <w:vAlign w:val="center"/>
          </w:tcPr>
          <w:p>
            <w:pPr>
              <w:rPr>
                <w:rFonts w:ascii="宋体" w:hAnsi="宋体"/>
                <w:color w:val="000000" w:themeColor="text1"/>
                <w:sz w:val="24"/>
                <w:highlight w:val="none"/>
                <w14:textFill>
                  <w14:solidFill>
                    <w14:schemeClr w14:val="tx1"/>
                  </w14:solidFill>
                </w14:textFill>
              </w:rPr>
            </w:pPr>
          </w:p>
        </w:tc>
        <w:tc>
          <w:tcPr>
            <w:tcW w:w="1365" w:type="dxa"/>
            <w:vAlign w:val="center"/>
          </w:tcPr>
          <w:p>
            <w:pPr>
              <w:rPr>
                <w:rFonts w:ascii="宋体" w:hAnsi="宋体"/>
                <w:color w:val="000000" w:themeColor="text1"/>
                <w:sz w:val="24"/>
                <w:highlight w:val="none"/>
                <w14:textFill>
                  <w14:solidFill>
                    <w14:schemeClr w14:val="tx1"/>
                  </w14:solidFill>
                </w14:textFill>
              </w:rPr>
            </w:pPr>
          </w:p>
        </w:tc>
        <w:tc>
          <w:tcPr>
            <w:tcW w:w="2625" w:type="dxa"/>
            <w:vAlign w:val="center"/>
          </w:tcPr>
          <w:p>
            <w:pP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rPr>
                <w:rFonts w:ascii="宋体" w:hAnsi="宋体"/>
                <w:color w:val="000000" w:themeColor="text1"/>
                <w:sz w:val="24"/>
                <w:highlight w:val="none"/>
                <w14:textFill>
                  <w14:solidFill>
                    <w14:schemeClr w14:val="tx1"/>
                  </w14:solidFill>
                </w14:textFill>
              </w:rPr>
            </w:pPr>
          </w:p>
        </w:tc>
        <w:tc>
          <w:tcPr>
            <w:tcW w:w="1785" w:type="dxa"/>
          </w:tcPr>
          <w:p>
            <w:pPr>
              <w:snapToGrid w:val="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付款条件</w:t>
            </w:r>
          </w:p>
        </w:tc>
        <w:tc>
          <w:tcPr>
            <w:tcW w:w="1785" w:type="dxa"/>
            <w:vAlign w:val="center"/>
          </w:tcPr>
          <w:p>
            <w:pPr>
              <w:rPr>
                <w:rFonts w:ascii="宋体" w:hAnsi="宋体"/>
                <w:color w:val="000000" w:themeColor="text1"/>
                <w:sz w:val="24"/>
                <w:highlight w:val="none"/>
                <w14:textFill>
                  <w14:solidFill>
                    <w14:schemeClr w14:val="tx1"/>
                  </w14:solidFill>
                </w14:textFill>
              </w:rPr>
            </w:pPr>
          </w:p>
        </w:tc>
        <w:tc>
          <w:tcPr>
            <w:tcW w:w="1365" w:type="dxa"/>
            <w:vAlign w:val="center"/>
          </w:tcPr>
          <w:p>
            <w:pPr>
              <w:rPr>
                <w:rFonts w:ascii="宋体" w:hAnsi="宋体"/>
                <w:color w:val="000000" w:themeColor="text1"/>
                <w:sz w:val="24"/>
                <w:highlight w:val="none"/>
                <w14:textFill>
                  <w14:solidFill>
                    <w14:schemeClr w14:val="tx1"/>
                  </w14:solidFill>
                </w14:textFill>
              </w:rPr>
            </w:pPr>
          </w:p>
        </w:tc>
        <w:tc>
          <w:tcPr>
            <w:tcW w:w="2625" w:type="dxa"/>
            <w:vAlign w:val="center"/>
          </w:tcPr>
          <w:p>
            <w:pP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rPr>
                <w:rFonts w:ascii="宋体" w:hAnsi="宋体"/>
                <w:color w:val="000000" w:themeColor="text1"/>
                <w:sz w:val="24"/>
                <w:highlight w:val="none"/>
                <w14:textFill>
                  <w14:solidFill>
                    <w14:schemeClr w14:val="tx1"/>
                  </w14:solidFill>
                </w14:textFill>
              </w:rPr>
            </w:pPr>
          </w:p>
        </w:tc>
        <w:tc>
          <w:tcPr>
            <w:tcW w:w="1785" w:type="dxa"/>
          </w:tcPr>
          <w:p>
            <w:pPr>
              <w:snapToGrid w:val="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p>
        </w:tc>
        <w:tc>
          <w:tcPr>
            <w:tcW w:w="1785" w:type="dxa"/>
            <w:vAlign w:val="center"/>
          </w:tcPr>
          <w:p>
            <w:pPr>
              <w:rPr>
                <w:rFonts w:ascii="宋体" w:hAnsi="宋体"/>
                <w:color w:val="000000" w:themeColor="text1"/>
                <w:sz w:val="24"/>
                <w:highlight w:val="none"/>
                <w14:textFill>
                  <w14:solidFill>
                    <w14:schemeClr w14:val="tx1"/>
                  </w14:solidFill>
                </w14:textFill>
              </w:rPr>
            </w:pPr>
          </w:p>
        </w:tc>
        <w:tc>
          <w:tcPr>
            <w:tcW w:w="1365" w:type="dxa"/>
            <w:vAlign w:val="center"/>
          </w:tcPr>
          <w:p>
            <w:pPr>
              <w:rPr>
                <w:rFonts w:ascii="宋体" w:hAnsi="宋体"/>
                <w:color w:val="000000" w:themeColor="text1"/>
                <w:sz w:val="24"/>
                <w:highlight w:val="none"/>
                <w14:textFill>
                  <w14:solidFill>
                    <w14:schemeClr w14:val="tx1"/>
                  </w14:solidFill>
                </w14:textFill>
              </w:rPr>
            </w:pPr>
          </w:p>
        </w:tc>
        <w:tc>
          <w:tcPr>
            <w:tcW w:w="2625" w:type="dxa"/>
            <w:vAlign w:val="center"/>
          </w:tcPr>
          <w:p>
            <w:pP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trPr>
        <w:tc>
          <w:tcPr>
            <w:tcW w:w="735" w:type="dxa"/>
            <w:vAlign w:val="center"/>
          </w:tcPr>
          <w:p>
            <w:pPr>
              <w:rPr>
                <w:rFonts w:ascii="宋体" w:hAnsi="宋体"/>
                <w:color w:val="000000" w:themeColor="text1"/>
                <w:sz w:val="24"/>
                <w:highlight w:val="none"/>
                <w14:textFill>
                  <w14:solidFill>
                    <w14:schemeClr w14:val="tx1"/>
                  </w14:solidFill>
                </w14:textFill>
              </w:rPr>
            </w:pPr>
          </w:p>
        </w:tc>
        <w:tc>
          <w:tcPr>
            <w:tcW w:w="1785" w:type="dxa"/>
          </w:tcPr>
          <w:p>
            <w:pPr>
              <w:snapToGrid w:val="0"/>
              <w:rPr>
                <w:rFonts w:ascii="宋体" w:hAnsi="宋体"/>
                <w:color w:val="000000" w:themeColor="text1"/>
                <w:sz w:val="24"/>
                <w:highlight w:val="none"/>
                <w14:textFill>
                  <w14:solidFill>
                    <w14:schemeClr w14:val="tx1"/>
                  </w14:solidFill>
                </w14:textFill>
              </w:rPr>
            </w:pPr>
          </w:p>
        </w:tc>
        <w:tc>
          <w:tcPr>
            <w:tcW w:w="1785" w:type="dxa"/>
            <w:vAlign w:val="center"/>
          </w:tcPr>
          <w:p>
            <w:pPr>
              <w:rPr>
                <w:rFonts w:ascii="宋体" w:hAnsi="宋体"/>
                <w:color w:val="000000" w:themeColor="text1"/>
                <w:sz w:val="24"/>
                <w:highlight w:val="none"/>
                <w14:textFill>
                  <w14:solidFill>
                    <w14:schemeClr w14:val="tx1"/>
                  </w14:solidFill>
                </w14:textFill>
              </w:rPr>
            </w:pPr>
          </w:p>
        </w:tc>
        <w:tc>
          <w:tcPr>
            <w:tcW w:w="1365" w:type="dxa"/>
            <w:vAlign w:val="center"/>
          </w:tcPr>
          <w:p>
            <w:pPr>
              <w:rPr>
                <w:rFonts w:ascii="宋体" w:hAnsi="宋体"/>
                <w:color w:val="000000" w:themeColor="text1"/>
                <w:sz w:val="24"/>
                <w:highlight w:val="none"/>
                <w14:textFill>
                  <w14:solidFill>
                    <w14:schemeClr w14:val="tx1"/>
                  </w14:solidFill>
                </w14:textFill>
              </w:rPr>
            </w:pPr>
          </w:p>
        </w:tc>
        <w:tc>
          <w:tcPr>
            <w:tcW w:w="2625" w:type="dxa"/>
            <w:vAlign w:val="center"/>
          </w:tcPr>
          <w:p>
            <w:pP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trPr>
        <w:tc>
          <w:tcPr>
            <w:tcW w:w="735" w:type="dxa"/>
            <w:vAlign w:val="center"/>
          </w:tcPr>
          <w:p>
            <w:pPr>
              <w:rPr>
                <w:rFonts w:ascii="宋体" w:hAnsi="宋体"/>
                <w:color w:val="000000" w:themeColor="text1"/>
                <w:sz w:val="24"/>
                <w:highlight w:val="none"/>
                <w14:textFill>
                  <w14:solidFill>
                    <w14:schemeClr w14:val="tx1"/>
                  </w14:solidFill>
                </w14:textFill>
              </w:rPr>
            </w:pPr>
          </w:p>
        </w:tc>
        <w:tc>
          <w:tcPr>
            <w:tcW w:w="1785" w:type="dxa"/>
          </w:tcPr>
          <w:p>
            <w:pPr>
              <w:snapToGrid w:val="0"/>
              <w:rPr>
                <w:rFonts w:ascii="宋体" w:hAnsi="宋体"/>
                <w:color w:val="000000" w:themeColor="text1"/>
                <w:sz w:val="24"/>
                <w:highlight w:val="none"/>
                <w14:textFill>
                  <w14:solidFill>
                    <w14:schemeClr w14:val="tx1"/>
                  </w14:solidFill>
                </w14:textFill>
              </w:rPr>
            </w:pPr>
          </w:p>
        </w:tc>
        <w:tc>
          <w:tcPr>
            <w:tcW w:w="1785" w:type="dxa"/>
            <w:vAlign w:val="center"/>
          </w:tcPr>
          <w:p>
            <w:pPr>
              <w:rPr>
                <w:rFonts w:ascii="宋体" w:hAnsi="宋体"/>
                <w:color w:val="000000" w:themeColor="text1"/>
                <w:sz w:val="24"/>
                <w:highlight w:val="none"/>
                <w14:textFill>
                  <w14:solidFill>
                    <w14:schemeClr w14:val="tx1"/>
                  </w14:solidFill>
                </w14:textFill>
              </w:rPr>
            </w:pPr>
          </w:p>
        </w:tc>
        <w:tc>
          <w:tcPr>
            <w:tcW w:w="1365" w:type="dxa"/>
            <w:vAlign w:val="center"/>
          </w:tcPr>
          <w:p>
            <w:pPr>
              <w:rPr>
                <w:rFonts w:ascii="宋体" w:hAnsi="宋体"/>
                <w:color w:val="000000" w:themeColor="text1"/>
                <w:sz w:val="24"/>
                <w:highlight w:val="none"/>
                <w14:textFill>
                  <w14:solidFill>
                    <w14:schemeClr w14:val="tx1"/>
                  </w14:solidFill>
                </w14:textFill>
              </w:rPr>
            </w:pPr>
          </w:p>
        </w:tc>
        <w:tc>
          <w:tcPr>
            <w:tcW w:w="2625" w:type="dxa"/>
            <w:vAlign w:val="center"/>
          </w:tcPr>
          <w:p>
            <w:pPr>
              <w:rPr>
                <w:rFonts w:ascii="宋体" w:hAnsi="宋体"/>
                <w:color w:val="000000" w:themeColor="text1"/>
                <w:sz w:val="24"/>
                <w:highlight w:val="none"/>
                <w14:textFill>
                  <w14:solidFill>
                    <w14:schemeClr w14:val="tx1"/>
                  </w14:solidFill>
                </w14:textFill>
              </w:rPr>
            </w:pPr>
          </w:p>
        </w:tc>
      </w:tr>
    </w:tbl>
    <w:p>
      <w:pPr>
        <w:spacing w:line="360" w:lineRule="auto"/>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p>
    <w:p>
      <w:pPr>
        <w:tabs>
          <w:tab w:val="left" w:pos="2460"/>
        </w:tabs>
        <w:spacing w:line="360" w:lineRule="auto"/>
        <w:ind w:firstLine="435"/>
        <w:rPr>
          <w:rFonts w:ascii="宋体" w:hAnsi="宋体"/>
          <w:b/>
          <w:color w:val="000000" w:themeColor="text1"/>
          <w:sz w:val="28"/>
          <w:highlight w:val="none"/>
          <w14:textFill>
            <w14:solidFill>
              <w14:schemeClr w14:val="tx1"/>
            </w14:solidFill>
          </w14:textFill>
        </w:rPr>
      </w:pPr>
    </w:p>
    <w:p>
      <w:pPr>
        <w:tabs>
          <w:tab w:val="left" w:pos="2460"/>
        </w:tabs>
        <w:spacing w:line="360" w:lineRule="auto"/>
        <w:ind w:firstLine="435"/>
        <w:rPr>
          <w:rFonts w:ascii="宋体" w:hAnsi="宋体"/>
          <w:b/>
          <w:color w:val="000000" w:themeColor="text1"/>
          <w:sz w:val="28"/>
          <w:highlight w:val="none"/>
          <w14:textFill>
            <w14:solidFill>
              <w14:schemeClr w14:val="tx1"/>
            </w14:solidFill>
          </w14:textFill>
        </w:rPr>
      </w:pPr>
    </w:p>
    <w:p>
      <w:pPr>
        <w:tabs>
          <w:tab w:val="left" w:pos="2460"/>
        </w:tabs>
        <w:spacing w:line="360" w:lineRule="auto"/>
        <w:ind w:firstLine="435"/>
        <w:rPr>
          <w:rFonts w:ascii="宋体" w:hAnsi="宋体"/>
          <w:b/>
          <w:color w:val="000000" w:themeColor="text1"/>
          <w:sz w:val="28"/>
          <w:highlight w:val="none"/>
          <w14:textFill>
            <w14:solidFill>
              <w14:schemeClr w14:val="tx1"/>
            </w14:solidFill>
          </w14:textFill>
        </w:rPr>
      </w:pPr>
    </w:p>
    <w:p>
      <w:pPr>
        <w:tabs>
          <w:tab w:val="left" w:pos="2460"/>
        </w:tabs>
        <w:spacing w:line="360" w:lineRule="auto"/>
        <w:ind w:firstLine="435"/>
        <w:rPr>
          <w:rFonts w:ascii="宋体" w:hAnsi="宋体"/>
          <w:b/>
          <w:color w:val="000000" w:themeColor="text1"/>
          <w:sz w:val="28"/>
          <w:highlight w:val="none"/>
          <w14:textFill>
            <w14:solidFill>
              <w14:schemeClr w14:val="tx1"/>
            </w14:solidFill>
          </w14:textFill>
        </w:rPr>
      </w:pPr>
    </w:p>
    <w:p>
      <w:pPr>
        <w:tabs>
          <w:tab w:val="left" w:pos="2460"/>
        </w:tabs>
        <w:spacing w:line="360" w:lineRule="auto"/>
        <w:ind w:firstLine="435"/>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附件13</w:t>
      </w:r>
      <w:r>
        <w:rPr>
          <w:rFonts w:ascii="宋体" w:hAnsi="宋体"/>
          <w:b/>
          <w:color w:val="000000" w:themeColor="text1"/>
          <w:sz w:val="28"/>
          <w:highlight w:val="none"/>
          <w14:textFill>
            <w14:solidFill>
              <w14:schemeClr w14:val="tx1"/>
            </w14:solidFill>
          </w14:textFill>
        </w:rPr>
        <w:tab/>
      </w:r>
    </w:p>
    <w:p>
      <w:pPr>
        <w:spacing w:line="360" w:lineRule="auto"/>
        <w:ind w:firstLine="435"/>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售后服务情况表</w:t>
      </w:r>
    </w:p>
    <w:p>
      <w:pPr>
        <w:spacing w:line="360" w:lineRule="auto"/>
        <w:ind w:firstLine="435"/>
        <w:jc w:val="center"/>
        <w:rPr>
          <w:rFonts w:ascii="宋体" w:hAnsi="宋体"/>
          <w:b/>
          <w:color w:val="000000" w:themeColor="text1"/>
          <w:sz w:val="36"/>
          <w:szCs w:val="36"/>
          <w:highlight w:val="none"/>
          <w14:textFill>
            <w14:solidFill>
              <w14:schemeClr w14:val="tx1"/>
            </w14:solidFill>
          </w14:textFill>
        </w:rPr>
      </w:pPr>
    </w:p>
    <w:tbl>
      <w:tblPr>
        <w:tblStyle w:val="20"/>
        <w:tblW w:w="8528"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18" w:hRule="atLeast"/>
          <w:jc w:val="center"/>
        </w:trPr>
        <w:tc>
          <w:tcPr>
            <w:tcW w:w="739" w:type="dxa"/>
            <w:vAlign w:val="center"/>
          </w:tcPr>
          <w:p>
            <w:pPr>
              <w:pStyle w:val="36"/>
              <w:spacing w:line="360" w:lineRule="auto"/>
              <w:jc w:val="center"/>
              <w:rPr>
                <w:rFonts w:ascii="宋体" w:hAnsi="宋体" w:cs="Arial"/>
                <w:b/>
                <w:color w:val="000000" w:themeColor="text1"/>
                <w:sz w:val="24"/>
                <w:highlight w:val="none"/>
                <w14:textFill>
                  <w14:solidFill>
                    <w14:schemeClr w14:val="tx1"/>
                  </w14:solidFill>
                </w14:textFill>
              </w:rPr>
            </w:pPr>
            <w:r>
              <w:rPr>
                <w:rFonts w:hint="eastAsia" w:ascii="宋体" w:hAnsi="宋体" w:cs="Arial"/>
                <w:b/>
                <w:color w:val="000000" w:themeColor="text1"/>
                <w:sz w:val="24"/>
                <w:highlight w:val="none"/>
                <w14:textFill>
                  <w14:solidFill>
                    <w14:schemeClr w14:val="tx1"/>
                  </w14:solidFill>
                </w14:textFill>
              </w:rPr>
              <w:t>序号</w:t>
            </w:r>
          </w:p>
        </w:tc>
        <w:tc>
          <w:tcPr>
            <w:tcW w:w="2355" w:type="dxa"/>
            <w:vAlign w:val="center"/>
          </w:tcPr>
          <w:p>
            <w:pPr>
              <w:pStyle w:val="36"/>
              <w:spacing w:line="360" w:lineRule="auto"/>
              <w:jc w:val="center"/>
              <w:rPr>
                <w:rFonts w:ascii="宋体" w:hAnsi="宋体" w:cs="Arial"/>
                <w:b/>
                <w:color w:val="000000" w:themeColor="text1"/>
                <w:sz w:val="24"/>
                <w:highlight w:val="none"/>
                <w14:textFill>
                  <w14:solidFill>
                    <w14:schemeClr w14:val="tx1"/>
                  </w14:solidFill>
                </w14:textFill>
              </w:rPr>
            </w:pPr>
            <w:r>
              <w:rPr>
                <w:rFonts w:hint="eastAsia" w:ascii="宋体" w:hAnsi="宋体" w:cs="Arial"/>
                <w:b/>
                <w:color w:val="000000" w:themeColor="text1"/>
                <w:sz w:val="24"/>
                <w:highlight w:val="none"/>
                <w14:textFill>
                  <w14:solidFill>
                    <w14:schemeClr w14:val="tx1"/>
                  </w14:solidFill>
                </w14:textFill>
              </w:rPr>
              <w:t>项目</w:t>
            </w:r>
          </w:p>
        </w:tc>
        <w:tc>
          <w:tcPr>
            <w:tcW w:w="4061" w:type="dxa"/>
            <w:vAlign w:val="center"/>
          </w:tcPr>
          <w:p>
            <w:pPr>
              <w:pStyle w:val="36"/>
              <w:spacing w:line="360" w:lineRule="auto"/>
              <w:jc w:val="center"/>
              <w:rPr>
                <w:rFonts w:ascii="宋体" w:hAnsi="宋体" w:cs="Arial"/>
                <w:b/>
                <w:color w:val="000000" w:themeColor="text1"/>
                <w:sz w:val="24"/>
                <w:highlight w:val="none"/>
                <w14:textFill>
                  <w14:solidFill>
                    <w14:schemeClr w14:val="tx1"/>
                  </w14:solidFill>
                </w14:textFill>
              </w:rPr>
            </w:pPr>
            <w:r>
              <w:rPr>
                <w:rFonts w:hint="eastAsia" w:ascii="宋体" w:hAnsi="宋体" w:cs="Arial"/>
                <w:b/>
                <w:color w:val="000000" w:themeColor="text1"/>
                <w:sz w:val="24"/>
                <w:highlight w:val="none"/>
                <w14:textFill>
                  <w14:solidFill>
                    <w14:schemeClr w14:val="tx1"/>
                  </w14:solidFill>
                </w14:textFill>
              </w:rPr>
              <w:t>投标人情况</w:t>
            </w:r>
          </w:p>
        </w:tc>
        <w:tc>
          <w:tcPr>
            <w:tcW w:w="1373" w:type="dxa"/>
            <w:vAlign w:val="center"/>
          </w:tcPr>
          <w:p>
            <w:pPr>
              <w:pStyle w:val="36"/>
              <w:spacing w:line="360" w:lineRule="auto"/>
              <w:jc w:val="center"/>
              <w:rPr>
                <w:rFonts w:ascii="宋体" w:hAnsi="宋体" w:cs="Arial"/>
                <w:b/>
                <w:color w:val="000000" w:themeColor="text1"/>
                <w:sz w:val="24"/>
                <w:highlight w:val="none"/>
                <w14:textFill>
                  <w14:solidFill>
                    <w14:schemeClr w14:val="tx1"/>
                  </w14:solidFill>
                </w14:textFill>
              </w:rPr>
            </w:pPr>
            <w:r>
              <w:rPr>
                <w:rFonts w:hint="eastAsia" w:ascii="宋体" w:hAnsi="宋体" w:cs="Arial"/>
                <w:b/>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258" w:hRule="atLeast"/>
          <w:jc w:val="center"/>
        </w:trPr>
        <w:tc>
          <w:tcPr>
            <w:tcW w:w="739" w:type="dxa"/>
            <w:vMerge w:val="restart"/>
            <w:vAlign w:val="center"/>
          </w:tcPr>
          <w:p>
            <w:pPr>
              <w:pStyle w:val="36"/>
              <w:spacing w:line="360" w:lineRule="auto"/>
              <w:jc w:val="center"/>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1</w:t>
            </w:r>
          </w:p>
        </w:tc>
        <w:tc>
          <w:tcPr>
            <w:tcW w:w="2355" w:type="dxa"/>
            <w:vMerge w:val="restart"/>
            <w:vAlign w:val="center"/>
          </w:tcPr>
          <w:p>
            <w:pPr>
              <w:pStyle w:val="36"/>
              <w:widowControl/>
              <w:spacing w:line="360" w:lineRule="auto"/>
              <w:jc w:val="left"/>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保修期内售后服务情况(</w:t>
            </w:r>
            <w:r>
              <w:rPr>
                <w:rFonts w:ascii="宋体" w:hAnsi="宋体" w:cs="Arial"/>
                <w:bCs/>
                <w:color w:val="000000" w:themeColor="text1"/>
                <w:sz w:val="24"/>
                <w:highlight w:val="none"/>
                <w14:textFill>
                  <w14:solidFill>
                    <w14:schemeClr w14:val="tx1"/>
                  </w14:solidFill>
                </w14:textFill>
              </w:rPr>
              <w:t>服务</w:t>
            </w:r>
            <w:r>
              <w:rPr>
                <w:rFonts w:hint="eastAsia" w:ascii="宋体" w:hAnsi="宋体" w:cs="Arial"/>
                <w:bCs/>
                <w:color w:val="000000" w:themeColor="text1"/>
                <w:sz w:val="24"/>
                <w:highlight w:val="none"/>
                <w14:textFill>
                  <w14:solidFill>
                    <w14:schemeClr w14:val="tx1"/>
                  </w14:solidFill>
                </w14:textFill>
              </w:rPr>
              <w:t>方式、服务网点</w:t>
            </w:r>
            <w:r>
              <w:rPr>
                <w:rFonts w:ascii="宋体" w:hAnsi="宋体" w:cs="Arial"/>
                <w:bCs/>
                <w:color w:val="000000" w:themeColor="text1"/>
                <w:sz w:val="24"/>
                <w:highlight w:val="none"/>
                <w14:textFill>
                  <w14:solidFill>
                    <w14:schemeClr w14:val="tx1"/>
                  </w14:solidFill>
                </w14:textFill>
              </w:rPr>
              <w:t>、售后服务的内容和措施</w:t>
            </w:r>
            <w:r>
              <w:rPr>
                <w:rFonts w:hint="eastAsia" w:ascii="宋体" w:hAnsi="宋体" w:cs="Arial"/>
                <w:bCs/>
                <w:color w:val="000000" w:themeColor="text1"/>
                <w:sz w:val="24"/>
                <w:highlight w:val="none"/>
                <w14:textFill>
                  <w14:solidFill>
                    <w14:schemeClr w14:val="tx1"/>
                  </w14:solidFill>
                </w14:textFill>
              </w:rPr>
              <w:t>等等，可用附页和宣传材料)</w:t>
            </w:r>
          </w:p>
        </w:tc>
        <w:tc>
          <w:tcPr>
            <w:tcW w:w="4061" w:type="dxa"/>
          </w:tcPr>
          <w:p>
            <w:pPr>
              <w:pStyle w:val="36"/>
              <w:spacing w:line="360" w:lineRule="auto"/>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生产厂商售后服务情况：</w:t>
            </w:r>
          </w:p>
        </w:tc>
        <w:tc>
          <w:tcPr>
            <w:tcW w:w="1373" w:type="dxa"/>
          </w:tcPr>
          <w:p>
            <w:pPr>
              <w:pStyle w:val="36"/>
              <w:spacing w:line="360" w:lineRule="auto"/>
              <w:rPr>
                <w:rFonts w:ascii="宋体" w:hAnsi="宋体" w:cs="Arial"/>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90" w:hRule="atLeast"/>
          <w:jc w:val="center"/>
        </w:trPr>
        <w:tc>
          <w:tcPr>
            <w:tcW w:w="739" w:type="dxa"/>
            <w:vMerge w:val="continue"/>
            <w:vAlign w:val="center"/>
          </w:tcPr>
          <w:p>
            <w:pPr>
              <w:pStyle w:val="36"/>
              <w:widowControl/>
              <w:spacing w:line="360" w:lineRule="auto"/>
              <w:jc w:val="left"/>
              <w:rPr>
                <w:rFonts w:ascii="宋体" w:hAnsi="宋体" w:cs="Arial"/>
                <w:bCs/>
                <w:color w:val="000000" w:themeColor="text1"/>
                <w:sz w:val="24"/>
                <w:highlight w:val="none"/>
                <w14:textFill>
                  <w14:solidFill>
                    <w14:schemeClr w14:val="tx1"/>
                  </w14:solidFill>
                </w14:textFill>
              </w:rPr>
            </w:pPr>
          </w:p>
        </w:tc>
        <w:tc>
          <w:tcPr>
            <w:tcW w:w="2355" w:type="dxa"/>
            <w:vMerge w:val="continue"/>
            <w:vAlign w:val="center"/>
          </w:tcPr>
          <w:p>
            <w:pPr>
              <w:pStyle w:val="36"/>
              <w:widowControl/>
              <w:spacing w:line="360" w:lineRule="auto"/>
              <w:jc w:val="left"/>
              <w:rPr>
                <w:rFonts w:ascii="宋体" w:hAnsi="宋体" w:cs="Arial"/>
                <w:bCs/>
                <w:color w:val="000000" w:themeColor="text1"/>
                <w:sz w:val="24"/>
                <w:highlight w:val="none"/>
                <w14:textFill>
                  <w14:solidFill>
                    <w14:schemeClr w14:val="tx1"/>
                  </w14:solidFill>
                </w14:textFill>
              </w:rPr>
            </w:pPr>
          </w:p>
        </w:tc>
        <w:tc>
          <w:tcPr>
            <w:tcW w:w="4061" w:type="dxa"/>
          </w:tcPr>
          <w:p>
            <w:pPr>
              <w:pStyle w:val="36"/>
              <w:spacing w:line="360" w:lineRule="auto"/>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投标人售后服务情况：</w:t>
            </w:r>
          </w:p>
        </w:tc>
        <w:tc>
          <w:tcPr>
            <w:tcW w:w="1373" w:type="dxa"/>
          </w:tcPr>
          <w:p>
            <w:pPr>
              <w:pStyle w:val="36"/>
              <w:spacing w:line="360" w:lineRule="auto"/>
              <w:jc w:val="left"/>
              <w:rPr>
                <w:rFonts w:ascii="宋体" w:hAnsi="宋体" w:cs="Arial"/>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jc w:val="center"/>
        </w:trPr>
        <w:tc>
          <w:tcPr>
            <w:tcW w:w="739" w:type="dxa"/>
            <w:vAlign w:val="center"/>
          </w:tcPr>
          <w:p>
            <w:pPr>
              <w:pStyle w:val="36"/>
              <w:spacing w:line="360" w:lineRule="auto"/>
              <w:jc w:val="center"/>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2</w:t>
            </w:r>
          </w:p>
        </w:tc>
        <w:tc>
          <w:tcPr>
            <w:tcW w:w="2355" w:type="dxa"/>
            <w:vAlign w:val="center"/>
          </w:tcPr>
          <w:p>
            <w:pPr>
              <w:pStyle w:val="36"/>
              <w:spacing w:line="360" w:lineRule="auto"/>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保修期后售后服务</w:t>
            </w:r>
          </w:p>
        </w:tc>
        <w:tc>
          <w:tcPr>
            <w:tcW w:w="4061" w:type="dxa"/>
          </w:tcPr>
          <w:p>
            <w:pPr>
              <w:pStyle w:val="36"/>
              <w:widowControl/>
              <w:spacing w:line="360" w:lineRule="auto"/>
              <w:jc w:val="left"/>
              <w:rPr>
                <w:rFonts w:ascii="宋体" w:hAnsi="宋体" w:cs="Arial"/>
                <w:bCs/>
                <w:color w:val="000000" w:themeColor="text1"/>
                <w:sz w:val="24"/>
                <w:highlight w:val="none"/>
                <w14:textFill>
                  <w14:solidFill>
                    <w14:schemeClr w14:val="tx1"/>
                  </w14:solidFill>
                </w14:textFill>
              </w:rPr>
            </w:pPr>
          </w:p>
          <w:p>
            <w:pPr>
              <w:pStyle w:val="36"/>
              <w:widowControl/>
              <w:spacing w:line="360" w:lineRule="auto"/>
              <w:jc w:val="left"/>
              <w:rPr>
                <w:rFonts w:ascii="宋体" w:hAnsi="宋体" w:cs="Arial"/>
                <w:bCs/>
                <w:color w:val="000000" w:themeColor="text1"/>
                <w:sz w:val="24"/>
                <w:highlight w:val="none"/>
                <w14:textFill>
                  <w14:solidFill>
                    <w14:schemeClr w14:val="tx1"/>
                  </w14:solidFill>
                </w14:textFill>
              </w:rPr>
            </w:pPr>
          </w:p>
          <w:p>
            <w:pPr>
              <w:pStyle w:val="36"/>
              <w:spacing w:line="360" w:lineRule="auto"/>
              <w:rPr>
                <w:rFonts w:ascii="宋体" w:hAnsi="宋体" w:cs="Arial"/>
                <w:bCs/>
                <w:color w:val="000000" w:themeColor="text1"/>
                <w:sz w:val="24"/>
                <w:highlight w:val="none"/>
                <w14:textFill>
                  <w14:solidFill>
                    <w14:schemeClr w14:val="tx1"/>
                  </w14:solidFill>
                </w14:textFill>
              </w:rPr>
            </w:pPr>
          </w:p>
        </w:tc>
        <w:tc>
          <w:tcPr>
            <w:tcW w:w="1373" w:type="dxa"/>
          </w:tcPr>
          <w:p>
            <w:pPr>
              <w:pStyle w:val="36"/>
              <w:widowControl/>
              <w:spacing w:line="360" w:lineRule="auto"/>
              <w:jc w:val="left"/>
              <w:rPr>
                <w:rFonts w:ascii="宋体" w:hAnsi="宋体" w:cs="Arial"/>
                <w:bCs/>
                <w:color w:val="000000" w:themeColor="text1"/>
                <w:sz w:val="24"/>
                <w:highlight w:val="none"/>
                <w14:textFill>
                  <w14:solidFill>
                    <w14:schemeClr w14:val="tx1"/>
                  </w14:solidFill>
                </w14:textFill>
              </w:rPr>
            </w:pPr>
          </w:p>
          <w:p>
            <w:pPr>
              <w:pStyle w:val="36"/>
              <w:widowControl/>
              <w:spacing w:line="360" w:lineRule="auto"/>
              <w:jc w:val="left"/>
              <w:rPr>
                <w:rFonts w:ascii="宋体" w:hAnsi="宋体" w:cs="Arial"/>
                <w:bCs/>
                <w:color w:val="000000" w:themeColor="text1"/>
                <w:sz w:val="24"/>
                <w:highlight w:val="none"/>
                <w14:textFill>
                  <w14:solidFill>
                    <w14:schemeClr w14:val="tx1"/>
                  </w14:solidFill>
                </w14:textFill>
              </w:rPr>
            </w:pPr>
          </w:p>
          <w:p>
            <w:pPr>
              <w:pStyle w:val="36"/>
              <w:spacing w:line="360" w:lineRule="auto"/>
              <w:rPr>
                <w:rFonts w:ascii="宋体" w:hAnsi="宋体" w:cs="Arial"/>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620" w:hRule="exact"/>
          <w:jc w:val="center"/>
        </w:trPr>
        <w:tc>
          <w:tcPr>
            <w:tcW w:w="739" w:type="dxa"/>
            <w:vAlign w:val="center"/>
          </w:tcPr>
          <w:p>
            <w:pPr>
              <w:pStyle w:val="36"/>
              <w:widowControl/>
              <w:spacing w:line="360" w:lineRule="auto"/>
              <w:jc w:val="left"/>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 xml:space="preserve"> 3</w:t>
            </w:r>
          </w:p>
        </w:tc>
        <w:tc>
          <w:tcPr>
            <w:tcW w:w="2355" w:type="dxa"/>
            <w:vAlign w:val="center"/>
          </w:tcPr>
          <w:p>
            <w:pPr>
              <w:pStyle w:val="36"/>
              <w:widowControl/>
              <w:spacing w:line="360" w:lineRule="auto"/>
              <w:jc w:val="left"/>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培训方案（可用附页）</w:t>
            </w:r>
          </w:p>
        </w:tc>
        <w:tc>
          <w:tcPr>
            <w:tcW w:w="4061" w:type="dxa"/>
          </w:tcPr>
          <w:p>
            <w:pPr>
              <w:pStyle w:val="36"/>
              <w:widowControl/>
              <w:spacing w:line="360" w:lineRule="auto"/>
              <w:jc w:val="left"/>
              <w:rPr>
                <w:rFonts w:ascii="宋体" w:hAnsi="宋体" w:cs="Arial"/>
                <w:bCs/>
                <w:i/>
                <w:color w:val="000000" w:themeColor="text1"/>
                <w:sz w:val="24"/>
                <w:highlight w:val="none"/>
                <w14:textFill>
                  <w14:solidFill>
                    <w14:schemeClr w14:val="tx1"/>
                  </w14:solidFill>
                </w14:textFill>
              </w:rPr>
            </w:pPr>
          </w:p>
          <w:p>
            <w:pPr>
              <w:pStyle w:val="36"/>
              <w:widowControl/>
              <w:spacing w:line="360" w:lineRule="auto"/>
              <w:jc w:val="left"/>
              <w:rPr>
                <w:rFonts w:ascii="宋体" w:hAnsi="宋体" w:cs="Arial"/>
                <w:bCs/>
                <w:i/>
                <w:color w:val="000000" w:themeColor="text1"/>
                <w:sz w:val="24"/>
                <w:highlight w:val="none"/>
                <w14:textFill>
                  <w14:solidFill>
                    <w14:schemeClr w14:val="tx1"/>
                  </w14:solidFill>
                </w14:textFill>
              </w:rPr>
            </w:pPr>
          </w:p>
        </w:tc>
        <w:tc>
          <w:tcPr>
            <w:tcW w:w="1373" w:type="dxa"/>
          </w:tcPr>
          <w:p>
            <w:pPr>
              <w:pStyle w:val="36"/>
              <w:widowControl/>
              <w:spacing w:line="360" w:lineRule="auto"/>
              <w:jc w:val="left"/>
              <w:rPr>
                <w:rFonts w:ascii="宋体" w:hAnsi="宋体" w:cs="Arial"/>
                <w:bCs/>
                <w:i/>
                <w:color w:val="000000" w:themeColor="text1"/>
                <w:sz w:val="24"/>
                <w:highlight w:val="none"/>
                <w14:textFill>
                  <w14:solidFill>
                    <w14:schemeClr w14:val="tx1"/>
                  </w14:solidFill>
                </w14:textFill>
              </w:rPr>
            </w:pPr>
          </w:p>
          <w:p>
            <w:pPr>
              <w:pStyle w:val="36"/>
              <w:widowControl/>
              <w:spacing w:line="360" w:lineRule="auto"/>
              <w:jc w:val="left"/>
              <w:rPr>
                <w:rFonts w:ascii="宋体" w:hAnsi="宋体" w:cs="Arial"/>
                <w:bCs/>
                <w:i/>
                <w:color w:val="000000" w:themeColor="text1"/>
                <w:sz w:val="24"/>
                <w:highlight w:val="none"/>
                <w14:textFill>
                  <w14:solidFill>
                    <w14:schemeClr w14:val="tx1"/>
                  </w14:solidFill>
                </w14:textFill>
              </w:rPr>
            </w:pPr>
          </w:p>
          <w:p>
            <w:pPr>
              <w:pStyle w:val="36"/>
              <w:widowControl/>
              <w:spacing w:line="360" w:lineRule="auto"/>
              <w:jc w:val="left"/>
              <w:rPr>
                <w:rFonts w:ascii="宋体" w:hAnsi="宋体" w:cs="Arial"/>
                <w:bCs/>
                <w:i/>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89" w:hRule="exact"/>
          <w:jc w:val="center"/>
        </w:trPr>
        <w:tc>
          <w:tcPr>
            <w:tcW w:w="739" w:type="dxa"/>
            <w:vAlign w:val="center"/>
          </w:tcPr>
          <w:p>
            <w:pPr>
              <w:pStyle w:val="36"/>
              <w:widowControl/>
              <w:spacing w:line="360" w:lineRule="auto"/>
              <w:jc w:val="left"/>
              <w:rPr>
                <w:rFonts w:ascii="宋体" w:hAnsi="宋体" w:cs="Arial"/>
                <w:bCs/>
                <w:color w:val="000000" w:themeColor="text1"/>
                <w:sz w:val="24"/>
                <w:highlight w:val="none"/>
                <w14:textFill>
                  <w14:solidFill>
                    <w14:schemeClr w14:val="tx1"/>
                  </w14:solidFill>
                </w14:textFill>
              </w:rPr>
            </w:pPr>
            <w:r>
              <w:rPr>
                <w:rFonts w:ascii="宋体" w:hAnsi="宋体" w:cs="Arial"/>
                <w:bCs/>
                <w:color w:val="000000" w:themeColor="text1"/>
                <w:sz w:val="24"/>
                <w:highlight w:val="none"/>
                <w14:textFill>
                  <w14:solidFill>
                    <w14:schemeClr w14:val="tx1"/>
                  </w14:solidFill>
                </w14:textFill>
              </w:rPr>
              <w:t>……</w:t>
            </w:r>
          </w:p>
        </w:tc>
        <w:tc>
          <w:tcPr>
            <w:tcW w:w="2355" w:type="dxa"/>
            <w:vAlign w:val="center"/>
          </w:tcPr>
          <w:p>
            <w:pPr>
              <w:pStyle w:val="36"/>
              <w:widowControl/>
              <w:spacing w:line="360" w:lineRule="auto"/>
              <w:jc w:val="left"/>
              <w:rPr>
                <w:rFonts w:ascii="宋体" w:hAnsi="宋体" w:cs="Arial"/>
                <w:bCs/>
                <w:color w:val="000000" w:themeColor="text1"/>
                <w:sz w:val="24"/>
                <w:highlight w:val="none"/>
                <w14:textFill>
                  <w14:solidFill>
                    <w14:schemeClr w14:val="tx1"/>
                  </w14:solidFill>
                </w14:textFill>
              </w:rPr>
            </w:pPr>
            <w:r>
              <w:rPr>
                <w:rFonts w:ascii="宋体" w:hAnsi="宋体" w:cs="Arial"/>
                <w:bCs/>
                <w:color w:val="000000" w:themeColor="text1"/>
                <w:sz w:val="24"/>
                <w:highlight w:val="none"/>
                <w14:textFill>
                  <w14:solidFill>
                    <w14:schemeClr w14:val="tx1"/>
                  </w14:solidFill>
                </w14:textFill>
              </w:rPr>
              <w:t>……</w:t>
            </w:r>
          </w:p>
        </w:tc>
        <w:tc>
          <w:tcPr>
            <w:tcW w:w="4061" w:type="dxa"/>
          </w:tcPr>
          <w:p>
            <w:pPr>
              <w:pStyle w:val="36"/>
              <w:widowControl/>
              <w:spacing w:line="360" w:lineRule="auto"/>
              <w:jc w:val="left"/>
              <w:rPr>
                <w:rFonts w:ascii="宋体" w:hAnsi="宋体" w:cs="Arial"/>
                <w:bCs/>
                <w:color w:val="000000" w:themeColor="text1"/>
                <w:sz w:val="24"/>
                <w:highlight w:val="none"/>
                <w14:textFill>
                  <w14:solidFill>
                    <w14:schemeClr w14:val="tx1"/>
                  </w14:solidFill>
                </w14:textFill>
              </w:rPr>
            </w:pPr>
          </w:p>
        </w:tc>
        <w:tc>
          <w:tcPr>
            <w:tcW w:w="1373" w:type="dxa"/>
          </w:tcPr>
          <w:p>
            <w:pPr>
              <w:pStyle w:val="36"/>
              <w:widowControl/>
              <w:spacing w:line="360" w:lineRule="auto"/>
              <w:jc w:val="left"/>
              <w:rPr>
                <w:rFonts w:ascii="宋体" w:hAnsi="宋体" w:cs="Arial"/>
                <w:bCs/>
                <w:color w:val="000000" w:themeColor="text1"/>
                <w:sz w:val="24"/>
                <w:highlight w:val="none"/>
                <w14:textFill>
                  <w14:solidFill>
                    <w14:schemeClr w14:val="tx1"/>
                  </w14:solidFill>
                </w14:textFill>
              </w:rPr>
            </w:pPr>
          </w:p>
        </w:tc>
      </w:tr>
    </w:tbl>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p>
    <w:p>
      <w:pPr>
        <w:spacing w:line="360" w:lineRule="auto"/>
        <w:ind w:firstLine="435"/>
        <w:rPr>
          <w:rFonts w:ascii="宋体" w:hAnsi="宋体"/>
          <w:color w:val="000000" w:themeColor="text1"/>
          <w:sz w:val="24"/>
          <w:highlight w:val="none"/>
          <w:u w:val="single"/>
          <w14:textFill>
            <w14:solidFill>
              <w14:schemeClr w14:val="tx1"/>
            </w14:solidFill>
          </w14:textFill>
        </w:rPr>
      </w:pPr>
    </w:p>
    <w:p>
      <w:pPr>
        <w:pStyle w:val="37"/>
        <w:spacing w:line="360" w:lineRule="auto"/>
        <w:rPr>
          <w:rFonts w:hAnsi="宋体"/>
          <w:b/>
          <w:color w:val="000000" w:themeColor="text1"/>
          <w:sz w:val="28"/>
          <w:szCs w:val="28"/>
          <w:highlight w:val="none"/>
          <w14:textFill>
            <w14:solidFill>
              <w14:schemeClr w14:val="tx1"/>
            </w14:solidFill>
          </w14:textFill>
        </w:rPr>
      </w:pPr>
      <w:r>
        <w:rPr>
          <w:rFonts w:hint="eastAsia" w:hAnsi="宋体"/>
          <w:b/>
          <w:color w:val="000000" w:themeColor="text1"/>
          <w:sz w:val="28"/>
          <w:szCs w:val="28"/>
          <w:highlight w:val="none"/>
          <w14:textFill>
            <w14:solidFill>
              <w14:schemeClr w14:val="tx1"/>
            </w14:solidFill>
          </w14:textFill>
        </w:rPr>
        <w:t>附件14</w:t>
      </w:r>
    </w:p>
    <w:p>
      <w:pPr>
        <w:pStyle w:val="37"/>
        <w:spacing w:line="360" w:lineRule="auto"/>
        <w:jc w:val="center"/>
        <w:rPr>
          <w:rFonts w:hAnsi="宋体"/>
          <w:b/>
          <w:color w:val="000000" w:themeColor="text1"/>
          <w:sz w:val="32"/>
          <w:szCs w:val="32"/>
          <w:highlight w:val="none"/>
          <w:lang w:val="en-GB"/>
          <w14:textFill>
            <w14:solidFill>
              <w14:schemeClr w14:val="tx1"/>
            </w14:solidFill>
          </w14:textFill>
        </w:rPr>
      </w:pPr>
      <w:r>
        <w:rPr>
          <w:rFonts w:hint="eastAsia" w:hAnsi="宋体"/>
          <w:b/>
          <w:color w:val="000000" w:themeColor="text1"/>
          <w:sz w:val="32"/>
          <w:szCs w:val="32"/>
          <w:highlight w:val="none"/>
          <w14:textFill>
            <w14:solidFill>
              <w14:schemeClr w14:val="tx1"/>
            </w14:solidFill>
          </w14:textFill>
        </w:rPr>
        <w:t>主要货物用材响应表（如有则提供）</w:t>
      </w:r>
    </w:p>
    <w:tbl>
      <w:tblPr>
        <w:tblStyle w:val="20"/>
        <w:tblW w:w="104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980"/>
        <w:gridCol w:w="1080"/>
        <w:gridCol w:w="1260"/>
        <w:gridCol w:w="900"/>
        <w:gridCol w:w="1164"/>
        <w:gridCol w:w="1260"/>
        <w:gridCol w:w="116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序号</w:t>
            </w: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货物名称</w:t>
            </w:r>
          </w:p>
        </w:tc>
        <w:tc>
          <w:tcPr>
            <w:tcW w:w="1080" w:type="dxa"/>
            <w:vMerge w:val="restart"/>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产品配置</w:t>
            </w:r>
          </w:p>
        </w:tc>
        <w:tc>
          <w:tcPr>
            <w:tcW w:w="6644" w:type="dxa"/>
            <w:gridSpan w:val="6"/>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产品主要用材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36"/>
              <w:spacing w:line="360" w:lineRule="auto"/>
              <w:rPr>
                <w:rFonts w:ascii="仿宋_GB2312" w:hAnsi="宋体" w:eastAsia="仿宋_GB2312"/>
                <w:color w:val="000000" w:themeColor="text1"/>
                <w:sz w:val="24"/>
                <w:highlight w:val="none"/>
                <w14:textFill>
                  <w14:solidFill>
                    <w14:schemeClr w14:val="tx1"/>
                  </w14:solidFill>
                </w14:textFill>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pStyle w:val="36"/>
              <w:spacing w:line="360" w:lineRule="auto"/>
              <w:rPr>
                <w:rFonts w:ascii="仿宋_GB2312" w:hAnsi="宋体" w:eastAsia="仿宋_GB2312"/>
                <w:color w:val="000000" w:themeColor="text1"/>
                <w:sz w:val="24"/>
                <w:highlight w:val="none"/>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pStyle w:val="36"/>
              <w:spacing w:line="360" w:lineRule="auto"/>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s="宋体"/>
                <w:bCs/>
                <w:color w:val="000000" w:themeColor="text1"/>
                <w:sz w:val="24"/>
                <w:highlight w:val="none"/>
                <w14:textFill>
                  <w14:solidFill>
                    <w14:schemeClr w14:val="tx1"/>
                  </w14:solidFill>
                </w14:textFill>
              </w:rPr>
              <w:t>材料规格及参数</w:t>
            </w:r>
          </w:p>
        </w:tc>
        <w:tc>
          <w:tcPr>
            <w:tcW w:w="90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品牌</w:t>
            </w:r>
          </w:p>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商标</w:t>
            </w:r>
          </w:p>
        </w:tc>
        <w:tc>
          <w:tcPr>
            <w:tcW w:w="1164"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生产厂家</w:t>
            </w:r>
          </w:p>
        </w:tc>
        <w:tc>
          <w:tcPr>
            <w:tcW w:w="12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符合标准</w:t>
            </w:r>
          </w:p>
        </w:tc>
        <w:tc>
          <w:tcPr>
            <w:tcW w:w="11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性能说明</w:t>
            </w:r>
          </w:p>
        </w:tc>
        <w:tc>
          <w:tcPr>
            <w:tcW w:w="90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pStyle w:val="36"/>
              <w:spacing w:line="360" w:lineRule="auto"/>
              <w:jc w:val="center"/>
              <w:rPr>
                <w:rFonts w:ascii="仿宋_GB2312" w:hAnsi="宋体" w:eastAsia="仿宋_GB2312"/>
                <w:color w:val="000000" w:themeColor="text1"/>
                <w:sz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36"/>
              <w:spacing w:line="360" w:lineRule="auto"/>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6"/>
              <w:spacing w:line="360" w:lineRule="auto"/>
              <w:jc w:val="center"/>
              <w:rPr>
                <w:rFonts w:ascii="仿宋_GB2312" w:hAnsi="宋体" w:eastAsia="仿宋_GB2312" w:cs="宋体"/>
                <w:color w:val="000000" w:themeColor="text1"/>
                <w:sz w:val="24"/>
                <w:highlight w:val="none"/>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36"/>
              <w:spacing w:line="360" w:lineRule="auto"/>
              <w:rPr>
                <w:rFonts w:ascii="仿宋_GB2312" w:hAnsi="宋体" w:eastAsia="仿宋_GB2312"/>
                <w:color w:val="000000" w:themeColor="text1"/>
                <w:sz w:val="24"/>
                <w:highlight w:val="none"/>
                <w14:textFill>
                  <w14:solidFill>
                    <w14:schemeClr w14:val="tx1"/>
                  </w14:solidFill>
                </w14:textFill>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pStyle w:val="36"/>
              <w:spacing w:line="360" w:lineRule="auto"/>
              <w:rPr>
                <w:rFonts w:ascii="仿宋_GB2312" w:hAnsi="宋体" w:eastAsia="仿宋_GB2312"/>
                <w:color w:val="000000" w:themeColor="text1"/>
                <w:sz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36"/>
              <w:spacing w:line="360" w:lineRule="auto"/>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pStyle w:val="36"/>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36"/>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36"/>
              <w:spacing w:line="360" w:lineRule="auto"/>
              <w:rPr>
                <w:rFonts w:ascii="仿宋_GB2312" w:hAnsi="宋体" w:eastAsia="仿宋_GB2312"/>
                <w:color w:val="000000" w:themeColor="text1"/>
                <w:sz w:val="24"/>
                <w:highlight w:val="none"/>
                <w14:textFill>
                  <w14:solidFill>
                    <w14:schemeClr w14:val="tx1"/>
                  </w14:solidFill>
                </w14:textFill>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pStyle w:val="36"/>
              <w:spacing w:line="360" w:lineRule="auto"/>
              <w:rPr>
                <w:rFonts w:ascii="仿宋_GB2312" w:hAnsi="宋体" w:eastAsia="仿宋_GB2312"/>
                <w:color w:val="000000" w:themeColor="text1"/>
                <w:sz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36"/>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pStyle w:val="36"/>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36"/>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36"/>
              <w:spacing w:line="360" w:lineRule="auto"/>
              <w:rPr>
                <w:rFonts w:ascii="仿宋_GB2312" w:hAnsi="宋体" w:eastAsia="仿宋_GB2312"/>
                <w:color w:val="000000" w:themeColor="text1"/>
                <w:sz w:val="24"/>
                <w:highlight w:val="none"/>
                <w14:textFill>
                  <w14:solidFill>
                    <w14:schemeClr w14:val="tx1"/>
                  </w14:solidFill>
                </w14:textFill>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pStyle w:val="36"/>
              <w:spacing w:line="360" w:lineRule="auto"/>
              <w:rPr>
                <w:rFonts w:ascii="仿宋_GB2312" w:hAnsi="宋体" w:eastAsia="仿宋_GB2312"/>
                <w:color w:val="000000" w:themeColor="text1"/>
                <w:sz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36"/>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pStyle w:val="36"/>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36"/>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36"/>
              <w:spacing w:line="360" w:lineRule="auto"/>
              <w:rPr>
                <w:rFonts w:ascii="仿宋_GB2312" w:hAnsi="宋体" w:eastAsia="仿宋_GB2312"/>
                <w:color w:val="000000" w:themeColor="text1"/>
                <w:sz w:val="24"/>
                <w:highlight w:val="none"/>
                <w14:textFill>
                  <w14:solidFill>
                    <w14:schemeClr w14:val="tx1"/>
                  </w14:solidFill>
                </w14:textFill>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pStyle w:val="36"/>
              <w:spacing w:line="360" w:lineRule="auto"/>
              <w:rPr>
                <w:rFonts w:ascii="仿宋_GB2312" w:hAnsi="宋体" w:eastAsia="仿宋_GB2312"/>
                <w:color w:val="000000" w:themeColor="text1"/>
                <w:sz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36"/>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pStyle w:val="36"/>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36"/>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36"/>
              <w:spacing w:line="360" w:lineRule="auto"/>
              <w:rPr>
                <w:rFonts w:ascii="仿宋_GB2312" w:hAnsi="宋体" w:eastAsia="仿宋_GB2312"/>
                <w:color w:val="000000" w:themeColor="text1"/>
                <w:sz w:val="24"/>
                <w:highlight w:val="none"/>
                <w14:textFill>
                  <w14:solidFill>
                    <w14:schemeClr w14:val="tx1"/>
                  </w14:solidFill>
                </w14:textFill>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pStyle w:val="36"/>
              <w:spacing w:line="360" w:lineRule="auto"/>
              <w:rPr>
                <w:rFonts w:ascii="仿宋_GB2312" w:hAnsi="宋体" w:eastAsia="仿宋_GB2312"/>
                <w:color w:val="000000" w:themeColor="text1"/>
                <w:sz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36"/>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r>
    </w:tbl>
    <w:p>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要求：</w:t>
      </w:r>
    </w:p>
    <w:p>
      <w:pPr>
        <w:pStyle w:val="36"/>
        <w:spacing w:line="360" w:lineRule="auto"/>
        <w:ind w:left="719" w:leftChars="228" w:hanging="240" w:hangingChars="100"/>
        <w:rPr>
          <w:rFonts w:ascii="仿宋_GB2312" w:hAnsi="宋体"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1.请列出以上</w:t>
      </w:r>
      <w:r>
        <w:rPr>
          <w:rFonts w:hint="eastAsia" w:ascii="仿宋_GB2312" w:hAnsi="宋体" w:eastAsia="仿宋_GB2312"/>
          <w:color w:val="000000" w:themeColor="text1"/>
          <w:sz w:val="24"/>
          <w:highlight w:val="none"/>
          <w14:textFill>
            <w14:solidFill>
              <w14:schemeClr w14:val="tx1"/>
            </w14:solidFill>
          </w14:textFill>
        </w:rPr>
        <w:t>产品的各项主要用材、辅料、油漆、五金件等。</w:t>
      </w:r>
    </w:p>
    <w:p>
      <w:pPr>
        <w:pStyle w:val="36"/>
        <w:spacing w:line="360" w:lineRule="auto"/>
        <w:ind w:firstLine="480" w:firstLineChars="200"/>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2.本表所列产品主要用材均为采购人抽样送检的范围。</w:t>
      </w:r>
    </w:p>
    <w:p>
      <w:pPr>
        <w:spacing w:line="360" w:lineRule="auto"/>
        <w:ind w:firstLine="480" w:firstLineChars="20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right="-110"/>
        <w:jc w:val="left"/>
        <w:rPr>
          <w:rFonts w:ascii="宋体" w:hAnsi="宋体"/>
          <w:b/>
          <w:color w:val="000000" w:themeColor="text1"/>
          <w:sz w:val="28"/>
          <w:highlight w:val="none"/>
          <w14:textFill>
            <w14:solidFill>
              <w14:schemeClr w14:val="tx1"/>
            </w14:solidFill>
          </w14:textFill>
        </w:rPr>
      </w:pPr>
    </w:p>
    <w:p>
      <w:pPr>
        <w:spacing w:line="360" w:lineRule="auto"/>
        <w:ind w:right="-110"/>
        <w:jc w:val="left"/>
        <w:rPr>
          <w:rFonts w:ascii="宋体" w:hAnsi="宋体"/>
          <w:color w:val="000000" w:themeColor="text1"/>
          <w:spacing w:val="40"/>
          <w:sz w:val="52"/>
          <w:szCs w:val="52"/>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附件15</w:t>
      </w:r>
    </w:p>
    <w:p>
      <w:pPr>
        <w:spacing w:line="360" w:lineRule="auto"/>
        <w:ind w:right="-110"/>
        <w:jc w:val="center"/>
        <w:rPr>
          <w:rFonts w:ascii="宋体" w:hAnsi="宋体"/>
          <w:color w:val="000000" w:themeColor="text1"/>
          <w:spacing w:val="40"/>
          <w:sz w:val="52"/>
          <w:szCs w:val="52"/>
          <w:highlight w:val="none"/>
          <w14:textFill>
            <w14:solidFill>
              <w14:schemeClr w14:val="tx1"/>
            </w14:solidFill>
          </w14:textFill>
        </w:rPr>
      </w:pPr>
      <w:r>
        <w:rPr>
          <w:rFonts w:hint="eastAsia" w:ascii="宋体" w:hAnsi="宋体"/>
          <w:color w:val="000000" w:themeColor="text1"/>
          <w:spacing w:val="40"/>
          <w:sz w:val="52"/>
          <w:szCs w:val="52"/>
          <w:highlight w:val="none"/>
          <w14:textFill>
            <w14:solidFill>
              <w14:schemeClr w14:val="tx1"/>
            </w14:solidFill>
          </w14:textFill>
        </w:rPr>
        <w:t>玉环市人民医院健共体集团基于集成平台的信息系统建设</w:t>
      </w:r>
    </w:p>
    <w:p>
      <w:pPr>
        <w:spacing w:before="312" w:beforeLines="100" w:line="360" w:lineRule="auto"/>
        <w:ind w:right="-108"/>
        <w:jc w:val="center"/>
        <w:rPr>
          <w:rFonts w:hint="eastAsia" w:ascii="宋体" w:hAnsi="宋体" w:eastAsia="宋体"/>
          <w:color w:val="000000" w:themeColor="text1"/>
          <w:sz w:val="36"/>
          <w:szCs w:val="36"/>
          <w:highlight w:val="none"/>
          <w:lang w:eastAsia="zh-CN"/>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项目编号：</w:t>
      </w:r>
      <w:r>
        <w:rPr>
          <w:rFonts w:hint="eastAsia" w:ascii="宋体" w:hAnsi="宋体"/>
          <w:color w:val="000000" w:themeColor="text1"/>
          <w:sz w:val="36"/>
          <w:szCs w:val="36"/>
          <w:highlight w:val="none"/>
          <w:lang w:eastAsia="zh-CN"/>
          <w14:textFill>
            <w14:solidFill>
              <w14:schemeClr w14:val="tx1"/>
            </w14:solidFill>
          </w14:textFill>
        </w:rPr>
        <w:t>HQ-YHZFCG-2019-72</w:t>
      </w:r>
    </w:p>
    <w:p>
      <w:pPr>
        <w:spacing w:before="312" w:beforeLines="100" w:line="360" w:lineRule="auto"/>
        <w:ind w:right="-108"/>
        <w:jc w:val="center"/>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 xml:space="preserve"> </w:t>
      </w:r>
    </w:p>
    <w:p>
      <w:pPr>
        <w:spacing w:after="100" w:afterAutospacing="1" w:line="360" w:lineRule="auto"/>
        <w:ind w:right="-108"/>
        <w:jc w:val="center"/>
        <w:rPr>
          <w:rFonts w:ascii="宋体" w:hAnsi="宋体"/>
          <w:b/>
          <w:color w:val="000000" w:themeColor="text1"/>
          <w:spacing w:val="40"/>
          <w:sz w:val="84"/>
          <w:szCs w:val="84"/>
          <w:highlight w:val="none"/>
          <w14:textFill>
            <w14:solidFill>
              <w14:schemeClr w14:val="tx1"/>
            </w14:solidFill>
          </w14:textFill>
        </w:rPr>
      </w:pPr>
      <w:r>
        <w:rPr>
          <w:rFonts w:hint="eastAsia" w:ascii="宋体" w:hAnsi="宋体"/>
          <w:b/>
          <w:color w:val="000000" w:themeColor="text1"/>
          <w:spacing w:val="40"/>
          <w:sz w:val="84"/>
          <w:szCs w:val="84"/>
          <w:highlight w:val="none"/>
          <w14:textFill>
            <w14:solidFill>
              <w14:schemeClr w14:val="tx1"/>
            </w14:solidFill>
          </w14:textFill>
        </w:rPr>
        <w:t>报</w:t>
      </w:r>
    </w:p>
    <w:p>
      <w:pPr>
        <w:spacing w:after="100" w:afterAutospacing="1" w:line="360" w:lineRule="auto"/>
        <w:ind w:right="-108"/>
        <w:jc w:val="center"/>
        <w:rPr>
          <w:rFonts w:ascii="宋体" w:hAnsi="宋体"/>
          <w:b/>
          <w:color w:val="000000" w:themeColor="text1"/>
          <w:spacing w:val="40"/>
          <w:sz w:val="84"/>
          <w:szCs w:val="84"/>
          <w:highlight w:val="none"/>
          <w14:textFill>
            <w14:solidFill>
              <w14:schemeClr w14:val="tx1"/>
            </w14:solidFill>
          </w14:textFill>
        </w:rPr>
      </w:pPr>
      <w:r>
        <w:rPr>
          <w:rFonts w:hint="eastAsia" w:ascii="宋体" w:hAnsi="宋体"/>
          <w:b/>
          <w:color w:val="000000" w:themeColor="text1"/>
          <w:spacing w:val="40"/>
          <w:sz w:val="84"/>
          <w:szCs w:val="84"/>
          <w:highlight w:val="none"/>
          <w14:textFill>
            <w14:solidFill>
              <w14:schemeClr w14:val="tx1"/>
            </w14:solidFill>
          </w14:textFill>
        </w:rPr>
        <w:t>价</w:t>
      </w:r>
    </w:p>
    <w:p>
      <w:pPr>
        <w:spacing w:after="100" w:afterAutospacing="1" w:line="360" w:lineRule="auto"/>
        <w:ind w:right="-108"/>
        <w:jc w:val="center"/>
        <w:rPr>
          <w:rFonts w:ascii="宋体" w:hAnsi="宋体"/>
          <w:b/>
          <w:color w:val="000000" w:themeColor="text1"/>
          <w:spacing w:val="40"/>
          <w:sz w:val="84"/>
          <w:szCs w:val="84"/>
          <w:highlight w:val="none"/>
          <w14:textFill>
            <w14:solidFill>
              <w14:schemeClr w14:val="tx1"/>
            </w14:solidFill>
          </w14:textFill>
        </w:rPr>
      </w:pPr>
      <w:r>
        <w:rPr>
          <w:rFonts w:hint="eastAsia" w:ascii="宋体" w:hAnsi="宋体"/>
          <w:b/>
          <w:color w:val="000000" w:themeColor="text1"/>
          <w:spacing w:val="40"/>
          <w:sz w:val="84"/>
          <w:szCs w:val="84"/>
          <w:highlight w:val="none"/>
          <w14:textFill>
            <w14:solidFill>
              <w14:schemeClr w14:val="tx1"/>
            </w14:solidFill>
          </w14:textFill>
        </w:rPr>
        <w:t>文</w:t>
      </w:r>
    </w:p>
    <w:p>
      <w:pPr>
        <w:spacing w:after="100" w:afterAutospacing="1" w:line="360" w:lineRule="auto"/>
        <w:ind w:right="-108"/>
        <w:jc w:val="center"/>
        <w:rPr>
          <w:rFonts w:ascii="宋体" w:hAnsi="宋体"/>
          <w:b/>
          <w:color w:val="000000" w:themeColor="text1"/>
          <w:spacing w:val="40"/>
          <w:sz w:val="84"/>
          <w:szCs w:val="84"/>
          <w:highlight w:val="none"/>
          <w14:textFill>
            <w14:solidFill>
              <w14:schemeClr w14:val="tx1"/>
            </w14:solidFill>
          </w14:textFill>
        </w:rPr>
      </w:pPr>
      <w:r>
        <w:rPr>
          <w:rFonts w:hint="eastAsia" w:ascii="宋体" w:hAnsi="宋体"/>
          <w:b/>
          <w:color w:val="000000" w:themeColor="text1"/>
          <w:spacing w:val="40"/>
          <w:sz w:val="84"/>
          <w:szCs w:val="84"/>
          <w:highlight w:val="none"/>
          <w14:textFill>
            <w14:solidFill>
              <w14:schemeClr w14:val="tx1"/>
            </w14:solidFill>
          </w14:textFill>
        </w:rPr>
        <w:t>件</w:t>
      </w:r>
    </w:p>
    <w:p>
      <w:pPr>
        <w:spacing w:line="360" w:lineRule="auto"/>
        <w:ind w:right="532"/>
        <w:jc w:val="center"/>
        <w:rPr>
          <w:rFonts w:ascii="宋体" w:hAnsi="宋体"/>
          <w:color w:val="000000" w:themeColor="text1"/>
          <w:sz w:val="36"/>
          <w:szCs w:val="36"/>
          <w:highlight w:val="none"/>
          <w14:textFill>
            <w14:solidFill>
              <w14:schemeClr w14:val="tx1"/>
            </w14:solidFill>
          </w14:textFill>
        </w:rPr>
      </w:pPr>
    </w:p>
    <w:p>
      <w:pPr>
        <w:spacing w:line="360" w:lineRule="auto"/>
        <w:ind w:right="532"/>
        <w:rPr>
          <w:rFonts w:ascii="宋体" w:hAnsi="宋体"/>
          <w:color w:val="000000" w:themeColor="text1"/>
          <w:sz w:val="36"/>
          <w:szCs w:val="36"/>
          <w:highlight w:val="none"/>
          <w14:textFill>
            <w14:solidFill>
              <w14:schemeClr w14:val="tx1"/>
            </w14:solidFill>
          </w14:textFill>
        </w:rPr>
      </w:pPr>
    </w:p>
    <w:p>
      <w:pPr>
        <w:spacing w:line="360" w:lineRule="auto"/>
        <w:ind w:right="532"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供应商全称（公章）：</w:t>
      </w:r>
    </w:p>
    <w:p>
      <w:pPr>
        <w:spacing w:line="360" w:lineRule="auto"/>
        <w:ind w:right="-108"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地    址：</w:t>
      </w:r>
    </w:p>
    <w:p>
      <w:pPr>
        <w:spacing w:line="360" w:lineRule="auto"/>
        <w:ind w:right="-108"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时    间：</w:t>
      </w:r>
    </w:p>
    <w:p>
      <w:pPr>
        <w:spacing w:line="360" w:lineRule="auto"/>
        <w:ind w:right="-108"/>
        <w:jc w:val="center"/>
        <w:rPr>
          <w:rFonts w:ascii="仿宋_GB2312" w:hAnsi="宋体" w:eastAsia="仿宋_GB2312"/>
          <w:b/>
          <w:color w:val="000000" w:themeColor="text1"/>
          <w:sz w:val="36"/>
          <w:szCs w:val="36"/>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spacing w:line="360" w:lineRule="auto"/>
        <w:ind w:right="-108"/>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报价文件目录</w:t>
      </w:r>
    </w:p>
    <w:p>
      <w:pPr>
        <w:spacing w:line="360" w:lineRule="auto"/>
        <w:ind w:right="-108"/>
        <w:jc w:val="center"/>
        <w:rPr>
          <w:rFonts w:ascii="仿宋_GB2312" w:hAnsi="宋体" w:eastAsia="仿宋_GB2312"/>
          <w:b/>
          <w:color w:val="000000" w:themeColor="text1"/>
          <w:sz w:val="36"/>
          <w:szCs w:val="36"/>
          <w:highlight w:val="none"/>
          <w14:textFill>
            <w14:solidFill>
              <w14:schemeClr w14:val="tx1"/>
            </w14:solidFill>
          </w14:textFill>
        </w:rPr>
      </w:pPr>
    </w:p>
    <w:p>
      <w:pPr>
        <w:spacing w:line="360" w:lineRule="auto"/>
        <w:rPr>
          <w:rFonts w:ascii="宋体" w:hAnsi="宋体"/>
          <w:color w:val="000000" w:themeColor="text1"/>
          <w:sz w:val="24"/>
          <w:highlight w:val="none"/>
          <w14:textFill>
            <w14:solidFill>
              <w14:schemeClr w14:val="tx1"/>
            </w14:solidFill>
          </w14:textFill>
        </w:rPr>
      </w:pPr>
    </w:p>
    <w:p>
      <w:pPr>
        <w:snapToGrid w:val="0"/>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1、开标一览表（附件16）；</w:t>
      </w:r>
    </w:p>
    <w:p>
      <w:pPr>
        <w:pStyle w:val="13"/>
        <w:snapToGrid w:val="0"/>
        <w:spacing w:line="360" w:lineRule="auto"/>
        <w:ind w:left="0" w:leftChars="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2、报价明细表</w:t>
      </w:r>
      <w:r>
        <w:rPr>
          <w:rFonts w:hint="eastAsia" w:ascii="宋体" w:hAnsi="宋体"/>
          <w:color w:val="000000" w:themeColor="text1"/>
          <w:sz w:val="24"/>
          <w:highlight w:val="none"/>
          <w14:textFill>
            <w14:solidFill>
              <w14:schemeClr w14:val="tx1"/>
            </w14:solidFill>
          </w14:textFill>
        </w:rPr>
        <w:t>（附件17）</w:t>
      </w:r>
      <w:r>
        <w:rPr>
          <w:rFonts w:hint="eastAsia" w:ascii="宋体" w:hAnsi="宋体" w:eastAsia="宋体"/>
          <w:color w:val="000000" w:themeColor="text1"/>
          <w:sz w:val="24"/>
          <w:szCs w:val="24"/>
          <w:highlight w:val="none"/>
          <w14:textFill>
            <w14:solidFill>
              <w14:schemeClr w14:val="tx1"/>
            </w14:solidFill>
          </w14:textFill>
        </w:rPr>
        <w:t>；</w:t>
      </w:r>
    </w:p>
    <w:p>
      <w:pPr>
        <w:snapToGrid w:val="0"/>
        <w:spacing w:line="360" w:lineRule="auto"/>
        <w:rPr>
          <w:rFonts w:ascii="宋体"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针对报价投标人认为其他需要说明的；</w:t>
      </w:r>
    </w:p>
    <w:p>
      <w:pPr>
        <w:pStyle w:val="38"/>
        <w:spacing w:line="360" w:lineRule="auto"/>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4、</w:t>
      </w:r>
      <w:r>
        <w:rPr>
          <w:rFonts w:hAnsi="宋体"/>
          <w:color w:val="000000" w:themeColor="text1"/>
          <w:sz w:val="24"/>
          <w:highlight w:val="none"/>
          <w14:textFill>
            <w14:solidFill>
              <w14:schemeClr w14:val="tx1"/>
            </w14:solidFill>
          </w14:textFill>
        </w:rPr>
        <w:t>小微企业</w:t>
      </w:r>
      <w:r>
        <w:rPr>
          <w:rFonts w:hint="eastAsia" w:hAnsi="宋体"/>
          <w:color w:val="000000" w:themeColor="text1"/>
          <w:sz w:val="24"/>
          <w:highlight w:val="none"/>
          <w14:textFill>
            <w14:solidFill>
              <w14:schemeClr w14:val="tx1"/>
            </w14:solidFill>
          </w14:textFill>
        </w:rPr>
        <w:t>等</w:t>
      </w:r>
      <w:r>
        <w:rPr>
          <w:rFonts w:hAnsi="宋体"/>
          <w:color w:val="000000" w:themeColor="text1"/>
          <w:sz w:val="24"/>
          <w:highlight w:val="none"/>
          <w14:textFill>
            <w14:solidFill>
              <w14:schemeClr w14:val="tx1"/>
            </w14:solidFill>
          </w14:textFill>
        </w:rPr>
        <w:t>声明函</w:t>
      </w:r>
      <w:r>
        <w:rPr>
          <w:rFonts w:hint="eastAsia" w:hAnsi="宋体"/>
          <w:color w:val="000000" w:themeColor="text1"/>
          <w:sz w:val="24"/>
          <w:highlight w:val="none"/>
          <w14:textFill>
            <w14:solidFill>
              <w14:schemeClr w14:val="tx1"/>
            </w14:solidFill>
          </w14:textFill>
        </w:rPr>
        <w:t>（附件18）；</w:t>
      </w:r>
    </w:p>
    <w:p>
      <w:pPr>
        <w:pStyle w:val="39"/>
        <w:spacing w:line="360" w:lineRule="auto"/>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5、产品适用政府采购政策情况表</w:t>
      </w:r>
      <w:r>
        <w:rPr>
          <w:rFonts w:hint="eastAsia" w:ascii="宋体" w:hAnsi="宋体"/>
          <w:color w:val="000000" w:themeColor="text1"/>
          <w:sz w:val="24"/>
          <w:highlight w:val="none"/>
          <w14:textFill>
            <w14:solidFill>
              <w14:schemeClr w14:val="tx1"/>
            </w14:solidFill>
          </w14:textFill>
        </w:rPr>
        <w:t>（附件19）</w:t>
      </w:r>
      <w:r>
        <w:rPr>
          <w:rFonts w:hint="eastAsia" w:ascii="宋体" w:hAnsi="宋体"/>
          <w:color w:val="000000" w:themeColor="text1"/>
          <w:kern w:val="0"/>
          <w:sz w:val="24"/>
          <w:highlight w:val="none"/>
          <w14:textFill>
            <w14:solidFill>
              <w14:schemeClr w14:val="tx1"/>
            </w14:solidFill>
          </w14:textFill>
        </w:rPr>
        <w:t>。</w:t>
      </w:r>
    </w:p>
    <w:p>
      <w:pPr>
        <w:spacing w:line="360" w:lineRule="auto"/>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spacing w:line="360" w:lineRule="auto"/>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附件16</w:t>
      </w:r>
    </w:p>
    <w:p>
      <w:pPr>
        <w:spacing w:line="360" w:lineRule="auto"/>
        <w:ind w:left="-2" w:hanging="2"/>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 xml:space="preserve">开标一览表 </w:t>
      </w:r>
    </w:p>
    <w:p>
      <w:pPr>
        <w:pStyle w:val="12"/>
        <w:spacing w:line="320" w:lineRule="exact"/>
        <w:rPr>
          <w:rFonts w:hAnsi="宋体"/>
          <w:b/>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项目编号：</w:t>
      </w:r>
    </w:p>
    <w:p>
      <w:pPr>
        <w:pStyle w:val="40"/>
        <w:spacing w:line="360" w:lineRule="auto"/>
        <w:ind w:right="480"/>
        <w:jc w:val="left"/>
        <w:rPr>
          <w:rFonts w:hAnsi="宋体"/>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项目名称：</w:t>
      </w:r>
      <w:r>
        <w:rPr>
          <w:rFonts w:hint="eastAsia" w:ascii="宋体" w:hAnsi="宋体"/>
          <w:color w:val="000000" w:themeColor="text1"/>
          <w:sz w:val="24"/>
          <w:highlight w:val="none"/>
          <w14:textFill>
            <w14:solidFill>
              <w14:schemeClr w14:val="tx1"/>
            </w14:solidFill>
          </w14:textFill>
        </w:rPr>
        <w:t xml:space="preserve">                                    单位：人命币（元 ）</w:t>
      </w:r>
    </w:p>
    <w:p>
      <w:pPr>
        <w:pStyle w:val="3"/>
        <w:rPr>
          <w:rFonts w:ascii="宋体" w:hAnsi="宋体"/>
          <w:b/>
          <w:color w:val="000000" w:themeColor="text1"/>
          <w:sz w:val="30"/>
          <w:highlight w:val="none"/>
          <w14:textFill>
            <w14:solidFill>
              <w14:schemeClr w14:val="tx1"/>
            </w14:solidFill>
          </w14:textFill>
        </w:rPr>
      </w:pPr>
    </w:p>
    <w:tbl>
      <w:tblPr>
        <w:tblStyle w:val="20"/>
        <w:tblW w:w="8672" w:type="dxa"/>
        <w:jc w:val="center"/>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626"/>
        <w:gridCol w:w="2690"/>
        <w:gridCol w:w="1540"/>
        <w:gridCol w:w="38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1144" w:hRule="atLeast"/>
          <w:jc w:val="center"/>
        </w:trPr>
        <w:tc>
          <w:tcPr>
            <w:tcW w:w="626" w:type="dxa"/>
            <w:vMerge w:val="restart"/>
            <w:tcBorders>
              <w:tl2br w:val="nil"/>
              <w:tr2bl w:val="nil"/>
            </w:tcBorders>
            <w:vAlign w:val="center"/>
          </w:tcPr>
          <w:p>
            <w:pPr>
              <w:autoSpaceDE w:val="0"/>
              <w:autoSpaceDN w:val="0"/>
              <w:spacing w:line="450" w:lineRule="exact"/>
              <w:jc w:val="center"/>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p>
        </w:tc>
        <w:tc>
          <w:tcPr>
            <w:tcW w:w="2690" w:type="dxa"/>
            <w:vMerge w:val="restart"/>
            <w:tcBorders>
              <w:tl2br w:val="nil"/>
              <w:tr2bl w:val="nil"/>
            </w:tcBorders>
            <w:vAlign w:val="center"/>
          </w:tcPr>
          <w:p>
            <w:pPr>
              <w:autoSpaceDE w:val="0"/>
              <w:autoSpaceDN w:val="0"/>
              <w:spacing w:line="450" w:lineRule="exact"/>
              <w:jc w:val="center"/>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投标报价(元)</w:t>
            </w:r>
          </w:p>
        </w:tc>
        <w:tc>
          <w:tcPr>
            <w:tcW w:w="1540" w:type="dxa"/>
            <w:tcBorders>
              <w:tl2br w:val="nil"/>
              <w:tr2bl w:val="nil"/>
            </w:tcBorders>
            <w:vAlign w:val="center"/>
          </w:tcPr>
          <w:p>
            <w:pPr>
              <w:autoSpaceDE w:val="0"/>
              <w:autoSpaceDN w:val="0"/>
              <w:spacing w:line="450" w:lineRule="exact"/>
              <w:jc w:val="center"/>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大写</w:t>
            </w:r>
          </w:p>
        </w:tc>
        <w:tc>
          <w:tcPr>
            <w:tcW w:w="3816" w:type="dxa"/>
            <w:tcBorders>
              <w:tl2br w:val="nil"/>
              <w:tr2bl w:val="nil"/>
            </w:tcBorders>
            <w:vAlign w:val="center"/>
          </w:tcPr>
          <w:p>
            <w:pPr>
              <w:autoSpaceDE w:val="0"/>
              <w:autoSpaceDN w:val="0"/>
              <w:spacing w:line="450" w:lineRule="exact"/>
              <w:jc w:val="center"/>
              <w:textAlignment w:val="bottom"/>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1144" w:hRule="atLeast"/>
          <w:jc w:val="center"/>
        </w:trPr>
        <w:tc>
          <w:tcPr>
            <w:tcW w:w="626" w:type="dxa"/>
            <w:vMerge w:val="continue"/>
            <w:tcBorders>
              <w:tl2br w:val="nil"/>
              <w:tr2bl w:val="nil"/>
            </w:tcBorders>
            <w:vAlign w:val="center"/>
          </w:tcPr>
          <w:p>
            <w:pPr>
              <w:autoSpaceDE w:val="0"/>
              <w:autoSpaceDN w:val="0"/>
              <w:spacing w:line="450" w:lineRule="exact"/>
              <w:jc w:val="center"/>
              <w:textAlignment w:val="bottom"/>
              <w:rPr>
                <w:rFonts w:ascii="宋体" w:hAnsi="宋体"/>
                <w:color w:val="000000" w:themeColor="text1"/>
                <w:sz w:val="24"/>
                <w:highlight w:val="none"/>
                <w14:textFill>
                  <w14:solidFill>
                    <w14:schemeClr w14:val="tx1"/>
                  </w14:solidFill>
                </w14:textFill>
              </w:rPr>
            </w:pPr>
          </w:p>
        </w:tc>
        <w:tc>
          <w:tcPr>
            <w:tcW w:w="2690" w:type="dxa"/>
            <w:vMerge w:val="continue"/>
            <w:tcBorders>
              <w:tl2br w:val="nil"/>
              <w:tr2bl w:val="nil"/>
            </w:tcBorders>
            <w:vAlign w:val="center"/>
          </w:tcPr>
          <w:p>
            <w:pPr>
              <w:rPr>
                <w:rFonts w:ascii="宋体" w:hAnsi="宋体"/>
                <w:color w:val="000000" w:themeColor="text1"/>
                <w:sz w:val="24"/>
                <w:highlight w:val="none"/>
                <w14:textFill>
                  <w14:solidFill>
                    <w14:schemeClr w14:val="tx1"/>
                  </w14:solidFill>
                </w14:textFill>
              </w:rPr>
            </w:pPr>
          </w:p>
        </w:tc>
        <w:tc>
          <w:tcPr>
            <w:tcW w:w="1540" w:type="dxa"/>
            <w:tcBorders>
              <w:tl2br w:val="nil"/>
              <w:tr2bl w:val="nil"/>
            </w:tcBorders>
            <w:vAlign w:val="center"/>
          </w:tcPr>
          <w:p>
            <w:pPr>
              <w:autoSpaceDE w:val="0"/>
              <w:autoSpaceDN w:val="0"/>
              <w:spacing w:line="450" w:lineRule="exact"/>
              <w:jc w:val="center"/>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小写</w:t>
            </w:r>
          </w:p>
        </w:tc>
        <w:tc>
          <w:tcPr>
            <w:tcW w:w="3816" w:type="dxa"/>
            <w:tcBorders>
              <w:tl2br w:val="nil"/>
              <w:tr2bl w:val="nil"/>
            </w:tcBorders>
            <w:vAlign w:val="center"/>
          </w:tcPr>
          <w:p>
            <w:pPr>
              <w:autoSpaceDE w:val="0"/>
              <w:autoSpaceDN w:val="0"/>
              <w:spacing w:line="450" w:lineRule="exact"/>
              <w:jc w:val="center"/>
              <w:textAlignment w:val="bottom"/>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1144" w:hRule="atLeast"/>
          <w:jc w:val="center"/>
        </w:trPr>
        <w:tc>
          <w:tcPr>
            <w:tcW w:w="626" w:type="dxa"/>
            <w:vMerge w:val="restart"/>
            <w:tcBorders>
              <w:tl2br w:val="nil"/>
              <w:tr2bl w:val="nil"/>
            </w:tcBorders>
            <w:vAlign w:val="center"/>
          </w:tcPr>
          <w:p>
            <w:pPr>
              <w:autoSpaceDE w:val="0"/>
              <w:autoSpaceDN w:val="0"/>
              <w:spacing w:line="450" w:lineRule="exact"/>
              <w:jc w:val="center"/>
              <w:textAlignment w:val="bottom"/>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2</w:t>
            </w:r>
          </w:p>
        </w:tc>
        <w:tc>
          <w:tcPr>
            <w:tcW w:w="2690" w:type="dxa"/>
            <w:vMerge w:val="restart"/>
            <w:tcBorders>
              <w:tl2br w:val="nil"/>
              <w:tr2bl w:val="nil"/>
            </w:tcBorders>
            <w:vAlign w:val="center"/>
          </w:tcPr>
          <w:p>
            <w:pPr>
              <w:ind w:firstLine="480" w:firstLineChars="200"/>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维护费</w:t>
            </w:r>
          </w:p>
        </w:tc>
        <w:tc>
          <w:tcPr>
            <w:tcW w:w="1540" w:type="dxa"/>
            <w:tcBorders>
              <w:tl2br w:val="nil"/>
              <w:tr2bl w:val="nil"/>
            </w:tcBorders>
            <w:vAlign w:val="center"/>
          </w:tcPr>
          <w:p>
            <w:pPr>
              <w:autoSpaceDE w:val="0"/>
              <w:autoSpaceDN w:val="0"/>
              <w:spacing w:line="450" w:lineRule="exact"/>
              <w:jc w:val="center"/>
              <w:textAlignment w:val="bottom"/>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大写</w:t>
            </w:r>
          </w:p>
        </w:tc>
        <w:tc>
          <w:tcPr>
            <w:tcW w:w="3816" w:type="dxa"/>
            <w:tcBorders>
              <w:tl2br w:val="nil"/>
              <w:tr2bl w:val="nil"/>
            </w:tcBorders>
            <w:vAlign w:val="center"/>
          </w:tcPr>
          <w:p>
            <w:pPr>
              <w:autoSpaceDE w:val="0"/>
              <w:autoSpaceDN w:val="0"/>
              <w:spacing w:line="450" w:lineRule="exact"/>
              <w:ind w:firstLine="720" w:firstLineChars="300"/>
              <w:jc w:val="both"/>
              <w:textAlignment w:val="bottom"/>
              <w:rPr>
                <w:rFonts w:hint="default"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百分之</w:t>
            </w:r>
            <w:r>
              <w:rPr>
                <w:rFonts w:hint="eastAsia" w:ascii="宋体" w:hAnsi="宋体"/>
                <w:color w:val="000000" w:themeColor="text1"/>
                <w:sz w:val="24"/>
                <w:highlight w:val="none"/>
                <w:u w:val="single"/>
                <w:lang w:val="en-US" w:eastAsia="zh-CN"/>
                <w14:textFill>
                  <w14:solidFill>
                    <w14:schemeClr w14:val="tx1"/>
                  </w14:solidFill>
                </w14:textFill>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1144" w:hRule="atLeast"/>
          <w:jc w:val="center"/>
        </w:trPr>
        <w:tc>
          <w:tcPr>
            <w:tcW w:w="626" w:type="dxa"/>
            <w:vMerge w:val="continue"/>
            <w:tcBorders>
              <w:tl2br w:val="nil"/>
              <w:tr2bl w:val="nil"/>
            </w:tcBorders>
            <w:vAlign w:val="center"/>
          </w:tcPr>
          <w:p>
            <w:pPr>
              <w:autoSpaceDE w:val="0"/>
              <w:autoSpaceDN w:val="0"/>
              <w:spacing w:line="450" w:lineRule="exact"/>
              <w:jc w:val="center"/>
              <w:textAlignment w:val="bottom"/>
              <w:rPr>
                <w:rFonts w:hint="eastAsia" w:ascii="宋体" w:hAnsi="宋体"/>
                <w:color w:val="000000" w:themeColor="text1"/>
                <w:sz w:val="24"/>
                <w:highlight w:val="none"/>
                <w:lang w:val="en-US" w:eastAsia="zh-CN"/>
                <w14:textFill>
                  <w14:solidFill>
                    <w14:schemeClr w14:val="tx1"/>
                  </w14:solidFill>
                </w14:textFill>
              </w:rPr>
            </w:pPr>
          </w:p>
        </w:tc>
        <w:tc>
          <w:tcPr>
            <w:tcW w:w="2690" w:type="dxa"/>
            <w:vMerge w:val="continue"/>
            <w:tcBorders>
              <w:tl2br w:val="nil"/>
              <w:tr2bl w:val="nil"/>
            </w:tcBorders>
            <w:vAlign w:val="center"/>
          </w:tcPr>
          <w:p>
            <w:pPr>
              <w:ind w:firstLine="480" w:firstLineChars="200"/>
              <w:rPr>
                <w:rFonts w:hint="eastAsia" w:ascii="宋体" w:hAnsi="宋体"/>
                <w:color w:val="000000" w:themeColor="text1"/>
                <w:sz w:val="24"/>
                <w:highlight w:val="none"/>
                <w:lang w:val="en-US" w:eastAsia="zh-CN"/>
                <w14:textFill>
                  <w14:solidFill>
                    <w14:schemeClr w14:val="tx1"/>
                  </w14:solidFill>
                </w14:textFill>
              </w:rPr>
            </w:pPr>
          </w:p>
        </w:tc>
        <w:tc>
          <w:tcPr>
            <w:tcW w:w="1540" w:type="dxa"/>
            <w:tcBorders>
              <w:tl2br w:val="nil"/>
              <w:tr2bl w:val="nil"/>
            </w:tcBorders>
            <w:vAlign w:val="center"/>
          </w:tcPr>
          <w:p>
            <w:pPr>
              <w:autoSpaceDE w:val="0"/>
              <w:autoSpaceDN w:val="0"/>
              <w:spacing w:line="450" w:lineRule="exact"/>
              <w:jc w:val="center"/>
              <w:textAlignment w:val="bottom"/>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小写</w:t>
            </w:r>
          </w:p>
        </w:tc>
        <w:tc>
          <w:tcPr>
            <w:tcW w:w="3816" w:type="dxa"/>
            <w:tcBorders>
              <w:tl2br w:val="nil"/>
              <w:tr2bl w:val="nil"/>
            </w:tcBorders>
            <w:vAlign w:val="center"/>
          </w:tcPr>
          <w:p>
            <w:pPr>
              <w:autoSpaceDE w:val="0"/>
              <w:autoSpaceDN w:val="0"/>
              <w:spacing w:line="450" w:lineRule="exact"/>
              <w:jc w:val="center"/>
              <w:textAlignment w:val="bottom"/>
              <w:rPr>
                <w:rFonts w:hint="default"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lang w:val="en-US" w:eastAsia="zh-CN"/>
                <w14:textFill>
                  <w14:solidFill>
                    <w14:schemeClr w14:val="tx1"/>
                  </w14:solidFill>
                </w14:textFill>
              </w:rPr>
              <w:t>%</w:t>
            </w:r>
          </w:p>
        </w:tc>
      </w:tr>
    </w:tbl>
    <w:p>
      <w:pPr>
        <w:spacing w:line="360" w:lineRule="auto"/>
        <w:rPr>
          <w:rFonts w:ascii="宋体" w:hAnsi="宋体"/>
          <w:b/>
          <w:color w:val="000000" w:themeColor="text1"/>
          <w:sz w:val="24"/>
          <w:highlight w:val="none"/>
          <w14:textFill>
            <w14:solidFill>
              <w14:schemeClr w14:val="tx1"/>
            </w14:solidFill>
          </w14:textFill>
        </w:rPr>
      </w:pPr>
    </w:p>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填报要求：</w:t>
      </w:r>
    </w:p>
    <w:p>
      <w:pPr>
        <w:pStyle w:val="9"/>
        <w:spacing w:line="360" w:lineRule="auto"/>
        <w:ind w:firstLine="480" w:firstLineChars="200"/>
        <w:rPr>
          <w:rFonts w:ascii="宋体" w:hAnsi="宋体"/>
          <w:color w:val="000000" w:themeColor="text1"/>
          <w:kern w:val="0"/>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1.投标总报价是包括服务费、人员工资（五险一金、节假日费）、招标代理服务费、合同包含的所有风险责任等各项费用及不可预见费等所需的全部费用。</w:t>
      </w:r>
    </w:p>
    <w:p>
      <w:pPr>
        <w:spacing w:line="360" w:lineRule="auto"/>
        <w:ind w:firstLine="480" w:firstLineChars="2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2.报价一经涂改，应在涂改处加盖单位公章，或者由法定代表人或全权代表签字或盖章，否则其投标作无效标处理。</w:t>
      </w:r>
    </w:p>
    <w:p>
      <w:pPr>
        <w:pStyle w:val="2"/>
        <w:ind w:firstLine="480" w:firstLineChars="200"/>
        <w:rPr>
          <w:rFonts w:hint="default" w:eastAsia="宋体"/>
          <w:color w:val="000000" w:themeColor="text1"/>
          <w:highlight w:val="none"/>
          <w:lang w:val="en-US" w:eastAsia="zh-CN"/>
          <w14:textFill>
            <w14:solidFill>
              <w14:schemeClr w14:val="tx1"/>
            </w14:solidFill>
          </w14:textFill>
        </w:rPr>
      </w:pPr>
      <w:r>
        <w:rPr>
          <w:rFonts w:hint="eastAsia" w:ascii="宋体" w:hAnsi="宋体"/>
          <w:color w:val="000000" w:themeColor="text1"/>
          <w:kern w:val="0"/>
          <w:sz w:val="24"/>
          <w:highlight w:val="none"/>
          <w:lang w:val="en-US" w:eastAsia="zh-CN"/>
          <w14:textFill>
            <w14:solidFill>
              <w14:schemeClr w14:val="tx1"/>
            </w14:solidFill>
          </w14:textFill>
        </w:rPr>
        <w:t>3.</w:t>
      </w:r>
      <w:r>
        <w:rPr>
          <w:rFonts w:hint="eastAsia" w:ascii="宋体" w:hAnsi="宋体" w:eastAsia="宋体" w:cs="宋体"/>
          <w:b/>
          <w:bCs/>
          <w:color w:val="000000" w:themeColor="text1"/>
          <w:sz w:val="24"/>
          <w:highlight w:val="none"/>
          <w:lang w:val="zh-CN"/>
          <w14:textFill>
            <w14:solidFill>
              <w14:schemeClr w14:val="tx1"/>
            </w14:solidFill>
          </w14:textFill>
        </w:rPr>
        <w:t>维护费比例</w:t>
      </w:r>
      <w:r>
        <w:rPr>
          <w:rFonts w:hint="eastAsia" w:ascii="宋体" w:hAnsi="宋体" w:cs="宋体"/>
          <w:b/>
          <w:bCs/>
          <w:color w:val="000000" w:themeColor="text1"/>
          <w:sz w:val="24"/>
          <w:highlight w:val="none"/>
          <w:lang w:val="en-US" w:eastAsia="zh-CN"/>
          <w14:textFill>
            <w14:solidFill>
              <w14:schemeClr w14:val="tx1"/>
            </w14:solidFill>
          </w14:textFill>
        </w:rPr>
        <w:t>不得</w:t>
      </w:r>
      <w:r>
        <w:rPr>
          <w:rFonts w:hint="eastAsia" w:ascii="宋体" w:hAnsi="宋体" w:eastAsia="宋体" w:cs="宋体"/>
          <w:b/>
          <w:bCs/>
          <w:color w:val="000000" w:themeColor="text1"/>
          <w:sz w:val="24"/>
          <w:highlight w:val="none"/>
          <w:lang w:val="zh-CN"/>
          <w14:textFill>
            <w14:solidFill>
              <w14:schemeClr w14:val="tx1"/>
            </w14:solidFill>
          </w14:textFill>
        </w:rPr>
        <w:t>超过12%</w:t>
      </w:r>
      <w:r>
        <w:rPr>
          <w:rFonts w:hint="eastAsia" w:ascii="宋体" w:hAnsi="宋体" w:cs="宋体"/>
          <w:b/>
          <w:bCs/>
          <w:color w:val="000000" w:themeColor="text1"/>
          <w:sz w:val="24"/>
          <w:highlight w:val="none"/>
          <w:lang w:val="zh-CN"/>
          <w14:textFill>
            <w14:solidFill>
              <w14:schemeClr w14:val="tx1"/>
            </w14:solidFill>
          </w14:textFill>
        </w:rPr>
        <w:t>，</w:t>
      </w:r>
      <w:r>
        <w:rPr>
          <w:rFonts w:hint="eastAsia" w:ascii="宋体" w:hAnsi="宋体" w:cs="宋体"/>
          <w:b/>
          <w:bCs/>
          <w:color w:val="000000" w:themeColor="text1"/>
          <w:sz w:val="24"/>
          <w:highlight w:val="none"/>
          <w:lang w:val="en-US" w:eastAsia="zh-CN"/>
          <w14:textFill>
            <w14:solidFill>
              <w14:schemeClr w14:val="tx1"/>
            </w14:solidFill>
          </w14:textFill>
        </w:rPr>
        <w:t>超过按无效报价处理。维护费按整数报价，如出现小数点，四舍五入。</w:t>
      </w:r>
    </w:p>
    <w:p>
      <w:pPr>
        <w:pStyle w:val="2"/>
        <w:rPr>
          <w:color w:val="000000" w:themeColor="text1"/>
          <w:highlight w:val="none"/>
          <w14:textFill>
            <w14:solidFill>
              <w14:schemeClr w14:val="tx1"/>
            </w14:solidFill>
          </w14:textFill>
        </w:rPr>
      </w:pP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p>
    <w:p>
      <w:pPr>
        <w:pStyle w:val="3"/>
        <w:rPr>
          <w:rFonts w:ascii="宋体" w:hAnsi="宋体"/>
          <w:b/>
          <w:color w:val="000000" w:themeColor="text1"/>
          <w:sz w:val="28"/>
          <w:highlight w:val="none"/>
          <w14:textFill>
            <w14:solidFill>
              <w14:schemeClr w14:val="tx1"/>
            </w14:solidFill>
          </w14:textFill>
        </w:rPr>
      </w:pPr>
    </w:p>
    <w:p>
      <w:pPr>
        <w:spacing w:line="360" w:lineRule="auto"/>
        <w:rPr>
          <w:rFonts w:ascii="宋体" w:hAnsi="宋体"/>
          <w:b/>
          <w:color w:val="000000" w:themeColor="text1"/>
          <w:sz w:val="28"/>
          <w:highlight w:val="none"/>
          <w14:textFill>
            <w14:solidFill>
              <w14:schemeClr w14:val="tx1"/>
            </w14:solidFill>
          </w14:textFill>
        </w:rPr>
      </w:pPr>
    </w:p>
    <w:p>
      <w:pPr>
        <w:spacing w:line="360" w:lineRule="auto"/>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附件17</w:t>
      </w:r>
    </w:p>
    <w:p>
      <w:pPr>
        <w:spacing w:line="360" w:lineRule="auto"/>
        <w:ind w:left="480"/>
        <w:jc w:val="center"/>
        <w:rPr>
          <w:rFonts w:ascii="宋体" w:hAnsi="宋体"/>
          <w:color w:val="000000" w:themeColor="text1"/>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报价明细表</w:t>
      </w:r>
    </w:p>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项目编号：                                    [货币单位：人民币元]</w:t>
      </w:r>
    </w:p>
    <w:tbl>
      <w:tblPr>
        <w:tblStyle w:val="20"/>
        <w:tblW w:w="8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4701"/>
        <w:gridCol w:w="1626"/>
        <w:gridCol w:w="1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071" w:type="dxa"/>
            <w:vAlign w:val="center"/>
          </w:tcPr>
          <w:p>
            <w:pPr>
              <w:widowControl/>
              <w:jc w:val="center"/>
              <w:rPr>
                <w:rFonts w:ascii="宋体" w:hAnsi="宋体"/>
                <w:color w:val="000000" w:themeColor="text1"/>
                <w:spacing w:val="20"/>
                <w:sz w:val="24"/>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序号</w:t>
            </w:r>
          </w:p>
        </w:tc>
        <w:tc>
          <w:tcPr>
            <w:tcW w:w="4701" w:type="dxa"/>
            <w:vAlign w:val="center"/>
          </w:tcPr>
          <w:p>
            <w:pPr>
              <w:widowControl/>
              <w:ind w:right="-288" w:rightChars="-137" w:firstLine="880" w:firstLineChars="400"/>
              <w:rPr>
                <w:rFonts w:ascii="宋体" w:hAnsi="宋体"/>
                <w:color w:val="000000" w:themeColor="text1"/>
                <w:spacing w:val="20"/>
                <w:sz w:val="24"/>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 xml:space="preserve">     名   称</w:t>
            </w:r>
          </w:p>
        </w:tc>
        <w:tc>
          <w:tcPr>
            <w:tcW w:w="1626" w:type="dxa"/>
            <w:vAlign w:val="center"/>
          </w:tcPr>
          <w:p>
            <w:pPr>
              <w:widowControl/>
              <w:jc w:val="center"/>
              <w:rPr>
                <w:rFonts w:ascii="宋体" w:hAnsi="宋体"/>
                <w:color w:val="000000" w:themeColor="text1"/>
                <w:spacing w:val="20"/>
                <w:sz w:val="24"/>
                <w:highlight w:val="none"/>
                <w14:textFill>
                  <w14:solidFill>
                    <w14:schemeClr w14:val="tx1"/>
                  </w14:solidFill>
                </w14:textFill>
              </w:rPr>
            </w:pPr>
            <w:r>
              <w:rPr>
                <w:rFonts w:hint="eastAsia" w:ascii="宋体" w:hAnsi="宋体"/>
                <w:color w:val="000000" w:themeColor="text1"/>
                <w:spacing w:val="20"/>
                <w:sz w:val="24"/>
                <w:highlight w:val="none"/>
                <w14:textFill>
                  <w14:solidFill>
                    <w14:schemeClr w14:val="tx1"/>
                  </w14:solidFill>
                </w14:textFill>
              </w:rPr>
              <w:t>数量</w:t>
            </w:r>
          </w:p>
        </w:tc>
        <w:tc>
          <w:tcPr>
            <w:tcW w:w="1317" w:type="dxa"/>
            <w:vAlign w:val="center"/>
          </w:tcPr>
          <w:p>
            <w:pPr>
              <w:widowControl/>
              <w:jc w:val="center"/>
              <w:rPr>
                <w:rFonts w:ascii="宋体" w:hAnsi="宋体"/>
                <w:color w:val="000000" w:themeColor="text1"/>
                <w:spacing w:val="20"/>
                <w:sz w:val="24"/>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trPr>
        <w:tc>
          <w:tcPr>
            <w:tcW w:w="1071" w:type="dxa"/>
            <w:vAlign w:val="center"/>
          </w:tcPr>
          <w:p>
            <w:pPr>
              <w:tabs>
                <w:tab w:val="left" w:pos="1430"/>
              </w:tabs>
              <w:spacing w:line="5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p>
        </w:tc>
        <w:tc>
          <w:tcPr>
            <w:tcW w:w="4701" w:type="dxa"/>
          </w:tcPr>
          <w:p>
            <w:pPr>
              <w:tabs>
                <w:tab w:val="left" w:pos="1430"/>
              </w:tabs>
              <w:spacing w:line="500" w:lineRule="exact"/>
              <w:jc w:val="center"/>
              <w:rPr>
                <w:rFonts w:ascii="宋体" w:hAnsi="宋体"/>
                <w:color w:val="000000" w:themeColor="text1"/>
                <w:sz w:val="24"/>
                <w:highlight w:val="none"/>
                <w14:textFill>
                  <w14:solidFill>
                    <w14:schemeClr w14:val="tx1"/>
                  </w14:solidFill>
                </w14:textFill>
              </w:rPr>
            </w:pPr>
          </w:p>
        </w:tc>
        <w:tc>
          <w:tcPr>
            <w:tcW w:w="1626" w:type="dxa"/>
            <w:vAlign w:val="center"/>
          </w:tcPr>
          <w:p>
            <w:pPr>
              <w:tabs>
                <w:tab w:val="left" w:pos="1430"/>
              </w:tabs>
              <w:spacing w:line="500" w:lineRule="exact"/>
              <w:jc w:val="center"/>
              <w:rPr>
                <w:rFonts w:ascii="宋体" w:hAnsi="宋体"/>
                <w:color w:val="000000" w:themeColor="text1"/>
                <w:sz w:val="24"/>
                <w:highlight w:val="none"/>
                <w14:textFill>
                  <w14:solidFill>
                    <w14:schemeClr w14:val="tx1"/>
                  </w14:solidFill>
                </w14:textFill>
              </w:rPr>
            </w:pPr>
          </w:p>
        </w:tc>
        <w:tc>
          <w:tcPr>
            <w:tcW w:w="1317" w:type="dxa"/>
            <w:vAlign w:val="center"/>
          </w:tcPr>
          <w:p>
            <w:pPr>
              <w:spacing w:line="360" w:lineRule="auto"/>
              <w:rPr>
                <w:rFonts w:ascii="宋体" w:hAnsi="宋体"/>
                <w:color w:val="000000" w:themeColor="text1"/>
                <w:spacing w:val="2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trPr>
        <w:tc>
          <w:tcPr>
            <w:tcW w:w="1071" w:type="dxa"/>
            <w:vAlign w:val="center"/>
          </w:tcPr>
          <w:p>
            <w:pPr>
              <w:tabs>
                <w:tab w:val="left" w:pos="1430"/>
              </w:tabs>
              <w:spacing w:line="5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p>
        </w:tc>
        <w:tc>
          <w:tcPr>
            <w:tcW w:w="4701" w:type="dxa"/>
          </w:tcPr>
          <w:p>
            <w:pPr>
              <w:tabs>
                <w:tab w:val="left" w:pos="1430"/>
              </w:tabs>
              <w:spacing w:line="500" w:lineRule="exact"/>
              <w:jc w:val="center"/>
              <w:rPr>
                <w:rFonts w:ascii="宋体" w:hAnsi="宋体"/>
                <w:color w:val="000000" w:themeColor="text1"/>
                <w:sz w:val="24"/>
                <w:highlight w:val="none"/>
                <w14:textFill>
                  <w14:solidFill>
                    <w14:schemeClr w14:val="tx1"/>
                  </w14:solidFill>
                </w14:textFill>
              </w:rPr>
            </w:pPr>
          </w:p>
        </w:tc>
        <w:tc>
          <w:tcPr>
            <w:tcW w:w="1626" w:type="dxa"/>
            <w:vAlign w:val="center"/>
          </w:tcPr>
          <w:p>
            <w:pPr>
              <w:tabs>
                <w:tab w:val="left" w:pos="1430"/>
              </w:tabs>
              <w:spacing w:line="500" w:lineRule="exact"/>
              <w:jc w:val="center"/>
              <w:rPr>
                <w:rFonts w:ascii="宋体" w:hAnsi="宋体"/>
                <w:color w:val="000000" w:themeColor="text1"/>
                <w:sz w:val="24"/>
                <w:highlight w:val="none"/>
                <w14:textFill>
                  <w14:solidFill>
                    <w14:schemeClr w14:val="tx1"/>
                  </w14:solidFill>
                </w14:textFill>
              </w:rPr>
            </w:pPr>
          </w:p>
        </w:tc>
        <w:tc>
          <w:tcPr>
            <w:tcW w:w="1317" w:type="dxa"/>
            <w:vAlign w:val="center"/>
          </w:tcPr>
          <w:p>
            <w:pPr>
              <w:spacing w:line="360" w:lineRule="auto"/>
              <w:rPr>
                <w:rFonts w:ascii="宋体" w:hAnsi="宋体"/>
                <w:color w:val="000000" w:themeColor="text1"/>
                <w:spacing w:val="2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trPr>
        <w:tc>
          <w:tcPr>
            <w:tcW w:w="1071" w:type="dxa"/>
            <w:vAlign w:val="center"/>
          </w:tcPr>
          <w:p>
            <w:pPr>
              <w:tabs>
                <w:tab w:val="left" w:pos="1430"/>
              </w:tabs>
              <w:spacing w:line="5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p>
        </w:tc>
        <w:tc>
          <w:tcPr>
            <w:tcW w:w="4701" w:type="dxa"/>
          </w:tcPr>
          <w:p>
            <w:pPr>
              <w:tabs>
                <w:tab w:val="left" w:pos="1430"/>
              </w:tabs>
              <w:spacing w:line="500" w:lineRule="exact"/>
              <w:jc w:val="center"/>
              <w:rPr>
                <w:rFonts w:ascii="宋体" w:hAnsi="宋体"/>
                <w:color w:val="000000" w:themeColor="text1"/>
                <w:sz w:val="24"/>
                <w:highlight w:val="none"/>
                <w14:textFill>
                  <w14:solidFill>
                    <w14:schemeClr w14:val="tx1"/>
                  </w14:solidFill>
                </w14:textFill>
              </w:rPr>
            </w:pPr>
          </w:p>
        </w:tc>
        <w:tc>
          <w:tcPr>
            <w:tcW w:w="1626" w:type="dxa"/>
            <w:vAlign w:val="center"/>
          </w:tcPr>
          <w:p>
            <w:pPr>
              <w:tabs>
                <w:tab w:val="left" w:pos="1430"/>
              </w:tabs>
              <w:spacing w:line="500" w:lineRule="exact"/>
              <w:jc w:val="center"/>
              <w:rPr>
                <w:rFonts w:ascii="宋体" w:hAnsi="宋体"/>
                <w:color w:val="000000" w:themeColor="text1"/>
                <w:sz w:val="24"/>
                <w:highlight w:val="none"/>
                <w14:textFill>
                  <w14:solidFill>
                    <w14:schemeClr w14:val="tx1"/>
                  </w14:solidFill>
                </w14:textFill>
              </w:rPr>
            </w:pPr>
          </w:p>
        </w:tc>
        <w:tc>
          <w:tcPr>
            <w:tcW w:w="1317" w:type="dxa"/>
            <w:vAlign w:val="center"/>
          </w:tcPr>
          <w:p>
            <w:pPr>
              <w:spacing w:line="360" w:lineRule="auto"/>
              <w:rPr>
                <w:rFonts w:ascii="宋体" w:hAnsi="宋体"/>
                <w:color w:val="000000" w:themeColor="text1"/>
                <w:spacing w:val="2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trPr>
        <w:tc>
          <w:tcPr>
            <w:tcW w:w="1071" w:type="dxa"/>
            <w:vAlign w:val="center"/>
          </w:tcPr>
          <w:p>
            <w:pPr>
              <w:tabs>
                <w:tab w:val="left" w:pos="1430"/>
              </w:tabs>
              <w:spacing w:line="5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w:t>
            </w:r>
          </w:p>
        </w:tc>
        <w:tc>
          <w:tcPr>
            <w:tcW w:w="4701" w:type="dxa"/>
          </w:tcPr>
          <w:p>
            <w:pPr>
              <w:tabs>
                <w:tab w:val="left" w:pos="1430"/>
              </w:tabs>
              <w:spacing w:line="360" w:lineRule="exact"/>
              <w:rPr>
                <w:rFonts w:ascii="宋体" w:hAnsi="宋体"/>
                <w:color w:val="000000" w:themeColor="text1"/>
                <w:sz w:val="24"/>
                <w:highlight w:val="none"/>
                <w14:textFill>
                  <w14:solidFill>
                    <w14:schemeClr w14:val="tx1"/>
                  </w14:solidFill>
                </w14:textFill>
              </w:rPr>
            </w:pPr>
          </w:p>
        </w:tc>
        <w:tc>
          <w:tcPr>
            <w:tcW w:w="1626" w:type="dxa"/>
            <w:vAlign w:val="center"/>
          </w:tcPr>
          <w:p>
            <w:pPr>
              <w:tabs>
                <w:tab w:val="left" w:pos="1430"/>
              </w:tabs>
              <w:spacing w:line="500" w:lineRule="exact"/>
              <w:jc w:val="center"/>
              <w:rPr>
                <w:rFonts w:ascii="宋体" w:hAnsi="宋体"/>
                <w:color w:val="000000" w:themeColor="text1"/>
                <w:sz w:val="24"/>
                <w:highlight w:val="none"/>
                <w14:textFill>
                  <w14:solidFill>
                    <w14:schemeClr w14:val="tx1"/>
                  </w14:solidFill>
                </w14:textFill>
              </w:rPr>
            </w:pPr>
          </w:p>
        </w:tc>
        <w:tc>
          <w:tcPr>
            <w:tcW w:w="1317" w:type="dxa"/>
            <w:vAlign w:val="center"/>
          </w:tcPr>
          <w:p>
            <w:pPr>
              <w:spacing w:line="360" w:lineRule="auto"/>
              <w:rPr>
                <w:rFonts w:ascii="宋体" w:hAnsi="宋体"/>
                <w:color w:val="000000" w:themeColor="text1"/>
                <w:spacing w:val="2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trPr>
        <w:tc>
          <w:tcPr>
            <w:tcW w:w="1071" w:type="dxa"/>
            <w:vAlign w:val="center"/>
          </w:tcPr>
          <w:p>
            <w:pPr>
              <w:tabs>
                <w:tab w:val="left" w:pos="1430"/>
              </w:tabs>
              <w:spacing w:line="5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w:t>
            </w:r>
          </w:p>
        </w:tc>
        <w:tc>
          <w:tcPr>
            <w:tcW w:w="4701" w:type="dxa"/>
          </w:tcPr>
          <w:p>
            <w:pPr>
              <w:tabs>
                <w:tab w:val="left" w:pos="1430"/>
              </w:tabs>
              <w:spacing w:line="360" w:lineRule="exact"/>
              <w:rPr>
                <w:rFonts w:ascii="宋体" w:hAnsi="宋体"/>
                <w:color w:val="000000" w:themeColor="text1"/>
                <w:sz w:val="24"/>
                <w:highlight w:val="none"/>
                <w14:textFill>
                  <w14:solidFill>
                    <w14:schemeClr w14:val="tx1"/>
                  </w14:solidFill>
                </w14:textFill>
              </w:rPr>
            </w:pPr>
          </w:p>
        </w:tc>
        <w:tc>
          <w:tcPr>
            <w:tcW w:w="1626" w:type="dxa"/>
            <w:vAlign w:val="center"/>
          </w:tcPr>
          <w:p>
            <w:pPr>
              <w:tabs>
                <w:tab w:val="left" w:pos="1430"/>
              </w:tabs>
              <w:spacing w:line="500" w:lineRule="exact"/>
              <w:jc w:val="center"/>
              <w:rPr>
                <w:rFonts w:ascii="宋体" w:hAnsi="宋体"/>
                <w:color w:val="000000" w:themeColor="text1"/>
                <w:sz w:val="24"/>
                <w:highlight w:val="none"/>
                <w14:textFill>
                  <w14:solidFill>
                    <w14:schemeClr w14:val="tx1"/>
                  </w14:solidFill>
                </w14:textFill>
              </w:rPr>
            </w:pPr>
          </w:p>
        </w:tc>
        <w:tc>
          <w:tcPr>
            <w:tcW w:w="1317" w:type="dxa"/>
            <w:vAlign w:val="center"/>
          </w:tcPr>
          <w:p>
            <w:pPr>
              <w:spacing w:line="360" w:lineRule="auto"/>
              <w:rPr>
                <w:rFonts w:ascii="宋体" w:hAnsi="宋体"/>
                <w:color w:val="000000" w:themeColor="text1"/>
                <w:spacing w:val="2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trPr>
        <w:tc>
          <w:tcPr>
            <w:tcW w:w="1071" w:type="dxa"/>
            <w:vAlign w:val="center"/>
          </w:tcPr>
          <w:p>
            <w:pPr>
              <w:pStyle w:val="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合计 </w:t>
            </w:r>
          </w:p>
        </w:tc>
        <w:tc>
          <w:tcPr>
            <w:tcW w:w="7644" w:type="dxa"/>
            <w:gridSpan w:val="3"/>
            <w:vAlign w:val="center"/>
          </w:tcPr>
          <w:p>
            <w:pPr>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大写：</w:t>
            </w:r>
          </w:p>
          <w:p>
            <w:pPr>
              <w:pStyle w:val="3"/>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小写：</w:t>
            </w:r>
          </w:p>
        </w:tc>
      </w:tr>
    </w:tbl>
    <w:p>
      <w:pPr>
        <w:pStyle w:val="3"/>
        <w:rPr>
          <w:color w:val="000000" w:themeColor="text1"/>
          <w:highlight w:val="none"/>
          <w14:textFill>
            <w14:solidFill>
              <w14:schemeClr w14:val="tx1"/>
            </w14:solidFill>
          </w14:textFill>
        </w:rPr>
      </w:pPr>
    </w:p>
    <w:p>
      <w:pPr>
        <w:spacing w:line="320" w:lineRule="exact"/>
        <w:ind w:left="43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 本表为《开标一览表》的报价明细表，如有缺项、漏项，视为投标报价中已包含相关费用，采购人无需另外支付任何费用。</w:t>
      </w:r>
    </w:p>
    <w:p>
      <w:pPr>
        <w:spacing w:line="320" w:lineRule="exact"/>
        <w:ind w:left="435"/>
        <w:rPr>
          <w:rFonts w:ascii="宋体"/>
          <w:color w:val="000000" w:themeColor="text1"/>
          <w:szCs w:val="21"/>
          <w:highlight w:val="none"/>
          <w:lang w:val="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hint="eastAsia" w:ascii="宋体"/>
          <w:color w:val="000000" w:themeColor="text1"/>
          <w:szCs w:val="21"/>
          <w:highlight w:val="none"/>
          <w:lang w:val="zh-CN"/>
          <w14:textFill>
            <w14:solidFill>
              <w14:schemeClr w14:val="tx1"/>
            </w14:solidFill>
          </w14:textFill>
        </w:rPr>
        <w:t>“报价明细表”中的报价合计应与“开标一览表”中的投标总报价相一致，不一致时，以开标一览表为准。</w:t>
      </w:r>
    </w:p>
    <w:p>
      <w:pPr>
        <w:spacing w:line="320" w:lineRule="exact"/>
        <w:ind w:left="435"/>
        <w:rPr>
          <w:rFonts w:ascii="宋体"/>
          <w:color w:val="000000" w:themeColor="text1"/>
          <w:szCs w:val="21"/>
          <w:highlight w:val="none"/>
          <w:lang w:val="zh-CN"/>
          <w14:textFill>
            <w14:solidFill>
              <w14:schemeClr w14:val="tx1"/>
            </w14:solidFill>
          </w14:textFill>
        </w:rPr>
      </w:pPr>
      <w:r>
        <w:rPr>
          <w:rFonts w:hint="eastAsia" w:ascii="宋体"/>
          <w:color w:val="000000" w:themeColor="text1"/>
          <w:szCs w:val="21"/>
          <w:highlight w:val="none"/>
          <w14:textFill>
            <w14:solidFill>
              <w14:schemeClr w14:val="tx1"/>
            </w14:solidFill>
          </w14:textFill>
        </w:rPr>
        <w:t>3.</w:t>
      </w:r>
      <w:r>
        <w:rPr>
          <w:rFonts w:hint="eastAsia" w:ascii="宋体"/>
          <w:color w:val="000000" w:themeColor="text1"/>
          <w:szCs w:val="21"/>
          <w:highlight w:val="none"/>
          <w:lang w:val="zh-CN"/>
          <w14:textFill>
            <w14:solidFill>
              <w14:schemeClr w14:val="tx1"/>
            </w14:solidFill>
          </w14:textFill>
        </w:rPr>
        <w:t>投标报价明细表所填内容按招标文件采购设备清单要求为准。如有漏报的，视同已包含在投标总价内或已作优惠处理。有重大缺项的将作无效标处理。</w:t>
      </w:r>
    </w:p>
    <w:p>
      <w:pPr>
        <w:spacing w:line="320" w:lineRule="exact"/>
        <w:ind w:left="435"/>
        <w:rPr>
          <w:rFonts w:ascii="宋体"/>
          <w:color w:val="000000" w:themeColor="text1"/>
          <w:szCs w:val="21"/>
          <w:highlight w:val="none"/>
          <w:lang w:val="zh-CN"/>
          <w14:textFill>
            <w14:solidFill>
              <w14:schemeClr w14:val="tx1"/>
            </w14:solidFill>
          </w14:textFill>
        </w:rPr>
      </w:pPr>
      <w:r>
        <w:rPr>
          <w:rFonts w:hint="eastAsia" w:ascii="宋体"/>
          <w:color w:val="000000" w:themeColor="text1"/>
          <w:szCs w:val="21"/>
          <w:highlight w:val="none"/>
          <w:lang w:val="zh-CN"/>
          <w14:textFill>
            <w14:solidFill>
              <w14:schemeClr w14:val="tx1"/>
            </w14:solidFill>
          </w14:textFill>
        </w:rPr>
        <w:t>▲4. 供应商严格根据市场合理报价，不可零报价或者恶意报价，如发现该供应商某报价分项不合理，且无法提供说明或证明材料的，该供应商按无效报价处理。</w:t>
      </w:r>
    </w:p>
    <w:p>
      <w:pPr>
        <w:spacing w:line="320" w:lineRule="exact"/>
        <w:ind w:left="420"/>
        <w:rPr>
          <w:rFonts w:ascii="宋体" w:hAnsi="宋体"/>
          <w:color w:val="000000" w:themeColor="text1"/>
          <w:sz w:val="24"/>
          <w:highlight w:val="none"/>
          <w14:textFill>
            <w14:solidFill>
              <w14:schemeClr w14:val="tx1"/>
            </w14:solidFill>
          </w14:textFill>
        </w:rPr>
      </w:pPr>
    </w:p>
    <w:p>
      <w:pPr>
        <w:spacing w:line="320" w:lineRule="exact"/>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20" w:lineRule="exact"/>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20" w:lineRule="exact"/>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spacing w:line="320" w:lineRule="exact"/>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p>
    <w:p>
      <w:pPr>
        <w:snapToGrid w:val="0"/>
        <w:spacing w:before="156" w:beforeLines="50" w:after="50" w:line="360" w:lineRule="auto"/>
        <w:rPr>
          <w:rFonts w:ascii="宋体" w:hAnsi="宋体"/>
          <w:b/>
          <w:color w:val="000000" w:themeColor="text1"/>
          <w:sz w:val="28"/>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snapToGrid w:val="0"/>
        <w:spacing w:before="156" w:beforeLines="50" w:after="50" w:line="360" w:lineRule="auto"/>
        <w:rPr>
          <w:rFonts w:ascii="仿宋_GB2312" w:hAnsi="宋体" w:eastAsia="仿宋_GB2312"/>
          <w:bCs/>
          <w:color w:val="000000" w:themeColor="text1"/>
          <w:sz w:val="30"/>
          <w:szCs w:val="30"/>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附件18</w:t>
      </w:r>
    </w:p>
    <w:p>
      <w:pPr>
        <w:spacing w:line="360" w:lineRule="auto"/>
        <w:ind w:right="-110"/>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小</w:t>
      </w:r>
      <w:r>
        <w:rPr>
          <w:rFonts w:hint="eastAsia" w:ascii="宋体" w:hAnsi="宋体"/>
          <w:b/>
          <w:color w:val="000000" w:themeColor="text1"/>
          <w:sz w:val="32"/>
          <w:szCs w:val="32"/>
          <w:highlight w:val="none"/>
          <w:lang w:val="en-GB"/>
          <w14:textFill>
            <w14:solidFill>
              <w14:schemeClr w14:val="tx1"/>
            </w14:solidFill>
          </w14:textFill>
        </w:rPr>
        <w:t>微</w:t>
      </w:r>
      <w:r>
        <w:rPr>
          <w:rFonts w:hint="eastAsia" w:ascii="宋体" w:hAnsi="宋体"/>
          <w:b/>
          <w:color w:val="000000" w:themeColor="text1"/>
          <w:sz w:val="32"/>
          <w:szCs w:val="32"/>
          <w:highlight w:val="none"/>
          <w14:textFill>
            <w14:solidFill>
              <w14:schemeClr w14:val="tx1"/>
            </w14:solidFill>
          </w14:textFill>
        </w:rPr>
        <w:t>企业声明函</w:t>
      </w:r>
    </w:p>
    <w:p>
      <w:pPr>
        <w:pStyle w:val="41"/>
        <w:spacing w:line="360" w:lineRule="auto"/>
        <w:ind w:firstLine="504" w:firstLineChars="200"/>
        <w:rPr>
          <w:rFonts w:ascii="宋体" w:hAns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本公司郑重声明，根据《政府采购促进中小企业发展暂行办法》（财库[2011]181号）的规定，本公司为______（请填写：小型、微型）企业。即，本公司同时满足以下条件：</w:t>
      </w:r>
    </w:p>
    <w:p>
      <w:pPr>
        <w:pStyle w:val="41"/>
        <w:spacing w:line="360" w:lineRule="auto"/>
        <w:ind w:firstLine="504" w:firstLineChars="200"/>
        <w:rPr>
          <w:rFonts w:ascii="宋体" w:hAns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1.根据《工业和信息化部、国家统计局、国家发展和改革委员会、财政部关于印发中小企业划型标准规定的通知》（工信部联企业[2011]300号）规定的划分标准：第四条第______项______行业，本公司</w:t>
      </w:r>
      <w:r>
        <w:rPr>
          <w:rFonts w:hint="eastAsia" w:ascii="宋体" w:hAnsi="宋体"/>
          <w:i/>
          <w:color w:val="000000" w:themeColor="text1"/>
          <w:spacing w:val="6"/>
          <w:sz w:val="24"/>
          <w:highlight w:val="none"/>
          <w:u w:val="dash"/>
          <w14:textFill>
            <w14:solidFill>
              <w14:schemeClr w14:val="tx1"/>
            </w14:solidFill>
          </w14:textFill>
        </w:rPr>
        <w:t>（此处填写从业人员和营业收入的具体数据）</w:t>
      </w:r>
      <w:r>
        <w:rPr>
          <w:rFonts w:hint="eastAsia" w:ascii="宋体" w:hAnsi="宋体"/>
          <w:color w:val="000000" w:themeColor="text1"/>
          <w:spacing w:val="6"/>
          <w:sz w:val="24"/>
          <w:highlight w:val="none"/>
          <w14:textFill>
            <w14:solidFill>
              <w14:schemeClr w14:val="tx1"/>
            </w14:solidFill>
          </w14:textFill>
        </w:rPr>
        <w:t>，为______（请填写：小型、微型）企业。</w:t>
      </w:r>
    </w:p>
    <w:p>
      <w:pPr>
        <w:pStyle w:val="41"/>
        <w:spacing w:line="360" w:lineRule="auto"/>
        <w:ind w:firstLine="504" w:firstLineChars="200"/>
        <w:rPr>
          <w:rFonts w:ascii="宋体" w:hAns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2.本公司参加</w:t>
      </w:r>
      <w:r>
        <w:rPr>
          <w:rFonts w:hint="eastAsia" w:ascii="宋体" w:hAnsi="宋体"/>
          <w:color w:val="000000" w:themeColor="text1"/>
          <w:sz w:val="24"/>
          <w:highlight w:val="none"/>
          <w14:textFill>
            <w14:solidFill>
              <w14:schemeClr w14:val="tx1"/>
            </w14:solidFill>
          </w14:textFill>
        </w:rPr>
        <w:t>×××政府采购中心组织</w:t>
      </w:r>
      <w:r>
        <w:rPr>
          <w:rFonts w:hint="eastAsia" w:ascii="宋体" w:hAnsi="宋体"/>
          <w:color w:val="000000" w:themeColor="text1"/>
          <w:spacing w:val="6"/>
          <w:sz w:val="24"/>
          <w:highlight w:val="none"/>
          <w14:textFill>
            <w14:solidFill>
              <w14:schemeClr w14:val="tx1"/>
            </w14:solidFill>
          </w14:textFill>
        </w:rPr>
        <w:t>的采购项目（项目编号： ）采购活动提供本企业制造的货物，由本企业承担工程、提供服务，或者提供其他______（请填写：小型、微型）企业制造的货物。本条所称货物不包括使用大型企业注册商标的货物。</w:t>
      </w:r>
    </w:p>
    <w:p>
      <w:pPr>
        <w:pStyle w:val="41"/>
        <w:spacing w:line="360" w:lineRule="auto"/>
        <w:ind w:firstLine="504" w:firstLineChars="200"/>
        <w:rPr>
          <w:rFonts w:ascii="宋体" w:hAns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本公司对上述声明的真实性负责。如有虚假，将依法承担相应责任。</w:t>
      </w:r>
    </w:p>
    <w:p>
      <w:pPr>
        <w:pStyle w:val="41"/>
        <w:spacing w:line="360" w:lineRule="auto"/>
        <w:ind w:firstLine="504" w:firstLineChars="200"/>
        <w:rPr>
          <w:rFonts w:ascii="宋体" w:hAnsi="宋体"/>
          <w:color w:val="000000" w:themeColor="text1"/>
          <w:spacing w:val="6"/>
          <w:sz w:val="24"/>
          <w:highlight w:val="none"/>
          <w14:textFill>
            <w14:solidFill>
              <w14:schemeClr w14:val="tx1"/>
            </w14:solidFill>
          </w14:textFill>
        </w:rPr>
      </w:pPr>
    </w:p>
    <w:p>
      <w:pPr>
        <w:pStyle w:val="41"/>
        <w:spacing w:line="360" w:lineRule="auto"/>
        <w:ind w:left="4253" w:leftChars="202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 标 人（单位公章）：</w:t>
      </w:r>
    </w:p>
    <w:p>
      <w:pPr>
        <w:pStyle w:val="41"/>
        <w:spacing w:line="360" w:lineRule="auto"/>
        <w:ind w:left="4253" w:leftChars="2025" w:right="360"/>
        <w:jc w:val="right"/>
        <w:rPr>
          <w:rFonts w:ascii="宋体" w:hAnsi="宋体"/>
          <w:color w:val="000000" w:themeColor="text1"/>
          <w:spacing w:val="6"/>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日期： </w:t>
      </w:r>
      <w:r>
        <w:rPr>
          <w:rFonts w:hint="eastAsia" w:ascii="宋体" w:hAnsi="宋体" w:cstheme="minorBidi"/>
          <w:color w:val="000000" w:themeColor="text1"/>
          <w:sz w:val="24"/>
          <w:highlight w:val="none"/>
          <w14:textFill>
            <w14:solidFill>
              <w14:schemeClr w14:val="tx1"/>
            </w14:solidFill>
          </w14:textFill>
        </w:rPr>
        <w:t>××</w:t>
      </w:r>
      <w:r>
        <w:rPr>
          <w:rFonts w:hint="eastAsia" w:ascii="宋体" w:hAnsi="宋体" w:cs="Arial"/>
          <w:color w:val="000000" w:themeColor="text1"/>
          <w:sz w:val="24"/>
          <w:highlight w:val="none"/>
          <w14:textFill>
            <w14:solidFill>
              <w14:schemeClr w14:val="tx1"/>
            </w14:solidFill>
          </w14:textFill>
        </w:rPr>
        <w:t>年</w:t>
      </w:r>
      <w:r>
        <w:rPr>
          <w:rFonts w:hint="eastAsia" w:ascii="宋体" w:hAnsi="宋体" w:cstheme="minorBidi"/>
          <w:color w:val="000000" w:themeColor="text1"/>
          <w:sz w:val="24"/>
          <w:highlight w:val="none"/>
          <w14:textFill>
            <w14:solidFill>
              <w14:schemeClr w14:val="tx1"/>
            </w14:solidFill>
          </w14:textFill>
        </w:rPr>
        <w:t>××</w:t>
      </w:r>
      <w:r>
        <w:rPr>
          <w:rFonts w:hint="eastAsia" w:ascii="宋体" w:hAnsi="宋体" w:cs="Arial"/>
          <w:color w:val="000000" w:themeColor="text1"/>
          <w:sz w:val="24"/>
          <w:highlight w:val="none"/>
          <w14:textFill>
            <w14:solidFill>
              <w14:schemeClr w14:val="tx1"/>
            </w14:solidFill>
          </w14:textFill>
        </w:rPr>
        <w:t>月</w:t>
      </w:r>
      <w:r>
        <w:rPr>
          <w:rFonts w:hint="eastAsia" w:ascii="宋体" w:hAnsi="宋体" w:cstheme="minorBidi"/>
          <w:color w:val="000000" w:themeColor="text1"/>
          <w:sz w:val="24"/>
          <w:highlight w:val="none"/>
          <w14:textFill>
            <w14:solidFill>
              <w14:schemeClr w14:val="tx1"/>
            </w14:solidFill>
          </w14:textFill>
        </w:rPr>
        <w:t>××</w:t>
      </w:r>
      <w:r>
        <w:rPr>
          <w:rFonts w:hint="eastAsia" w:ascii="宋体" w:hAnsi="宋体" w:cs="Arial"/>
          <w:color w:val="000000" w:themeColor="text1"/>
          <w:sz w:val="24"/>
          <w:highlight w:val="none"/>
          <w14:textFill>
            <w14:solidFill>
              <w14:schemeClr w14:val="tx1"/>
            </w14:solidFill>
          </w14:textFill>
        </w:rPr>
        <w:t>日</w:t>
      </w:r>
    </w:p>
    <w:p>
      <w:pPr>
        <w:spacing w:line="360" w:lineRule="auto"/>
        <w:ind w:right="-110"/>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“国家企业信用信息公示系统---小微企业名录”页面查询结果参考格式</w:t>
      </w:r>
    </w:p>
    <w:p>
      <w:pPr>
        <w:spacing w:before="312" w:beforeLines="100" w:line="440" w:lineRule="atLeast"/>
        <w:ind w:firstLine="440" w:firstLineChars="200"/>
        <w:rPr>
          <w:rFonts w:ascii="宋体" w:cs="宋体"/>
          <w:color w:val="000000" w:themeColor="text1"/>
          <w:sz w:val="22"/>
          <w:szCs w:val="22"/>
          <w:highlight w:val="none"/>
          <w14:textFill>
            <w14:solidFill>
              <w14:schemeClr w14:val="tx1"/>
            </w14:solidFill>
          </w14:textFill>
        </w:rPr>
      </w:pPr>
      <w:r>
        <w:rPr>
          <w:rFonts w:hint="eastAsia" w:ascii="宋体" w:cs="宋体"/>
          <w:color w:val="000000" w:themeColor="text1"/>
          <w:sz w:val="22"/>
          <w:szCs w:val="22"/>
          <w:highlight w:val="none"/>
          <w14:textFill>
            <w14:solidFill>
              <w14:schemeClr w14:val="tx1"/>
            </w14:solidFill>
          </w14:textFill>
        </w:rPr>
        <w:drawing>
          <wp:inline distT="0" distB="0" distL="114300" distR="114300">
            <wp:extent cx="5271770" cy="1976120"/>
            <wp:effectExtent l="0" t="0" r="1143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71770" cy="1976120"/>
                    </a:xfrm>
                    <a:prstGeom prst="rect">
                      <a:avLst/>
                    </a:prstGeom>
                    <a:noFill/>
                    <a:ln>
                      <a:noFill/>
                    </a:ln>
                  </pic:spPr>
                </pic:pic>
              </a:graphicData>
            </a:graphic>
          </wp:inline>
        </w:drawing>
      </w:r>
    </w:p>
    <w:p>
      <w:pPr>
        <w:spacing w:line="440" w:lineRule="atLeast"/>
        <w:rPr>
          <w:rFonts w:ascii="宋体" w:cs="宋体"/>
          <w:color w:val="000000" w:themeColor="text1"/>
          <w:sz w:val="22"/>
          <w:szCs w:val="22"/>
          <w:highlight w:val="none"/>
          <w14:textFill>
            <w14:solidFill>
              <w14:schemeClr w14:val="tx1"/>
            </w14:solidFill>
          </w14:textFill>
        </w:rPr>
      </w:pPr>
      <w:r>
        <w:rPr>
          <w:rFonts w:hint="eastAsia" w:ascii="宋体" w:cs="宋体"/>
          <w:color w:val="000000" w:themeColor="text1"/>
          <w:sz w:val="22"/>
          <w:szCs w:val="22"/>
          <w:highlight w:val="none"/>
          <w14:textFill>
            <w14:solidFill>
              <w14:schemeClr w14:val="tx1"/>
            </w14:solidFill>
          </w14:textFill>
        </w:rPr>
        <w:t>投标供应商全称（盖章）：</w:t>
      </w:r>
    </w:p>
    <w:p>
      <w:pPr>
        <w:spacing w:line="440" w:lineRule="atLeast"/>
        <w:rPr>
          <w:rFonts w:ascii="宋体" w:cs="宋体"/>
          <w:color w:val="000000" w:themeColor="text1"/>
          <w:sz w:val="22"/>
          <w:szCs w:val="22"/>
          <w:highlight w:val="none"/>
          <w14:textFill>
            <w14:solidFill>
              <w14:schemeClr w14:val="tx1"/>
            </w14:solidFill>
          </w14:textFill>
        </w:rPr>
      </w:pPr>
      <w:r>
        <w:rPr>
          <w:rFonts w:hint="eastAsia" w:ascii="宋体" w:cs="宋体"/>
          <w:color w:val="000000" w:themeColor="text1"/>
          <w:sz w:val="22"/>
          <w:szCs w:val="22"/>
          <w:highlight w:val="none"/>
          <w14:textFill>
            <w14:solidFill>
              <w14:schemeClr w14:val="tx1"/>
            </w14:solidFill>
          </w14:textFill>
        </w:rPr>
        <w:t>日期</w:t>
      </w:r>
    </w:p>
    <w:p>
      <w:pPr>
        <w:pStyle w:val="12"/>
        <w:spacing w:line="360" w:lineRule="auto"/>
        <w:jc w:val="center"/>
        <w:outlineLvl w:val="1"/>
        <w:rPr>
          <w:rFonts w:hAnsi="宋体"/>
          <w:b/>
          <w:color w:val="000000" w:themeColor="text1"/>
          <w:sz w:val="32"/>
          <w:szCs w:val="32"/>
          <w:highlight w:val="none"/>
          <w:lang w:val="en-GB"/>
          <w14:textFill>
            <w14:solidFill>
              <w14:schemeClr w14:val="tx1"/>
            </w14:solidFill>
          </w14:textFill>
        </w:rPr>
      </w:pPr>
    </w:p>
    <w:p>
      <w:pPr>
        <w:pStyle w:val="12"/>
        <w:spacing w:line="360" w:lineRule="auto"/>
        <w:jc w:val="center"/>
        <w:outlineLvl w:val="1"/>
        <w:rPr>
          <w:rFonts w:hAnsi="宋体"/>
          <w:b/>
          <w:color w:val="000000" w:themeColor="text1"/>
          <w:sz w:val="32"/>
          <w:szCs w:val="32"/>
          <w:highlight w:val="none"/>
          <w:lang w:val="en-GB"/>
          <w14:textFill>
            <w14:solidFill>
              <w14:schemeClr w14:val="tx1"/>
            </w14:solidFill>
          </w14:textFill>
        </w:rPr>
      </w:pPr>
      <w:r>
        <w:rPr>
          <w:rFonts w:hint="eastAsia" w:hAnsi="宋体"/>
          <w:b/>
          <w:color w:val="000000" w:themeColor="text1"/>
          <w:sz w:val="32"/>
          <w:szCs w:val="32"/>
          <w:highlight w:val="none"/>
          <w:lang w:val="en-GB"/>
          <w14:textFill>
            <w14:solidFill>
              <w14:schemeClr w14:val="tx1"/>
            </w14:solidFill>
          </w14:textFill>
        </w:rPr>
        <w:t>残疾人福利性单位声明函</w:t>
      </w:r>
    </w:p>
    <w:p>
      <w:pPr>
        <w:spacing w:line="588" w:lineRule="exact"/>
        <w:ind w:firstLine="504" w:firstLineChars="200"/>
        <w:rPr>
          <w:rFonts w:ascii="宋体" w:hAns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本单位对上述声明的真实性负责。如有虚假，将依法承担相应责任。</w:t>
      </w:r>
    </w:p>
    <w:p>
      <w:pPr>
        <w:tabs>
          <w:tab w:val="left" w:pos="4860"/>
        </w:tabs>
        <w:spacing w:line="588" w:lineRule="exact"/>
        <w:ind w:right="1560" w:firstLine="504" w:firstLineChars="200"/>
        <w:jc w:val="center"/>
        <w:rPr>
          <w:rFonts w:ascii="宋体" w:hAnsi="宋体"/>
          <w:color w:val="000000" w:themeColor="text1"/>
          <w:spacing w:val="6"/>
          <w:sz w:val="24"/>
          <w:highlight w:val="none"/>
          <w14:textFill>
            <w14:solidFill>
              <w14:schemeClr w14:val="tx1"/>
            </w14:solidFill>
          </w14:textFill>
        </w:rPr>
      </w:pPr>
    </w:p>
    <w:p>
      <w:pPr>
        <w:tabs>
          <w:tab w:val="left" w:pos="4860"/>
        </w:tabs>
        <w:spacing w:line="588" w:lineRule="exact"/>
        <w:ind w:right="1560" w:firstLine="504" w:firstLineChars="200"/>
        <w:jc w:val="center"/>
        <w:rPr>
          <w:rFonts w:ascii="宋体" w:hAns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 xml:space="preserve">             单位名称（盖章）：</w:t>
      </w:r>
    </w:p>
    <w:p>
      <w:pPr>
        <w:tabs>
          <w:tab w:val="left" w:pos="4860"/>
        </w:tabs>
        <w:spacing w:line="588" w:lineRule="exact"/>
        <w:ind w:right="1560" w:firstLine="504" w:firstLineChars="200"/>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 xml:space="preserve">       日  期：</w:t>
      </w:r>
    </w:p>
    <w:p>
      <w:pPr>
        <w:pStyle w:val="41"/>
        <w:spacing w:line="360" w:lineRule="auto"/>
        <w:rPr>
          <w:rFonts w:ascii="宋体" w:hAnsi="宋体"/>
          <w:b/>
          <w:color w:val="000000" w:themeColor="text1"/>
          <w:sz w:val="28"/>
          <w:szCs w:val="28"/>
          <w:highlight w:val="none"/>
          <w14:textFill>
            <w14:solidFill>
              <w14:schemeClr w14:val="tx1"/>
            </w14:solidFill>
          </w14:textFill>
        </w:rPr>
      </w:pPr>
    </w:p>
    <w:p>
      <w:pPr>
        <w:pStyle w:val="41"/>
        <w:spacing w:line="360" w:lineRule="auto"/>
        <w:rPr>
          <w:rFonts w:ascii="宋体" w:hAnsi="宋体"/>
          <w:b/>
          <w:color w:val="000000" w:themeColor="text1"/>
          <w:sz w:val="28"/>
          <w:szCs w:val="28"/>
          <w:highlight w:val="none"/>
          <w14:textFill>
            <w14:solidFill>
              <w14:schemeClr w14:val="tx1"/>
            </w14:solidFill>
          </w14:textFill>
        </w:rPr>
      </w:pPr>
    </w:p>
    <w:p>
      <w:pPr>
        <w:pStyle w:val="41"/>
        <w:spacing w:line="360" w:lineRule="auto"/>
        <w:rPr>
          <w:rFonts w:ascii="宋体" w:hAnsi="宋体"/>
          <w:b/>
          <w:color w:val="000000" w:themeColor="text1"/>
          <w:sz w:val="28"/>
          <w:szCs w:val="28"/>
          <w:highlight w:val="none"/>
          <w14:textFill>
            <w14:solidFill>
              <w14:schemeClr w14:val="tx1"/>
            </w14:solidFill>
          </w14:textFill>
        </w:rPr>
      </w:pPr>
    </w:p>
    <w:p>
      <w:pPr>
        <w:pStyle w:val="41"/>
        <w:spacing w:line="360" w:lineRule="auto"/>
        <w:rPr>
          <w:rFonts w:ascii="宋体" w:hAnsi="宋体"/>
          <w:b/>
          <w:color w:val="000000" w:themeColor="text1"/>
          <w:sz w:val="28"/>
          <w:szCs w:val="28"/>
          <w:highlight w:val="none"/>
          <w14:textFill>
            <w14:solidFill>
              <w14:schemeClr w14:val="tx1"/>
            </w14:solidFill>
          </w14:textFill>
        </w:rPr>
      </w:pPr>
    </w:p>
    <w:p>
      <w:pPr>
        <w:pStyle w:val="41"/>
        <w:spacing w:line="360" w:lineRule="auto"/>
        <w:rPr>
          <w:rFonts w:ascii="宋体" w:hAnsi="宋体"/>
          <w:b/>
          <w:color w:val="000000" w:themeColor="text1"/>
          <w:sz w:val="28"/>
          <w:szCs w:val="28"/>
          <w:highlight w:val="none"/>
          <w14:textFill>
            <w14:solidFill>
              <w14:schemeClr w14:val="tx1"/>
            </w14:solidFill>
          </w14:textFill>
        </w:rPr>
      </w:pPr>
    </w:p>
    <w:p>
      <w:pPr>
        <w:pStyle w:val="41"/>
        <w:spacing w:line="360" w:lineRule="auto"/>
        <w:rPr>
          <w:rFonts w:ascii="宋体" w:hAnsi="宋体"/>
          <w:b/>
          <w:color w:val="000000" w:themeColor="text1"/>
          <w:sz w:val="28"/>
          <w:szCs w:val="28"/>
          <w:highlight w:val="none"/>
          <w14:textFill>
            <w14:solidFill>
              <w14:schemeClr w14:val="tx1"/>
            </w14:solidFill>
          </w14:textFill>
        </w:rPr>
      </w:pPr>
    </w:p>
    <w:p>
      <w:pPr>
        <w:pStyle w:val="41"/>
        <w:spacing w:line="360" w:lineRule="auto"/>
        <w:rPr>
          <w:rFonts w:ascii="宋体" w:hAnsi="宋体"/>
          <w:b/>
          <w:color w:val="000000" w:themeColor="text1"/>
          <w:sz w:val="28"/>
          <w:szCs w:val="28"/>
          <w:highlight w:val="none"/>
          <w14:textFill>
            <w14:solidFill>
              <w14:schemeClr w14:val="tx1"/>
            </w14:solidFill>
          </w14:textFill>
        </w:rPr>
      </w:pPr>
    </w:p>
    <w:p>
      <w:pPr>
        <w:pStyle w:val="41"/>
        <w:spacing w:line="360" w:lineRule="auto"/>
        <w:rPr>
          <w:rFonts w:ascii="宋体" w:hAnsi="宋体"/>
          <w:b/>
          <w:color w:val="000000" w:themeColor="text1"/>
          <w:sz w:val="28"/>
          <w:szCs w:val="28"/>
          <w:highlight w:val="none"/>
          <w14:textFill>
            <w14:solidFill>
              <w14:schemeClr w14:val="tx1"/>
            </w14:solidFill>
          </w14:textFill>
        </w:rPr>
      </w:pPr>
    </w:p>
    <w:p>
      <w:pPr>
        <w:pStyle w:val="41"/>
        <w:spacing w:line="360" w:lineRule="auto"/>
        <w:rPr>
          <w:rFonts w:ascii="宋体" w:hAnsi="宋体"/>
          <w:b/>
          <w:color w:val="000000" w:themeColor="text1"/>
          <w:sz w:val="28"/>
          <w:szCs w:val="28"/>
          <w:highlight w:val="none"/>
          <w14:textFill>
            <w14:solidFill>
              <w14:schemeClr w14:val="tx1"/>
            </w14:solidFill>
          </w14:textFill>
        </w:rPr>
      </w:pPr>
    </w:p>
    <w:p>
      <w:pPr>
        <w:pStyle w:val="41"/>
        <w:spacing w:line="360" w:lineRule="auto"/>
        <w:rPr>
          <w:rFonts w:ascii="宋体" w:hAnsi="宋体"/>
          <w:b/>
          <w:color w:val="000000" w:themeColor="text1"/>
          <w:sz w:val="28"/>
          <w:szCs w:val="28"/>
          <w:highlight w:val="none"/>
          <w14:textFill>
            <w14:solidFill>
              <w14:schemeClr w14:val="tx1"/>
            </w14:solidFill>
          </w14:textFill>
        </w:rPr>
      </w:pPr>
    </w:p>
    <w:p>
      <w:pPr>
        <w:pStyle w:val="41"/>
        <w:spacing w:line="360" w:lineRule="auto"/>
        <w:rPr>
          <w:rFonts w:ascii="宋体" w:hAnsi="宋体"/>
          <w:b/>
          <w:color w:val="000000" w:themeColor="text1"/>
          <w:sz w:val="28"/>
          <w:szCs w:val="28"/>
          <w:highlight w:val="none"/>
          <w14:textFill>
            <w14:solidFill>
              <w14:schemeClr w14:val="tx1"/>
            </w14:solidFill>
          </w14:textFill>
        </w:rPr>
      </w:pPr>
    </w:p>
    <w:p>
      <w:pPr>
        <w:pStyle w:val="41"/>
        <w:spacing w:line="360" w:lineRule="auto"/>
        <w:rPr>
          <w:rFonts w:ascii="宋体" w:hAnsi="宋体"/>
          <w:b/>
          <w:color w:val="000000" w:themeColor="text1"/>
          <w:sz w:val="28"/>
          <w:szCs w:val="28"/>
          <w:highlight w:val="none"/>
          <w14:textFill>
            <w14:solidFill>
              <w14:schemeClr w14:val="tx1"/>
            </w14:solidFill>
          </w14:textFill>
        </w:rPr>
      </w:pPr>
    </w:p>
    <w:p>
      <w:pPr>
        <w:pStyle w:val="41"/>
        <w:spacing w:line="360" w:lineRule="auto"/>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附件19</w:t>
      </w:r>
    </w:p>
    <w:p>
      <w:pPr>
        <w:pStyle w:val="42"/>
        <w:spacing w:line="360" w:lineRule="auto"/>
        <w:rPr>
          <w:color w:val="000000" w:themeColor="text1"/>
          <w:highlight w:val="none"/>
          <w14:textFill>
            <w14:solidFill>
              <w14:schemeClr w14:val="tx1"/>
            </w14:solidFill>
          </w14:textFill>
        </w:rPr>
      </w:pPr>
    </w:p>
    <w:p>
      <w:pPr>
        <w:pStyle w:val="39"/>
        <w:spacing w:line="360" w:lineRule="auto"/>
        <w:jc w:val="center"/>
        <w:rPr>
          <w:rFonts w:ascii="宋体" w:hAnsi="宋体"/>
          <w:b/>
          <w:color w:val="000000" w:themeColor="text1"/>
          <w:sz w:val="32"/>
          <w:szCs w:val="32"/>
          <w:highlight w:val="none"/>
          <w:lang w:val="en-GB"/>
          <w14:textFill>
            <w14:solidFill>
              <w14:schemeClr w14:val="tx1"/>
            </w14:solidFill>
          </w14:textFill>
        </w:rPr>
      </w:pPr>
      <w:r>
        <w:rPr>
          <w:rFonts w:hint="eastAsia" w:ascii="宋体" w:hAnsi="宋体"/>
          <w:b/>
          <w:color w:val="000000" w:themeColor="text1"/>
          <w:sz w:val="32"/>
          <w:szCs w:val="32"/>
          <w:highlight w:val="none"/>
          <w:lang w:val="en-GB"/>
          <w14:textFill>
            <w14:solidFill>
              <w14:schemeClr w14:val="tx1"/>
            </w14:solidFill>
          </w14:textFill>
        </w:rPr>
        <w:t>产品适用政府采购政策情况表（</w:t>
      </w:r>
      <w:r>
        <w:rPr>
          <w:rFonts w:hint="eastAsia" w:ascii="宋体" w:hAnsi="宋体"/>
          <w:b/>
          <w:color w:val="000000" w:themeColor="text1"/>
          <w:sz w:val="32"/>
          <w:szCs w:val="32"/>
          <w:highlight w:val="none"/>
          <w14:textFill>
            <w14:solidFill>
              <w14:schemeClr w14:val="tx1"/>
            </w14:solidFill>
          </w14:textFill>
        </w:rPr>
        <w:t>如有则提供</w:t>
      </w:r>
      <w:r>
        <w:rPr>
          <w:rFonts w:hint="eastAsia" w:ascii="宋体" w:hAnsi="宋体"/>
          <w:b/>
          <w:color w:val="000000" w:themeColor="text1"/>
          <w:sz w:val="32"/>
          <w:szCs w:val="32"/>
          <w:highlight w:val="none"/>
          <w:lang w:val="en-GB"/>
          <w14:textFill>
            <w14:solidFill>
              <w14:schemeClr w14:val="tx1"/>
            </w14:solidFill>
          </w14:textFill>
        </w:rPr>
        <w:t>）</w:t>
      </w:r>
    </w:p>
    <w:p>
      <w:pPr>
        <w:pStyle w:val="39"/>
        <w:spacing w:line="360" w:lineRule="auto"/>
        <w:jc w:val="center"/>
        <w:rPr>
          <w:rFonts w:ascii="宋体" w:hAnsi="宋体"/>
          <w:b/>
          <w:color w:val="000000" w:themeColor="text1"/>
          <w:sz w:val="32"/>
          <w:szCs w:val="32"/>
          <w:highlight w:val="none"/>
          <w:lang w:val="en-GB"/>
          <w14:textFill>
            <w14:solidFill>
              <w14:schemeClr w14:val="tx1"/>
            </w14:solidFill>
          </w14:textFill>
        </w:rPr>
      </w:pPr>
    </w:p>
    <w:tbl>
      <w:tblPr>
        <w:tblStyle w:val="20"/>
        <w:tblW w:w="91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2679"/>
        <w:gridCol w:w="3811"/>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15" w:type="dxa"/>
            <w:vMerge w:val="restart"/>
            <w:vAlign w:val="center"/>
          </w:tcPr>
          <w:p>
            <w:pPr>
              <w:pStyle w:val="39"/>
              <w:tabs>
                <w:tab w:val="left" w:pos="1260"/>
              </w:tabs>
              <w:jc w:val="center"/>
              <w:rPr>
                <w:rFonts w:ascii="宋体" w:hAnsi="宋体"/>
                <w:color w:val="000000" w:themeColor="text1"/>
                <w:sz w:val="24"/>
                <w:highlight w:val="none"/>
                <w:lang w:val="en-GB"/>
                <w14:textFill>
                  <w14:solidFill>
                    <w14:schemeClr w14:val="tx1"/>
                  </w14:solidFill>
                </w14:textFill>
              </w:rPr>
            </w:pPr>
            <w:r>
              <w:rPr>
                <w:rFonts w:hint="eastAsia" w:ascii="宋体" w:hAnsi="宋体"/>
                <w:color w:val="000000" w:themeColor="text1"/>
                <w:sz w:val="24"/>
                <w:highlight w:val="none"/>
                <w:lang w:val="en-GB"/>
                <w14:textFill>
                  <w14:solidFill>
                    <w14:schemeClr w14:val="tx1"/>
                  </w14:solidFill>
                </w14:textFill>
              </w:rPr>
              <w:t>小微企业扶持政策</w:t>
            </w:r>
          </w:p>
        </w:tc>
        <w:tc>
          <w:tcPr>
            <w:tcW w:w="8111" w:type="dxa"/>
            <w:gridSpan w:val="3"/>
            <w:vAlign w:val="center"/>
          </w:tcPr>
          <w:tbl>
            <w:tblPr>
              <w:tblStyle w:val="20"/>
              <w:tblW w:w="81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8111" w:type="dxa"/>
                  <w:vAlign w:val="center"/>
                </w:tcPr>
                <w:p>
                  <w:pPr>
                    <w:pStyle w:val="39"/>
                    <w:tabs>
                      <w:tab w:val="left" w:pos="1260"/>
                    </w:tabs>
                    <w:spacing w:line="360" w:lineRule="auto"/>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小型、微型企业投标且所投产品（指货物、工程、服务）由本企业制造，或者所投产品（仅指货物）含有其他小型、微型企业制造的，应</w:t>
                  </w:r>
                  <w:r>
                    <w:rPr>
                      <w:rFonts w:hint="eastAsia" w:ascii="宋体" w:hAnsi="宋体"/>
                      <w:b/>
                      <w:bCs/>
                      <w:color w:val="000000" w:themeColor="text1"/>
                      <w:sz w:val="24"/>
                      <w:highlight w:val="none"/>
                      <w:lang w:val="en-GB"/>
                      <w14:textFill>
                        <w14:solidFill>
                          <w14:schemeClr w14:val="tx1"/>
                        </w14:solidFill>
                      </w14:textFill>
                    </w:rPr>
                    <w:t>按要求列出具体产品与金额。</w:t>
                  </w:r>
                </w:p>
              </w:tc>
            </w:tr>
          </w:tbl>
          <w:p>
            <w:pPr>
              <w:pStyle w:val="39"/>
              <w:tabs>
                <w:tab w:val="left" w:pos="1260"/>
              </w:tabs>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15" w:type="dxa"/>
            <w:vMerge w:val="continue"/>
            <w:vAlign w:val="center"/>
          </w:tcPr>
          <w:p>
            <w:pPr>
              <w:pStyle w:val="39"/>
              <w:tabs>
                <w:tab w:val="left" w:pos="1260"/>
              </w:tabs>
              <w:jc w:val="center"/>
              <w:rPr>
                <w:rFonts w:ascii="宋体" w:hAnsi="宋体"/>
                <w:color w:val="000000" w:themeColor="text1"/>
                <w:sz w:val="24"/>
                <w:highlight w:val="none"/>
                <w:lang w:val="en-GB"/>
                <w14:textFill>
                  <w14:solidFill>
                    <w14:schemeClr w14:val="tx1"/>
                  </w14:solidFill>
                </w14:textFill>
              </w:rPr>
            </w:pPr>
          </w:p>
        </w:tc>
        <w:tc>
          <w:tcPr>
            <w:tcW w:w="2679" w:type="dxa"/>
            <w:vAlign w:val="center"/>
          </w:tcPr>
          <w:p>
            <w:pPr>
              <w:pStyle w:val="39"/>
              <w:tabs>
                <w:tab w:val="left" w:pos="1260"/>
              </w:tabs>
              <w:jc w:val="center"/>
              <w:rPr>
                <w:rFonts w:ascii="宋体" w:hAnsi="宋体"/>
                <w:color w:val="000000" w:themeColor="text1"/>
                <w:sz w:val="24"/>
                <w:highlight w:val="none"/>
                <w:lang w:val="en-GB"/>
                <w14:textFill>
                  <w14:solidFill>
                    <w14:schemeClr w14:val="tx1"/>
                  </w14:solidFill>
                </w14:textFill>
              </w:rPr>
            </w:pPr>
            <w:r>
              <w:rPr>
                <w:rFonts w:hint="eastAsia" w:ascii="宋体" w:hAnsi="宋体"/>
                <w:color w:val="000000" w:themeColor="text1"/>
                <w:sz w:val="24"/>
                <w:highlight w:val="none"/>
                <w:lang w:val="en-GB"/>
                <w14:textFill>
                  <w14:solidFill>
                    <w14:schemeClr w14:val="tx1"/>
                  </w14:solidFill>
                </w14:textFill>
              </w:rPr>
              <w:t>产品名称（品牌、型号）</w:t>
            </w:r>
          </w:p>
        </w:tc>
        <w:tc>
          <w:tcPr>
            <w:tcW w:w="3811" w:type="dxa"/>
            <w:vAlign w:val="center"/>
          </w:tcPr>
          <w:p>
            <w:pPr>
              <w:pStyle w:val="39"/>
              <w:tabs>
                <w:tab w:val="left" w:pos="1260"/>
              </w:tabs>
              <w:jc w:val="center"/>
              <w:rPr>
                <w:rFonts w:ascii="宋体" w:hAnsi="宋体"/>
                <w:color w:val="000000" w:themeColor="text1"/>
                <w:sz w:val="24"/>
                <w:highlight w:val="none"/>
                <w:lang w:val="en-GB"/>
                <w14:textFill>
                  <w14:solidFill>
                    <w14:schemeClr w14:val="tx1"/>
                  </w14:solidFill>
                </w14:textFill>
              </w:rPr>
            </w:pPr>
            <w:r>
              <w:rPr>
                <w:rFonts w:hint="eastAsia" w:ascii="宋体" w:hAnsi="宋体"/>
                <w:color w:val="000000" w:themeColor="text1"/>
                <w:sz w:val="24"/>
                <w:highlight w:val="none"/>
                <w:lang w:val="en-GB"/>
                <w14:textFill>
                  <w14:solidFill>
                    <w14:schemeClr w14:val="tx1"/>
                  </w14:solidFill>
                </w14:textFill>
              </w:rPr>
              <w:t>制造企业名称</w:t>
            </w:r>
          </w:p>
        </w:tc>
        <w:tc>
          <w:tcPr>
            <w:tcW w:w="1621" w:type="dxa"/>
            <w:vAlign w:val="center"/>
          </w:tcPr>
          <w:p>
            <w:pPr>
              <w:pStyle w:val="39"/>
              <w:tabs>
                <w:tab w:val="left" w:pos="1260"/>
              </w:tabs>
              <w:jc w:val="center"/>
              <w:rPr>
                <w:rFonts w:ascii="宋体" w:hAnsi="宋体"/>
                <w:color w:val="000000" w:themeColor="text1"/>
                <w:sz w:val="24"/>
                <w:highlight w:val="none"/>
                <w:lang w:val="en-GB"/>
                <w14:textFill>
                  <w14:solidFill>
                    <w14:schemeClr w14:val="tx1"/>
                  </w14:solidFill>
                </w14:textFill>
              </w:rPr>
            </w:pPr>
            <w:r>
              <w:rPr>
                <w:rFonts w:hint="eastAsia" w:ascii="宋体" w:hAnsi="宋体"/>
                <w:color w:val="000000" w:themeColor="text1"/>
                <w:sz w:val="24"/>
                <w:highlight w:val="none"/>
                <w:lang w:val="en-GB"/>
                <w14:textFill>
                  <w14:solidFill>
                    <w14:schemeClr w14:val="tx1"/>
                  </w14:solidFill>
                </w14:textFill>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15" w:type="dxa"/>
            <w:vMerge w:val="continue"/>
            <w:vAlign w:val="center"/>
          </w:tcPr>
          <w:p>
            <w:pPr>
              <w:pStyle w:val="39"/>
              <w:tabs>
                <w:tab w:val="left" w:pos="1260"/>
              </w:tabs>
              <w:jc w:val="center"/>
              <w:rPr>
                <w:rFonts w:ascii="宋体" w:hAnsi="宋体"/>
                <w:color w:val="000000" w:themeColor="text1"/>
                <w:sz w:val="24"/>
                <w:highlight w:val="none"/>
                <w:lang w:val="en-GB"/>
                <w14:textFill>
                  <w14:solidFill>
                    <w14:schemeClr w14:val="tx1"/>
                  </w14:solidFill>
                </w14:textFill>
              </w:rPr>
            </w:pPr>
          </w:p>
        </w:tc>
        <w:tc>
          <w:tcPr>
            <w:tcW w:w="2679" w:type="dxa"/>
            <w:vAlign w:val="center"/>
          </w:tcPr>
          <w:p>
            <w:pPr>
              <w:pStyle w:val="39"/>
              <w:tabs>
                <w:tab w:val="left" w:pos="1260"/>
              </w:tabs>
              <w:jc w:val="center"/>
              <w:rPr>
                <w:rFonts w:ascii="宋体" w:hAnsi="宋体"/>
                <w:color w:val="000000" w:themeColor="text1"/>
                <w:sz w:val="24"/>
                <w:highlight w:val="none"/>
                <w:lang w:val="en-GB"/>
                <w14:textFill>
                  <w14:solidFill>
                    <w14:schemeClr w14:val="tx1"/>
                  </w14:solidFill>
                </w14:textFill>
              </w:rPr>
            </w:pPr>
          </w:p>
        </w:tc>
        <w:tc>
          <w:tcPr>
            <w:tcW w:w="3811" w:type="dxa"/>
            <w:vAlign w:val="center"/>
          </w:tcPr>
          <w:p>
            <w:pPr>
              <w:pStyle w:val="39"/>
              <w:tabs>
                <w:tab w:val="left" w:pos="1260"/>
              </w:tabs>
              <w:jc w:val="center"/>
              <w:rPr>
                <w:rFonts w:ascii="宋体" w:hAnsi="宋体"/>
                <w:color w:val="000000" w:themeColor="text1"/>
                <w:sz w:val="24"/>
                <w:highlight w:val="none"/>
                <w:lang w:val="en-GB"/>
                <w14:textFill>
                  <w14:solidFill>
                    <w14:schemeClr w14:val="tx1"/>
                  </w14:solidFill>
                </w14:textFill>
              </w:rPr>
            </w:pPr>
          </w:p>
        </w:tc>
        <w:tc>
          <w:tcPr>
            <w:tcW w:w="1621" w:type="dxa"/>
            <w:vAlign w:val="center"/>
          </w:tcPr>
          <w:p>
            <w:pPr>
              <w:pStyle w:val="39"/>
              <w:tabs>
                <w:tab w:val="left" w:pos="1260"/>
              </w:tabs>
              <w:jc w:val="center"/>
              <w:rPr>
                <w:rFonts w:ascii="宋体" w:hAnsi="宋体"/>
                <w:color w:val="000000" w:themeColor="text1"/>
                <w:sz w:val="24"/>
                <w:highlight w:val="none"/>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15" w:type="dxa"/>
            <w:vMerge w:val="continue"/>
            <w:vAlign w:val="center"/>
          </w:tcPr>
          <w:p>
            <w:pPr>
              <w:pStyle w:val="39"/>
              <w:tabs>
                <w:tab w:val="left" w:pos="1260"/>
              </w:tabs>
              <w:jc w:val="center"/>
              <w:rPr>
                <w:rFonts w:ascii="宋体" w:hAnsi="宋体"/>
                <w:color w:val="000000" w:themeColor="text1"/>
                <w:sz w:val="24"/>
                <w:highlight w:val="none"/>
                <w:lang w:val="en-GB"/>
                <w14:textFill>
                  <w14:solidFill>
                    <w14:schemeClr w14:val="tx1"/>
                  </w14:solidFill>
                </w14:textFill>
              </w:rPr>
            </w:pPr>
          </w:p>
        </w:tc>
        <w:tc>
          <w:tcPr>
            <w:tcW w:w="2679" w:type="dxa"/>
            <w:vAlign w:val="center"/>
          </w:tcPr>
          <w:p>
            <w:pPr>
              <w:pStyle w:val="39"/>
              <w:tabs>
                <w:tab w:val="left" w:pos="1260"/>
              </w:tabs>
              <w:jc w:val="center"/>
              <w:rPr>
                <w:rFonts w:ascii="宋体" w:hAnsi="宋体"/>
                <w:color w:val="000000" w:themeColor="text1"/>
                <w:sz w:val="24"/>
                <w:highlight w:val="none"/>
                <w:lang w:val="en-GB"/>
                <w14:textFill>
                  <w14:solidFill>
                    <w14:schemeClr w14:val="tx1"/>
                  </w14:solidFill>
                </w14:textFill>
              </w:rPr>
            </w:pPr>
          </w:p>
        </w:tc>
        <w:tc>
          <w:tcPr>
            <w:tcW w:w="3811" w:type="dxa"/>
            <w:vAlign w:val="center"/>
          </w:tcPr>
          <w:p>
            <w:pPr>
              <w:pStyle w:val="39"/>
              <w:tabs>
                <w:tab w:val="left" w:pos="1260"/>
              </w:tabs>
              <w:jc w:val="center"/>
              <w:rPr>
                <w:rFonts w:ascii="宋体" w:hAnsi="宋体"/>
                <w:color w:val="000000" w:themeColor="text1"/>
                <w:sz w:val="24"/>
                <w:highlight w:val="none"/>
                <w:lang w:val="en-GB"/>
                <w14:textFill>
                  <w14:solidFill>
                    <w14:schemeClr w14:val="tx1"/>
                  </w14:solidFill>
                </w14:textFill>
              </w:rPr>
            </w:pPr>
          </w:p>
        </w:tc>
        <w:tc>
          <w:tcPr>
            <w:tcW w:w="1621" w:type="dxa"/>
            <w:vAlign w:val="center"/>
          </w:tcPr>
          <w:p>
            <w:pPr>
              <w:pStyle w:val="39"/>
              <w:tabs>
                <w:tab w:val="left" w:pos="1260"/>
              </w:tabs>
              <w:jc w:val="center"/>
              <w:rPr>
                <w:rFonts w:ascii="宋体" w:hAnsi="宋体"/>
                <w:color w:val="000000" w:themeColor="text1"/>
                <w:sz w:val="24"/>
                <w:highlight w:val="none"/>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15" w:type="dxa"/>
            <w:vMerge w:val="continue"/>
            <w:vAlign w:val="center"/>
          </w:tcPr>
          <w:p>
            <w:pPr>
              <w:pStyle w:val="39"/>
              <w:tabs>
                <w:tab w:val="left" w:pos="1260"/>
              </w:tabs>
              <w:jc w:val="center"/>
              <w:rPr>
                <w:rFonts w:ascii="宋体" w:hAnsi="宋体"/>
                <w:color w:val="000000" w:themeColor="text1"/>
                <w:sz w:val="24"/>
                <w:highlight w:val="none"/>
                <w:lang w:val="en-GB"/>
                <w14:textFill>
                  <w14:solidFill>
                    <w14:schemeClr w14:val="tx1"/>
                  </w14:solidFill>
                </w14:textFill>
              </w:rPr>
            </w:pPr>
          </w:p>
        </w:tc>
        <w:tc>
          <w:tcPr>
            <w:tcW w:w="2679" w:type="dxa"/>
            <w:vAlign w:val="center"/>
          </w:tcPr>
          <w:p>
            <w:pPr>
              <w:pStyle w:val="39"/>
              <w:tabs>
                <w:tab w:val="left" w:pos="1260"/>
              </w:tabs>
              <w:jc w:val="center"/>
              <w:rPr>
                <w:rFonts w:ascii="宋体" w:hAnsi="宋体"/>
                <w:color w:val="000000" w:themeColor="text1"/>
                <w:sz w:val="24"/>
                <w:highlight w:val="none"/>
                <w:lang w:val="en-GB"/>
                <w14:textFill>
                  <w14:solidFill>
                    <w14:schemeClr w14:val="tx1"/>
                  </w14:solidFill>
                </w14:textFill>
              </w:rPr>
            </w:pPr>
          </w:p>
        </w:tc>
        <w:tc>
          <w:tcPr>
            <w:tcW w:w="3811" w:type="dxa"/>
            <w:vAlign w:val="center"/>
          </w:tcPr>
          <w:p>
            <w:pPr>
              <w:pStyle w:val="39"/>
              <w:tabs>
                <w:tab w:val="left" w:pos="1260"/>
              </w:tabs>
              <w:jc w:val="center"/>
              <w:rPr>
                <w:rFonts w:ascii="宋体" w:hAnsi="宋体"/>
                <w:color w:val="000000" w:themeColor="text1"/>
                <w:sz w:val="24"/>
                <w:highlight w:val="none"/>
                <w:lang w:val="en-GB"/>
                <w14:textFill>
                  <w14:solidFill>
                    <w14:schemeClr w14:val="tx1"/>
                  </w14:solidFill>
                </w14:textFill>
              </w:rPr>
            </w:pPr>
          </w:p>
        </w:tc>
        <w:tc>
          <w:tcPr>
            <w:tcW w:w="1621" w:type="dxa"/>
            <w:vAlign w:val="center"/>
          </w:tcPr>
          <w:p>
            <w:pPr>
              <w:pStyle w:val="39"/>
              <w:tabs>
                <w:tab w:val="left" w:pos="1260"/>
              </w:tabs>
              <w:jc w:val="center"/>
              <w:rPr>
                <w:rFonts w:ascii="宋体" w:hAnsi="宋体"/>
                <w:color w:val="000000" w:themeColor="text1"/>
                <w:sz w:val="24"/>
                <w:highlight w:val="none"/>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15" w:type="dxa"/>
            <w:vMerge w:val="continue"/>
            <w:vAlign w:val="center"/>
          </w:tcPr>
          <w:p>
            <w:pPr>
              <w:pStyle w:val="39"/>
              <w:tabs>
                <w:tab w:val="left" w:pos="1260"/>
              </w:tabs>
              <w:jc w:val="center"/>
              <w:rPr>
                <w:rFonts w:ascii="宋体" w:hAnsi="宋体"/>
                <w:color w:val="000000" w:themeColor="text1"/>
                <w:sz w:val="24"/>
                <w:highlight w:val="none"/>
                <w:lang w:val="en-GB"/>
                <w14:textFill>
                  <w14:solidFill>
                    <w14:schemeClr w14:val="tx1"/>
                  </w14:solidFill>
                </w14:textFill>
              </w:rPr>
            </w:pPr>
          </w:p>
        </w:tc>
        <w:tc>
          <w:tcPr>
            <w:tcW w:w="6490" w:type="dxa"/>
            <w:gridSpan w:val="2"/>
            <w:vAlign w:val="center"/>
          </w:tcPr>
          <w:p>
            <w:pPr>
              <w:pStyle w:val="39"/>
              <w:tabs>
                <w:tab w:val="left" w:pos="1260"/>
              </w:tabs>
              <w:jc w:val="center"/>
              <w:rPr>
                <w:rFonts w:ascii="宋体" w:hAnsi="宋体"/>
                <w:color w:val="000000" w:themeColor="text1"/>
                <w:sz w:val="24"/>
                <w:highlight w:val="none"/>
                <w:lang w:val="en-GB"/>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小型、微型企业产品</w:t>
            </w:r>
            <w:r>
              <w:rPr>
                <w:rFonts w:hint="eastAsia" w:ascii="宋体" w:hAnsi="宋体"/>
                <w:color w:val="000000" w:themeColor="text1"/>
                <w:sz w:val="24"/>
                <w:highlight w:val="none"/>
                <w:lang w:val="en-GB"/>
                <w14:textFill>
                  <w14:solidFill>
                    <w14:schemeClr w14:val="tx1"/>
                  </w14:solidFill>
                </w14:textFill>
              </w:rPr>
              <w:t>金额合计（元）</w:t>
            </w:r>
          </w:p>
          <w:p>
            <w:pPr>
              <w:rPr>
                <w:color w:val="000000" w:themeColor="text1"/>
                <w:highlight w:val="none"/>
                <w14:textFill>
                  <w14:solidFill>
                    <w14:schemeClr w14:val="tx1"/>
                  </w14:solidFill>
                </w14:textFill>
              </w:rPr>
            </w:pPr>
          </w:p>
        </w:tc>
        <w:tc>
          <w:tcPr>
            <w:tcW w:w="1621" w:type="dxa"/>
            <w:vAlign w:val="center"/>
          </w:tcPr>
          <w:p>
            <w:pPr>
              <w:pStyle w:val="39"/>
              <w:tabs>
                <w:tab w:val="left" w:pos="1260"/>
              </w:tabs>
              <w:jc w:val="center"/>
              <w:rPr>
                <w:rFonts w:ascii="宋体" w:hAnsi="宋体"/>
                <w:color w:val="000000" w:themeColor="text1"/>
                <w:sz w:val="24"/>
                <w:highlight w:val="none"/>
                <w:lang w:val="en-GB"/>
                <w14:textFill>
                  <w14:solidFill>
                    <w14:schemeClr w14:val="tx1"/>
                  </w14:solidFill>
                </w14:textFill>
              </w:rPr>
            </w:pPr>
          </w:p>
        </w:tc>
      </w:tr>
    </w:tbl>
    <w:p>
      <w:pPr>
        <w:pStyle w:val="39"/>
        <w:spacing w:line="360" w:lineRule="auto"/>
        <w:rPr>
          <w:rFonts w:ascii="宋体" w:hAnsi="宋体"/>
          <w:color w:val="000000" w:themeColor="text1"/>
          <w:szCs w:val="21"/>
          <w:highlight w:val="none"/>
          <w:lang w:val="en-GB"/>
          <w14:textFill>
            <w14:solidFill>
              <w14:schemeClr w14:val="tx1"/>
            </w14:solidFill>
          </w14:textFill>
        </w:rPr>
      </w:pPr>
    </w:p>
    <w:p>
      <w:pPr>
        <w:pStyle w:val="39"/>
        <w:spacing w:line="360" w:lineRule="auto"/>
        <w:rPr>
          <w:rFonts w:ascii="宋体" w:hAnsi="宋体"/>
          <w:color w:val="000000" w:themeColor="text1"/>
          <w:szCs w:val="21"/>
          <w:highlight w:val="none"/>
          <w:lang w:val="en-GB"/>
          <w14:textFill>
            <w14:solidFill>
              <w14:schemeClr w14:val="tx1"/>
            </w14:solidFill>
          </w14:textFill>
        </w:rPr>
      </w:pPr>
      <w:r>
        <w:rPr>
          <w:rFonts w:hint="eastAsia" w:ascii="宋体" w:hAnsi="宋体"/>
          <w:color w:val="000000" w:themeColor="text1"/>
          <w:szCs w:val="21"/>
          <w:highlight w:val="none"/>
          <w:lang w:val="en-GB"/>
          <w14:textFill>
            <w14:solidFill>
              <w14:schemeClr w14:val="tx1"/>
            </w14:solidFill>
          </w14:textFill>
        </w:rPr>
        <w:t>填报要求：</w:t>
      </w:r>
    </w:p>
    <w:p>
      <w:pPr>
        <w:pStyle w:val="39"/>
        <w:widowControl/>
        <w:numPr>
          <w:ilvl w:val="0"/>
          <w:numId w:val="17"/>
        </w:numPr>
        <w:spacing w:line="360" w:lineRule="auto"/>
        <w:ind w:right="84" w:rightChars="40"/>
        <w:jc w:val="left"/>
        <w:rPr>
          <w:rFonts w:ascii="宋体" w:hAnsi="宋体"/>
          <w:color w:val="000000" w:themeColor="text1"/>
          <w:szCs w:val="21"/>
          <w:highlight w:val="none"/>
          <w:lang w:val="en-GB"/>
          <w14:textFill>
            <w14:solidFill>
              <w14:schemeClr w14:val="tx1"/>
            </w14:solidFill>
          </w14:textFill>
        </w:rPr>
      </w:pPr>
      <w:r>
        <w:rPr>
          <w:rFonts w:hint="eastAsia" w:ascii="宋体" w:hAnsi="宋体"/>
          <w:color w:val="000000" w:themeColor="text1"/>
          <w:szCs w:val="21"/>
          <w:highlight w:val="none"/>
          <w:lang w:val="en-GB"/>
          <w14:textFill>
            <w14:solidFill>
              <w14:schemeClr w14:val="tx1"/>
            </w14:solidFill>
          </w14:textFill>
        </w:rPr>
        <w:t>本表的产品名称、规格型号和注册商标、金额要与《报价明细表》一致。</w:t>
      </w:r>
    </w:p>
    <w:p>
      <w:pPr>
        <w:pStyle w:val="39"/>
        <w:widowControl/>
        <w:numPr>
          <w:ilvl w:val="0"/>
          <w:numId w:val="17"/>
        </w:numPr>
        <w:tabs>
          <w:tab w:val="left" w:pos="360"/>
        </w:tabs>
        <w:spacing w:line="360" w:lineRule="auto"/>
        <w:ind w:left="360" w:right="84" w:rightChars="40" w:hanging="360"/>
        <w:jc w:val="left"/>
        <w:rPr>
          <w:rFonts w:ascii="宋体" w:hAnsi="宋体"/>
          <w:color w:val="000000" w:themeColor="text1"/>
          <w:szCs w:val="21"/>
          <w:highlight w:val="none"/>
          <w:lang w:val="en-GB"/>
          <w14:textFill>
            <w14:solidFill>
              <w14:schemeClr w14:val="tx1"/>
            </w14:solidFill>
          </w14:textFill>
        </w:rPr>
      </w:pPr>
      <w:r>
        <w:rPr>
          <w:rFonts w:hint="eastAsia" w:ascii="宋体" w:hAnsi="宋体"/>
          <w:color w:val="000000" w:themeColor="text1"/>
          <w:szCs w:val="21"/>
          <w:highlight w:val="none"/>
          <w:lang w:val="en-GB"/>
          <w14:textFill>
            <w14:solidFill>
              <w14:schemeClr w14:val="tx1"/>
            </w14:solidFill>
          </w14:textFill>
        </w:rPr>
        <w:t>制造商为小型或微型企业时才需要填“制造商企业类型”栏，填写内容为“小型”或“微型”。</w:t>
      </w:r>
    </w:p>
    <w:p>
      <w:pPr>
        <w:pStyle w:val="39"/>
        <w:widowControl/>
        <w:numPr>
          <w:ilvl w:val="0"/>
          <w:numId w:val="17"/>
        </w:numPr>
        <w:spacing w:line="360" w:lineRule="auto"/>
        <w:ind w:right="84" w:rightChars="40"/>
        <w:jc w:val="left"/>
        <w:rPr>
          <w:rFonts w:ascii="宋体" w:hAnsi="宋体"/>
          <w:color w:val="000000" w:themeColor="text1"/>
          <w:szCs w:val="21"/>
          <w:highlight w:val="none"/>
          <w:lang w:val="en-GB"/>
          <w14:textFill>
            <w14:solidFill>
              <w14:schemeClr w14:val="tx1"/>
            </w14:solidFill>
          </w14:textFill>
        </w:rPr>
      </w:pPr>
      <w:r>
        <w:rPr>
          <w:rFonts w:hint="eastAsia" w:ascii="宋体" w:hAnsi="宋体"/>
          <w:color w:val="000000" w:themeColor="text1"/>
          <w:szCs w:val="21"/>
          <w:highlight w:val="none"/>
          <w:lang w:val="en-GB"/>
          <w14:textFill>
            <w14:solidFill>
              <w14:schemeClr w14:val="tx1"/>
            </w14:solidFill>
          </w14:textFill>
        </w:rPr>
        <w:t>请投标人正确填写本表，所填内容将作为评分依据（以“小型、微型企业产品金额合计”为准进行价格折扣，表中所填内容必须与政府采购优惠政策需提供的相关资料相符，如出现不相符或提供资料不全的，该小型、微型企业产品合计金额将不予以享受小微企业扶持政策优惠）。</w:t>
      </w:r>
    </w:p>
    <w:p>
      <w:pPr>
        <w:tabs>
          <w:tab w:val="left" w:pos="1418"/>
        </w:tabs>
        <w:autoSpaceDE w:val="0"/>
        <w:autoSpaceDN w:val="0"/>
        <w:adjustRightInd w:val="0"/>
        <w:spacing w:line="360" w:lineRule="auto"/>
        <w:ind w:firstLine="480" w:firstLineChars="200"/>
        <w:rPr>
          <w:rFonts w:ascii="宋体"/>
          <w:color w:val="000000" w:themeColor="text1"/>
          <w:kern w:val="0"/>
          <w:sz w:val="24"/>
          <w:highlight w:val="none"/>
          <w:lang w:val="en-GB"/>
          <w14:textFill>
            <w14:solidFill>
              <w14:schemeClr w14:val="tx1"/>
            </w14:solidFill>
          </w14:textFill>
        </w:rPr>
      </w:pPr>
    </w:p>
    <w:p>
      <w:pPr>
        <w:rPr>
          <w:color w:val="000000" w:themeColor="text1"/>
          <w:highlight w:val="none"/>
          <w14:textFill>
            <w14:solidFill>
              <w14:schemeClr w14:val="tx1"/>
            </w14:solidFill>
          </w14:textFill>
        </w:rPr>
      </w:pPr>
    </w:p>
    <w:p>
      <w:pPr>
        <w:snapToGrid w:val="0"/>
        <w:spacing w:line="360" w:lineRule="auto"/>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0002A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Helvetica Neue">
    <w:altName w:val="Segoe UI"/>
    <w:panose1 w:val="00000000000000000000"/>
    <w:charset w:val="00"/>
    <w:family w:val="auto"/>
    <w:pitch w:val="default"/>
    <w:sig w:usb0="00000000" w:usb1="00000000" w:usb2="00000010" w:usb3="00000000" w:csb0="00000000"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魏碑简体">
    <w:altName w:val="微软雅黑"/>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74</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1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74</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14:textFill>
          <w14:solidFill>
            <w14:schemeClr w14:val="tx1"/>
          </w14:solidFill>
        </w14:textFill>
      </w:rPr>
      <w:t xml:space="preserve">玉环市政府采购招标文件                                                                     </w:t>
    </w:r>
  </w:p>
  <w:p>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236BD6"/>
    <w:multiLevelType w:val="singleLevel"/>
    <w:tmpl w:val="82236BD6"/>
    <w:lvl w:ilvl="0" w:tentative="0">
      <w:start w:val="1"/>
      <w:numFmt w:val="decimal"/>
      <w:suff w:val="nothing"/>
      <w:lvlText w:val="%1、"/>
      <w:lvlJc w:val="left"/>
    </w:lvl>
  </w:abstractNum>
  <w:abstractNum w:abstractNumId="1">
    <w:nsid w:val="AE2D8F7B"/>
    <w:multiLevelType w:val="singleLevel"/>
    <w:tmpl w:val="AE2D8F7B"/>
    <w:lvl w:ilvl="0" w:tentative="0">
      <w:start w:val="1"/>
      <w:numFmt w:val="decimal"/>
      <w:pStyle w:val="8"/>
      <w:lvlText w:val="%1."/>
      <w:lvlJc w:val="left"/>
      <w:pPr>
        <w:tabs>
          <w:tab w:val="left" w:pos="360"/>
        </w:tabs>
        <w:ind w:left="360" w:hanging="360"/>
      </w:pPr>
    </w:lvl>
  </w:abstractNum>
  <w:abstractNum w:abstractNumId="2">
    <w:nsid w:val="AF3E1766"/>
    <w:multiLevelType w:val="singleLevel"/>
    <w:tmpl w:val="AF3E1766"/>
    <w:lvl w:ilvl="0" w:tentative="0">
      <w:start w:val="1"/>
      <w:numFmt w:val="decimal"/>
      <w:suff w:val="nothing"/>
      <w:lvlText w:val="（%1）"/>
      <w:lvlJc w:val="left"/>
    </w:lvl>
  </w:abstractNum>
  <w:abstractNum w:abstractNumId="3">
    <w:nsid w:val="C8A3F0D0"/>
    <w:multiLevelType w:val="singleLevel"/>
    <w:tmpl w:val="C8A3F0D0"/>
    <w:lvl w:ilvl="0" w:tentative="0">
      <w:start w:val="2"/>
      <w:numFmt w:val="chineseCounting"/>
      <w:suff w:val="nothing"/>
      <w:lvlText w:val="（%1）"/>
      <w:lvlJc w:val="left"/>
      <w:pPr>
        <w:ind w:left="140" w:firstLine="0"/>
      </w:pPr>
      <w:rPr>
        <w:rFonts w:hint="eastAsia"/>
      </w:rPr>
    </w:lvl>
  </w:abstractNum>
  <w:abstractNum w:abstractNumId="4">
    <w:nsid w:val="C9E911BC"/>
    <w:multiLevelType w:val="multilevel"/>
    <w:tmpl w:val="C9E911BC"/>
    <w:lvl w:ilvl="0" w:tentative="0">
      <w:start w:val="5"/>
      <w:numFmt w:val="decimal"/>
      <w:lvlText w:val="%1"/>
      <w:lvlJc w:val="left"/>
      <w:pPr>
        <w:ind w:left="432" w:hanging="432"/>
      </w:pPr>
      <w:rPr>
        <w:rFonts w:hint="default" w:ascii="宋体" w:hAnsi="宋体" w:eastAsia="宋体" w:cs="宋体"/>
      </w:rPr>
    </w:lvl>
    <w:lvl w:ilvl="1" w:tentative="0">
      <w:start w:val="2"/>
      <w:numFmt w:val="decimal"/>
      <w:lvlText w:val="%1.%2"/>
      <w:lvlJc w:val="left"/>
      <w:pPr>
        <w:ind w:left="576" w:hanging="576"/>
      </w:pPr>
      <w:rPr>
        <w:rFonts w:hint="default" w:ascii="宋体" w:hAnsi="宋体" w:eastAsia="宋体" w:cs="宋体"/>
      </w:rPr>
    </w:lvl>
    <w:lvl w:ilvl="2" w:tentative="0">
      <w:start w:val="1"/>
      <w:numFmt w:val="decimal"/>
      <w:lvlText w:val="%1.%2.%3"/>
      <w:lvlJc w:val="left"/>
      <w:pPr>
        <w:ind w:left="720" w:hanging="720"/>
      </w:pPr>
    </w:lvl>
    <w:lvl w:ilvl="3" w:tentative="0">
      <w:start w:val="1"/>
      <w:numFmt w:val="decimal"/>
      <w:pStyle w:val="7"/>
      <w:lvlText w:val="%1.%2.%3.%4"/>
      <w:lvlJc w:val="left"/>
      <w:pPr>
        <w:ind w:left="864" w:hanging="864"/>
      </w:pPr>
      <w:rPr>
        <w:rFonts w:hint="default"/>
      </w:r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5">
    <w:nsid w:val="D6A67E4A"/>
    <w:multiLevelType w:val="singleLevel"/>
    <w:tmpl w:val="D6A67E4A"/>
    <w:lvl w:ilvl="0" w:tentative="0">
      <w:start w:val="1"/>
      <w:numFmt w:val="decimal"/>
      <w:lvlText w:val="%1)"/>
      <w:lvlJc w:val="left"/>
      <w:pPr>
        <w:ind w:left="425" w:hanging="425"/>
      </w:pPr>
      <w:rPr>
        <w:rFonts w:hint="default"/>
      </w:rPr>
    </w:lvl>
  </w:abstractNum>
  <w:abstractNum w:abstractNumId="6">
    <w:nsid w:val="E9A922FA"/>
    <w:multiLevelType w:val="singleLevel"/>
    <w:tmpl w:val="E9A922FA"/>
    <w:lvl w:ilvl="0" w:tentative="0">
      <w:start w:val="1"/>
      <w:numFmt w:val="lowerLetter"/>
      <w:lvlText w:val="%1."/>
      <w:lvlJc w:val="left"/>
      <w:pPr>
        <w:ind w:left="425" w:hanging="425"/>
      </w:pPr>
      <w:rPr>
        <w:rFonts w:hint="default"/>
      </w:rPr>
    </w:lvl>
  </w:abstractNum>
  <w:abstractNum w:abstractNumId="7">
    <w:nsid w:val="02720550"/>
    <w:multiLevelType w:val="multilevel"/>
    <w:tmpl w:val="02720550"/>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24EA6EAF"/>
    <w:multiLevelType w:val="multilevel"/>
    <w:tmpl w:val="24EA6EAF"/>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9">
    <w:nsid w:val="43C23E9B"/>
    <w:multiLevelType w:val="multilevel"/>
    <w:tmpl w:val="43C23E9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61E5E94"/>
    <w:multiLevelType w:val="singleLevel"/>
    <w:tmpl w:val="461E5E94"/>
    <w:lvl w:ilvl="0" w:tentative="0">
      <w:start w:val="2"/>
      <w:numFmt w:val="chineseCounting"/>
      <w:suff w:val="space"/>
      <w:lvlText w:val="第%1章"/>
      <w:lvlJc w:val="left"/>
      <w:rPr>
        <w:rFonts w:hint="eastAsia"/>
      </w:rPr>
    </w:lvl>
  </w:abstractNum>
  <w:abstractNum w:abstractNumId="11">
    <w:nsid w:val="46F031AA"/>
    <w:multiLevelType w:val="multilevel"/>
    <w:tmpl w:val="46F031A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471E06A1"/>
    <w:multiLevelType w:val="singleLevel"/>
    <w:tmpl w:val="471E06A1"/>
    <w:lvl w:ilvl="0" w:tentative="0">
      <w:start w:val="1"/>
      <w:numFmt w:val="japaneseCounting"/>
      <w:lvlText w:val="%1、"/>
      <w:lvlJc w:val="left"/>
      <w:pPr>
        <w:tabs>
          <w:tab w:val="left" w:pos="960"/>
        </w:tabs>
        <w:ind w:left="960" w:hanging="600"/>
      </w:pPr>
      <w:rPr>
        <w:rFonts w:hint="eastAsia"/>
      </w:rPr>
    </w:lvl>
  </w:abstractNum>
  <w:abstractNum w:abstractNumId="13">
    <w:nsid w:val="4D091631"/>
    <w:multiLevelType w:val="multilevel"/>
    <w:tmpl w:val="4D091631"/>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4">
    <w:nsid w:val="4ED1663D"/>
    <w:multiLevelType w:val="multilevel"/>
    <w:tmpl w:val="4ED1663D"/>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5">
    <w:nsid w:val="6E6F6101"/>
    <w:multiLevelType w:val="multilevel"/>
    <w:tmpl w:val="6E6F6101"/>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4"/>
        </w:tabs>
        <w:ind w:left="-4" w:hanging="420"/>
      </w:pPr>
    </w:lvl>
    <w:lvl w:ilvl="2" w:tentative="0">
      <w:start w:val="1"/>
      <w:numFmt w:val="lowerRoman"/>
      <w:lvlText w:val="%3."/>
      <w:lvlJc w:val="right"/>
      <w:pPr>
        <w:tabs>
          <w:tab w:val="left" w:pos="416"/>
        </w:tabs>
        <w:ind w:left="416" w:hanging="420"/>
      </w:pPr>
    </w:lvl>
    <w:lvl w:ilvl="3" w:tentative="0">
      <w:start w:val="1"/>
      <w:numFmt w:val="decimal"/>
      <w:lvlText w:val="%4."/>
      <w:lvlJc w:val="left"/>
      <w:pPr>
        <w:tabs>
          <w:tab w:val="left" w:pos="836"/>
        </w:tabs>
        <w:ind w:left="836" w:hanging="420"/>
      </w:pPr>
    </w:lvl>
    <w:lvl w:ilvl="4" w:tentative="0">
      <w:start w:val="1"/>
      <w:numFmt w:val="lowerLetter"/>
      <w:lvlText w:val="%5)"/>
      <w:lvlJc w:val="left"/>
      <w:pPr>
        <w:tabs>
          <w:tab w:val="left" w:pos="1256"/>
        </w:tabs>
        <w:ind w:left="1256" w:hanging="420"/>
      </w:pPr>
    </w:lvl>
    <w:lvl w:ilvl="5" w:tentative="0">
      <w:start w:val="1"/>
      <w:numFmt w:val="lowerRoman"/>
      <w:lvlText w:val="%6."/>
      <w:lvlJc w:val="right"/>
      <w:pPr>
        <w:tabs>
          <w:tab w:val="left" w:pos="1676"/>
        </w:tabs>
        <w:ind w:left="1676" w:hanging="420"/>
      </w:pPr>
    </w:lvl>
    <w:lvl w:ilvl="6" w:tentative="0">
      <w:start w:val="1"/>
      <w:numFmt w:val="decimal"/>
      <w:lvlText w:val="%7."/>
      <w:lvlJc w:val="left"/>
      <w:pPr>
        <w:tabs>
          <w:tab w:val="left" w:pos="2096"/>
        </w:tabs>
        <w:ind w:left="2096" w:hanging="420"/>
      </w:pPr>
    </w:lvl>
    <w:lvl w:ilvl="7" w:tentative="0">
      <w:start w:val="1"/>
      <w:numFmt w:val="lowerLetter"/>
      <w:lvlText w:val="%8)"/>
      <w:lvlJc w:val="left"/>
      <w:pPr>
        <w:tabs>
          <w:tab w:val="left" w:pos="2516"/>
        </w:tabs>
        <w:ind w:left="2516" w:hanging="420"/>
      </w:pPr>
    </w:lvl>
    <w:lvl w:ilvl="8" w:tentative="0">
      <w:start w:val="1"/>
      <w:numFmt w:val="lowerRoman"/>
      <w:lvlText w:val="%9."/>
      <w:lvlJc w:val="right"/>
      <w:pPr>
        <w:tabs>
          <w:tab w:val="left" w:pos="2936"/>
        </w:tabs>
        <w:ind w:left="2936" w:hanging="420"/>
      </w:pPr>
    </w:lvl>
  </w:abstractNum>
  <w:abstractNum w:abstractNumId="16">
    <w:nsid w:val="731D7346"/>
    <w:multiLevelType w:val="multilevel"/>
    <w:tmpl w:val="731D7346"/>
    <w:lvl w:ilvl="0" w:tentative="0">
      <w:start w:val="1"/>
      <w:numFmt w:val="decimal"/>
      <w:suff w:val="nothing"/>
      <w:lvlText w:val="（%1）"/>
      <w:lvlJc w:val="left"/>
    </w:lvl>
    <w:lvl w:ilvl="1" w:tentative="0">
      <w:start w:val="1"/>
      <w:numFmt w:val="lowerLetter"/>
      <w:lvlText w:val="%2)"/>
      <w:lvlJc w:val="left"/>
      <w:pPr>
        <w:tabs>
          <w:tab w:val="left" w:pos="982"/>
        </w:tabs>
        <w:ind w:left="982" w:hanging="420"/>
      </w:pPr>
    </w:lvl>
    <w:lvl w:ilvl="2" w:tentative="0">
      <w:start w:val="1"/>
      <w:numFmt w:val="lowerRoman"/>
      <w:lvlText w:val="%3."/>
      <w:lvlJc w:val="right"/>
      <w:pPr>
        <w:tabs>
          <w:tab w:val="left" w:pos="1402"/>
        </w:tabs>
        <w:ind w:left="1402" w:hanging="420"/>
      </w:pPr>
    </w:lvl>
    <w:lvl w:ilvl="3" w:tentative="0">
      <w:start w:val="1"/>
      <w:numFmt w:val="decimal"/>
      <w:lvlText w:val="%4."/>
      <w:lvlJc w:val="left"/>
      <w:pPr>
        <w:tabs>
          <w:tab w:val="left" w:pos="1822"/>
        </w:tabs>
        <w:ind w:left="1822" w:hanging="420"/>
      </w:pPr>
    </w:lvl>
    <w:lvl w:ilvl="4" w:tentative="0">
      <w:start w:val="1"/>
      <w:numFmt w:val="lowerLetter"/>
      <w:lvlText w:val="%5)"/>
      <w:lvlJc w:val="left"/>
      <w:pPr>
        <w:tabs>
          <w:tab w:val="left" w:pos="2242"/>
        </w:tabs>
        <w:ind w:left="2242" w:hanging="420"/>
      </w:pPr>
    </w:lvl>
    <w:lvl w:ilvl="5" w:tentative="0">
      <w:start w:val="1"/>
      <w:numFmt w:val="lowerRoman"/>
      <w:lvlText w:val="%6."/>
      <w:lvlJc w:val="right"/>
      <w:pPr>
        <w:tabs>
          <w:tab w:val="left" w:pos="2662"/>
        </w:tabs>
        <w:ind w:left="2662" w:hanging="420"/>
      </w:pPr>
    </w:lvl>
    <w:lvl w:ilvl="6" w:tentative="0">
      <w:start w:val="1"/>
      <w:numFmt w:val="decimal"/>
      <w:lvlText w:val="%7."/>
      <w:lvlJc w:val="left"/>
      <w:pPr>
        <w:tabs>
          <w:tab w:val="left" w:pos="3082"/>
        </w:tabs>
        <w:ind w:left="3082" w:hanging="420"/>
      </w:pPr>
    </w:lvl>
    <w:lvl w:ilvl="7" w:tentative="0">
      <w:start w:val="1"/>
      <w:numFmt w:val="lowerLetter"/>
      <w:lvlText w:val="%8)"/>
      <w:lvlJc w:val="left"/>
      <w:pPr>
        <w:tabs>
          <w:tab w:val="left" w:pos="3502"/>
        </w:tabs>
        <w:ind w:left="3502" w:hanging="420"/>
      </w:pPr>
    </w:lvl>
    <w:lvl w:ilvl="8" w:tentative="0">
      <w:start w:val="1"/>
      <w:numFmt w:val="lowerRoman"/>
      <w:lvlText w:val="%9."/>
      <w:lvlJc w:val="right"/>
      <w:pPr>
        <w:tabs>
          <w:tab w:val="left" w:pos="3922"/>
        </w:tabs>
        <w:ind w:left="3922" w:hanging="420"/>
      </w:pPr>
    </w:lvl>
  </w:abstractNum>
  <w:num w:numId="1">
    <w:abstractNumId w:val="4"/>
  </w:num>
  <w:num w:numId="2">
    <w:abstractNumId w:val="1"/>
  </w:num>
  <w:num w:numId="3">
    <w:abstractNumId w:val="12"/>
  </w:num>
  <w:num w:numId="4">
    <w:abstractNumId w:val="10"/>
  </w:num>
  <w:num w:numId="5">
    <w:abstractNumId w:val="2"/>
  </w:num>
  <w:num w:numId="6">
    <w:abstractNumId w:val="3"/>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5"/>
  </w:num>
  <w:num w:numId="10">
    <w:abstractNumId w:val="11"/>
  </w:num>
  <w:num w:numId="11">
    <w:abstractNumId w:val="7"/>
  </w:num>
  <w:num w:numId="12">
    <w:abstractNumId w:val="14"/>
  </w:num>
  <w:num w:numId="13">
    <w:abstractNumId w:val="13"/>
  </w:num>
  <w:num w:numId="14">
    <w:abstractNumId w:val="8"/>
  </w:num>
  <w:num w:numId="15">
    <w:abstractNumId w:val="6"/>
  </w:num>
  <w:num w:numId="16">
    <w:abstractNumId w:val="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970358"/>
    <w:rsid w:val="00014C32"/>
    <w:rsid w:val="00020CF4"/>
    <w:rsid w:val="00056E13"/>
    <w:rsid w:val="0006294D"/>
    <w:rsid w:val="00062AB3"/>
    <w:rsid w:val="000C78BE"/>
    <w:rsid w:val="00107BF6"/>
    <w:rsid w:val="00152BB6"/>
    <w:rsid w:val="00165F2A"/>
    <w:rsid w:val="001B0E76"/>
    <w:rsid w:val="001B1B4A"/>
    <w:rsid w:val="00201D62"/>
    <w:rsid w:val="0021318F"/>
    <w:rsid w:val="00223C3F"/>
    <w:rsid w:val="00246D82"/>
    <w:rsid w:val="002701A5"/>
    <w:rsid w:val="002A1620"/>
    <w:rsid w:val="002A356A"/>
    <w:rsid w:val="002E2F0E"/>
    <w:rsid w:val="00302FF0"/>
    <w:rsid w:val="003102FB"/>
    <w:rsid w:val="0031368C"/>
    <w:rsid w:val="00332E30"/>
    <w:rsid w:val="0033650E"/>
    <w:rsid w:val="00354B73"/>
    <w:rsid w:val="00365C21"/>
    <w:rsid w:val="003852C4"/>
    <w:rsid w:val="003C0E5B"/>
    <w:rsid w:val="003C5E00"/>
    <w:rsid w:val="003D660F"/>
    <w:rsid w:val="003F41FB"/>
    <w:rsid w:val="003F595C"/>
    <w:rsid w:val="003F78E0"/>
    <w:rsid w:val="00402DCB"/>
    <w:rsid w:val="00407372"/>
    <w:rsid w:val="00441FAE"/>
    <w:rsid w:val="004468A9"/>
    <w:rsid w:val="00446CEF"/>
    <w:rsid w:val="004827C7"/>
    <w:rsid w:val="00491BDF"/>
    <w:rsid w:val="00497637"/>
    <w:rsid w:val="004A3EC2"/>
    <w:rsid w:val="004B4165"/>
    <w:rsid w:val="004B47B2"/>
    <w:rsid w:val="004E541A"/>
    <w:rsid w:val="00523202"/>
    <w:rsid w:val="005B1009"/>
    <w:rsid w:val="00603FCF"/>
    <w:rsid w:val="00616E31"/>
    <w:rsid w:val="00655E3C"/>
    <w:rsid w:val="00674C42"/>
    <w:rsid w:val="006931AF"/>
    <w:rsid w:val="006B698C"/>
    <w:rsid w:val="006C2D2E"/>
    <w:rsid w:val="006C5304"/>
    <w:rsid w:val="006E1954"/>
    <w:rsid w:val="006F4DFE"/>
    <w:rsid w:val="007425BE"/>
    <w:rsid w:val="00765B9F"/>
    <w:rsid w:val="00766F25"/>
    <w:rsid w:val="007A2629"/>
    <w:rsid w:val="007C1005"/>
    <w:rsid w:val="007E3B68"/>
    <w:rsid w:val="00802325"/>
    <w:rsid w:val="00817ABE"/>
    <w:rsid w:val="00831D9F"/>
    <w:rsid w:val="00841319"/>
    <w:rsid w:val="00847BE5"/>
    <w:rsid w:val="0088066B"/>
    <w:rsid w:val="008F1203"/>
    <w:rsid w:val="009020DD"/>
    <w:rsid w:val="00912983"/>
    <w:rsid w:val="0093093F"/>
    <w:rsid w:val="00933887"/>
    <w:rsid w:val="00962FB7"/>
    <w:rsid w:val="00990D80"/>
    <w:rsid w:val="009A482D"/>
    <w:rsid w:val="009B3E22"/>
    <w:rsid w:val="009F3459"/>
    <w:rsid w:val="00A1633F"/>
    <w:rsid w:val="00A30B75"/>
    <w:rsid w:val="00A730CA"/>
    <w:rsid w:val="00A80AB5"/>
    <w:rsid w:val="00AF0803"/>
    <w:rsid w:val="00B047E0"/>
    <w:rsid w:val="00B244A6"/>
    <w:rsid w:val="00B42F4C"/>
    <w:rsid w:val="00BF4316"/>
    <w:rsid w:val="00BF5473"/>
    <w:rsid w:val="00C039E7"/>
    <w:rsid w:val="00C05497"/>
    <w:rsid w:val="00C52E14"/>
    <w:rsid w:val="00C56966"/>
    <w:rsid w:val="00C71663"/>
    <w:rsid w:val="00C767D4"/>
    <w:rsid w:val="00C9658F"/>
    <w:rsid w:val="00CB41A8"/>
    <w:rsid w:val="00CC232E"/>
    <w:rsid w:val="00CD1804"/>
    <w:rsid w:val="00CD7B4B"/>
    <w:rsid w:val="00D80412"/>
    <w:rsid w:val="00DC674C"/>
    <w:rsid w:val="00E25FD1"/>
    <w:rsid w:val="00E319E7"/>
    <w:rsid w:val="00E33A3C"/>
    <w:rsid w:val="00EF2797"/>
    <w:rsid w:val="00EF3931"/>
    <w:rsid w:val="00F127FF"/>
    <w:rsid w:val="00F145C4"/>
    <w:rsid w:val="00F508A1"/>
    <w:rsid w:val="00F67482"/>
    <w:rsid w:val="00F75D85"/>
    <w:rsid w:val="00F802E1"/>
    <w:rsid w:val="00FD1E2F"/>
    <w:rsid w:val="01442D25"/>
    <w:rsid w:val="01681247"/>
    <w:rsid w:val="01721463"/>
    <w:rsid w:val="01935887"/>
    <w:rsid w:val="04627C34"/>
    <w:rsid w:val="04C97D25"/>
    <w:rsid w:val="04CC341D"/>
    <w:rsid w:val="05137CD7"/>
    <w:rsid w:val="05A34781"/>
    <w:rsid w:val="060B26E0"/>
    <w:rsid w:val="0683403F"/>
    <w:rsid w:val="06BF3B4A"/>
    <w:rsid w:val="0A1D1775"/>
    <w:rsid w:val="0A3C35E4"/>
    <w:rsid w:val="0A9413BB"/>
    <w:rsid w:val="0B1176AA"/>
    <w:rsid w:val="0B72008D"/>
    <w:rsid w:val="0B7C3852"/>
    <w:rsid w:val="0C1E2BA0"/>
    <w:rsid w:val="0C3B464F"/>
    <w:rsid w:val="0C765CB2"/>
    <w:rsid w:val="0C8B23DA"/>
    <w:rsid w:val="0D4D34AB"/>
    <w:rsid w:val="0D555A8C"/>
    <w:rsid w:val="0DC04159"/>
    <w:rsid w:val="0DE910D3"/>
    <w:rsid w:val="0E0129F8"/>
    <w:rsid w:val="0E6B7A49"/>
    <w:rsid w:val="0E962318"/>
    <w:rsid w:val="0E970358"/>
    <w:rsid w:val="0F7915AB"/>
    <w:rsid w:val="0F827EBB"/>
    <w:rsid w:val="0F8D05C0"/>
    <w:rsid w:val="10392EAE"/>
    <w:rsid w:val="10706EC2"/>
    <w:rsid w:val="116432EC"/>
    <w:rsid w:val="116A1966"/>
    <w:rsid w:val="12807280"/>
    <w:rsid w:val="12BE052F"/>
    <w:rsid w:val="130F7634"/>
    <w:rsid w:val="13A74261"/>
    <w:rsid w:val="145E21AB"/>
    <w:rsid w:val="147E1A85"/>
    <w:rsid w:val="148463E6"/>
    <w:rsid w:val="14D20D9B"/>
    <w:rsid w:val="15A72BED"/>
    <w:rsid w:val="1621170E"/>
    <w:rsid w:val="16892201"/>
    <w:rsid w:val="16CF0600"/>
    <w:rsid w:val="16D57015"/>
    <w:rsid w:val="17BF281D"/>
    <w:rsid w:val="18B91D2B"/>
    <w:rsid w:val="18C40414"/>
    <w:rsid w:val="19D40A69"/>
    <w:rsid w:val="1A6A6D44"/>
    <w:rsid w:val="1A817123"/>
    <w:rsid w:val="1C093ECB"/>
    <w:rsid w:val="1C946AE7"/>
    <w:rsid w:val="1CE4433A"/>
    <w:rsid w:val="1DF97995"/>
    <w:rsid w:val="1E2B64F6"/>
    <w:rsid w:val="1ED93860"/>
    <w:rsid w:val="1EE84AA8"/>
    <w:rsid w:val="1FE9552B"/>
    <w:rsid w:val="204B1784"/>
    <w:rsid w:val="222E6135"/>
    <w:rsid w:val="228447E5"/>
    <w:rsid w:val="229A51E1"/>
    <w:rsid w:val="23424F53"/>
    <w:rsid w:val="236E14E2"/>
    <w:rsid w:val="237F7031"/>
    <w:rsid w:val="23F37401"/>
    <w:rsid w:val="24141754"/>
    <w:rsid w:val="24674E48"/>
    <w:rsid w:val="253A0698"/>
    <w:rsid w:val="272B3C43"/>
    <w:rsid w:val="27305942"/>
    <w:rsid w:val="28A26B4B"/>
    <w:rsid w:val="299F0951"/>
    <w:rsid w:val="29D148D0"/>
    <w:rsid w:val="29E019D7"/>
    <w:rsid w:val="2A134D59"/>
    <w:rsid w:val="2A2F4781"/>
    <w:rsid w:val="2ABB329E"/>
    <w:rsid w:val="2AC803DC"/>
    <w:rsid w:val="2B602C29"/>
    <w:rsid w:val="2D1A1B23"/>
    <w:rsid w:val="2D1E5F93"/>
    <w:rsid w:val="2D2F3216"/>
    <w:rsid w:val="2D77494B"/>
    <w:rsid w:val="2E094BE9"/>
    <w:rsid w:val="2EC06BC5"/>
    <w:rsid w:val="2ED92E47"/>
    <w:rsid w:val="2F3C1ACD"/>
    <w:rsid w:val="30143D85"/>
    <w:rsid w:val="30817394"/>
    <w:rsid w:val="31155BCD"/>
    <w:rsid w:val="31752B09"/>
    <w:rsid w:val="3327083F"/>
    <w:rsid w:val="33A843CF"/>
    <w:rsid w:val="33D3510B"/>
    <w:rsid w:val="341548E3"/>
    <w:rsid w:val="357E5B7F"/>
    <w:rsid w:val="35B06001"/>
    <w:rsid w:val="35F2383D"/>
    <w:rsid w:val="374B7290"/>
    <w:rsid w:val="37712A39"/>
    <w:rsid w:val="37D10022"/>
    <w:rsid w:val="37E328DB"/>
    <w:rsid w:val="396D30E0"/>
    <w:rsid w:val="3992672C"/>
    <w:rsid w:val="3A08034C"/>
    <w:rsid w:val="3AE50133"/>
    <w:rsid w:val="3B345EA5"/>
    <w:rsid w:val="3B701466"/>
    <w:rsid w:val="3B82520F"/>
    <w:rsid w:val="3BC37B29"/>
    <w:rsid w:val="3BF97300"/>
    <w:rsid w:val="3C0D5E4E"/>
    <w:rsid w:val="3CC7423F"/>
    <w:rsid w:val="3D620B01"/>
    <w:rsid w:val="3DB531EC"/>
    <w:rsid w:val="3EDE6904"/>
    <w:rsid w:val="3F311D84"/>
    <w:rsid w:val="3FA92CF0"/>
    <w:rsid w:val="3FCA700F"/>
    <w:rsid w:val="40036219"/>
    <w:rsid w:val="404F774F"/>
    <w:rsid w:val="4111238D"/>
    <w:rsid w:val="41CC593F"/>
    <w:rsid w:val="42374068"/>
    <w:rsid w:val="43036342"/>
    <w:rsid w:val="437D7970"/>
    <w:rsid w:val="44427E46"/>
    <w:rsid w:val="4563730C"/>
    <w:rsid w:val="45953AB9"/>
    <w:rsid w:val="468252AC"/>
    <w:rsid w:val="46BB3F0A"/>
    <w:rsid w:val="47194AF5"/>
    <w:rsid w:val="474C378A"/>
    <w:rsid w:val="47655246"/>
    <w:rsid w:val="47AF47A3"/>
    <w:rsid w:val="48694FA0"/>
    <w:rsid w:val="48831B30"/>
    <w:rsid w:val="488E768B"/>
    <w:rsid w:val="48C64B86"/>
    <w:rsid w:val="491023AE"/>
    <w:rsid w:val="49F41D5E"/>
    <w:rsid w:val="4AFC3E82"/>
    <w:rsid w:val="4B1E31F7"/>
    <w:rsid w:val="4BCB3573"/>
    <w:rsid w:val="4C0D6804"/>
    <w:rsid w:val="4CAA1EFA"/>
    <w:rsid w:val="4CE75373"/>
    <w:rsid w:val="4D903A6C"/>
    <w:rsid w:val="4E794ECA"/>
    <w:rsid w:val="50B760BB"/>
    <w:rsid w:val="50D3795F"/>
    <w:rsid w:val="510228F1"/>
    <w:rsid w:val="51224C27"/>
    <w:rsid w:val="51D661B5"/>
    <w:rsid w:val="52886ABE"/>
    <w:rsid w:val="52BA74D0"/>
    <w:rsid w:val="52E91149"/>
    <w:rsid w:val="539007DF"/>
    <w:rsid w:val="55B473D3"/>
    <w:rsid w:val="566D4B95"/>
    <w:rsid w:val="572656D4"/>
    <w:rsid w:val="5775719B"/>
    <w:rsid w:val="57A83A49"/>
    <w:rsid w:val="57C76539"/>
    <w:rsid w:val="584D5941"/>
    <w:rsid w:val="587D4D9D"/>
    <w:rsid w:val="597435B6"/>
    <w:rsid w:val="59AD06A4"/>
    <w:rsid w:val="5A0F7A45"/>
    <w:rsid w:val="5A4D586D"/>
    <w:rsid w:val="5A6249B0"/>
    <w:rsid w:val="5CBD0C79"/>
    <w:rsid w:val="5CD51AF4"/>
    <w:rsid w:val="5E3F3D36"/>
    <w:rsid w:val="5EE84C68"/>
    <w:rsid w:val="5F2A1866"/>
    <w:rsid w:val="5FF44B1E"/>
    <w:rsid w:val="60727A7D"/>
    <w:rsid w:val="609C1A8F"/>
    <w:rsid w:val="61036611"/>
    <w:rsid w:val="6146107F"/>
    <w:rsid w:val="61531F5E"/>
    <w:rsid w:val="61BC2082"/>
    <w:rsid w:val="621D5BA4"/>
    <w:rsid w:val="622E1665"/>
    <w:rsid w:val="630E4E02"/>
    <w:rsid w:val="635B6748"/>
    <w:rsid w:val="63947A95"/>
    <w:rsid w:val="648E5D7C"/>
    <w:rsid w:val="64915AFF"/>
    <w:rsid w:val="65C500C3"/>
    <w:rsid w:val="66481174"/>
    <w:rsid w:val="669C7768"/>
    <w:rsid w:val="67AD4A5F"/>
    <w:rsid w:val="67B167D1"/>
    <w:rsid w:val="685F1C50"/>
    <w:rsid w:val="68B777C9"/>
    <w:rsid w:val="699022E9"/>
    <w:rsid w:val="69AE4278"/>
    <w:rsid w:val="6A3A0573"/>
    <w:rsid w:val="6A714498"/>
    <w:rsid w:val="6BBA43D3"/>
    <w:rsid w:val="6DD54434"/>
    <w:rsid w:val="6FAC1718"/>
    <w:rsid w:val="71250A77"/>
    <w:rsid w:val="7142277E"/>
    <w:rsid w:val="718F08DC"/>
    <w:rsid w:val="736868C1"/>
    <w:rsid w:val="745919C6"/>
    <w:rsid w:val="74702A9A"/>
    <w:rsid w:val="749F5BB6"/>
    <w:rsid w:val="75977D4F"/>
    <w:rsid w:val="75BF7F42"/>
    <w:rsid w:val="75EA3666"/>
    <w:rsid w:val="761C2BBB"/>
    <w:rsid w:val="762D07FC"/>
    <w:rsid w:val="76480434"/>
    <w:rsid w:val="76577B88"/>
    <w:rsid w:val="776A1DE8"/>
    <w:rsid w:val="776C5B3F"/>
    <w:rsid w:val="77CE2371"/>
    <w:rsid w:val="78025523"/>
    <w:rsid w:val="785D00CA"/>
    <w:rsid w:val="78842CB1"/>
    <w:rsid w:val="7A153D28"/>
    <w:rsid w:val="7A5515ED"/>
    <w:rsid w:val="7B211AF1"/>
    <w:rsid w:val="7B6E01C1"/>
    <w:rsid w:val="7C330E34"/>
    <w:rsid w:val="7CE3178D"/>
    <w:rsid w:val="7D5E36CB"/>
    <w:rsid w:val="7DDD6CEA"/>
    <w:rsid w:val="7DE058A3"/>
    <w:rsid w:val="7DE64855"/>
    <w:rsid w:val="7DFF45E6"/>
    <w:rsid w:val="7E636E14"/>
    <w:rsid w:val="7E6B3EFC"/>
    <w:rsid w:val="7F7F1AB1"/>
    <w:rsid w:val="F1E34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jc w:val="center"/>
      <w:outlineLvl w:val="0"/>
    </w:pPr>
    <w:rPr>
      <w:rFonts w:ascii="Calibri" w:hAnsi="Calibri" w:eastAsia="Calibri"/>
      <w:b/>
      <w:bCs/>
      <w:sz w:val="30"/>
    </w:rPr>
  </w:style>
  <w:style w:type="paragraph" w:styleId="5">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6">
    <w:name w:val="heading 3"/>
    <w:basedOn w:val="1"/>
    <w:next w:val="1"/>
    <w:unhideWhenUsed/>
    <w:qFormat/>
    <w:uiPriority w:val="0"/>
    <w:pPr>
      <w:keepNext/>
      <w:keepLines/>
      <w:spacing w:before="260" w:after="260" w:line="416" w:lineRule="auto"/>
      <w:outlineLvl w:val="2"/>
    </w:pPr>
    <w:rPr>
      <w:b/>
      <w:bCs/>
      <w:sz w:val="32"/>
      <w:szCs w:val="32"/>
    </w:rPr>
  </w:style>
  <w:style w:type="paragraph" w:styleId="7">
    <w:name w:val="heading 4"/>
    <w:basedOn w:val="1"/>
    <w:next w:val="1"/>
    <w:unhideWhenUsed/>
    <w:qFormat/>
    <w:uiPriority w:val="9"/>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character" w:default="1" w:styleId="22">
    <w:name w:val="Default Paragraph Font"/>
    <w:semiHidden/>
    <w:unhideWhenUsed/>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表格文字"/>
    <w:basedOn w:val="1"/>
    <w:next w:val="3"/>
    <w:qFormat/>
    <w:uiPriority w:val="0"/>
    <w:pPr>
      <w:adjustRightInd w:val="0"/>
      <w:spacing w:line="420" w:lineRule="atLeast"/>
      <w:jc w:val="left"/>
      <w:textAlignment w:val="baseline"/>
    </w:pPr>
    <w:rPr>
      <w:kern w:val="0"/>
    </w:rPr>
  </w:style>
  <w:style w:type="paragraph" w:styleId="3">
    <w:name w:val="Body Text"/>
    <w:basedOn w:val="1"/>
    <w:qFormat/>
    <w:uiPriority w:val="0"/>
    <w:pPr>
      <w:spacing w:line="360" w:lineRule="exact"/>
    </w:pPr>
    <w:rPr>
      <w:sz w:val="24"/>
    </w:rPr>
  </w:style>
  <w:style w:type="paragraph" w:styleId="8">
    <w:name w:val="List Number"/>
    <w:basedOn w:val="1"/>
    <w:qFormat/>
    <w:uiPriority w:val="0"/>
    <w:pPr>
      <w:numPr>
        <w:ilvl w:val="0"/>
        <w:numId w:val="2"/>
      </w:numPr>
    </w:pPr>
  </w:style>
  <w:style w:type="paragraph" w:styleId="9">
    <w:name w:val="Normal Indent"/>
    <w:basedOn w:val="1"/>
    <w:qFormat/>
    <w:uiPriority w:val="0"/>
    <w:pPr>
      <w:ind w:firstLine="420"/>
    </w:pPr>
    <w:rPr>
      <w:szCs w:val="20"/>
    </w:rPr>
  </w:style>
  <w:style w:type="paragraph" w:styleId="10">
    <w:name w:val="annotation text"/>
    <w:basedOn w:val="1"/>
    <w:link w:val="43"/>
    <w:qFormat/>
    <w:uiPriority w:val="0"/>
    <w:pPr>
      <w:jc w:val="left"/>
    </w:pPr>
  </w:style>
  <w:style w:type="paragraph" w:styleId="11">
    <w:name w:val="Body Text Indent"/>
    <w:basedOn w:val="1"/>
    <w:link w:val="46"/>
    <w:qFormat/>
    <w:uiPriority w:val="0"/>
    <w:pPr>
      <w:spacing w:after="120"/>
      <w:ind w:left="420" w:leftChars="200"/>
    </w:pPr>
  </w:style>
  <w:style w:type="paragraph" w:styleId="12">
    <w:name w:val="Plain Text"/>
    <w:basedOn w:val="1"/>
    <w:link w:val="50"/>
    <w:qFormat/>
    <w:uiPriority w:val="0"/>
    <w:rPr>
      <w:rFonts w:ascii="宋体" w:hAnsi="Courier New" w:cstheme="minorBidi"/>
    </w:rPr>
  </w:style>
  <w:style w:type="paragraph" w:styleId="13">
    <w:name w:val="Date"/>
    <w:basedOn w:val="1"/>
    <w:next w:val="1"/>
    <w:qFormat/>
    <w:uiPriority w:val="0"/>
    <w:pPr>
      <w:ind w:left="2500" w:leftChars="2500"/>
    </w:pPr>
    <w:rPr>
      <w:rFonts w:eastAsia="楷体_GB2312" w:asciiTheme="minorHAnsi" w:hAnsiTheme="minorHAnsi" w:cstheme="minorBidi"/>
      <w:sz w:val="32"/>
      <w:szCs w:val="22"/>
    </w:rPr>
  </w:style>
  <w:style w:type="paragraph" w:styleId="14">
    <w:name w:val="Balloon Text"/>
    <w:basedOn w:val="1"/>
    <w:link w:val="45"/>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8">
    <w:name w:val="Normal (Web)"/>
    <w:basedOn w:val="1"/>
    <w:qFormat/>
    <w:uiPriority w:val="99"/>
    <w:pPr>
      <w:widowControl/>
      <w:spacing w:before="100" w:beforeAutospacing="1" w:after="100" w:afterAutospacing="1"/>
      <w:jc w:val="left"/>
    </w:pPr>
    <w:rPr>
      <w:rFonts w:hint="eastAsia" w:ascii="宋体" w:hAnsi="宋体"/>
      <w:kern w:val="0"/>
      <w:sz w:val="24"/>
    </w:rPr>
  </w:style>
  <w:style w:type="paragraph" w:styleId="19">
    <w:name w:val="annotation subject"/>
    <w:basedOn w:val="10"/>
    <w:next w:val="10"/>
    <w:link w:val="44"/>
    <w:qFormat/>
    <w:uiPriority w:val="0"/>
    <w:rPr>
      <w:b/>
      <w:bCs/>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3">
    <w:name w:val="Emphasis"/>
    <w:qFormat/>
    <w:uiPriority w:val="0"/>
    <w:rPr>
      <w:i/>
    </w:rPr>
  </w:style>
  <w:style w:type="character" w:styleId="24">
    <w:name w:val="Hyperlink"/>
    <w:basedOn w:val="22"/>
    <w:unhideWhenUsed/>
    <w:qFormat/>
    <w:uiPriority w:val="0"/>
    <w:rPr>
      <w:color w:val="0000FF"/>
      <w:u w:val="single"/>
    </w:rPr>
  </w:style>
  <w:style w:type="character" w:styleId="25">
    <w:name w:val="annotation reference"/>
    <w:basedOn w:val="22"/>
    <w:qFormat/>
    <w:uiPriority w:val="0"/>
    <w:rPr>
      <w:sz w:val="21"/>
      <w:szCs w:val="21"/>
    </w:rPr>
  </w:style>
  <w:style w:type="paragraph" w:customStyle="1" w:styleId="26">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27">
    <w:name w:val="列出段落1"/>
    <w:basedOn w:val="1"/>
    <w:qFormat/>
    <w:uiPriority w:val="34"/>
    <w:pPr>
      <w:ind w:firstLine="420" w:firstLineChars="200"/>
    </w:pPr>
    <w:rPr>
      <w:rFonts w:ascii="Calibri" w:hAnsi="Calibri"/>
      <w:szCs w:val="22"/>
    </w:rPr>
  </w:style>
  <w:style w:type="paragraph" w:customStyle="1" w:styleId="28">
    <w:name w:val="无间隔1"/>
    <w:qFormat/>
    <w:uiPriority w:val="99"/>
    <w:pPr>
      <w:adjustRightInd w:val="0"/>
      <w:snapToGrid w:val="0"/>
    </w:pPr>
    <w:rPr>
      <w:rFonts w:ascii="Tahoma" w:hAnsi="Tahoma" w:eastAsia="微软雅黑" w:cstheme="minorBidi"/>
      <w:sz w:val="22"/>
      <w:szCs w:val="22"/>
      <w:lang w:val="en-US" w:eastAsia="zh-CN" w:bidi="ar-SA"/>
    </w:rPr>
  </w:style>
  <w:style w:type="paragraph" w:customStyle="1" w:styleId="29">
    <w:name w:val="列出段落11"/>
    <w:basedOn w:val="1"/>
    <w:qFormat/>
    <w:uiPriority w:val="0"/>
    <w:pPr>
      <w:ind w:firstLine="420" w:firstLineChars="200"/>
    </w:pPr>
    <w:rPr>
      <w:rFonts w:ascii="Calibri" w:hAnsi="Calibri"/>
      <w:kern w:val="0"/>
      <w:szCs w:val="20"/>
    </w:rPr>
  </w:style>
  <w:style w:type="paragraph" w:customStyle="1" w:styleId="30">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1">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2">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正文_14"/>
    <w:qFormat/>
    <w:uiPriority w:val="0"/>
    <w:rPr>
      <w:rFonts w:ascii="Times New Roman" w:hAnsi="Times New Roman" w:eastAsia="宋体" w:cs="Times New Roman"/>
      <w:sz w:val="21"/>
      <w:szCs w:val="22"/>
      <w:lang w:val="en-US" w:eastAsia="zh-CN" w:bidi="ar-SA"/>
    </w:rPr>
  </w:style>
  <w:style w:type="paragraph" w:customStyle="1" w:styleId="34">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纯文本_3"/>
    <w:basedOn w:val="36"/>
    <w:qFormat/>
    <w:uiPriority w:val="0"/>
    <w:pPr>
      <w:widowControl/>
      <w:jc w:val="left"/>
    </w:pPr>
    <w:rPr>
      <w:rFonts w:ascii="宋体" w:hAnsi="Courier New" w:eastAsiaTheme="minorEastAsia" w:cstheme="minorBidi"/>
      <w:szCs w:val="21"/>
    </w:rPr>
  </w:style>
  <w:style w:type="paragraph" w:customStyle="1" w:styleId="38">
    <w:name w:val="纯文本_0_1"/>
    <w:basedOn w:val="1"/>
    <w:qFormat/>
    <w:uiPriority w:val="0"/>
    <w:pPr>
      <w:widowControl/>
      <w:jc w:val="left"/>
    </w:pPr>
    <w:rPr>
      <w:rFonts w:ascii="宋体" w:hAnsi="Courier New" w:eastAsiaTheme="minorEastAsia" w:cstheme="minorBidi"/>
      <w:szCs w:val="21"/>
    </w:rPr>
  </w:style>
  <w:style w:type="paragraph" w:customStyle="1" w:styleId="39">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3">
    <w:name w:val="批注文字 Char"/>
    <w:basedOn w:val="22"/>
    <w:link w:val="10"/>
    <w:qFormat/>
    <w:uiPriority w:val="0"/>
    <w:rPr>
      <w:rFonts w:ascii="Times New Roman" w:hAnsi="Times New Roman" w:eastAsia="宋体" w:cs="Times New Roman"/>
      <w:kern w:val="2"/>
      <w:sz w:val="21"/>
      <w:szCs w:val="24"/>
    </w:rPr>
  </w:style>
  <w:style w:type="character" w:customStyle="1" w:styleId="44">
    <w:name w:val="批注主题 Char"/>
    <w:basedOn w:val="43"/>
    <w:link w:val="19"/>
    <w:qFormat/>
    <w:uiPriority w:val="0"/>
    <w:rPr>
      <w:rFonts w:ascii="Times New Roman" w:hAnsi="Times New Roman" w:eastAsia="宋体" w:cs="Times New Roman"/>
      <w:b/>
      <w:bCs/>
      <w:kern w:val="2"/>
      <w:sz w:val="21"/>
      <w:szCs w:val="24"/>
    </w:rPr>
  </w:style>
  <w:style w:type="character" w:customStyle="1" w:styleId="45">
    <w:name w:val="批注框文本 Char"/>
    <w:basedOn w:val="22"/>
    <w:link w:val="14"/>
    <w:qFormat/>
    <w:uiPriority w:val="0"/>
    <w:rPr>
      <w:rFonts w:ascii="Times New Roman" w:hAnsi="Times New Roman" w:eastAsia="宋体" w:cs="Times New Roman"/>
      <w:kern w:val="2"/>
      <w:sz w:val="18"/>
      <w:szCs w:val="18"/>
    </w:rPr>
  </w:style>
  <w:style w:type="character" w:customStyle="1" w:styleId="46">
    <w:name w:val="正文文本缩进 Char"/>
    <w:basedOn w:val="22"/>
    <w:link w:val="11"/>
    <w:qFormat/>
    <w:uiPriority w:val="0"/>
    <w:rPr>
      <w:kern w:val="2"/>
      <w:sz w:val="21"/>
      <w:szCs w:val="24"/>
    </w:rPr>
  </w:style>
  <w:style w:type="paragraph" w:customStyle="1" w:styleId="47">
    <w:name w:val="正文 New New New New"/>
    <w:qFormat/>
    <w:uiPriority w:val="0"/>
    <w:pPr>
      <w:widowControl w:val="0"/>
      <w:jc w:val="both"/>
    </w:pPr>
    <w:rPr>
      <w:rFonts w:ascii="Times New Roman" w:hAnsi="Times New Roman" w:eastAsia="Arial Unicode MS" w:cs="Arial Unicode MS"/>
      <w:color w:val="000000"/>
      <w:lang w:val="en-US" w:eastAsia="zh-CN" w:bidi="ar-SA"/>
    </w:rPr>
  </w:style>
  <w:style w:type="paragraph" w:customStyle="1" w:styleId="48">
    <w:name w:val="列出段落2"/>
    <w:qFormat/>
    <w:uiPriority w:val="0"/>
    <w:pPr>
      <w:widowControl w:val="0"/>
      <w:ind w:firstLine="420"/>
      <w:jc w:val="both"/>
    </w:pPr>
    <w:rPr>
      <w:rFonts w:ascii="Calibri" w:hAnsi="Calibri" w:eastAsia="Calibri" w:cs="Calibri"/>
      <w:color w:val="000000"/>
      <w:kern w:val="2"/>
      <w:sz w:val="24"/>
      <w:szCs w:val="24"/>
      <w:lang w:val="en-US" w:eastAsia="zh-CN" w:bidi="ar-SA"/>
    </w:rPr>
  </w:style>
  <w:style w:type="paragraph" w:customStyle="1" w:styleId="49">
    <w:name w:val="纯文本2"/>
    <w:basedOn w:val="1"/>
    <w:qFormat/>
    <w:uiPriority w:val="0"/>
    <w:pPr>
      <w:adjustRightInd w:val="0"/>
      <w:spacing w:before="50"/>
      <w:jc w:val="left"/>
      <w:textAlignment w:val="baseline"/>
    </w:pPr>
    <w:rPr>
      <w:rFonts w:ascii="宋体" w:hAnsi="Courier New"/>
      <w:sz w:val="24"/>
      <w:szCs w:val="20"/>
    </w:rPr>
  </w:style>
  <w:style w:type="character" w:customStyle="1" w:styleId="50">
    <w:name w:val="纯文本 Char"/>
    <w:link w:val="12"/>
    <w:qFormat/>
    <w:uiPriority w:val="0"/>
    <w:rPr>
      <w:rFonts w:ascii="宋体" w:hAnsi="Courier New" w:cstheme="minorBidi"/>
      <w:kern w:val="2"/>
      <w:sz w:val="21"/>
      <w:szCs w:val="24"/>
    </w:rPr>
  </w:style>
  <w:style w:type="paragraph" w:customStyle="1" w:styleId="51">
    <w:name w:val="纯文本1"/>
    <w:basedOn w:val="1"/>
    <w:qFormat/>
    <w:uiPriority w:val="0"/>
    <w:pPr>
      <w:adjustRightInd w:val="0"/>
      <w:spacing w:line="360" w:lineRule="auto"/>
    </w:pPr>
    <w:rPr>
      <w:rFonts w:ascii="宋体" w:hAnsi="Courier New" w:eastAsia="楷体_GB2312"/>
      <w:sz w:val="28"/>
      <w:szCs w:val="20"/>
    </w:rPr>
  </w:style>
  <w:style w:type="paragraph" w:customStyle="1" w:styleId="52">
    <w:name w:val="Fließtext"/>
    <w:basedOn w:val="1"/>
    <w:qFormat/>
    <w:uiPriority w:val="0"/>
    <w:pPr>
      <w:overflowPunct w:val="0"/>
      <w:autoSpaceDE w:val="0"/>
      <w:autoSpaceDN w:val="0"/>
      <w:adjustRightInd w:val="0"/>
      <w:textAlignment w:val="baseline"/>
    </w:pPr>
    <w:rPr>
      <w:kern w:val="28"/>
    </w:rPr>
  </w:style>
  <w:style w:type="paragraph" w:customStyle="1" w:styleId="53">
    <w:name w:val="文档正文"/>
    <w:basedOn w:val="1"/>
    <w:qFormat/>
    <w:uiPriority w:val="0"/>
    <w:pPr>
      <w:spacing w:line="360" w:lineRule="auto"/>
      <w:ind w:firstLine="480" w:firstLineChars="200"/>
    </w:pPr>
    <w:rPr>
      <w:sz w:val="24"/>
    </w:rPr>
  </w:style>
  <w:style w:type="paragraph" w:customStyle="1" w:styleId="54">
    <w:name w:val="_正文不空"/>
    <w:qFormat/>
    <w:uiPriority w:val="0"/>
    <w:pPr>
      <w:spacing w:line="360" w:lineRule="auto"/>
    </w:pPr>
    <w:rPr>
      <w:rFonts w:ascii="Calibri" w:hAnsi="Calibri" w:eastAsia="宋体" w:cs="Times New Roman"/>
      <w:kern w:val="2"/>
      <w:sz w:val="24"/>
      <w:szCs w:val="21"/>
      <w:lang w:val="en-US" w:eastAsia="zh-CN" w:bidi="ar-SA"/>
    </w:rPr>
  </w:style>
  <w:style w:type="paragraph" w:customStyle="1" w:styleId="55">
    <w:name w:val="第二级标题"/>
    <w:basedOn w:val="5"/>
    <w:next w:val="1"/>
    <w:qFormat/>
    <w:uiPriority w:val="0"/>
    <w:pPr>
      <w:spacing w:before="120" w:after="120" w:line="360" w:lineRule="auto"/>
    </w:pPr>
    <w:rPr>
      <w:sz w:val="30"/>
    </w:rPr>
  </w:style>
  <w:style w:type="paragraph" w:customStyle="1" w:styleId="56">
    <w:name w:val="__正文"/>
    <w:qFormat/>
    <w:uiPriority w:val="0"/>
    <w:pPr>
      <w:spacing w:line="360" w:lineRule="auto"/>
      <w:ind w:firstLine="200" w:firstLineChars="200"/>
    </w:pPr>
    <w:rPr>
      <w:rFonts w:ascii="Calibri" w:hAnsi="Calibri" w:eastAsia="宋体" w:cs="Times New Roman"/>
      <w:kern w:val="2"/>
      <w:sz w:val="24"/>
      <w:szCs w:val="21"/>
      <w:lang w:val="en-US" w:eastAsia="zh-CN" w:bidi="ar-SA"/>
    </w:rPr>
  </w:style>
  <w:style w:type="paragraph" w:customStyle="1" w:styleId="57">
    <w:name w:val="p1"/>
    <w:basedOn w:val="1"/>
    <w:qFormat/>
    <w:uiPriority w:val="0"/>
    <w:pPr>
      <w:spacing w:line="440" w:lineRule="atLeast"/>
      <w:jc w:val="left"/>
    </w:pPr>
    <w:rPr>
      <w:rFonts w:ascii="Helvetica Neue" w:hAnsi="Helvetica Neue" w:eastAsia="Helvetica Neue"/>
      <w:color w:val="000000"/>
      <w:kern w:val="0"/>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105</Pages>
  <Words>8842</Words>
  <Characters>50406</Characters>
  <Lines>420</Lines>
  <Paragraphs>118</Paragraphs>
  <TotalTime>8</TotalTime>
  <ScaleCrop>false</ScaleCrop>
  <LinksUpToDate>false</LinksUpToDate>
  <CharactersWithSpaces>59130</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2019-08-27T00:54:00Z</dcterms:created>
  <dc:creator>S-mile</dc:creator>
  <cp:lastModifiedBy>LF</cp:lastModifiedBy>
  <cp:lastPrinted>2019-05-23T18:09:00Z</cp:lastPrinted>
  <dcterms:modified xsi:type="dcterms:W3CDTF">2019-08-28T07:40:21Z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