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b/>
          <w:color w:val="000000" w:themeColor="text1"/>
          <w:sz w:val="52"/>
          <w:highlight w:val="none"/>
          <w14:textFill>
            <w14:solidFill>
              <w14:schemeClr w14:val="tx1"/>
            </w14:solidFill>
          </w14:textFill>
        </w:rPr>
      </w:pPr>
      <w:r>
        <w:rPr>
          <w:b/>
          <w:color w:val="000000" w:themeColor="text1"/>
          <w:sz w:val="52"/>
          <w:highlight w:val="none"/>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询价采购文件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HQ-YHZFCG-2019-77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采购项目：资源教室</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采购人：玉环市清港镇中心小学</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r>
        <w:rPr>
          <w:rFonts w:ascii="宋体"/>
          <w:color w:val="000000" w:themeColor="text1"/>
          <w:kern w:val="0"/>
          <w:sz w:val="28"/>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2019年09月0</w:t>
      </w:r>
      <w:r>
        <w:rPr>
          <w:rFonts w:hint="eastAsia" w:ascii="宋体" w:hAnsi="宋体" w:cs="宋体"/>
          <w:color w:val="000000" w:themeColor="text1"/>
          <w:kern w:val="0"/>
          <w:sz w:val="28"/>
          <w:szCs w:val="28"/>
          <w:highlight w:val="none"/>
          <w:lang w:val="en-US" w:eastAsia="zh-CN"/>
          <w14:textFill>
            <w14:solidFill>
              <w14:schemeClr w14:val="tx1"/>
            </w14:solidFill>
          </w14:textFill>
        </w:rPr>
        <w:t>9</w:t>
      </w:r>
      <w:r>
        <w:rPr>
          <w:rFonts w:hint="eastAsia" w:ascii="宋体" w:hAnsi="宋体" w:cs="宋体"/>
          <w:color w:val="000000" w:themeColor="text1"/>
          <w:kern w:val="0"/>
          <w:sz w:val="28"/>
          <w:szCs w:val="28"/>
          <w:highlight w:val="none"/>
          <w14:textFill>
            <w14:solidFill>
              <w14:schemeClr w14:val="tx1"/>
            </w14:solidFill>
          </w14:textFill>
        </w:rPr>
        <w:t>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left="360"/>
        <w:rPr>
          <w:rFonts w:ascii="新宋体" w:hAnsi="新宋体" w:eastAsia="新宋体"/>
          <w:b/>
          <w:color w:val="000000" w:themeColor="text1"/>
          <w:sz w:val="28"/>
          <w:szCs w:val="28"/>
          <w:highlight w:val="none"/>
          <w14:textFill>
            <w14:solidFill>
              <w14:schemeClr w14:val="tx1"/>
            </w14:solidFill>
          </w14:textFill>
        </w:rPr>
      </w:pPr>
    </w:p>
    <w:p>
      <w:pPr>
        <w:spacing w:line="360" w:lineRule="auto"/>
        <w:ind w:left="360"/>
        <w:rPr>
          <w:rFonts w:ascii="新宋体" w:hAnsi="新宋体" w:eastAsia="新宋体"/>
          <w:b/>
          <w:color w:val="000000" w:themeColor="text1"/>
          <w:sz w:val="28"/>
          <w:szCs w:val="28"/>
          <w:highlight w:val="none"/>
          <w14:textFill>
            <w14:solidFill>
              <w14:schemeClr w14:val="tx1"/>
            </w14:solidFill>
          </w14:textFill>
        </w:rPr>
      </w:pP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询价采购公告</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供应商须知</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询价采购需求</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政府采购合同主要条款指引</w:t>
      </w:r>
      <w:r>
        <w:rPr>
          <w:rFonts w:hint="eastAsia" w:ascii="宋体" w:hAnsi="宋体"/>
          <w:b/>
          <w:color w:val="000000" w:themeColor="text1"/>
          <w:sz w:val="28"/>
          <w:szCs w:val="28"/>
          <w:highlight w:val="none"/>
          <w14:textFill>
            <w14:solidFill>
              <w14:schemeClr w14:val="tx1"/>
            </w14:solidFill>
          </w14:textFill>
        </w:rPr>
        <w:t xml:space="preserve">      </w:t>
      </w:r>
    </w:p>
    <w:p>
      <w:pPr>
        <w:numPr>
          <w:ilvl w:val="0"/>
          <w:numId w:val="3"/>
        </w:numPr>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响应文件格式附件</w:t>
      </w:r>
    </w:p>
    <w:p>
      <w:pPr>
        <w:spacing w:line="360" w:lineRule="auto"/>
        <w:ind w:left="359" w:leftChars="171" w:firstLine="481" w:firstLineChars="171"/>
        <w:rPr>
          <w:rFonts w:ascii="新宋体" w:hAnsi="新宋体" w:eastAsia="新宋体"/>
          <w:b/>
          <w:color w:val="000000" w:themeColor="text1"/>
          <w:sz w:val="28"/>
          <w:szCs w:val="28"/>
          <w:highlight w:val="none"/>
          <w14:textFill>
            <w14:solidFill>
              <w14:schemeClr w14:val="tx1"/>
            </w14:solidFill>
          </w14:textFill>
        </w:rPr>
      </w:pPr>
      <w:r>
        <w:rPr>
          <w:rFonts w:ascii="新宋体" w:hAnsi="新宋体" w:eastAsia="新宋体"/>
          <w:b/>
          <w:color w:val="000000" w:themeColor="text1"/>
          <w:sz w:val="28"/>
          <w:szCs w:val="28"/>
          <w:highlight w:val="none"/>
          <w14:textFill>
            <w14:solidFill>
              <w14:schemeClr w14:val="tx1"/>
            </w14:solidFill>
          </w14:textFill>
        </w:rPr>
        <w:t xml:space="preserve">      </w:t>
      </w:r>
    </w:p>
    <w:p>
      <w:pPr>
        <w:spacing w:line="360" w:lineRule="auto"/>
        <w:ind w:left="359" w:leftChars="171" w:firstLine="562" w:firstLineChars="200"/>
        <w:rPr>
          <w:rFonts w:ascii="新宋体" w:hAnsi="新宋体" w:eastAsia="新宋体"/>
          <w:b/>
          <w:color w:val="000000" w:themeColor="text1"/>
          <w:sz w:val="28"/>
          <w:szCs w:val="28"/>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firstLine="2526"/>
        <w:jc w:val="left"/>
        <w:rPr>
          <w:rFonts w:ascii="宋体" w:hAnsi="宋体" w:cs="Arial"/>
          <w:b/>
          <w:bCs/>
          <w:color w:val="000000" w:themeColor="text1"/>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color w:val="000000" w:themeColor="text1"/>
          <w:kern w:val="0"/>
          <w:sz w:val="36"/>
          <w:szCs w:val="36"/>
          <w:highlight w:val="none"/>
          <w14:textFill>
            <w14:solidFill>
              <w14:schemeClr w14:val="tx1"/>
            </w14:solidFill>
          </w14:textFill>
        </w:rPr>
      </w:pPr>
      <w:r>
        <w:rPr>
          <w:rFonts w:hint="eastAsia" w:ascii="宋体" w:hAnsi="宋体"/>
          <w:b/>
          <w:color w:val="000000" w:themeColor="text1"/>
          <w:kern w:val="0"/>
          <w:sz w:val="36"/>
          <w:szCs w:val="36"/>
          <w:highlight w:val="none"/>
          <w14:textFill>
            <w14:solidFill>
              <w14:schemeClr w14:val="tx1"/>
            </w14:solidFill>
          </w14:textFill>
        </w:rPr>
        <w:t xml:space="preserve">第一章  </w:t>
      </w:r>
      <w:r>
        <w:rPr>
          <w:rFonts w:ascii="宋体" w:hAnsi="宋体"/>
          <w:b/>
          <w:color w:val="000000" w:themeColor="text1"/>
          <w:kern w:val="0"/>
          <w:sz w:val="36"/>
          <w:szCs w:val="36"/>
          <w:highlight w:val="none"/>
          <w14:textFill>
            <w14:solidFill>
              <w14:schemeClr w14:val="tx1"/>
            </w14:solidFill>
          </w14:textFill>
        </w:rPr>
        <w:t>询价采购公告</w:t>
      </w: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受采购人委托，现就玉环市清港镇中心小学</w:t>
      </w:r>
      <w:r>
        <w:rPr>
          <w:rFonts w:hint="eastAsia" w:ascii="宋体" w:hAnsi="宋体"/>
          <w:color w:val="000000" w:themeColor="text1"/>
          <w:sz w:val="24"/>
          <w:highlight w:val="none"/>
          <w14:textFill>
            <w14:solidFill>
              <w14:schemeClr w14:val="tx1"/>
            </w14:solidFill>
          </w14:textFill>
        </w:rPr>
        <w:t>资源教室</w:t>
      </w:r>
      <w:r>
        <w:rPr>
          <w:rFonts w:hint="eastAsia" w:ascii="宋体" w:hAnsi="宋体"/>
          <w:color w:val="000000" w:themeColor="text1"/>
          <w:kern w:val="0"/>
          <w:sz w:val="24"/>
          <w:highlight w:val="none"/>
          <w14:textFill>
            <w14:solidFill>
              <w14:schemeClr w14:val="tx1"/>
            </w14:solidFill>
          </w14:textFill>
        </w:rPr>
        <w:t>项目进行询价采购，欢迎合格供应商前来参与。</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一、项目编号：HQ-YHZFCG-2019-77</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二、询价</w:t>
      </w:r>
      <w:r>
        <w:rPr>
          <w:rFonts w:hint="eastAsia" w:ascii="宋体" w:hAnsi="宋体"/>
          <w:b/>
          <w:color w:val="000000" w:themeColor="text1"/>
          <w:kern w:val="0"/>
          <w:sz w:val="24"/>
          <w:highlight w:val="none"/>
          <w14:textFill>
            <w14:solidFill>
              <w14:schemeClr w14:val="tx1"/>
            </w14:solidFill>
          </w14:textFill>
        </w:rPr>
        <w:t>项目概况：</w:t>
      </w:r>
    </w:p>
    <w:tbl>
      <w:tblPr>
        <w:tblStyle w:val="23"/>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60"/>
        <w:gridCol w:w="1767"/>
        <w:gridCol w:w="833"/>
        <w:gridCol w:w="850"/>
        <w:gridCol w:w="126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360"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1767"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33"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850"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263" w:type="dxa"/>
            <w:vAlign w:val="center"/>
          </w:tcPr>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（万元）</w:t>
            </w:r>
          </w:p>
        </w:tc>
        <w:tc>
          <w:tcPr>
            <w:tcW w:w="1706" w:type="dxa"/>
            <w:vAlign w:val="center"/>
          </w:tcPr>
          <w:p>
            <w:pPr>
              <w:tabs>
                <w:tab w:val="left" w:pos="8280"/>
              </w:tabs>
              <w:autoSpaceDE w:val="0"/>
              <w:autoSpaceDN w:val="0"/>
              <w:adjustRightInd w:val="0"/>
              <w:ind w:right="25" w:firstLine="24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1360"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资源教室</w:t>
            </w:r>
          </w:p>
        </w:tc>
        <w:tc>
          <w:tcPr>
            <w:tcW w:w="1767"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w:t>
            </w:r>
          </w:p>
        </w:tc>
        <w:tc>
          <w:tcPr>
            <w:tcW w:w="833"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850"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263"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14.94</w:t>
            </w:r>
          </w:p>
        </w:tc>
        <w:tc>
          <w:tcPr>
            <w:tcW w:w="1706" w:type="dxa"/>
            <w:vAlign w:val="center"/>
          </w:tcPr>
          <w:p>
            <w:pPr>
              <w:tabs>
                <w:tab w:val="left" w:pos="8280"/>
              </w:tabs>
              <w:autoSpaceDE w:val="0"/>
              <w:autoSpaceDN w:val="0"/>
              <w:adjustRightInd w:val="0"/>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合同签订后30日内</w:t>
            </w:r>
          </w:p>
        </w:tc>
      </w:tr>
    </w:tbl>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b/>
          <w:color w:val="000000" w:themeColor="text1"/>
          <w:kern w:val="0"/>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三、合格询价供应商的资格条件：</w:t>
      </w:r>
    </w:p>
    <w:p>
      <w:pPr>
        <w:pStyle w:val="32"/>
        <w:adjustRightInd w:val="0"/>
        <w:snapToGrid w:val="0"/>
        <w:spacing w:before="0" w:line="360" w:lineRule="auto"/>
        <w:ind w:left="101" w:leftChars="48" w:firstLine="240" w:firstLineChars="100"/>
        <w:rPr>
          <w:rFonts w:ascii="宋体" w:eastAsia="宋体"/>
          <w:color w:val="000000" w:themeColor="text1"/>
          <w:sz w:val="24"/>
          <w:szCs w:val="24"/>
          <w:highlight w:val="none"/>
          <w14:textFill>
            <w14:solidFill>
              <w14:schemeClr w14:val="tx1"/>
            </w14:solidFill>
          </w14:textFill>
        </w:rPr>
      </w:pPr>
      <w:r>
        <w:rPr>
          <w:rFonts w:hint="eastAsia" w:ascii="宋体" w:eastAsia="宋体"/>
          <w:color w:val="000000" w:themeColor="text1"/>
          <w:sz w:val="24"/>
          <w:szCs w:val="24"/>
          <w:highlight w:val="none"/>
          <w14:textFill>
            <w14:solidFill>
              <w14:schemeClr w14:val="tx1"/>
            </w14:solidFill>
          </w14:textFill>
        </w:rPr>
        <w:t>（一）符合《中华人民共和国政府采购法》第二十二条规定的供应商资格条件；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（二）本项目不接受联合体询价；</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四、询价通知书获取的方式、时间：</w:t>
      </w:r>
    </w:p>
    <w:p>
      <w:pPr>
        <w:snapToGrid w:val="0"/>
        <w:spacing w:line="40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1．获取方式：获取方式：网上免费下载（不接受网上报名），下载地址为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fldChar w:fldCharType="end"/>
      </w:r>
      <w:r>
        <w:rPr>
          <w:rFonts w:hint="eastAsia" w:ascii="宋体" w:hAnsi="宋体" w:cs="Arial"/>
          <w:color w:val="000000" w:themeColor="text1"/>
          <w:sz w:val="24"/>
          <w:highlight w:val="none"/>
          <w14:textFill>
            <w14:solidFill>
              <w14:schemeClr w14:val="tx1"/>
            </w14:solidFill>
          </w14:textFill>
        </w:rPr>
        <w:t>或</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Arial"/>
          <w:color w:val="000000" w:themeColor="text1"/>
          <w:sz w:val="24"/>
          <w:highlight w:val="none"/>
          <w14:textFill>
            <w14:solidFill>
              <w14:schemeClr w14:val="tx1"/>
            </w14:solidFill>
          </w14:textFill>
        </w:rPr>
        <w:t>https://www.yhjyzx.com/home/index</w:t>
      </w:r>
      <w:r>
        <w:rPr>
          <w:rFonts w:hint="eastAsia" w:ascii="宋体" w:hAnsi="宋体" w:cs="Arial"/>
          <w:color w:val="000000" w:themeColor="text1"/>
          <w:sz w:val="24"/>
          <w:highlight w:val="none"/>
          <w14:textFill>
            <w14:solidFill>
              <w14:schemeClr w14:val="tx1"/>
            </w14:solidFill>
          </w14:textFill>
        </w:rPr>
        <w:fldChar w:fldCharType="end"/>
      </w:r>
      <w:r>
        <w:rPr>
          <w:rFonts w:hint="eastAsia" w:ascii="宋体" w:hAnsi="宋体" w:cs="Arial"/>
          <w:color w:val="000000" w:themeColor="text1"/>
          <w:sz w:val="24"/>
          <w:highlight w:val="none"/>
          <w14:textFill>
            <w14:solidFill>
              <w14:schemeClr w14:val="tx1"/>
            </w14:solidFill>
          </w14:textFill>
        </w:rPr>
        <w:t> </w:t>
      </w:r>
    </w:p>
    <w:p>
      <w:pPr>
        <w:spacing w:line="360" w:lineRule="auto"/>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2、获取（公告）时间：2019年9月0</w:t>
      </w:r>
      <w:r>
        <w:rPr>
          <w:rFonts w:hint="eastAsia" w:ascii="宋体" w:hAnsi="宋体" w:cs="Arial"/>
          <w:color w:val="000000" w:themeColor="text1"/>
          <w:sz w:val="24"/>
          <w:highlight w:val="none"/>
          <w:lang w:val="en-US" w:eastAsia="zh-CN"/>
          <w14:textFill>
            <w14:solidFill>
              <w14:schemeClr w14:val="tx1"/>
            </w14:solidFill>
          </w14:textFill>
        </w:rPr>
        <w:t>9</w:t>
      </w:r>
      <w:r>
        <w:rPr>
          <w:rFonts w:hint="eastAsia" w:ascii="宋体" w:hAnsi="宋体" w:cs="Arial"/>
          <w:color w:val="000000" w:themeColor="text1"/>
          <w:sz w:val="24"/>
          <w:highlight w:val="none"/>
          <w14:textFill>
            <w14:solidFill>
              <w14:schemeClr w14:val="tx1"/>
            </w14:solidFill>
          </w14:textFill>
        </w:rPr>
        <w:t>日至2019年9月</w:t>
      </w:r>
      <w:r>
        <w:rPr>
          <w:rFonts w:hint="eastAsia" w:ascii="宋体" w:hAnsi="宋体" w:cs="Arial"/>
          <w:color w:val="000000" w:themeColor="text1"/>
          <w:sz w:val="24"/>
          <w:highlight w:val="none"/>
          <w:lang w:val="en-US" w:eastAsia="zh-CN"/>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日</w:t>
      </w:r>
    </w:p>
    <w:p>
      <w:pPr>
        <w:spacing w:line="360" w:lineRule="auto"/>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b/>
          <w:color w:val="000000" w:themeColor="text1"/>
          <w:kern w:val="0"/>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五、</w:t>
      </w:r>
      <w:r>
        <w:rPr>
          <w:rFonts w:hint="eastAsia" w:ascii="宋体"/>
          <w:b/>
          <w:color w:val="000000" w:themeColor="text1"/>
          <w:kern w:val="0"/>
          <w:sz w:val="24"/>
          <w:highlight w:val="none"/>
          <w14:textFill>
            <w14:solidFill>
              <w14:schemeClr w14:val="tx1"/>
            </w14:solidFill>
          </w14:textFill>
        </w:rPr>
        <w:t>响应文件递交截止时间及询价开始时间、地点：</w:t>
      </w:r>
    </w:p>
    <w:p>
      <w:pPr>
        <w:snapToGrid w:val="0"/>
        <w:spacing w:line="360" w:lineRule="auto"/>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本次询价将于2019年09月1</w:t>
      </w:r>
      <w:r>
        <w:rPr>
          <w:rFonts w:hint="eastAsia" w:ascii="宋体" w:hAnsi="宋体" w:cs="Arial"/>
          <w:color w:val="000000" w:themeColor="text1"/>
          <w:sz w:val="24"/>
          <w:highlight w:val="none"/>
          <w:lang w:val="en-US" w:eastAsia="zh-CN"/>
          <w14:textFill>
            <w14:solidFill>
              <w14:schemeClr w14:val="tx1"/>
            </w14:solidFill>
          </w14:textFill>
        </w:rPr>
        <w:t>7</w:t>
      </w:r>
      <w:r>
        <w:rPr>
          <w:rFonts w:hint="eastAsia" w:ascii="宋体" w:hAnsi="宋体" w:cs="Arial"/>
          <w:color w:val="000000" w:themeColor="text1"/>
          <w:sz w:val="24"/>
          <w:highlight w:val="none"/>
          <w14:textFill>
            <w14:solidFill>
              <w14:schemeClr w14:val="tx1"/>
            </w14:solidFill>
          </w14:textFill>
        </w:rPr>
        <w:t>日星期二下午14点30整在玉环市公共资源交易中心二楼开标室（四）（玉环市新城中路与长治路（南一路）交叉路口）开始进行，</w:t>
      </w:r>
      <w:r>
        <w:rPr>
          <w:rFonts w:hint="eastAsia" w:ascii="宋体" w:hAnsi="宋体"/>
          <w:color w:val="000000" w:themeColor="text1"/>
          <w:kern w:val="0"/>
          <w:sz w:val="24"/>
          <w:highlight w:val="none"/>
          <w14:textFill>
            <w14:solidFill>
              <w14:schemeClr w14:val="tx1"/>
            </w14:solidFill>
          </w14:textFill>
        </w:rPr>
        <w:t>请在询价开始当日14</w:t>
      </w:r>
      <w:r>
        <w:rPr>
          <w:rFonts w:hint="eastAsia" w:ascii="宋体" w:hAnsi="宋体" w:cs="Arial"/>
          <w:color w:val="000000" w:themeColor="text1"/>
          <w:sz w:val="24"/>
          <w:highlight w:val="none"/>
          <w14:textFill>
            <w14:solidFill>
              <w14:schemeClr w14:val="tx1"/>
            </w14:solidFill>
          </w14:textFill>
        </w:rPr>
        <w:t>:00</w:t>
      </w:r>
      <w:r>
        <w:rPr>
          <w:rFonts w:hint="eastAsia" w:ascii="宋体" w:hAnsi="宋体"/>
          <w:color w:val="000000" w:themeColor="text1"/>
          <w:kern w:val="0"/>
          <w:sz w:val="24"/>
          <w:highlight w:val="none"/>
          <w14:textFill>
            <w14:solidFill>
              <w14:schemeClr w14:val="tx1"/>
            </w14:solidFill>
          </w14:textFill>
        </w:rPr>
        <w:t>至14</w:t>
      </w:r>
      <w:r>
        <w:rPr>
          <w:rFonts w:hint="eastAsia" w:ascii="宋体" w:hAnsi="宋体" w:cs="Arial"/>
          <w:color w:val="000000" w:themeColor="text1"/>
          <w:sz w:val="24"/>
          <w:highlight w:val="none"/>
          <w14:textFill>
            <w14:solidFill>
              <w14:schemeClr w14:val="tx1"/>
            </w14:solidFill>
          </w14:textFill>
        </w:rPr>
        <w:t>:30</w:t>
      </w:r>
      <w:r>
        <w:rPr>
          <w:rFonts w:hint="eastAsia" w:ascii="宋体" w:hAnsi="宋体"/>
          <w:color w:val="000000" w:themeColor="text1"/>
          <w:kern w:val="0"/>
          <w:sz w:val="24"/>
          <w:highlight w:val="none"/>
          <w14:textFill>
            <w14:solidFill>
              <w14:schemeClr w14:val="tx1"/>
            </w14:solidFill>
          </w14:textFill>
        </w:rPr>
        <w:t>将询价响应文件送达询价通知书指定地点，逾期或不符合规定的询价响应文件恕不接受。</w:t>
      </w:r>
    </w:p>
    <w:p>
      <w:pPr>
        <w:snapToGrid w:val="0"/>
        <w:spacing w:line="360" w:lineRule="auto"/>
        <w:ind w:firstLine="482"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六、</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供应商认为询价通知书使自己的权益受到损害的，可以自收到询价通知书之日（获取/发售截止日之后收到采购文件的，以获取/发售截止日为准）起至询价响应截止时间之前，以书面形式一次性向采购人和</w:t>
      </w: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kern w:val="0"/>
          <w:sz w:val="24"/>
          <w:highlight w:val="none"/>
          <w14:textFill>
            <w14:solidFill>
              <w14:schemeClr w14:val="tx1"/>
            </w14:solidFill>
          </w14:textFill>
        </w:rPr>
        <w:t>提出同一环节的质疑。否则，被质疑人可不予接受。质疑供应商对采购人、</w:t>
      </w: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kern w:val="0"/>
          <w:sz w:val="24"/>
          <w:highlight w:val="none"/>
          <w14:textFill>
            <w14:solidFill>
              <w14:schemeClr w14:val="tx1"/>
            </w14:solidFill>
          </w14:textFill>
        </w:rPr>
        <w:t>的答复不满意或者采购人、</w:t>
      </w:r>
      <w:r>
        <w:rPr>
          <w:rFonts w:hint="eastAsia" w:ascii="宋体" w:hAnsi="宋体" w:cs="宋体"/>
          <w:color w:val="000000" w:themeColor="text1"/>
          <w:sz w:val="24"/>
          <w:highlight w:val="none"/>
          <w14:textFill>
            <w14:solidFill>
              <w14:schemeClr w14:val="tx1"/>
            </w14:solidFill>
          </w14:textFill>
        </w:rPr>
        <w:t>采购代理机构</w:t>
      </w:r>
      <w:r>
        <w:rPr>
          <w:rFonts w:hint="eastAsia" w:ascii="宋体" w:hAnsi="宋体" w:cs="宋体"/>
          <w:color w:val="000000" w:themeColor="text1"/>
          <w:kern w:val="0"/>
          <w:sz w:val="24"/>
          <w:highlight w:val="none"/>
          <w14:textFill>
            <w14:solidFill>
              <w14:schemeClr w14:val="tx1"/>
            </w14:solidFill>
          </w14:textFill>
        </w:rPr>
        <w:t>未在规定的时间内作出答复的，可以在答复期满后十五个工作日内向同级政府采购监督管理部门投诉。</w:t>
      </w:r>
    </w:p>
    <w:p>
      <w:pPr>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2、根据《浙江省政府采购供应商注册及诚信管理暂行办法》浙财采监【2009】28号文件，请各询价响应供应商及时办理浙江政府采购网“政府采购供应商注册”手续。</w:t>
      </w:r>
    </w:p>
    <w:p>
      <w:pPr>
        <w:snapToGrid w:val="0"/>
        <w:spacing w:line="40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3．参与政府采购活动的供应商，应当先在浙江省政府采购网上申请注册，询价采购文件可从网上直接下载。</w:t>
      </w:r>
    </w:p>
    <w:p>
      <w:pPr>
        <w:snapToGrid w:val="0"/>
        <w:spacing w:line="40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4．本项目所有公告发布网站：“浙江省政府采购网”（http:// www.zjzfcg.gov.cn）和“玉环市公共资源交易中心”（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"https://www.yhjyzx.com/News/zcfg/zfcg" </w:instrText>
      </w:r>
      <w:r>
        <w:rPr>
          <w:color w:val="000000" w:themeColor="text1"/>
          <w:highlight w:val="none"/>
          <w14:textFill>
            <w14:solidFill>
              <w14:schemeClr w14:val="tx1"/>
            </w14:solidFill>
          </w14:textFill>
        </w:rPr>
        <w:fldChar w:fldCharType="separate"/>
      </w:r>
      <w:r>
        <w:rPr>
          <w:rStyle w:val="27"/>
          <w:rFonts w:hint="eastAsia" w:ascii="宋体" w:hAnsi="宋体" w:cs="Arial"/>
          <w:color w:val="000000" w:themeColor="text1"/>
          <w:sz w:val="24"/>
          <w:highlight w:val="none"/>
          <w14:textFill>
            <w14:solidFill>
              <w14:schemeClr w14:val="tx1"/>
            </w14:solidFill>
          </w14:textFill>
        </w:rPr>
        <w:t>https://www.yhjyzx.com/News/zcfg/zfcg</w:t>
      </w:r>
      <w:r>
        <w:rPr>
          <w:rStyle w:val="27"/>
          <w:rFonts w:hint="eastAsia" w:ascii="宋体" w:hAnsi="宋体" w:cs="Arial"/>
          <w:color w:val="000000" w:themeColor="text1"/>
          <w:sz w:val="24"/>
          <w:highlight w:val="none"/>
          <w14:textFill>
            <w14:solidFill>
              <w14:schemeClr w14:val="tx1"/>
            </w14:solidFill>
          </w14:textFill>
        </w:rPr>
        <w:fldChar w:fldCharType="end"/>
      </w:r>
      <w:r>
        <w:rPr>
          <w:rFonts w:hint="eastAsia" w:ascii="宋体" w:hAnsi="宋体" w:cs="Arial"/>
          <w:color w:val="000000" w:themeColor="text1"/>
          <w:sz w:val="24"/>
          <w:highlight w:val="none"/>
          <w14:textFill>
            <w14:solidFill>
              <w14:schemeClr w14:val="tx1"/>
            </w14:solidFill>
          </w14:textFill>
        </w:rPr>
        <w:t>）。</w:t>
      </w:r>
    </w:p>
    <w:p>
      <w:pPr>
        <w:spacing w:line="360" w:lineRule="auto"/>
        <w:ind w:firstLine="590" w:firstLineChars="24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八、联系方式：</w:t>
      </w:r>
    </w:p>
    <w:p>
      <w:pPr>
        <w:spacing w:line="40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联系人：胡先生   联系电话：15967041020     </w:t>
      </w:r>
    </w:p>
    <w:p>
      <w:pPr>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玉环市清港镇中心小学</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章老师       联系电话：0576-89915021</w:t>
      </w:r>
    </w:p>
    <w:p>
      <w:pPr>
        <w:spacing w:line="40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00" w:lineRule="exact"/>
        <w:ind w:left="525" w:left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0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spacing w:line="360" w:lineRule="auto"/>
        <w:ind w:firstLine="600" w:firstLineChars="250"/>
        <w:rPr>
          <w:rFonts w:ascii="宋体" w:hAnsi="宋体" w:cs="Arial"/>
          <w:color w:val="000000" w:themeColor="text1"/>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firstLine="3120" w:firstLineChars="1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 杭州华旗招标代理有限公司</w:t>
      </w:r>
    </w:p>
    <w:p>
      <w:pPr>
        <w:snapToGrid w:val="0"/>
        <w:spacing w:line="360" w:lineRule="auto"/>
        <w:ind w:right="480" w:firstLine="600" w:firstLineChars="250"/>
        <w:jc w:val="center"/>
        <w:rPr>
          <w:rFonts w:ascii="宋体"/>
          <w:color w:val="000000" w:themeColor="text1"/>
          <w:kern w:val="0"/>
          <w:sz w:val="24"/>
          <w:highlight w:val="none"/>
          <w14:textFill>
            <w14:solidFill>
              <w14:schemeClr w14:val="tx1"/>
            </w14:solidFill>
          </w14:textFill>
        </w:rPr>
      </w:pP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color w:val="000000" w:themeColor="text1"/>
          <w:kern w:val="0"/>
          <w:sz w:val="24"/>
          <w:highlight w:val="none"/>
          <w14:textFill>
            <w14:solidFill>
              <w14:schemeClr w14:val="tx1"/>
            </w14:solidFill>
          </w14:textFill>
        </w:rPr>
        <w:t>2019年09月</w:t>
      </w:r>
      <w:r>
        <w:rPr>
          <w:rFonts w:hint="eastAsia"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lang w:val="en-US" w:eastAsia="zh-CN"/>
          <w14:textFill>
            <w14:solidFill>
              <w14:schemeClr w14:val="tx1"/>
            </w14:solidFill>
          </w14:textFill>
        </w:rPr>
        <w:t>9</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23"/>
        <w:tblW w:w="8726"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1764"/>
      </w:tblGrid>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24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Layout w:type="fixed"/>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129"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245"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245"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245"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6" w:hRule="atLeast"/>
        </w:trPr>
        <w:tc>
          <w:tcPr>
            <w:tcW w:w="87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76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kern w:val="0"/>
          <w:sz w:val="24"/>
          <w:highlight w:val="none"/>
          <w14:textFill>
            <w14:solidFill>
              <w14:schemeClr w14:val="tx1"/>
            </w14:solidFill>
          </w14:textFill>
        </w:rPr>
      </w:pPr>
    </w:p>
    <w:p>
      <w:pPr>
        <w:numPr>
          <w:ilvl w:val="0"/>
          <w:numId w:val="4"/>
        </w:num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供应商</w:t>
      </w:r>
      <w:r>
        <w:rPr>
          <w:rFonts w:ascii="宋体" w:hAnsi="宋体"/>
          <w:b/>
          <w:color w:val="000000" w:themeColor="text1"/>
          <w:sz w:val="36"/>
          <w:szCs w:val="36"/>
          <w:highlight w:val="none"/>
          <w14:textFill>
            <w14:solidFill>
              <w14:schemeClr w14:val="tx1"/>
            </w14:solidFill>
          </w14:textFill>
        </w:rPr>
        <w:t>须知</w:t>
      </w:r>
    </w:p>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前附表</w:t>
      </w:r>
    </w:p>
    <w:tbl>
      <w:tblPr>
        <w:tblStyle w:val="23"/>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符合询价采购公告资格要求的供应商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领取询价</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olor w:val="000000" w:themeColor="text1"/>
                <w:kern w:val="0"/>
                <w:sz w:val="24"/>
                <w:highlight w:val="none"/>
                <w14:textFill>
                  <w14:solidFill>
                    <w14:schemeClr w14:val="tx1"/>
                  </w14:solidFill>
                </w14:textFill>
              </w:rPr>
              <w:t>后，各磋商供应商请自行踏勘。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采购人：章老师  0576-89915021。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询价响应文件有效期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询价响应有效期为询价后90天，</w:t>
            </w:r>
            <w:r>
              <w:rPr>
                <w:rFonts w:hint="eastAsia" w:ascii="宋体" w:hAnsi="宋体" w:cs="宋体"/>
                <w:color w:val="000000" w:themeColor="text1"/>
                <w:kern w:val="0"/>
                <w:sz w:val="24"/>
                <w:highlight w:val="none"/>
                <w14:textFill>
                  <w14:solidFill>
                    <w14:schemeClr w14:val="tx1"/>
                  </w14:solidFill>
                </w14:textFill>
              </w:rPr>
              <w:t>询价响应有效期从提交询价响应文件的截止之日起算。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w:t>
            </w:r>
            <w:r>
              <w:rPr>
                <w:rFonts w:hint="eastAsia" w:ascii="宋体" w:hAnsi="宋体" w:cs="Arial"/>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日14:30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递交地点：玉环市公共资源交易中心二楼开标室（四）（玉环市新城中路与长治路（南一路）交叉路口）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逾期送达的询价响应文件恕不接受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w:t>
            </w:r>
            <w:r>
              <w:rPr>
                <w:rFonts w:hint="eastAsia" w:ascii="宋体" w:hAnsi="宋体" w:cs="Arial"/>
                <w:color w:val="000000" w:themeColor="text1"/>
                <w:sz w:val="24"/>
                <w:highlight w:val="none"/>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日14:30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地点：玉环市公共资源交易中心二楼开标室（四）（玉环市新城中路与长治路（南一路）交叉路口）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供应商在签订合同前须交纳本项目履约保证金为合同金额的</w:t>
            </w:r>
            <w:r>
              <w:rPr>
                <w:rFonts w:hint="eastAsia" w:ascii="宋体" w:hAnsi="宋体" w:cs="宋体"/>
                <w:color w:val="000000" w:themeColor="text1"/>
                <w:highlight w:val="none"/>
                <w:u w:val="single"/>
                <w14:textFill>
                  <w14:solidFill>
                    <w14:schemeClr w14:val="tx1"/>
                  </w14:solidFill>
                </w14:textFill>
              </w:rPr>
              <w:t xml:space="preserve"> 10  </w:t>
            </w:r>
            <w:r>
              <w:rPr>
                <w:rFonts w:hint="eastAsia" w:ascii="宋体"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带“</w:t>
            </w:r>
            <w:r>
              <w:rPr>
                <w:rFonts w:hint="eastAsia" w:ascii="宋体" w:hAnsi="宋体" w:cs="宋体"/>
                <w:bCs/>
                <w:color w:val="000000" w:themeColor="text1"/>
                <w:sz w:val="24"/>
                <w:highlight w:val="none"/>
                <w14:textFill>
                  <w14:solidFill>
                    <w14:schemeClr w14:val="tx1"/>
                  </w14:solidFill>
                </w14:textFill>
              </w:rPr>
              <w:t>▲”的条款是实质性条款，询价响应文件须作出实质性响应，否则作无效响应处理。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本询价通知书解释权属于采购人和</w:t>
            </w:r>
            <w:r>
              <w:rPr>
                <w:rFonts w:hint="eastAsia" w:ascii="宋体" w:hAnsi="宋体" w:cs="Arial"/>
                <w:color w:val="000000" w:themeColor="text1"/>
                <w:sz w:val="24"/>
                <w:highlight w:val="none"/>
                <w14:textFill>
                  <w14:solidFill>
                    <w14:schemeClr w14:val="tx1"/>
                  </w14:solidFill>
                </w14:textFill>
              </w:rPr>
              <w:t>采购代理机构</w:t>
            </w:r>
          </w:p>
        </w:tc>
      </w:tr>
    </w:tbl>
    <w:p>
      <w:pPr>
        <w:tabs>
          <w:tab w:val="left" w:pos="4270"/>
        </w:tabs>
        <w:jc w:val="center"/>
        <w:rPr>
          <w:b/>
          <w:color w:val="000000" w:themeColor="text1"/>
          <w:sz w:val="24"/>
          <w:highlight w:val="none"/>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highlight w:val="none"/>
          <w14:textFill>
            <w14:solidFill>
              <w14:schemeClr w14:val="tx1"/>
            </w14:solidFill>
          </w14:textFill>
        </w:rPr>
      </w:pPr>
    </w:p>
    <w:p>
      <w:pPr>
        <w:pStyle w:val="13"/>
        <w:snapToGrid w:val="0"/>
        <w:spacing w:before="120" w:after="120" w:line="360" w:lineRule="auto"/>
        <w:ind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一 、总  则</w:t>
      </w:r>
    </w:p>
    <w:p>
      <w:pPr>
        <w:snapToGrid w:val="0"/>
        <w:spacing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本询价通知书适用于</w:t>
      </w:r>
      <w:r>
        <w:rPr>
          <w:rFonts w:hint="eastAsia" w:ascii="宋体" w:hAnsi="宋体"/>
          <w:bCs/>
          <w:color w:val="000000" w:themeColor="text1"/>
          <w:sz w:val="24"/>
          <w:highlight w:val="none"/>
          <w14:textFill>
            <w14:solidFill>
              <w14:schemeClr w14:val="tx1"/>
            </w14:solidFill>
          </w14:textFill>
        </w:rPr>
        <w:t>本次</w:t>
      </w:r>
      <w:r>
        <w:rPr>
          <w:rFonts w:hint="eastAsia" w:ascii="宋体" w:hAnsi="宋体"/>
          <w:color w:val="000000" w:themeColor="text1"/>
          <w:sz w:val="24"/>
          <w:highlight w:val="none"/>
          <w14:textFill>
            <w14:solidFill>
              <w14:schemeClr w14:val="tx1"/>
            </w14:solidFill>
          </w14:textFill>
        </w:rPr>
        <w:t>项目的询价</w:t>
      </w:r>
      <w:r>
        <w:rPr>
          <w:rFonts w:hint="eastAsia" w:ascii="宋体" w:hAnsi="宋体"/>
          <w:bCs/>
          <w:color w:val="000000" w:themeColor="text1"/>
          <w:sz w:val="24"/>
          <w:highlight w:val="none"/>
          <w14:textFill>
            <w14:solidFill>
              <w14:schemeClr w14:val="tx1"/>
            </w14:solidFill>
          </w14:textFill>
        </w:rPr>
        <w:t>、评审、</w:t>
      </w:r>
      <w:r>
        <w:rPr>
          <w:rFonts w:hint="eastAsia" w:ascii="宋体" w:hAnsi="宋体"/>
          <w:color w:val="000000" w:themeColor="text1"/>
          <w:sz w:val="24"/>
          <w:highlight w:val="none"/>
          <w14:textFill>
            <w14:solidFill>
              <w14:schemeClr w14:val="tx1"/>
            </w14:solidFill>
          </w14:textFill>
        </w:rPr>
        <w:t>确定成交供应商、验收、合同履约、付款等行为（法律、法规另有规定的，从其规定）。</w:t>
      </w:r>
    </w:p>
    <w:p>
      <w:pPr>
        <w:snapToGrid w:val="0"/>
        <w:spacing w:beforeLines="50" w:line="360" w:lineRule="auto"/>
        <w:ind w:firstLine="354" w:firstLineChars="147"/>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b w:val="0"/>
          <w:bCs w:val="0"/>
          <w:color w:val="000000" w:themeColor="text1"/>
          <w:sz w:val="24"/>
          <w:szCs w:val="24"/>
          <w:highlight w:val="none"/>
          <w:lang w:val="zh-CN"/>
          <w14:textFill>
            <w14:solidFill>
              <w14:schemeClr w14:val="tx1"/>
            </w14:solidFill>
          </w14:textFill>
        </w:rPr>
      </w:pPr>
      <w:r>
        <w:rPr>
          <w:rFonts w:hint="eastAsia" w:ascii="宋体" w:hAnsi="宋体"/>
          <w:b w:val="0"/>
          <w:bCs w:val="0"/>
          <w:color w:val="000000" w:themeColor="text1"/>
          <w:sz w:val="24"/>
          <w:szCs w:val="24"/>
          <w:highlight w:val="none"/>
          <w:lang w:val="zh-CN"/>
          <w14:textFill>
            <w14:solidFill>
              <w14:schemeClr w14:val="tx1"/>
            </w14:solidFill>
          </w14:textFill>
        </w:rPr>
        <w:t>1、“采购组织机构”指采购人委托组织询价的集中采购机构或采购代理机构。</w:t>
      </w:r>
    </w:p>
    <w:p>
      <w:pPr>
        <w:snapToGrid w:val="0"/>
        <w:spacing w:line="360" w:lineRule="auto"/>
        <w:ind w:firstLine="566" w:firstLineChars="23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集中采购机构或</w:t>
      </w:r>
      <w:r>
        <w:rPr>
          <w:rFonts w:hint="eastAsia" w:ascii="宋体" w:hAnsi="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3、询价供应商：是</w:t>
      </w:r>
      <w:r>
        <w:rPr>
          <w:rFonts w:ascii="宋体" w:hAnsi="宋体"/>
          <w:color w:val="000000" w:themeColor="text1"/>
          <w:sz w:val="24"/>
          <w:highlight w:val="none"/>
          <w14:textFill>
            <w14:solidFill>
              <w14:schemeClr w14:val="tx1"/>
            </w14:solidFill>
          </w14:textFill>
        </w:rPr>
        <w:t>指向</w:t>
      </w:r>
      <w:r>
        <w:rPr>
          <w:rFonts w:hint="eastAsia" w:ascii="宋体" w:hAnsi="宋体"/>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w:t>
      </w:r>
      <w:r>
        <w:rPr>
          <w:rFonts w:ascii="宋体" w:hAnsi="宋体"/>
          <w:color w:val="000000" w:themeColor="text1"/>
          <w:sz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货物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服务</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“▲”系指实质性要求条款。</w:t>
      </w:r>
    </w:p>
    <w:p>
      <w:pPr>
        <w:snapToGrid w:val="0"/>
        <w:spacing w:beforeLines="50" w:line="360" w:lineRule="auto"/>
        <w:ind w:firstLine="472" w:firstLineChars="196"/>
        <w:jc w:val="left"/>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（三）询价费用</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不论询价结果如何，供应商均应自行承担所有与询价有关的全部费用（询价通知书有相关规定除外）。</w:t>
      </w:r>
    </w:p>
    <w:p>
      <w:pPr>
        <w:pStyle w:val="13"/>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3"/>
        <w:snapToGrid w:val="0"/>
        <w:spacing w:line="360" w:lineRule="auto"/>
        <w:ind w:left="2" w:leftChars="1"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1、供应商</w:t>
      </w:r>
      <w:r>
        <w:rPr>
          <w:rFonts w:hAnsi="宋体"/>
          <w:color w:val="000000" w:themeColor="text1"/>
          <w:sz w:val="24"/>
          <w:highlight w:val="none"/>
          <w14:textFill>
            <w14:solidFill>
              <w14:schemeClr w14:val="tx1"/>
            </w14:solidFill>
          </w14:textFill>
        </w:rPr>
        <w:t>所使用的资格、信誉、荣誉、业绩与企业认证必须为本法人所拥有。</w:t>
      </w:r>
      <w:r>
        <w:rPr>
          <w:rFonts w:hint="eastAsia" w:hAnsi="宋体"/>
          <w:color w:val="000000" w:themeColor="text1"/>
          <w:sz w:val="24"/>
          <w:highlight w:val="none"/>
          <w14:textFill>
            <w14:solidFill>
              <w14:schemeClr w14:val="tx1"/>
            </w14:solidFill>
          </w14:textFill>
        </w:rPr>
        <w:t>供应商</w:t>
      </w:r>
      <w:r>
        <w:rPr>
          <w:rFonts w:hAnsi="宋体"/>
          <w:color w:val="000000" w:themeColor="text1"/>
          <w:sz w:val="24"/>
          <w:highlight w:val="none"/>
          <w14:textFill>
            <w14:solidFill>
              <w14:schemeClr w14:val="tx1"/>
            </w14:solidFill>
          </w14:textFill>
        </w:rPr>
        <w:t>所使用的采购项目实施人员必须为本法人员工（</w:t>
      </w:r>
      <w:r>
        <w:rPr>
          <w:rFonts w:hint="eastAsia" w:hAnsi="宋体"/>
          <w:color w:val="000000" w:themeColor="text1"/>
          <w:sz w:val="24"/>
          <w:highlight w:val="none"/>
          <w14:textFill>
            <w14:solidFill>
              <w14:schemeClr w14:val="tx1"/>
            </w14:solidFill>
          </w14:textFill>
        </w:rPr>
        <w:t>指</w:t>
      </w:r>
      <w:r>
        <w:rPr>
          <w:rFonts w:hAnsi="宋体"/>
          <w:color w:val="000000" w:themeColor="text1"/>
          <w:sz w:val="24"/>
          <w:highlight w:val="none"/>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供应商所标产品除询价通知书中明确规定要求“提供官网截图或相应检测报告的证明材料”以外，所有技术参数描述均以询价通知书为准。</w:t>
      </w:r>
      <w:r>
        <w:rPr>
          <w:rFonts w:hint="eastAsia" w:hAnsi="宋体"/>
          <w:b/>
          <w:bCs/>
          <w:color w:val="000000" w:themeColor="text1"/>
          <w:sz w:val="24"/>
          <w:highlight w:val="none"/>
          <w14:textFill>
            <w14:solidFill>
              <w14:schemeClr w14:val="tx1"/>
            </w14:solidFill>
          </w14:textFill>
        </w:rPr>
        <w:t>询价</w:t>
      </w:r>
      <w:r>
        <w:rPr>
          <w:rFonts w:hint="eastAsia" w:hAnsi="宋体"/>
          <w:b/>
          <w:color w:val="000000" w:themeColor="text1"/>
          <w:sz w:val="24"/>
          <w:highlight w:val="none"/>
          <w14:textFill>
            <w14:solidFill>
              <w14:schemeClr w14:val="tx1"/>
            </w14:solidFill>
          </w14:textFill>
        </w:rPr>
        <w:t>供应商对所投产品技术参数的真实性承担法律责任。</w:t>
      </w:r>
      <w:r>
        <w:rPr>
          <w:rFonts w:hint="eastAsia" w:hAnsi="宋体"/>
          <w:color w:val="000000" w:themeColor="text1"/>
          <w:sz w:val="24"/>
          <w:highlight w:val="none"/>
          <w14:textFill>
            <w14:solidFill>
              <w14:schemeClr w14:val="tx1"/>
            </w14:solidFill>
          </w14:textFill>
        </w:rPr>
        <w:t>项目询价采购结束后、质疑期限内，如有质疑供应商认为成交供应商所标产品、询价响应文件技术参数与采购需求存在重大偏离、错误、甚至造假的情况，应提供具体有效的证明材料。</w:t>
      </w:r>
      <w:r>
        <w:rPr>
          <w:rFonts w:hint="eastAsia"/>
          <w:color w:val="000000" w:themeColor="text1"/>
          <w:sz w:val="24"/>
          <w:highlight w:val="none"/>
          <w14:textFill>
            <w14:solidFill>
              <w14:schemeClr w14:val="tx1"/>
            </w14:solidFill>
          </w14:textFill>
        </w:rPr>
        <w:tab/>
      </w:r>
    </w:p>
    <w:p>
      <w:pPr>
        <w:pStyle w:val="40"/>
        <w:snapToGrid w:val="0"/>
        <w:spacing w:line="360" w:lineRule="auto"/>
        <w:ind w:firstLineChars="0"/>
        <w:rPr>
          <w:rFonts w:ascii="仿宋_GB2312" w:hAnsi="仿宋_GB2312" w:eastAsia="仿宋_GB2312" w:cs="仿宋_GB2312"/>
          <w:color w:val="000000" w:themeColor="text1"/>
          <w:sz w:val="24"/>
          <w:szCs w:val="24"/>
          <w:highlight w:val="none"/>
          <w:shd w:val="clear" w:color="FFFFFF" w:fill="D9D9D9"/>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3、供应商</w:t>
      </w:r>
      <w:r>
        <w:rPr>
          <w:rFonts w:ascii="宋体" w:hAnsi="宋体"/>
          <w:color w:val="000000" w:themeColor="text1"/>
          <w:sz w:val="24"/>
          <w:szCs w:val="24"/>
          <w:highlight w:val="none"/>
          <w14:textFill>
            <w14:solidFill>
              <w14:schemeClr w14:val="tx1"/>
            </w14:solidFill>
          </w14:textFill>
        </w:rPr>
        <w:t>在</w:t>
      </w:r>
      <w:r>
        <w:rPr>
          <w:rFonts w:hint="eastAsia" w:ascii="宋体" w:hAnsi="宋体"/>
          <w:color w:val="000000" w:themeColor="text1"/>
          <w:sz w:val="24"/>
          <w:szCs w:val="24"/>
          <w:highlight w:val="none"/>
          <w14:textFill>
            <w14:solidFill>
              <w14:schemeClr w14:val="tx1"/>
            </w14:solidFill>
          </w14:textFill>
        </w:rPr>
        <w:t>询价</w:t>
      </w:r>
      <w:r>
        <w:rPr>
          <w:rFonts w:ascii="宋体" w:hAnsi="宋体"/>
          <w:color w:val="000000" w:themeColor="text1"/>
          <w:sz w:val="24"/>
          <w:szCs w:val="24"/>
          <w:highlight w:val="none"/>
          <w14:textFill>
            <w14:solidFill>
              <w14:schemeClr w14:val="tx1"/>
            </w14:solidFill>
          </w14:textFill>
        </w:rPr>
        <w:t>活动中提供任何虚假材料,其</w:t>
      </w:r>
      <w:r>
        <w:rPr>
          <w:rFonts w:hint="eastAsia" w:ascii="宋体" w:hAnsi="宋体"/>
          <w:color w:val="000000" w:themeColor="text1"/>
          <w:sz w:val="24"/>
          <w:szCs w:val="24"/>
          <w:highlight w:val="none"/>
          <w14:textFill>
            <w14:solidFill>
              <w14:schemeClr w14:val="tx1"/>
            </w14:solidFill>
          </w14:textFill>
        </w:rPr>
        <w:t>响应</w:t>
      </w:r>
      <w:r>
        <w:rPr>
          <w:rFonts w:ascii="宋体" w:hAnsi="宋体"/>
          <w:color w:val="000000" w:themeColor="text1"/>
          <w:sz w:val="24"/>
          <w:szCs w:val="24"/>
          <w:highlight w:val="none"/>
          <w14:textFill>
            <w14:solidFill>
              <w14:schemeClr w14:val="tx1"/>
            </w14:solidFill>
          </w14:textFill>
        </w:rPr>
        <w:t>无效，并报监管部门查处；</w:t>
      </w:r>
      <w:r>
        <w:rPr>
          <w:rFonts w:hint="eastAsia" w:ascii="宋体" w:hAnsi="宋体"/>
          <w:color w:val="000000" w:themeColor="text1"/>
          <w:sz w:val="24"/>
          <w:szCs w:val="24"/>
          <w:highlight w:val="none"/>
          <w14:textFill>
            <w14:solidFill>
              <w14:schemeClr w14:val="tx1"/>
            </w14:solidFill>
          </w14:textFill>
        </w:rPr>
        <w:t>成交</w:t>
      </w:r>
      <w:r>
        <w:rPr>
          <w:rFonts w:ascii="宋体" w:hAnsi="宋体"/>
          <w:color w:val="000000" w:themeColor="text1"/>
          <w:sz w:val="24"/>
          <w:szCs w:val="24"/>
          <w:highlight w:val="none"/>
          <w14:textFill>
            <w14:solidFill>
              <w14:schemeClr w14:val="tx1"/>
            </w14:solidFill>
          </w14:textFill>
        </w:rPr>
        <w:t>后发现的,须依照根据《中华人民共和国政府采购法》第七十七条第一款第一项之规定</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highlight w:val="none"/>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4、供应商不得相互串通询价报价，不得妨碍其他供应商的公平竞争，不得损害采购人或其他供应商的合法权益，供应商不得以向采购人、询价小组成员行贿或者采取其他不正当手段谋取成交。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6、询价响应文件格式中的表格式样可以根据项目差别做适当调整,但应当保持表格样式基本形态不变。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8、本项目不允许分包。（若本项目允许部分分包，则分包如下：供应商根据询价通知书的规定和采购项目的实际情况，拟在成交后将成交项目的非主体、非关键性工作分包的，应当在询价响应文件中载明分包承担主体，分包承担主体应当具备相应资质条件且不得再次分包。）</w:t>
      </w:r>
    </w:p>
    <w:p>
      <w:pPr>
        <w:rPr>
          <w:rFonts w:ascii="宋体"/>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b/>
          <w:color w:val="000000" w:themeColor="text1"/>
          <w:kern w:val="0"/>
          <w:sz w:val="24"/>
          <w:highlight w:val="none"/>
          <w14:textFill>
            <w14:solidFill>
              <w14:schemeClr w14:val="tx1"/>
            </w14:solidFill>
          </w14:textFill>
        </w:rPr>
        <w:t>二 、询价响应文件</w:t>
      </w:r>
    </w:p>
    <w:p>
      <w:pPr>
        <w:autoSpaceDE w:val="0"/>
        <w:autoSpaceDN w:val="0"/>
        <w:adjustRightInd w:val="0"/>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询价响应文件的组成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color w:val="000000" w:themeColor="text1"/>
          <w:kern w:val="0"/>
          <w:sz w:val="24"/>
          <w:highlight w:val="none"/>
          <w14:textFill>
            <w14:solidFill>
              <w14:schemeClr w14:val="tx1"/>
            </w14:solidFill>
          </w14:textFill>
        </w:rPr>
        <w:t>供应商应仔细阅读询价通知书的所有内容，按询价通知书的要求，详细编制询价响应文件</w:t>
      </w:r>
      <w:r>
        <w:rPr>
          <w:rFonts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lang w:val="zh-CN"/>
          <w14:textFill>
            <w14:solidFill>
              <w14:schemeClr w14:val="tx1"/>
            </w14:solidFill>
          </w14:textFill>
        </w:rPr>
        <w:t>【特别提示：如有要求提供资料原件的，原件另行包装，并与询价响应文件一起提交，询价响应截止时间后所有原件不予接收。资料原件也可以用与原件相符的公证原件替代】</w:t>
      </w:r>
    </w:p>
    <w:p>
      <w:pPr>
        <w:snapToGrid w:val="0"/>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14:textFill>
            <w14:solidFill>
              <w14:schemeClr w14:val="tx1"/>
            </w14:solidFill>
          </w14:textFill>
        </w:rPr>
        <w:t>1、资格证明内容的组成：</w:t>
      </w:r>
    </w:p>
    <w:p>
      <w:pPr>
        <w:pStyle w:val="20"/>
        <w:ind w:left="0" w:leftChars="0" w:firstLine="470"/>
        <w:rPr>
          <w:rStyle w:val="27"/>
          <w:b w:val="0"/>
          <w:color w:val="000000" w:themeColor="text1"/>
          <w:highlight w:val="none"/>
          <w:u w:val="none"/>
          <w14:textFill>
            <w14:solidFill>
              <w14:schemeClr w14:val="tx1"/>
            </w14:solidFill>
          </w14:textFill>
        </w:rPr>
      </w:pPr>
      <w:r>
        <w:rPr>
          <w:rStyle w:val="27"/>
          <w:rFonts w:hint="eastAsia"/>
          <w:b w:val="0"/>
          <w:color w:val="000000" w:themeColor="text1"/>
          <w:highlight w:val="none"/>
          <w:u w:val="none"/>
          <w14:textFill>
            <w14:solidFill>
              <w14:schemeClr w14:val="tx1"/>
            </w14:solidFill>
          </w14:textFill>
        </w:rPr>
        <w:t>（1）询价声明书</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（2）授权委托书（法定代表人亲自办理询价响应事宜的，则无需提交)；</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（3）法人或者其他组织的营业执照等证明文件，自然人的身份证明；</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（4）财务状况报告，依法缴纳税收和社会保障资金的相关材料；</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（5）具备履行合同所必需的设备和专业技术能力的证明材料(根据项目性质提供)；</w:t>
      </w:r>
    </w:p>
    <w:p>
      <w:pPr>
        <w:widowControl/>
        <w:spacing w:line="360" w:lineRule="auto"/>
        <w:ind w:right="60" w:firstLine="480" w:firstLineChars="200"/>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（6）提供采购公告中符合供应商特定条件的有效资质证书复印件（询价供应商特定条件中有要求的必须提供），以及需要说明的其他资料；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2、商务与技术内容的组成：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（2）询价响应方案描述：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ascii="宋体" w:hAnsi="宋体"/>
          <w:color w:val="000000" w:themeColor="text1"/>
          <w:kern w:val="0"/>
          <w:sz w:val="24"/>
          <w:szCs w:val="24"/>
          <w:highlight w:val="none"/>
          <w14:textFill>
            <w14:solidFill>
              <w14:schemeClr w14:val="tx1"/>
            </w14:solidFill>
          </w14:textFill>
        </w:rPr>
        <w:t>安装、调试及验收方案</w:t>
      </w:r>
      <w:r>
        <w:rPr>
          <w:rFonts w:hint="eastAsia" w:ascii="宋体" w:hAnsi="宋体"/>
          <w:color w:val="000000" w:themeColor="text1"/>
          <w:kern w:val="0"/>
          <w:sz w:val="24"/>
          <w:szCs w:val="24"/>
          <w:highlight w:val="none"/>
          <w14:textFill>
            <w14:solidFill>
              <w14:schemeClr w14:val="tx1"/>
            </w14:solidFill>
          </w14:textFill>
        </w:rPr>
        <w:t>（包括项目验收标准和验收方法等）</w:t>
      </w:r>
      <w:r>
        <w:rPr>
          <w:rFonts w:hint="eastAsia" w:ascii="宋体" w:hAnsi="宋体"/>
          <w:color w:val="000000" w:themeColor="text1"/>
          <w:sz w:val="24"/>
          <w:szCs w:val="24"/>
          <w:highlight w:val="none"/>
          <w14:textFill>
            <w14:solidFill>
              <w14:schemeClr w14:val="tx1"/>
            </w14:solidFill>
          </w14:textFill>
        </w:rPr>
        <w:t>和措施；</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（3）询价响应产品描述及相关资料：</w:t>
      </w:r>
    </w:p>
    <w:p>
      <w:pPr>
        <w:pStyle w:val="20"/>
        <w:ind w:firstLine="489" w:firstLineChars="204"/>
        <w:rPr>
          <w:color w:val="000000" w:themeColor="text1"/>
          <w:highlight w:val="none"/>
          <w14:textFill>
            <w14:solidFill>
              <w14:schemeClr w14:val="tx1"/>
            </w14:solidFill>
          </w14:textFill>
        </w:rPr>
      </w:pPr>
      <w:r>
        <w:rPr>
          <w:rStyle w:val="27"/>
          <w:rFonts w:hint="eastAsia"/>
          <w:b w:val="0"/>
          <w:color w:val="000000" w:themeColor="text1"/>
          <w:highlight w:val="none"/>
          <w:u w:val="none"/>
          <w14:textFill>
            <w14:solidFill>
              <w14:schemeClr w14:val="tx1"/>
            </w14:solidFill>
          </w14:textFill>
        </w:rPr>
        <w:t>A.询价项目供货清单。</w:t>
      </w:r>
    </w:p>
    <w:p>
      <w:pPr>
        <w:pStyle w:val="6"/>
        <w:widowControl/>
        <w:adjustRightInd w:val="0"/>
        <w:snapToGrid w:val="0"/>
        <w:spacing w:line="360" w:lineRule="auto"/>
        <w:ind w:firstLine="720" w:firstLineChars="3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询价响应产品中有节能产品的，应列明询价响应产品中有列入最新一期财政部、发展改革委公布的“节能产品政府采购清单”明细（提供所响应产品在清单中所处的页码、截图，并以明显标识标注）；询价响应产品中有环保产品的，应列明询价响应产品中有列入最新一期财政部、环境保护部公布的“环境标志产品政府采购清单”明细（提供所响应产品在清单中所处的页码、截图，并以明显标识标注）。</w:t>
      </w:r>
    </w:p>
    <w:p>
      <w:pPr>
        <w:spacing w:line="360" w:lineRule="auto"/>
        <w:ind w:left="218" w:leftChars="104" w:firstLine="619" w:firstLineChars="25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（4）供应商</w:t>
      </w:r>
      <w:r>
        <w:rPr>
          <w:rFonts w:ascii="宋体" w:hAnsi="宋体"/>
          <w:color w:val="000000" w:themeColor="text1"/>
          <w:kern w:val="0"/>
          <w:sz w:val="24"/>
          <w:highlight w:val="none"/>
          <w14:textFill>
            <w14:solidFill>
              <w14:schemeClr w14:val="tx1"/>
            </w14:solidFill>
          </w14:textFill>
        </w:rPr>
        <w:t>通过的</w:t>
      </w:r>
      <w:r>
        <w:rPr>
          <w:rFonts w:hint="eastAsia" w:ascii="宋体" w:hAnsi="宋体"/>
          <w:color w:val="000000" w:themeColor="text1"/>
          <w:kern w:val="0"/>
          <w:sz w:val="24"/>
          <w:highlight w:val="none"/>
          <w14:textFill>
            <w14:solidFill>
              <w14:schemeClr w14:val="tx1"/>
            </w14:solidFill>
          </w14:textFill>
        </w:rPr>
        <w:t>质量管理和</w:t>
      </w:r>
      <w:r>
        <w:rPr>
          <w:rFonts w:ascii="宋体" w:hAnsi="宋体"/>
          <w:color w:val="000000" w:themeColor="text1"/>
          <w:kern w:val="0"/>
          <w:sz w:val="24"/>
          <w:highlight w:val="none"/>
          <w14:textFill>
            <w14:solidFill>
              <w14:schemeClr w14:val="tx1"/>
            </w14:solidFill>
          </w14:textFill>
        </w:rPr>
        <w:t>质量</w:t>
      </w:r>
      <w:r>
        <w:rPr>
          <w:rFonts w:hint="eastAsia" w:ascii="宋体" w:hAnsi="宋体"/>
          <w:color w:val="000000" w:themeColor="text1"/>
          <w:kern w:val="0"/>
          <w:sz w:val="24"/>
          <w:highlight w:val="none"/>
          <w14:textFill>
            <w14:solidFill>
              <w14:schemeClr w14:val="tx1"/>
            </w14:solidFill>
          </w14:textFill>
        </w:rPr>
        <w:t>保证</w:t>
      </w:r>
      <w:r>
        <w:rPr>
          <w:rFonts w:ascii="宋体" w:hAnsi="宋体"/>
          <w:color w:val="000000" w:themeColor="text1"/>
          <w:kern w:val="0"/>
          <w:sz w:val="24"/>
          <w:highlight w:val="none"/>
          <w14:textFill>
            <w14:solidFill>
              <w14:schemeClr w14:val="tx1"/>
            </w14:solidFill>
          </w14:textFill>
        </w:rPr>
        <w:t>体系、环保体系、</w:t>
      </w:r>
      <w:r>
        <w:rPr>
          <w:rFonts w:hint="eastAsia" w:ascii="宋体" w:hAnsi="宋体"/>
          <w:color w:val="000000" w:themeColor="text1"/>
          <w:sz w:val="24"/>
          <w:highlight w:val="none"/>
          <w14:textFill>
            <w14:solidFill>
              <w14:schemeClr w14:val="tx1"/>
            </w14:solidFill>
          </w14:textFill>
        </w:rPr>
        <w:t>自主创新相关证书、软件著作权证等等与本项目相关</w:t>
      </w:r>
      <w:r>
        <w:rPr>
          <w:rFonts w:ascii="宋体" w:hAnsi="宋体"/>
          <w:color w:val="000000" w:themeColor="text1"/>
          <w:kern w:val="0"/>
          <w:sz w:val="24"/>
          <w:highlight w:val="none"/>
          <w14:textFill>
            <w14:solidFill>
              <w14:schemeClr w14:val="tx1"/>
            </w14:solidFill>
          </w14:textFill>
        </w:rPr>
        <w:t>的认证证书</w:t>
      </w:r>
      <w:r>
        <w:rPr>
          <w:rFonts w:hint="eastAsia" w:ascii="宋体" w:hAnsi="宋体"/>
          <w:color w:val="000000" w:themeColor="text1"/>
          <w:kern w:val="0"/>
          <w:sz w:val="24"/>
          <w:highlight w:val="none"/>
          <w14:textFill>
            <w14:solidFill>
              <w14:schemeClr w14:val="tx1"/>
            </w14:solidFill>
          </w14:textFill>
        </w:rPr>
        <w:t>或文件；</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（5）近三年来类似项目的成功案例（供应商类似项目实施情况一览表、合同复印件及其相应的发票、用户验收报告等）；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（6）供应商认为需要提供的其他资料（包括可能影响供应商商务与技术内容评分的各类证明材料）。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3、报价内容的组成</w:t>
      </w:r>
    </w:p>
    <w:p>
      <w:pPr>
        <w:pStyle w:val="20"/>
        <w:ind w:left="0" w:leftChars="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（1）报价内容由</w:t>
      </w:r>
      <w:r>
        <w:rPr>
          <w:rStyle w:val="27"/>
          <w:rFonts w:hint="eastAsia"/>
          <w:bCs/>
          <w:color w:val="000000" w:themeColor="text1"/>
          <w:highlight w:val="none"/>
          <w:u w:val="none"/>
          <w14:textFill>
            <w14:solidFill>
              <w14:schemeClr w14:val="tx1"/>
            </w14:solidFill>
          </w14:textFill>
        </w:rPr>
        <w:t>报价表</w:t>
      </w:r>
      <w:r>
        <w:rPr>
          <w:rFonts w:hint="eastAsia"/>
          <w:bCs/>
          <w:color w:val="000000" w:themeColor="text1"/>
          <w:kern w:val="0"/>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报价明细表，以及供应商认为其他需要说明的内容组成。</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（2）此报价为供应商针对本项目报出的唯一的报价，包含其它一切所要涉及到的费用，有选择的报价将被拒绝。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（5）相关报价表需打印或用不退色的墨水填写， 询价响应报价表不得涂改和增删，如有错漏必须修改，修改处须由同一签署人签字或盖章。由于字迹模糊或表达不清引起的后果由供应商负责。</w:t>
      </w:r>
    </w:p>
    <w:p>
      <w:pPr>
        <w:autoSpaceDE w:val="0"/>
        <w:autoSpaceDN w:val="0"/>
        <w:adjustRightInd w:val="0"/>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有关表格</w:t>
      </w:r>
      <w:r>
        <w:rPr>
          <w:rFonts w:ascii="宋体" w:hAnsi="宋体"/>
          <w:color w:val="000000" w:themeColor="text1"/>
          <w:sz w:val="24"/>
          <w:highlight w:val="none"/>
          <w14:textFill>
            <w14:solidFill>
              <w14:schemeClr w14:val="tx1"/>
            </w14:solidFill>
          </w14:textFill>
        </w:rPr>
        <w:t>应按</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中相关附表格式填写。</w:t>
      </w:r>
    </w:p>
    <w:p>
      <w:pPr>
        <w:autoSpaceDE w:val="0"/>
        <w:autoSpaceDN w:val="0"/>
        <w:adjustRightInd w:val="0"/>
        <w:ind w:firstLine="480" w:firstLineChars="200"/>
        <w:rPr>
          <w:rFonts w:ascii="宋体" w:hAnsi="宋体"/>
          <w:color w:val="000000" w:themeColor="text1"/>
          <w:sz w:val="24"/>
          <w:highlight w:val="none"/>
          <w14:textFill>
            <w14:solidFill>
              <w14:schemeClr w14:val="tx1"/>
            </w14:solidFill>
          </w14:textFill>
        </w:rPr>
      </w:pPr>
    </w:p>
    <w:p>
      <w:pPr>
        <w:rPr>
          <w:rFonts w:ascii="宋体" w:hAnsi="宋体"/>
          <w:b/>
          <w:bCs/>
          <w:color w:val="000000" w:themeColor="text1"/>
          <w:kern w:val="0"/>
          <w:sz w:val="24"/>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（二）询价响应文件的制作、封装及递交要求</w:t>
      </w:r>
    </w:p>
    <w:p>
      <w:pPr>
        <w:autoSpaceDE w:val="0"/>
        <w:autoSpaceDN w:val="0"/>
        <w:adjustRightInd w:val="0"/>
        <w:spacing w:line="360" w:lineRule="auto"/>
        <w:ind w:firstLine="48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1、询价响应文件的制作要求</w:t>
      </w:r>
    </w:p>
    <w:p>
      <w:pPr>
        <w:autoSpaceDE w:val="0"/>
        <w:autoSpaceDN w:val="0"/>
        <w:adjustRightInd w:val="0"/>
        <w:spacing w:line="360" w:lineRule="auto"/>
        <w:ind w:firstLine="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（1）供应商应按照询价通知书组成内容及项目询价采购需求制作询价响应文件，</w:t>
      </w:r>
      <w:r>
        <w:rPr>
          <w:rFonts w:hint="eastAsia" w:ascii="宋体" w:hAnsi="宋体"/>
          <w:color w:val="000000" w:themeColor="text1"/>
          <w:kern w:val="0"/>
          <w:sz w:val="24"/>
          <w:highlight w:val="none"/>
          <w14:textFill>
            <w14:solidFill>
              <w14:schemeClr w14:val="tx1"/>
            </w14:solidFill>
          </w14:textFill>
        </w:rPr>
        <w:t>不按询价通知书要求制作询价响应文件的将视情处理（拒收、扣分等），由此产生的责任由供应商自行承担。</w:t>
      </w:r>
    </w:p>
    <w:p>
      <w:pPr>
        <w:autoSpaceDE w:val="0"/>
        <w:autoSpaceDN w:val="0"/>
        <w:adjustRightIn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（2）供应商应对所提供的全部资料的真实性承担法律责任，</w:t>
      </w:r>
      <w:r>
        <w:rPr>
          <w:rFonts w:hint="eastAsia" w:ascii="宋体" w:hAnsi="宋体"/>
          <w:color w:val="000000" w:themeColor="text1"/>
          <w:kern w:val="0"/>
          <w:sz w:val="24"/>
          <w:highlight w:val="none"/>
          <w:lang w:val="zh-CN"/>
          <w14:textFill>
            <w14:solidFill>
              <w14:schemeClr w14:val="tx1"/>
            </w14:solidFill>
          </w14:textFill>
        </w:rPr>
        <w:t>询价响应文件内容中有要求盖章或签字的地方，必须加盖供应商的公章以及法定代表人或全权代表盖章或签字。</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kern w:val="0"/>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文件以及</w:t>
      </w:r>
      <w:r>
        <w:rPr>
          <w:rFonts w:hint="eastAsia" w:ascii="宋体" w:hAnsi="宋体"/>
          <w:color w:val="000000" w:themeColor="text1"/>
          <w:sz w:val="24"/>
          <w:highlight w:val="none"/>
          <w14:textFill>
            <w14:solidFill>
              <w14:schemeClr w14:val="tx1"/>
            </w14:solidFill>
          </w14:textFill>
        </w:rPr>
        <w:t>询价供应商</w:t>
      </w:r>
      <w:r>
        <w:rPr>
          <w:rFonts w:ascii="宋体" w:hAnsi="宋体"/>
          <w:color w:val="000000" w:themeColor="text1"/>
          <w:sz w:val="24"/>
          <w:highlight w:val="none"/>
          <w14:textFill>
            <w14:solidFill>
              <w14:schemeClr w14:val="tx1"/>
            </w14:solidFill>
          </w14:textFill>
        </w:rPr>
        <w:t>与</w:t>
      </w:r>
      <w:r>
        <w:rPr>
          <w:rFonts w:hint="eastAsia" w:ascii="宋体" w:hAnsi="宋体"/>
          <w:color w:val="000000" w:themeColor="text1"/>
          <w:sz w:val="24"/>
          <w:highlight w:val="none"/>
          <w14:textFill>
            <w14:solidFill>
              <w14:schemeClr w14:val="tx1"/>
            </w14:solidFill>
          </w14:textFill>
        </w:rPr>
        <w:t>采购组织机构</w:t>
      </w:r>
      <w:r>
        <w:rPr>
          <w:rFonts w:ascii="宋体" w:hAnsi="宋体"/>
          <w:color w:val="000000" w:themeColor="text1"/>
          <w:sz w:val="24"/>
          <w:highlight w:val="none"/>
          <w14:textFill>
            <w14:solidFill>
              <w14:schemeClr w14:val="tx1"/>
            </w14:solidFill>
          </w14:textFill>
        </w:rPr>
        <w:t>就有关</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事宜的所有来往函电，均应以中文汉语书写。除</w:t>
      </w: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、盖章、专用名称等特殊情形外，以中文汉语以外的文字表述的</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文件视同未提供。</w:t>
      </w:r>
    </w:p>
    <w:p>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（4）询价响应</w:t>
      </w:r>
      <w:r>
        <w:rPr>
          <w:rFonts w:ascii="宋体" w:hAnsi="宋体"/>
          <w:color w:val="000000" w:themeColor="text1"/>
          <w:sz w:val="24"/>
          <w:highlight w:val="none"/>
          <w14:textFill>
            <w14:solidFill>
              <w14:schemeClr w14:val="tx1"/>
            </w14:solidFill>
          </w14:textFill>
        </w:rPr>
        <w:t>计量单位，</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已有明确规定的，使用</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规定的计量单位；</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没有规定的，应采用中华人民共和国法定计量单位（货币单位：人民币元）。</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若</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不按</w:t>
      </w:r>
      <w:r>
        <w:rPr>
          <w:rFonts w:hint="eastAsia" w:ascii="宋体" w:hAnsi="宋体"/>
          <w:color w:val="000000" w:themeColor="text1"/>
          <w:sz w:val="24"/>
          <w:highlight w:val="none"/>
          <w14:textFill>
            <w14:solidFill>
              <w14:schemeClr w14:val="tx1"/>
            </w14:solidFill>
          </w14:textFill>
        </w:rPr>
        <w:t>询价通知书</w:t>
      </w:r>
      <w:r>
        <w:rPr>
          <w:rFonts w:ascii="宋体" w:hAnsi="宋体"/>
          <w:color w:val="000000" w:themeColor="text1"/>
          <w:sz w:val="24"/>
          <w:highlight w:val="none"/>
          <w14:textFill>
            <w14:solidFill>
              <w14:schemeClr w14:val="tx1"/>
            </w14:solidFill>
          </w14:textFill>
        </w:rPr>
        <w:t>的要求提供资格审查材料，其风险由</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与本次询价响应无关的内容请不要制作在内，确保询价响应文件有针对性、简洁明了，同时节约纸张；询价响应文件建议以A4纸大小双面打印并装订。</w:t>
      </w:r>
    </w:p>
    <w:p>
      <w:pPr>
        <w:autoSpaceDE w:val="0"/>
        <w:autoSpaceDN w:val="0"/>
        <w:adjustRightInd w:val="0"/>
        <w:spacing w:line="360" w:lineRule="auto"/>
        <w:ind w:firstLine="48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2、询价响应文件的封装要求</w:t>
      </w:r>
    </w:p>
    <w:p>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（1）询价响应文件份数：</w:t>
      </w:r>
      <w:r>
        <w:rPr>
          <w:rFonts w:hint="eastAsia" w:ascii="宋体"/>
          <w:bCs/>
          <w:color w:val="000000" w:themeColor="text1"/>
          <w:sz w:val="24"/>
          <w:highlight w:val="none"/>
          <w:lang w:val="zh-CN"/>
          <w14:textFill>
            <w14:solidFill>
              <w14:schemeClr w14:val="tx1"/>
            </w14:solidFill>
          </w14:textFill>
        </w:rPr>
        <w:t>询价响应文件共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（一正本</w:t>
      </w:r>
      <w:r>
        <w:rPr>
          <w:rFonts w:hint="eastAsia" w:ascii="宋体"/>
          <w:bCs/>
          <w:color w:val="000000" w:themeColor="text1"/>
          <w:sz w:val="24"/>
          <w:highlight w:val="none"/>
          <w14:textFill>
            <w14:solidFill>
              <w14:schemeClr w14:val="tx1"/>
            </w14:solidFill>
          </w14:textFill>
        </w:rPr>
        <w:t>四</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。询价响应文件的正本封面必须注明“正本”字样，副本可以采用正本的复印件。</w:t>
      </w:r>
      <w:r>
        <w:rPr>
          <w:rFonts w:hint="eastAsia" w:ascii="宋体" w:hAnsi="宋体"/>
          <w:color w:val="000000" w:themeColor="text1"/>
          <w:sz w:val="24"/>
          <w:highlight w:val="none"/>
          <w14:textFill>
            <w14:solidFill>
              <w14:schemeClr w14:val="tx1"/>
            </w14:solidFill>
          </w14:textFill>
        </w:rPr>
        <w:t>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（2）所有询价响应资料按询价通知书的组成所列内容及顺序装订成册，</w:t>
      </w:r>
      <w:r>
        <w:rPr>
          <w:rFonts w:hint="eastAsia" w:ascii="宋体" w:hAnsi="宋体"/>
          <w:color w:val="000000" w:themeColor="text1"/>
          <w:sz w:val="24"/>
          <w:highlight w:val="none"/>
          <w:lang w:val="zh-CN"/>
          <w14:textFill>
            <w14:solidFill>
              <w14:schemeClr w14:val="tx1"/>
            </w14:solidFill>
          </w14:textFill>
        </w:rPr>
        <w:t>并逐页连续标注页码。因询价响应文件内容不完整、编排混乱导致询价响应文件被误读、漏读或者查找不到相关内容的责任由供应商自行承担。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请在密封袋的封口处应有询价单位公章或询价全权代表签字。封皮上写明项目编号、标段、询价采购项目名称、供应商名称，并注明“询价响应文件名称”、“询价时启封”字样，未按上述要求密封及加写标记，采购组织机构对询价响应文件的误投和提前启封不负责任。</w:t>
      </w:r>
    </w:p>
    <w:p>
      <w:pPr>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（4）项目如分标段，各标段询价响应文件必须分开编制，并按上述份数要求单独密封包装。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kern w:val="0"/>
          <w:sz w:val="24"/>
          <w:highlight w:val="none"/>
          <w:lang w:val="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询价响应文件的递交要求</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（1）询价响应文件必须在规定时间前派人送达指定的询价地点。询价响应文件在截止时间后提交，</w:t>
      </w:r>
      <w:r>
        <w:rPr>
          <w:rFonts w:hint="eastAsia" w:ascii="宋体" w:hAnsi="宋体"/>
          <w:color w:val="000000" w:themeColor="text1"/>
          <w:kern w:val="0"/>
          <w:sz w:val="24"/>
          <w:highlight w:val="none"/>
          <w:lang w:val="zh-CN"/>
          <w14:textFill>
            <w14:solidFill>
              <w14:schemeClr w14:val="tx1"/>
            </w14:solidFill>
          </w14:textFill>
        </w:rPr>
        <w:t>采购组织机构</w:t>
      </w:r>
      <w:r>
        <w:rPr>
          <w:rFonts w:hint="eastAsia" w:ascii="宋体" w:hAnsi="宋体"/>
          <w:color w:val="000000" w:themeColor="text1"/>
          <w:kern w:val="0"/>
          <w:sz w:val="24"/>
          <w:highlight w:val="none"/>
          <w14:textFill>
            <w14:solidFill>
              <w14:schemeClr w14:val="tx1"/>
            </w14:solidFill>
          </w14:textFill>
        </w:rPr>
        <w:t>将将拒绝接收。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（2）如有特殊情况，</w:t>
      </w:r>
      <w:r>
        <w:rPr>
          <w:rFonts w:hint="eastAsia" w:ascii="宋体" w:hAnsi="宋体"/>
          <w:color w:val="000000" w:themeColor="text1"/>
          <w:kern w:val="0"/>
          <w:sz w:val="24"/>
          <w:highlight w:val="none"/>
          <w:lang w:val="zh-CN"/>
          <w14:textFill>
            <w14:solidFill>
              <w14:schemeClr w14:val="tx1"/>
            </w14:solidFill>
          </w14:textFill>
        </w:rPr>
        <w:t>采购组织机构</w:t>
      </w:r>
      <w:r>
        <w:rPr>
          <w:rFonts w:hint="eastAsia" w:ascii="宋体" w:hAnsi="宋体"/>
          <w:color w:val="000000" w:themeColor="text1"/>
          <w:kern w:val="0"/>
          <w:sz w:val="24"/>
          <w:highlight w:val="none"/>
          <w14:textFill>
            <w14:solidFill>
              <w14:schemeClr w14:val="tx1"/>
            </w14:solidFill>
          </w14:textFill>
        </w:rPr>
        <w:t>延长截止时间和询价时间，</w:t>
      </w:r>
      <w:r>
        <w:rPr>
          <w:rFonts w:hint="eastAsia" w:ascii="宋体" w:hAnsi="宋体"/>
          <w:color w:val="000000" w:themeColor="text1"/>
          <w:kern w:val="0"/>
          <w:sz w:val="24"/>
          <w:highlight w:val="none"/>
          <w:lang w:val="zh-CN"/>
          <w14:textFill>
            <w14:solidFill>
              <w14:schemeClr w14:val="tx1"/>
            </w14:solidFill>
          </w14:textFill>
        </w:rPr>
        <w:t>采购组织机构</w:t>
      </w:r>
      <w:r>
        <w:rPr>
          <w:rFonts w:hint="eastAsia" w:ascii="宋体" w:hAnsi="宋体"/>
          <w:color w:val="000000" w:themeColor="text1"/>
          <w:kern w:val="0"/>
          <w:sz w:val="24"/>
          <w:highlight w:val="none"/>
          <w14:textFill>
            <w14:solidFill>
              <w14:schemeClr w14:val="tx1"/>
            </w14:solidFill>
          </w14:textFill>
        </w:rPr>
        <w:t>和供应商的权利和义务将受到新的截止时间和询价时间的约束。</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4、询价响应文件的补充、修改和撤回。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（1）供应商如需对上交的询价响应文件进行补充、修改或撤回的，必须在询价响应截止时间</w:t>
      </w:r>
      <w:r>
        <w:rPr>
          <w:rFonts w:hint="eastAsia" w:ascii="宋体"/>
          <w:color w:val="000000" w:themeColor="text1"/>
          <w:kern w:val="0"/>
          <w:sz w:val="24"/>
          <w:highlight w:val="none"/>
          <w14:textFill>
            <w14:solidFill>
              <w14:schemeClr w14:val="tx1"/>
            </w14:solidFill>
          </w14:textFill>
        </w:rPr>
        <w:t>以前将书面的修改文件或撤消通知送达</w:t>
      </w:r>
      <w:r>
        <w:rPr>
          <w:rFonts w:hint="eastAsia" w:ascii="宋体" w:hAnsi="宋体"/>
          <w:color w:val="000000" w:themeColor="text1"/>
          <w:kern w:val="0"/>
          <w:sz w:val="24"/>
          <w:highlight w:val="none"/>
          <w:lang w:val="zh-CN"/>
          <w14:textFill>
            <w14:solidFill>
              <w14:schemeClr w14:val="tx1"/>
            </w14:solidFill>
          </w14:textFill>
        </w:rPr>
        <w:t>采购组织机构</w:t>
      </w:r>
      <w:r>
        <w:rPr>
          <w:rFonts w:hint="eastAsia" w:ascii="宋体"/>
          <w:color w:val="000000" w:themeColor="text1"/>
          <w:kern w:val="0"/>
          <w:sz w:val="24"/>
          <w:highlight w:val="none"/>
          <w14:textFill>
            <w14:solidFill>
              <w14:schemeClr w14:val="tx1"/>
            </w14:solidFill>
          </w14:textFill>
        </w:rPr>
        <w:t>。</w:t>
      </w:r>
    </w:p>
    <w:p>
      <w:pPr>
        <w:numPr>
          <w:ilvl w:val="0"/>
          <w:numId w:val="5"/>
        </w:numPr>
        <w:tabs>
          <w:tab w:val="left" w:pos="1418"/>
        </w:tabs>
        <w:autoSpaceDE w:val="0"/>
        <w:autoSpaceDN w:val="0"/>
        <w:adjustRightIn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询价响应修改文件必须密封，在密封袋上写明项目编号、标段、询价采购项目名称、供应商名称、并注明“修改文件”、“询价时启封”字样，其作为询价响应文件的组成部份。</w:t>
      </w:r>
    </w:p>
    <w:p>
      <w:pPr>
        <w:tabs>
          <w:tab w:val="left" w:pos="1898"/>
        </w:tabs>
        <w:autoSpaceDE w:val="0"/>
        <w:autoSpaceDN w:val="0"/>
        <w:adjustRightInd w:val="0"/>
        <w:spacing w:line="360" w:lineRule="auto"/>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（三）询价响应文件的有效期</w:t>
      </w:r>
    </w:p>
    <w:p>
      <w:pPr>
        <w:pStyle w:val="5"/>
        <w:tabs>
          <w:tab w:val="left" w:pos="1200"/>
          <w:tab w:val="clear" w:pos="425"/>
        </w:tabs>
        <w:snapToGrid w:val="0"/>
        <w:spacing w:after="156" w:line="360" w:lineRule="auto"/>
        <w:ind w:left="0" w:firstLine="480" w:firstLineChars="200"/>
        <w:rPr>
          <w:rFonts w:ascii="仿宋_GB2312" w:hAnsi="仿宋_GB2312" w:eastAsia="仿宋_GB2312" w:cs="仿宋_GB2312"/>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lang w:val="en-GB"/>
          <w14:textFill>
            <w14:solidFill>
              <w14:schemeClr w14:val="tx1"/>
            </w14:solidFill>
          </w14:textFill>
        </w:rPr>
        <w:t>自询价响应截止日起90天询价响应文件应保持有效。有效期不足的询价响应文件将被拒绝。</w:t>
      </w:r>
    </w:p>
    <w:p>
      <w:pPr>
        <w:pStyle w:val="5"/>
        <w:tabs>
          <w:tab w:val="left" w:pos="1200"/>
          <w:tab w:val="clear" w:pos="425"/>
        </w:tabs>
        <w:snapToGrid w:val="0"/>
        <w:spacing w:after="156" w:line="360" w:lineRule="auto"/>
        <w:ind w:left="0" w:firstLine="480" w:firstLineChars="200"/>
        <w:rPr>
          <w:rFonts w:ascii="宋体" w:hAnsi="宋体"/>
          <w:color w:val="000000" w:themeColor="text1"/>
          <w:szCs w:val="24"/>
          <w:highlight w:val="none"/>
          <w:lang w:val="en-GB"/>
          <w14:textFill>
            <w14:solidFill>
              <w14:schemeClr w14:val="tx1"/>
            </w14:solidFill>
          </w14:textFill>
        </w:rPr>
      </w:pPr>
      <w:r>
        <w:rPr>
          <w:rFonts w:hint="eastAsia" w:ascii="宋体" w:hAnsi="宋体"/>
          <w:color w:val="000000" w:themeColor="text1"/>
          <w:szCs w:val="24"/>
          <w:highlight w:val="none"/>
          <w:lang w:val="en-GB"/>
          <w14:textFill>
            <w14:solidFill>
              <w14:schemeClr w14:val="tx1"/>
            </w14:solidFill>
          </w14:textFill>
        </w:rPr>
        <w:t>在特殊情况下，采购人可与供应商协商延长询价响应文件的有效期，这种要求和答复均以书面形式进行。</w:t>
      </w:r>
    </w:p>
    <w:p>
      <w:pPr>
        <w:snapToGrid w:val="0"/>
        <w:spacing w:line="360" w:lineRule="auto"/>
        <w:ind w:firstLine="480" w:firstLineChars="200"/>
        <w:jc w:val="left"/>
        <w:outlineLvl w:val="0"/>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3.成交供应商</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询价响应文件</w:t>
      </w:r>
      <w:r>
        <w:rPr>
          <w:rFonts w:ascii="宋体" w:hAnsi="宋体"/>
          <w:color w:val="000000" w:themeColor="text1"/>
          <w:sz w:val="24"/>
          <w:highlight w:val="none"/>
          <w14:textFill>
            <w14:solidFill>
              <w14:schemeClr w14:val="tx1"/>
            </w14:solidFill>
          </w14:textFill>
        </w:rPr>
        <w:t>自</w:t>
      </w:r>
      <w:r>
        <w:rPr>
          <w:rFonts w:hint="eastAsia" w:ascii="宋体" w:hAnsi="宋体"/>
          <w:color w:val="000000" w:themeColor="text1"/>
          <w:sz w:val="24"/>
          <w:highlight w:val="none"/>
          <w:lang w:val="en-GB"/>
          <w14:textFill>
            <w14:solidFill>
              <w14:schemeClr w14:val="tx1"/>
            </w14:solidFill>
          </w14:textFill>
        </w:rPr>
        <w:t>询</w:t>
      </w:r>
      <w:r>
        <w:rPr>
          <w:rFonts w:hint="eastAsia" w:ascii="宋体" w:hAnsi="宋体"/>
          <w:color w:val="000000" w:themeColor="text1"/>
          <w:sz w:val="24"/>
          <w:highlight w:val="none"/>
          <w14:textFill>
            <w14:solidFill>
              <w14:schemeClr w14:val="tx1"/>
            </w14:solidFill>
          </w14:textFill>
        </w:rPr>
        <w:t>价</w:t>
      </w:r>
      <w:r>
        <w:rPr>
          <w:rFonts w:ascii="宋体" w:hAnsi="宋体"/>
          <w:color w:val="000000" w:themeColor="text1"/>
          <w:sz w:val="24"/>
          <w:highlight w:val="none"/>
          <w14:textFill>
            <w14:solidFill>
              <w14:schemeClr w14:val="tx1"/>
            </w14:solidFill>
          </w14:textFill>
        </w:rPr>
        <w:t>之日起至合同履行完毕均应保持有效。</w:t>
      </w:r>
    </w:p>
    <w:p>
      <w:pPr>
        <w:snapToGrid w:val="0"/>
        <w:spacing w:line="360" w:lineRule="auto"/>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三、询价</w:t>
      </w:r>
    </w:p>
    <w:p>
      <w:pPr>
        <w:autoSpaceDE w:val="0"/>
        <w:autoSpaceDN w:val="0"/>
        <w:adjustRightInd w:val="0"/>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b/>
          <w:bCs/>
          <w:color w:val="000000" w:themeColor="text1"/>
          <w:kern w:val="0"/>
          <w:sz w:val="24"/>
          <w:highlight w:val="none"/>
          <w14:textFill>
            <w14:solidFill>
              <w14:schemeClr w14:val="tx1"/>
            </w14:solidFill>
          </w14:textFill>
        </w:rPr>
        <w:t>（一）询价程序</w:t>
      </w:r>
    </w:p>
    <w:p>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1、采购组织机构将在“询价公告”规定的时间和地点进行</w:t>
      </w:r>
      <w:r>
        <w:rPr>
          <w:rFonts w:hint="eastAsia" w:ascii="宋体" w:hAnsi="宋体"/>
          <w:color w:val="000000" w:themeColor="text1"/>
          <w:sz w:val="24"/>
          <w:highlight w:val="none"/>
          <w:lang w:val="en-GB"/>
          <w14:textFill>
            <w14:solidFill>
              <w14:schemeClr w14:val="tx1"/>
            </w14:solidFill>
          </w14:textFill>
        </w:rPr>
        <w:t>询</w:t>
      </w:r>
      <w:r>
        <w:rPr>
          <w:rFonts w:hint="eastAsia" w:ascii="宋体" w:hAnsi="宋体"/>
          <w:color w:val="000000" w:themeColor="text1"/>
          <w:sz w:val="24"/>
          <w:highlight w:val="none"/>
          <w14:textFill>
            <w14:solidFill>
              <w14:schemeClr w14:val="tx1"/>
            </w14:solidFill>
          </w14:textFill>
        </w:rPr>
        <w:t>价，询价采购会议由采购组织机构工作人员主持，所有供应商均应准时参加询价采购会议。</w:t>
      </w:r>
    </w:p>
    <w:p>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2、采购组织机构工作人员应当核验出席询价活动现场的各供应商代表及相关单位人员身份，并组织其分别登记、签到，无关人员可拒绝其进入现场。</w:t>
      </w:r>
    </w:p>
    <w:p>
      <w:pPr>
        <w:autoSpaceDE w:val="0"/>
        <w:autoSpaceDN w:val="0"/>
        <w:adjustRightInd w:val="0"/>
        <w:spacing w:line="360" w:lineRule="auto"/>
        <w:ind w:firstLine="475" w:firstLineChars="19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3、采购组织机构工作人员接收询价响应文件并登记，并由供应商代表对递交记录情况进行签字确认。</w:t>
      </w:r>
    </w:p>
    <w:p>
      <w:pPr>
        <w:pStyle w:val="1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主持人宣布</w:t>
      </w:r>
      <w:r>
        <w:rPr>
          <w:rFonts w:hint="eastAsia" w:hAnsi="宋体"/>
          <w:color w:val="000000" w:themeColor="text1"/>
          <w:sz w:val="24"/>
          <w:highlight w:val="none"/>
          <w14:textFill>
            <w14:solidFill>
              <w14:schemeClr w14:val="tx1"/>
            </w14:solidFill>
          </w14:textFill>
        </w:rPr>
        <w:t>询价采购会议开始，介绍询价现场的人员情况，宣读提交询价响应文件的供应商名单、询价纪律、应当回避的情形等注意事项，组织供应商签署不存在影响公平竞争的《政府采购活动现场确认声明书》。</w:t>
      </w:r>
    </w:p>
    <w:p>
      <w:pPr>
        <w:pStyle w:val="1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w:t>
      </w:r>
      <w:r>
        <w:rPr>
          <w:rFonts w:hAnsi="宋体"/>
          <w:color w:val="000000" w:themeColor="text1"/>
          <w:sz w:val="24"/>
          <w:highlight w:val="none"/>
          <w14:textFill>
            <w14:solidFill>
              <w14:schemeClr w14:val="tx1"/>
            </w14:solidFill>
          </w14:textFill>
        </w:rPr>
        <w:t>提请</w:t>
      </w:r>
      <w:r>
        <w:rPr>
          <w:rFonts w:hint="eastAsia" w:hAnsi="宋体"/>
          <w:color w:val="000000" w:themeColor="text1"/>
          <w:sz w:val="24"/>
          <w:highlight w:val="none"/>
          <w14:textFill>
            <w14:solidFill>
              <w14:schemeClr w14:val="tx1"/>
            </w14:solidFill>
          </w14:textFill>
        </w:rPr>
        <w:t>供应商</w:t>
      </w:r>
      <w:r>
        <w:rPr>
          <w:rFonts w:hAnsi="宋体"/>
          <w:color w:val="000000" w:themeColor="text1"/>
          <w:sz w:val="24"/>
          <w:highlight w:val="none"/>
          <w14:textFill>
            <w14:solidFill>
              <w14:schemeClr w14:val="tx1"/>
            </w14:solidFill>
          </w14:textFill>
        </w:rPr>
        <w:t>代表查验</w:t>
      </w:r>
      <w:r>
        <w:rPr>
          <w:rFonts w:hint="eastAsia" w:hAnsi="宋体"/>
          <w:color w:val="000000" w:themeColor="text1"/>
          <w:sz w:val="24"/>
          <w:highlight w:val="none"/>
          <w14:textFill>
            <w14:solidFill>
              <w14:schemeClr w14:val="tx1"/>
            </w14:solidFill>
          </w14:textFill>
        </w:rPr>
        <w:t>询价响应文件</w:t>
      </w:r>
      <w:r>
        <w:rPr>
          <w:rFonts w:hAnsi="宋体"/>
          <w:color w:val="000000" w:themeColor="text1"/>
          <w:sz w:val="24"/>
          <w:highlight w:val="none"/>
          <w14:textFill>
            <w14:solidFill>
              <w14:schemeClr w14:val="tx1"/>
            </w14:solidFill>
          </w14:textFill>
        </w:rPr>
        <w:t xml:space="preserve">密封情况。 </w:t>
      </w:r>
    </w:p>
    <w:p>
      <w:pPr>
        <w:pStyle w:val="1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6、按供应商提交询价响应文件的先后顺序当众拆封、清点正副本数量（对于正副本数量和装订不符合询价通知书要求的询价响应文件，由现场工作人员当场退还供应商代表并由其签字确认），宣读报价单中的总报价。当场制作并打印询价响应记录表，由供应商代表、主持人、记录人和现场监督员等在询价响应记录表上签字确认（</w:t>
      </w:r>
      <w:r>
        <w:rPr>
          <w:rFonts w:hint="eastAsia"/>
          <w:color w:val="000000" w:themeColor="text1"/>
          <w:sz w:val="24"/>
          <w:highlight w:val="none"/>
          <w:lang w:val="zh-CN"/>
          <w14:textFill>
            <w14:solidFill>
              <w14:schemeClr w14:val="tx1"/>
            </w14:solidFill>
          </w14:textFill>
        </w:rPr>
        <w:t>供应商代表未到场或拒绝签字确认的，不影响评审过程</w:t>
      </w:r>
      <w:r>
        <w:rPr>
          <w:rFonts w:hint="eastAsia" w:hAnsi="宋体"/>
          <w:color w:val="000000" w:themeColor="text1"/>
          <w:sz w:val="24"/>
          <w:highlight w:val="none"/>
          <w14:textFill>
            <w14:solidFill>
              <w14:schemeClr w14:val="tx1"/>
            </w14:solidFill>
          </w14:textFill>
        </w:rPr>
        <w:t>）。</w:t>
      </w:r>
    </w:p>
    <w:p>
      <w:pPr>
        <w:pStyle w:val="15"/>
        <w:ind w:firstLine="480" w:firstLineChars="200"/>
        <w:rPr>
          <w:rFonts w:hAnsi="宋体" w:cs="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7、宣读报价后，现场工作人员将询价响应文件及询价响应记录表护送至指定评审地点，由询价小组对询价响应文件的符合性、合理性、准确性等进行审查核实。</w:t>
      </w:r>
    </w:p>
    <w:p>
      <w:pPr>
        <w:autoSpaceDE w:val="0"/>
        <w:autoSpaceDN w:val="0"/>
        <w:adjustRightIn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8、询价响应文件评审结束后，主持人宣告无效供应商名称及理由，并公布有效供应商成交候选排序名单。</w:t>
      </w:r>
    </w:p>
    <w:p>
      <w:pPr>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9、询价采购会议结束。</w:t>
      </w:r>
    </w:p>
    <w:p>
      <w:pPr>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供应商的澄清、说明或者补正应当采用书面形式，并加盖公章，或者由法定代理人或其授权的代表签字，并不得超出询价响应文件的范围或者改变询价响应文件的实质性内容。</w:t>
      </w:r>
    </w:p>
    <w:p>
      <w:pPr>
        <w:pStyle w:val="13"/>
        <w:snapToGrid w:val="0"/>
        <w:spacing w:line="360" w:lineRule="auto"/>
        <w:ind w:left="720" w:leftChars="228" w:hanging="241" w:hangingChars="1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（三）错误修正</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询价响应文件报价出现前后不一致的，除询价通知书另有规定外，按照下列规定修正：</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1、询价响应文件中报价一览表（报价表）内容与询价响应文件中相应内容不一致的，以报价表为准；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2、大写金额和小写金额不一致的，以大写金额为准；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3、单价金额小数点或者百分比有明显错位的，以报价一览表（报价表）的总价为准，并修改单价；</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4、总价金额与按单价汇总金额不一致的，以单价金额计算结果为准。</w:t>
      </w:r>
    </w:p>
    <w:p>
      <w:pPr>
        <w:pStyle w:val="22"/>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同时出现两种以上不一致的，按照前款规定的顺序修正。修正应当采用书面形式，并加盖公章，或者由法定代表人或其授权的代表签字。修正后的报价经供应商确认后产生约束力，供应商不确认的，其报价无效。</w:t>
      </w:r>
    </w:p>
    <w:p>
      <w:pPr>
        <w:pStyle w:val="22"/>
        <w:spacing w:before="0" w:beforeAutospacing="0" w:after="0" w:afterAutospacing="0" w:line="360" w:lineRule="auto"/>
        <w:ind w:firstLine="361" w:firstLineChars="150"/>
        <w:jc w:val="both"/>
        <w:rPr>
          <w:rFonts w:hint="default"/>
          <w:b/>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（四）</w:t>
      </w:r>
      <w:r>
        <w:rPr>
          <w:b/>
          <w:color w:val="000000" w:themeColor="text1"/>
          <w:highlight w:val="none"/>
          <w14:textFill>
            <w14:solidFill>
              <w14:schemeClr w14:val="tx1"/>
            </w14:solidFill>
          </w14:textFill>
        </w:rPr>
        <w:t>供应商存在下列情况之一的，询价响应无效</w:t>
      </w:r>
    </w:p>
    <w:p>
      <w:pPr>
        <w:adjustRightInd w:val="0"/>
        <w:snapToGrid w:val="0"/>
        <w:spacing w:line="360" w:lineRule="auto"/>
        <w:ind w:firstLine="480" w:firstLineChars="200"/>
        <w:jc w:val="left"/>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1、询价响应文件中的报价货物和商务与技术内容中的供应货物出现重大偏差的；</w:t>
      </w:r>
    </w:p>
    <w:p>
      <w:pPr>
        <w:pStyle w:val="22"/>
        <w:tabs>
          <w:tab w:val="left" w:pos="7380"/>
        </w:tabs>
        <w:adjustRightInd w:val="0"/>
        <w:snapToGrid w:val="0"/>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2、不具备询价通知书中规定的资格要求的。</w:t>
      </w:r>
    </w:p>
    <w:p>
      <w:pPr>
        <w:pStyle w:val="22"/>
        <w:adjustRightInd w:val="0"/>
        <w:snapToGrid w:val="0"/>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3、询价响应文件含有采购人不能接受的附加条件的。</w:t>
      </w:r>
    </w:p>
    <w:p>
      <w:pPr>
        <w:adjustRightInd w:val="0"/>
        <w:snapToGrid w:val="0"/>
        <w:spacing w:line="360" w:lineRule="auto"/>
        <w:ind w:firstLine="480" w:firstLineChars="200"/>
        <w:jc w:val="left"/>
        <w:rPr>
          <w:rFonts w:ascii="宋体" w:hAnsi="宋体"/>
          <w:bCs/>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4、供应商代表人未能出具身份证明或与法定代表人授权委托人身份不符的；</w:t>
      </w:r>
    </w:p>
    <w:p>
      <w:pPr>
        <w:pStyle w:val="22"/>
        <w:adjustRightInd w:val="0"/>
        <w:snapToGrid w:val="0"/>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认定其报价无效。</w:t>
      </w:r>
    </w:p>
    <w:p>
      <w:pPr>
        <w:pStyle w:val="22"/>
        <w:adjustRightInd w:val="0"/>
        <w:snapToGrid w:val="0"/>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6、报价超过询价通知书中规定的预算金额/最高限价。</w:t>
      </w:r>
    </w:p>
    <w:p>
      <w:pPr>
        <w:pStyle w:val="22"/>
        <w:adjustRightInd w:val="0"/>
        <w:snapToGrid w:val="0"/>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7、主要性能参数指标负偏离项（含）</w:t>
      </w:r>
      <w:r>
        <w:rPr>
          <w:bCs/>
          <w:color w:val="000000" w:themeColor="text1"/>
          <w:highlight w:val="none"/>
          <w:u w:val="single"/>
          <w:lang w:val="zh-CN"/>
          <w14:textFill>
            <w14:solidFill>
              <w14:schemeClr w14:val="tx1"/>
            </w14:solidFill>
          </w14:textFill>
        </w:rPr>
        <w:t xml:space="preserve"> </w:t>
      </w:r>
      <w:r>
        <w:rPr>
          <w:bCs/>
          <w:color w:val="000000" w:themeColor="text1"/>
          <w:highlight w:val="none"/>
          <w:u w:val="single"/>
          <w14:textFill>
            <w14:solidFill>
              <w14:schemeClr w14:val="tx1"/>
            </w14:solidFill>
          </w14:textFill>
        </w:rPr>
        <w:t xml:space="preserve"> 3 </w:t>
      </w:r>
      <w:r>
        <w:rPr>
          <w:bCs/>
          <w:color w:val="000000" w:themeColor="text1"/>
          <w:highlight w:val="none"/>
          <w:u w:val="single"/>
          <w:lang w:val="zh-CN"/>
          <w14:textFill>
            <w14:solidFill>
              <w14:schemeClr w14:val="tx1"/>
            </w14:solidFill>
          </w14:textFill>
        </w:rPr>
        <w:t xml:space="preserve"> </w:t>
      </w:r>
      <w:r>
        <w:rPr>
          <w:color w:val="000000" w:themeColor="text1"/>
          <w:highlight w:val="none"/>
          <w14:textFill>
            <w14:solidFill>
              <w14:schemeClr w14:val="tx1"/>
            </w14:solidFill>
          </w14:textFill>
        </w:rPr>
        <w:t xml:space="preserve"> 以上的。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8、询价响应参数未如实填写，完全复制粘贴询价采购参数的。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9、询价响应文件提供虚假材料的。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10</w:t>
      </w:r>
      <w:r>
        <w:rPr>
          <w:rFonts w:ascii="宋体" w:hAnsi="宋体"/>
          <w:color w:val="000000" w:themeColor="text1"/>
          <w:kern w:val="0"/>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不同</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询价响应</w:t>
      </w:r>
      <w:r>
        <w:rPr>
          <w:rFonts w:ascii="宋体" w:hAnsi="宋体"/>
          <w:color w:val="000000" w:themeColor="text1"/>
          <w:sz w:val="24"/>
          <w:highlight w:val="none"/>
          <w14:textFill>
            <w14:solidFill>
              <w14:schemeClr w14:val="tx1"/>
            </w14:solidFill>
          </w14:textFill>
        </w:rPr>
        <w:t>文件由同一单位或者个人编制；</w:t>
      </w:r>
    </w:p>
    <w:p>
      <w:pPr>
        <w:pStyle w:val="22"/>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11、不同供应商委托同一单位或者个人办理询价事宜；</w:t>
      </w:r>
    </w:p>
    <w:p>
      <w:pPr>
        <w:pStyle w:val="22"/>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12、不同供应商的询价响应文件载明的项目管理成员或者联系人员为同一人；</w:t>
      </w:r>
    </w:p>
    <w:p>
      <w:pPr>
        <w:pStyle w:val="22"/>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13、不同供应商的询价响应文件异常一致或者报价呈规律性差异；</w:t>
      </w:r>
    </w:p>
    <w:p>
      <w:pPr>
        <w:pStyle w:val="22"/>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14、不同供应商的询价响应文件相互混装；</w:t>
      </w:r>
    </w:p>
    <w:p>
      <w:pPr>
        <w:pStyle w:val="22"/>
        <w:spacing w:before="0" w:beforeAutospacing="0" w:after="0" w:afterAutospacing="0" w:line="360" w:lineRule="auto"/>
        <w:ind w:firstLine="480" w:firstLineChars="20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15、不同供应商的询价保证金从同一单位或者个人的账户转出；</w:t>
      </w:r>
    </w:p>
    <w:p>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16、不符合法律、法规和询价通知书中规定的其他实质性要求的（询价通知书中打“▲”内容及被拒绝的条款）。</w:t>
      </w:r>
    </w:p>
    <w:p>
      <w:pPr>
        <w:autoSpaceDE w:val="0"/>
        <w:autoSpaceDN w:val="0"/>
        <w:adjustRightInd w:val="0"/>
        <w:spacing w:line="360" w:lineRule="auto"/>
        <w:ind w:left="480"/>
        <w:rPr>
          <w:rFonts w:ascii="宋体" w:hAnsi="宋体"/>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（五）有下列情况之一的，本次询价采购终止</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1、出现影响采购公正的违法、违规行为的；</w:t>
      </w:r>
    </w:p>
    <w:p>
      <w:pPr>
        <w:pStyle w:val="22"/>
        <w:spacing w:before="0" w:beforeAutospacing="0" w:after="0" w:afterAutospacing="0" w:line="360" w:lineRule="auto"/>
        <w:ind w:firstLine="600" w:firstLineChars="250"/>
        <w:jc w:val="both"/>
        <w:rPr>
          <w:rFonts w:hint="default"/>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2、询价小组发现询价通知书存在歧义、重大缺陷导致评审工作无法进行，或者询价通知书内容违反国家有关强制性规定的； </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3、因重大变故，采购任务取消的；</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4、法律、法规和询价通知书规定的其他导致评审结果无效的。</w:t>
      </w:r>
    </w:p>
    <w:p>
      <w:pPr>
        <w:pStyle w:val="13"/>
        <w:tabs>
          <w:tab w:val="left" w:pos="630"/>
        </w:tabs>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原则和</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办法</w:t>
      </w:r>
    </w:p>
    <w:p>
      <w:pPr>
        <w:pStyle w:val="13"/>
        <w:snapToGrid w:val="0"/>
        <w:spacing w:line="360" w:lineRule="auto"/>
        <w:ind w:firstLine="600" w:firstLineChars="2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原则。</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委员会必须公平、公正、客观，不带任何倾向性和启发性；不得向外界透露任何与</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有关的内容；任何单位和个人不得干扰、影响</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的正常进行；</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委员会及有关工作人员不得私下与</w:t>
      </w:r>
      <w:r>
        <w:rPr>
          <w:rFonts w:hint="eastAsia" w:hAnsi="宋体"/>
          <w:color w:val="000000" w:themeColor="text1"/>
          <w:sz w:val="24"/>
          <w:highlight w:val="none"/>
          <w14:textFill>
            <w14:solidFill>
              <w14:schemeClr w14:val="tx1"/>
            </w14:solidFill>
          </w14:textFill>
        </w:rPr>
        <w:t>供应商</w:t>
      </w:r>
      <w:r>
        <w:rPr>
          <w:rFonts w:hAnsi="宋体"/>
          <w:color w:val="000000" w:themeColor="text1"/>
          <w:sz w:val="24"/>
          <w:highlight w:val="none"/>
          <w14:textFill>
            <w14:solidFill>
              <w14:schemeClr w14:val="tx1"/>
            </w14:solidFill>
          </w14:textFill>
        </w:rPr>
        <w:t>接触。</w:t>
      </w:r>
    </w:p>
    <w:p>
      <w:pPr>
        <w:pStyle w:val="13"/>
        <w:snapToGrid w:val="0"/>
        <w:spacing w:line="360" w:lineRule="auto"/>
        <w:ind w:firstLine="600" w:firstLineChars="250"/>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办法</w:t>
      </w:r>
      <w:r>
        <w:rPr>
          <w:rFonts w:hint="eastAsia" w:hAnsi="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询价小组应当从质量和服务均能满足询价</w:t>
      </w:r>
      <w:r>
        <w:rPr>
          <w:rFonts w:hint="eastAsia"/>
          <w:color w:val="000000" w:themeColor="text1"/>
          <w:sz w:val="24"/>
          <w:highlight w:val="none"/>
          <w14:textFill>
            <w14:solidFill>
              <w14:schemeClr w14:val="tx1"/>
            </w14:solidFill>
          </w14:textFill>
        </w:rPr>
        <w:t>通知书</w:t>
      </w:r>
      <w:r>
        <w:rPr>
          <w:color w:val="000000" w:themeColor="text1"/>
          <w:sz w:val="24"/>
          <w:highlight w:val="none"/>
          <w14:textFill>
            <w14:solidFill>
              <w14:schemeClr w14:val="tx1"/>
            </w14:solidFill>
          </w14:textFill>
        </w:rPr>
        <w:t>实质性响应要求的供应商中，按照报价由低到高的顺序确定成交候选人。</w:t>
      </w:r>
    </w:p>
    <w:p>
      <w:pPr>
        <w:pStyle w:val="22"/>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highlight w:val="none"/>
          <w:shd w:val="clear" w:color="FFFFFF" w:fill="D9D9D9"/>
          <w14:textFill>
            <w14:solidFill>
              <w14:schemeClr w14:val="tx1"/>
            </w14:solidFill>
          </w14:textFill>
        </w:rPr>
      </w:pPr>
      <w:r>
        <w:rPr>
          <w:color w:val="000000" w:themeColor="text1"/>
          <w:highlight w:val="none"/>
          <w14:textFill>
            <w14:solidFill>
              <w14:schemeClr w14:val="tx1"/>
            </w14:solidFill>
          </w14:textFill>
        </w:rPr>
        <w:t>（2）如遇相同最低报价，取交货期短者为成交单位；如两者均相同，则在相同最低报价中重新报价，直至产生最低报价者为成交单位。</w:t>
      </w:r>
    </w:p>
    <w:p>
      <w:pPr>
        <w:pStyle w:val="13"/>
        <w:snapToGrid w:val="0"/>
        <w:spacing w:line="360" w:lineRule="auto"/>
        <w:ind w:firstLine="472" w:firstLineChars="196"/>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评审</w:t>
      </w:r>
      <w:r>
        <w:rPr>
          <w:rFonts w:hAnsi="宋体"/>
          <w:b/>
          <w:color w:val="000000" w:themeColor="text1"/>
          <w:sz w:val="24"/>
          <w:highlight w:val="none"/>
          <w14:textFill>
            <w14:solidFill>
              <w14:schemeClr w14:val="tx1"/>
            </w14:solidFill>
          </w14:textFill>
        </w:rPr>
        <w:t>过程的监控</w:t>
      </w:r>
    </w:p>
    <w:p>
      <w:pPr>
        <w:pStyle w:val="22"/>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本项目评审过程实行全程录音、录像监控，政府采购监管部门视情进行现场监督，供应商在评审过程中所进行的试图影响评审结果的不公正活动，可能导致其询价响应被拒绝。</w:t>
      </w:r>
    </w:p>
    <w:p>
      <w:pPr>
        <w:pStyle w:val="22"/>
        <w:spacing w:before="0" w:beforeAutospacing="0" w:after="0" w:afterAutospacing="0" w:line="360" w:lineRule="auto"/>
        <w:ind w:firstLine="482" w:firstLineChars="200"/>
        <w:jc w:val="both"/>
        <w:rPr>
          <w:rFonts w:hint="default"/>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四、询价结果确定</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确定成交供应商。询价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2、发布成交结果公告。采购组织机构应当在</w:t>
      </w:r>
      <w:r>
        <w:rPr>
          <w:rFonts w:ascii="宋体" w:hAnsi="宋体"/>
          <w:color w:val="000000" w:themeColor="text1"/>
          <w:kern w:val="0"/>
          <w:sz w:val="24"/>
          <w:highlight w:val="none"/>
          <w14:textFill>
            <w14:solidFill>
              <w14:schemeClr w14:val="tx1"/>
            </w14:solidFill>
          </w14:textFill>
        </w:rPr>
        <w:t>成交供应商确定</w:t>
      </w:r>
      <w:r>
        <w:rPr>
          <w:rFonts w:hint="eastAsia" w:ascii="宋体" w:hAnsi="宋体"/>
          <w:color w:val="000000" w:themeColor="text1"/>
          <w:kern w:val="0"/>
          <w:sz w:val="24"/>
          <w:highlight w:val="none"/>
          <w14:textFill>
            <w14:solidFill>
              <w14:schemeClr w14:val="tx1"/>
            </w14:solidFill>
          </w14:textFill>
        </w:rPr>
        <w:t>后</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成交结果，并将磋商文件随同公告。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五、合同签订及公告</w:t>
      </w:r>
    </w:p>
    <w:p>
      <w:pPr>
        <w:pStyle w:val="11"/>
        <w:ind w:firstLine="482" w:firstLineChars="200"/>
        <w:rPr>
          <w:rFonts w:hAnsi="宋体"/>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（一）</w:t>
      </w:r>
      <w:r>
        <w:rPr>
          <w:rFonts w:hint="eastAsia" w:hAnsi="宋体"/>
          <w:b/>
          <w:color w:val="000000" w:themeColor="text1"/>
          <w:szCs w:val="24"/>
          <w:highlight w:val="none"/>
          <w14:textFill>
            <w14:solidFill>
              <w14:schemeClr w14:val="tx1"/>
            </w14:solidFill>
          </w14:textFill>
        </w:rPr>
        <w:t>签订合同</w:t>
      </w:r>
    </w:p>
    <w:p>
      <w:pPr>
        <w:pStyle w:val="11"/>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1、采购人应当自成交通知书发出之日起10个工作日内，</w:t>
      </w:r>
      <w:r>
        <w:rPr>
          <w:color w:val="000000" w:themeColor="text1"/>
          <w:szCs w:val="24"/>
          <w:highlight w:val="none"/>
          <w14:textFill>
            <w14:solidFill>
              <w14:schemeClr w14:val="tx1"/>
            </w14:solidFill>
          </w14:textFill>
        </w:rPr>
        <w:t>按照</w:t>
      </w:r>
      <w:r>
        <w:rPr>
          <w:rFonts w:hint="eastAsia"/>
          <w:color w:val="000000" w:themeColor="text1"/>
          <w:szCs w:val="24"/>
          <w:highlight w:val="none"/>
          <w14:textFill>
            <w14:solidFill>
              <w14:schemeClr w14:val="tx1"/>
            </w14:solidFill>
          </w14:textFill>
        </w:rPr>
        <w:t>询价通知书确定的合同文本以及采购标的、规格型号、采购金额、采购数量和服务要求等事项签订政府采购合同。</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成交供应商提出超出询价通知书以外的任何要求作为签订合同的条件，不得与成交供应商订立背离询价通知书确定的合同文本以及采购标的、规格型号、采购金额、采购数量和服务要求等实质性内容的协议。</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3、成交供应商无故拖延、拒签合同的,取消成交资格。</w:t>
      </w:r>
    </w:p>
    <w:p>
      <w:pPr>
        <w:pStyle w:val="22"/>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2"/>
        <w:spacing w:line="360" w:lineRule="auto"/>
        <w:ind w:firstLine="600" w:firstLineChars="250"/>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2"/>
        <w:spacing w:line="360" w:lineRule="auto"/>
        <w:ind w:firstLine="602" w:firstLineChars="250"/>
        <w:rPr>
          <w:rFonts w:hint="default" w:ascii="仿宋_GB2312" w:hAnsi="仿宋_GB2312" w:eastAsia="仿宋_GB2312"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11"/>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1、采购人应当自政府采购合同签订之日起2个工作日内，</w:t>
      </w:r>
      <w:r>
        <w:rPr>
          <w:rFonts w:hAnsi="宋体"/>
          <w:color w:val="000000" w:themeColor="text1"/>
          <w:szCs w:val="24"/>
          <w:highlight w:val="none"/>
          <w14:textFill>
            <w14:solidFill>
              <w14:schemeClr w14:val="tx1"/>
            </w14:solidFill>
          </w14:textFill>
        </w:rPr>
        <w:t>在省级以上财政部门指定的</w:t>
      </w:r>
      <w:r>
        <w:rPr>
          <w:rFonts w:hint="eastAsia" w:hAnsi="宋体"/>
          <w:color w:val="000000" w:themeColor="text1"/>
          <w:szCs w:val="24"/>
          <w:highlight w:val="none"/>
          <w14:textFill>
            <w14:solidFill>
              <w14:schemeClr w14:val="tx1"/>
            </w14:solidFill>
          </w14:textFill>
        </w:rPr>
        <w:t>政府采购信息发布</w:t>
      </w:r>
      <w:r>
        <w:rPr>
          <w:rFonts w:hAnsi="宋体"/>
          <w:color w:val="000000" w:themeColor="text1"/>
          <w:szCs w:val="24"/>
          <w:highlight w:val="none"/>
          <w14:textFill>
            <w14:solidFill>
              <w14:schemeClr w14:val="tx1"/>
            </w14:solidFill>
          </w14:textFill>
        </w:rPr>
        <w:t>媒体及相关网站</w:t>
      </w:r>
      <w:r>
        <w:rPr>
          <w:rFonts w:hint="eastAsia" w:hAnsi="宋体"/>
          <w:color w:val="000000" w:themeColor="text1"/>
          <w:szCs w:val="24"/>
          <w:highlight w:val="none"/>
          <w14:textFill>
            <w14:solidFill>
              <w14:schemeClr w14:val="tx1"/>
            </w14:solidFill>
          </w14:textFill>
        </w:rPr>
        <w:t>上</w:t>
      </w:r>
      <w:r>
        <w:rPr>
          <w:rFonts w:hAnsi="宋体"/>
          <w:color w:val="000000" w:themeColor="text1"/>
          <w:szCs w:val="24"/>
          <w:highlight w:val="none"/>
          <w14:textFill>
            <w14:solidFill>
              <w14:schemeClr w14:val="tx1"/>
            </w14:solidFill>
          </w14:textFill>
        </w:rPr>
        <w:t>公告</w:t>
      </w:r>
      <w:r>
        <w:rPr>
          <w:rFonts w:hint="eastAsia" w:hAnsi="宋体"/>
          <w:color w:val="000000" w:themeColor="text1"/>
          <w:szCs w:val="24"/>
          <w:highlight w:val="none"/>
          <w14:textFill>
            <w14:solidFill>
              <w14:schemeClr w14:val="tx1"/>
            </w14:solidFill>
          </w14:textFill>
        </w:rPr>
        <w:t>。</w:t>
      </w:r>
    </w:p>
    <w:p>
      <w:pPr>
        <w:pStyle w:val="11"/>
        <w:ind w:firstLine="480" w:firstLineChars="20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采购代理费5000元</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11"/>
        <w:ind w:firstLine="480" w:firstLineChars="200"/>
        <w:rPr>
          <w:rFonts w:hAnsi="宋体"/>
          <w:color w:val="000000" w:themeColor="text1"/>
          <w:szCs w:val="24"/>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b/>
          <w:color w:val="000000" w:themeColor="text1"/>
          <w:sz w:val="36"/>
          <w:highlight w:val="none"/>
          <w14:textFill>
            <w14:solidFill>
              <w14:schemeClr w14:val="tx1"/>
            </w14:solidFill>
          </w14:textFill>
        </w:rPr>
      </w:pPr>
    </w:p>
    <w:p>
      <w:pPr>
        <w:tabs>
          <w:tab w:val="left" w:pos="4270"/>
        </w:tabs>
        <w:jc w:val="center"/>
        <w:rPr>
          <w:rFonts w:hint="eastAsia" w:ascii="宋体" w:hAnsi="宋体"/>
          <w:b/>
          <w:color w:val="000000" w:themeColor="text1"/>
          <w:sz w:val="36"/>
          <w:szCs w:val="36"/>
          <w:highlight w:val="none"/>
          <w14:textFill>
            <w14:solidFill>
              <w14:schemeClr w14:val="tx1"/>
            </w14:solidFill>
          </w14:textFill>
        </w:rPr>
      </w:pPr>
    </w:p>
    <w:p>
      <w:pPr>
        <w:tabs>
          <w:tab w:val="left" w:pos="4270"/>
        </w:tabs>
        <w:jc w:val="center"/>
        <w:rPr>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第三章    询价采购需求</w:t>
      </w:r>
    </w:p>
    <w:p>
      <w:pPr>
        <w:tabs>
          <w:tab w:val="left" w:pos="8280"/>
        </w:tabs>
        <w:autoSpaceDE w:val="0"/>
        <w:autoSpaceDN w:val="0"/>
        <w:adjustRightInd w:val="0"/>
        <w:spacing w:line="360" w:lineRule="auto"/>
        <w:ind w:right="2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一、询价项目一览表</w:t>
      </w:r>
    </w:p>
    <w:p>
      <w:pPr>
        <w:tabs>
          <w:tab w:val="left" w:pos="8280"/>
        </w:tabs>
        <w:autoSpaceDE w:val="0"/>
        <w:autoSpaceDN w:val="0"/>
        <w:adjustRightInd w:val="0"/>
        <w:spacing w:line="360" w:lineRule="auto"/>
        <w:ind w:right="25" w:firstLine="28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具体内容如下表：</w:t>
      </w:r>
      <w:r>
        <w:rPr>
          <w:rFonts w:hint="eastAsia"/>
          <w:color w:val="000000" w:themeColor="text1"/>
          <w:sz w:val="24"/>
          <w:highlight w:val="none"/>
          <w14:textFill>
            <w14:solidFill>
              <w14:schemeClr w14:val="tx1"/>
            </w14:solidFill>
          </w14:textFill>
        </w:rPr>
        <w:t xml:space="preserve"> </w:t>
      </w:r>
    </w:p>
    <w:p>
      <w:pPr>
        <w:tabs>
          <w:tab w:val="left" w:pos="4270"/>
        </w:tabs>
        <w:rPr>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 xml:space="preserve">         </w:t>
      </w:r>
    </w:p>
    <w:tbl>
      <w:tblPr>
        <w:tblStyle w:val="23"/>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18"/>
        <w:gridCol w:w="851"/>
        <w:gridCol w:w="850"/>
        <w:gridCol w:w="342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42"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xml:space="preserve"> 品项</w:t>
            </w:r>
          </w:p>
        </w:tc>
        <w:tc>
          <w:tcPr>
            <w:tcW w:w="1518"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名称</w:t>
            </w:r>
          </w:p>
        </w:tc>
        <w:tc>
          <w:tcPr>
            <w:tcW w:w="851"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850"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c>
          <w:tcPr>
            <w:tcW w:w="3427"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参数</w:t>
            </w:r>
          </w:p>
        </w:tc>
        <w:tc>
          <w:tcPr>
            <w:tcW w:w="1479" w:type="dxa"/>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一、教师办公区</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办公桌椅</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简约现代，含柜，板材环保，无毒无味。</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办公桌尺寸：120cm*120cm*74cm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座椅尺寸：背高：55cm、坐深：45cm、坐高：45cm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座椅材质：人造革、固定扶手</w:t>
            </w:r>
          </w:p>
        </w:tc>
        <w:tc>
          <w:tcPr>
            <w:tcW w:w="1479" w:type="dxa"/>
            <w:vAlign w:val="center"/>
          </w:tcPr>
          <w:p>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76835</wp:posOffset>
                  </wp:positionH>
                  <wp:positionV relativeFrom="paragraph">
                    <wp:posOffset>146050</wp:posOffset>
                  </wp:positionV>
                  <wp:extent cx="602615" cy="482600"/>
                  <wp:effectExtent l="0" t="0" r="698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cstate="print"/>
                          <a:stretch>
                            <a:fillRect/>
                          </a:stretch>
                        </pic:blipFill>
                        <pic:spPr>
                          <a:xfrm>
                            <a:off x="0" y="0"/>
                            <a:ext cx="602615" cy="4826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办公电脑</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台</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政府采购清单</w:t>
            </w:r>
          </w:p>
        </w:tc>
        <w:tc>
          <w:tcPr>
            <w:tcW w:w="1479" w:type="dxa"/>
            <w:vAlign w:val="center"/>
          </w:tcPr>
          <w:p>
            <w:pPr>
              <w:widowControl/>
              <w:jc w:val="center"/>
              <w:rPr>
                <w:rFonts w:ascii="宋体" w:hAnsi="宋体" w:cs="宋体"/>
                <w:bCs/>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特殊影像资料</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50张影像资料</w:t>
            </w:r>
          </w:p>
        </w:tc>
        <w:tc>
          <w:tcPr>
            <w:tcW w:w="1479" w:type="dxa"/>
            <w:vAlign w:val="center"/>
          </w:tcPr>
          <w:p>
            <w:pPr>
              <w:widowControl/>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drawing>
                <wp:anchor distT="0" distB="0" distL="114300" distR="114300" simplePos="0" relativeHeight="251658240" behindDoc="0" locked="0" layoutInCell="1" allowOverlap="1">
                  <wp:simplePos x="0" y="0"/>
                  <wp:positionH relativeFrom="column">
                    <wp:posOffset>97155</wp:posOffset>
                  </wp:positionH>
                  <wp:positionV relativeFrom="paragraph">
                    <wp:posOffset>52705</wp:posOffset>
                  </wp:positionV>
                  <wp:extent cx="390525" cy="4857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390525" cy="485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特殊教育书籍</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50本</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87630</wp:posOffset>
                  </wp:positionH>
                  <wp:positionV relativeFrom="paragraph">
                    <wp:posOffset>-5715</wp:posOffset>
                  </wp:positionV>
                  <wp:extent cx="438150" cy="333375"/>
                  <wp:effectExtent l="0" t="0" r="6350" b="9525"/>
                  <wp:wrapNone/>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9" cstate="print"/>
                          <a:stretch>
                            <a:fillRect/>
                          </a:stretch>
                        </pic:blipFill>
                        <pic:spPr>
                          <a:xfrm>
                            <a:off x="0" y="0"/>
                            <a:ext cx="438150" cy="3333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多功能收纳柜</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材质：环保无味实木生态板</w:t>
            </w:r>
          </w:p>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单个柜子尺寸：33.5cm*33.5cm*33.5cm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规格：8格（包含收纳箱）</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485775" cy="609600"/>
                  <wp:effectExtent l="0" t="0" r="9525" b="0"/>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10" cstate="print"/>
                          <a:stretch>
                            <a:fillRect/>
                          </a:stretch>
                        </pic:blipFill>
                        <pic:spPr>
                          <a:xfrm>
                            <a:off x="0" y="0"/>
                            <a:ext cx="485775" cy="609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教具柜</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850"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尺寸：120cm*80cm*30cm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材质：木质</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81025" cy="490855"/>
                  <wp:effectExtent l="0" t="0" r="3175"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11" cstate="print"/>
                          <a:stretch>
                            <a:fillRect/>
                          </a:stretch>
                        </pic:blipFill>
                        <pic:spPr>
                          <a:xfrm>
                            <a:off x="0" y="0"/>
                            <a:ext cx="581025" cy="490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文件柜</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规格：两门柜（上玻璃下木门）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尺寸：80cm（W）*40cm(D)*200cm(H)</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材质：木质</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163830</wp:posOffset>
                  </wp:positionH>
                  <wp:positionV relativeFrom="paragraph">
                    <wp:posOffset>-509905</wp:posOffset>
                  </wp:positionV>
                  <wp:extent cx="323850" cy="513080"/>
                  <wp:effectExtent l="0" t="0" r="6350" b="762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cstate="print"/>
                          <a:stretch>
                            <a:fillRect/>
                          </a:stretch>
                        </pic:blipFill>
                        <pic:spPr>
                          <a:xfrm>
                            <a:off x="0" y="0"/>
                            <a:ext cx="323850" cy="5130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二、咨询评估区</w:t>
            </w:r>
          </w:p>
        </w:tc>
        <w:tc>
          <w:tcPr>
            <w:tcW w:w="1518" w:type="dxa"/>
            <w:vAlign w:val="center"/>
          </w:tcPr>
          <w:p>
            <w:pPr>
              <w:widowControl/>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感觉统合发展评估软件系统（软件+量表）</w:t>
            </w:r>
          </w:p>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开标须提供演示</w:t>
            </w:r>
            <w:r>
              <w:rPr>
                <w:rFonts w:hint="eastAsia" w:ascii="宋体" w:hAnsi="宋体" w:cs="宋体"/>
                <w:b/>
                <w:color w:val="000000" w:themeColor="text1"/>
                <w:kern w:val="0"/>
                <w:sz w:val="24"/>
                <w:highlight w:val="none"/>
                <w14:textFill>
                  <w14:solidFill>
                    <w14:schemeClr w14:val="tx1"/>
                  </w14:solidFill>
                </w14:textFill>
              </w:rPr>
              <w:t>）</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计算机化测试、自动生成结果、个案档案管理等 </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系统用于特殊儿童的送教上门服务，用于特殊儿童的感觉统合发展状况上门评估和上门康复训练。</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▲2、基于互联网+的系统，系统包含信息管理、送教管理、评估管理和康复训练四大功能。</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3、评估范围全面：14个分类的评估模块，包括听觉处理、视觉处理、前庭感觉处理、触觉处理、 多种感觉处理、口腔感觉处理、与耐力及肌肉张力有关的感觉处理、情绪或社交反应、感觉处理引致的行为 、显示反应启动等。</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▲4、送教管理：包括目标的制定，确定教学内容、送教的时间、人员等信息。目标分为两类，短期日标和长期目标。</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▲5、康复训练课程：学业技能篇、语言仿说篇和认知发展篇。在康复训练完成后可以对每次训练结果进行评估。</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▲6、多端同步：实现机构、老师、家长和儿童的数据共享和同步，对评定结果分析、总结和查询。</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▲7、机构管理端具有的功能如下：教师管理、学生管理、评估、康复训练和查询评定结果等。</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▲8、教师端具有的功能如下：教师管理、学生管理、评估、康复训练和查询评定结果等。</w:t>
            </w:r>
          </w:p>
          <w:p>
            <w:pPr>
              <w:widowControl/>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▲9、学生端具有的功能如下：个人信息管理和查询评估结果等。</w:t>
            </w:r>
          </w:p>
          <w:p>
            <w:pPr>
              <w:widowControl/>
              <w:jc w:val="left"/>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开标时须提供</w:t>
            </w:r>
            <w:r>
              <w:rPr>
                <w:rFonts w:hint="eastAsia" w:ascii="宋体" w:hAnsi="宋体" w:cs="宋体"/>
                <w:b/>
                <w:color w:val="000000" w:themeColor="text1"/>
                <w:kern w:val="0"/>
                <w:sz w:val="24"/>
                <w:highlight w:val="none"/>
                <w:lang w:val="en-US" w:eastAsia="zh-CN"/>
                <w14:textFill>
                  <w14:solidFill>
                    <w14:schemeClr w14:val="tx1"/>
                  </w14:solidFill>
                </w14:textFill>
              </w:rPr>
              <w:t>系统演示</w:t>
            </w:r>
            <w:r>
              <w:rPr>
                <w:rFonts w:hint="eastAsia" w:ascii="宋体" w:hAnsi="宋体" w:cs="宋体"/>
                <w:b/>
                <w:color w:val="000000" w:themeColor="text1"/>
                <w:kern w:val="0"/>
                <w:sz w:val="24"/>
                <w:highlight w:val="none"/>
                <w14:textFill>
                  <w14:solidFill>
                    <w14:schemeClr w14:val="tx1"/>
                  </w14:solidFill>
                </w14:textFill>
              </w:rPr>
              <w:t>，不提供</w:t>
            </w:r>
            <w:r>
              <w:rPr>
                <w:rFonts w:hint="eastAsia" w:ascii="宋体" w:hAnsi="宋体" w:cs="宋体"/>
                <w:b/>
                <w:color w:val="000000" w:themeColor="text1"/>
                <w:kern w:val="0"/>
                <w:sz w:val="24"/>
                <w:highlight w:val="none"/>
                <w:lang w:val="en-US" w:eastAsia="zh-CN"/>
                <w14:textFill>
                  <w14:solidFill>
                    <w14:schemeClr w14:val="tx1"/>
                  </w14:solidFill>
                </w14:textFill>
              </w:rPr>
              <w:t>演示</w:t>
            </w:r>
            <w:r>
              <w:rPr>
                <w:rFonts w:hint="eastAsia" w:ascii="宋体" w:hAnsi="宋体" w:cs="宋体"/>
                <w:b/>
                <w:color w:val="000000" w:themeColor="text1"/>
                <w:kern w:val="0"/>
                <w:sz w:val="24"/>
                <w:highlight w:val="none"/>
                <w14:textFill>
                  <w14:solidFill>
                    <w14:schemeClr w14:val="tx1"/>
                  </w14:solidFill>
                </w14:textFill>
              </w:rPr>
              <w:t>做无效标处理。</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自备电脑等设备</w:t>
            </w:r>
            <w:r>
              <w:rPr>
                <w:rFonts w:hint="eastAsia" w:ascii="宋体" w:hAnsi="宋体" w:cs="宋体"/>
                <w:b/>
                <w:color w:val="000000" w:themeColor="text1"/>
                <w:kern w:val="0"/>
                <w:sz w:val="24"/>
                <w:highlight w:val="none"/>
                <w:lang w:eastAsia="zh-CN"/>
                <w14:textFill>
                  <w14:solidFill>
                    <w14:schemeClr w14:val="tx1"/>
                  </w14:solidFill>
                </w14:textFill>
              </w:rPr>
              <w:t>）</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带▲参数为必须响应的参数，开标现场需要逐一演示，不满足做无效标处理。</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135255</wp:posOffset>
                  </wp:positionH>
                  <wp:positionV relativeFrom="paragraph">
                    <wp:posOffset>26035</wp:posOffset>
                  </wp:positionV>
                  <wp:extent cx="438150" cy="314325"/>
                  <wp:effectExtent l="0" t="0" r="6350" b="3175"/>
                  <wp:wrapNone/>
                  <wp:docPr id="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pic:cNvPicPr>
                            <a:picLocks noChangeAspect="1"/>
                          </pic:cNvPicPr>
                        </pic:nvPicPr>
                        <pic:blipFill>
                          <a:blip r:embed="rId13" cstate="print"/>
                          <a:stretch>
                            <a:fillRect/>
                          </a:stretch>
                        </pic:blipFill>
                        <pic:spPr>
                          <a:xfrm>
                            <a:off x="0" y="0"/>
                            <a:ext cx="438150" cy="3143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沙发组合</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填充物硬度:软；填充物:海绵；面料:麻；材质:木；结构工艺:木质工艺；</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50545" cy="323850"/>
                  <wp:effectExtent l="0" t="0" r="8255" b="635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14" cstate="print"/>
                          <a:stretch>
                            <a:fillRect/>
                          </a:stretch>
                        </pic:blipFill>
                        <pic:spPr>
                          <a:xfrm>
                            <a:off x="0" y="0"/>
                            <a:ext cx="550545" cy="323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茶几</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c>
          <w:tcPr>
            <w:tcW w:w="3427" w:type="dxa"/>
            <w:vAlign w:val="center"/>
          </w:tcPr>
          <w:p>
            <w:pPr>
              <w:widowControl/>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形状:方形；是否可伸缩:不可伸缩；是否带滚轮:否；结构工艺:木质工艺；材质:桦木；</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647700" cy="457200"/>
                  <wp:effectExtent l="0" t="0" r="0" b="0"/>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15" cstate="print"/>
                          <a:stretch>
                            <a:fillRect/>
                          </a:stretch>
                        </pic:blipFill>
                        <pic:spPr>
                          <a:xfrm>
                            <a:off x="0" y="0"/>
                            <a:ext cx="6477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特殊儿童听觉功能的评估与训练（软件DVD光盘）</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听觉发展、音节、单音节、句子、声调测试；声音觉察、辨识、识别、理解训练</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134620</wp:posOffset>
                  </wp:positionH>
                  <wp:positionV relativeFrom="paragraph">
                    <wp:posOffset>84455</wp:posOffset>
                  </wp:positionV>
                  <wp:extent cx="466725" cy="333375"/>
                  <wp:effectExtent l="0" t="0" r="3175" b="9525"/>
                  <wp:wrapNone/>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2"/>
                          <pic:cNvPicPr>
                            <a:picLocks noChangeAspect="1"/>
                          </pic:cNvPicPr>
                        </pic:nvPicPr>
                        <pic:blipFill>
                          <a:blip r:embed="rId16" cstate="print"/>
                          <a:stretch>
                            <a:fillRect/>
                          </a:stretch>
                        </pic:blipFill>
                        <pic:spPr>
                          <a:xfrm>
                            <a:off x="0" y="0"/>
                            <a:ext cx="466725" cy="3333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三.感觉统合训练区</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团队协力板/4人</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39.5x12.5x2.5cm（4组/套）</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4384" behindDoc="0" locked="0" layoutInCell="1" allowOverlap="1">
                  <wp:simplePos x="0" y="0"/>
                  <wp:positionH relativeFrom="column">
                    <wp:posOffset>131445</wp:posOffset>
                  </wp:positionH>
                  <wp:positionV relativeFrom="paragraph">
                    <wp:posOffset>32385</wp:posOffset>
                  </wp:positionV>
                  <wp:extent cx="470535" cy="474345"/>
                  <wp:effectExtent l="0" t="0" r="12065" b="8255"/>
                  <wp:wrapNone/>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6"/>
                          <pic:cNvPicPr>
                            <a:picLocks noChangeAspect="1"/>
                          </pic:cNvPicPr>
                        </pic:nvPicPr>
                        <pic:blipFill>
                          <a:blip r:embed="rId17" cstate="print"/>
                          <a:stretch>
                            <a:fillRect/>
                          </a:stretch>
                        </pic:blipFill>
                        <pic:spPr>
                          <a:xfrm>
                            <a:off x="0" y="0"/>
                            <a:ext cx="470535" cy="4743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蹦床</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产品尺寸：直径1.4m    高1.8m </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产品重量：16kg </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注意事项：承重50kg，需在成年人的看护下使用</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5408" behindDoc="0" locked="0" layoutInCell="1" allowOverlap="1">
                  <wp:simplePos x="0" y="0"/>
                  <wp:positionH relativeFrom="column">
                    <wp:posOffset>135255</wp:posOffset>
                  </wp:positionH>
                  <wp:positionV relativeFrom="paragraph">
                    <wp:posOffset>9525</wp:posOffset>
                  </wp:positionV>
                  <wp:extent cx="398145" cy="409575"/>
                  <wp:effectExtent l="0" t="0" r="8255" b="9525"/>
                  <wp:wrapNone/>
                  <wp:docPr id="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5"/>
                          <pic:cNvPicPr>
                            <a:picLocks noChangeAspect="1"/>
                          </pic:cNvPicPr>
                        </pic:nvPicPr>
                        <pic:blipFill>
                          <a:blip r:embed="rId18" cstate="print"/>
                          <a:stretch>
                            <a:fillRect/>
                          </a:stretch>
                        </pic:blipFill>
                        <pic:spPr>
                          <a:xfrm>
                            <a:off x="0" y="0"/>
                            <a:ext cx="398145" cy="4095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摇滚翘翘板</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1.橡胶触点及支点，柔韧安全,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2.一体成型，流线V型，符合人体工学</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3.防滑踩踏表面，安全稳定</w:t>
            </w:r>
          </w:p>
          <w:p>
            <w:pPr>
              <w:spacing w:line="36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尺寸：L52×W22×H14cm 承重：75kg </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材质：塑料+合成橡胶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120650</wp:posOffset>
                  </wp:positionH>
                  <wp:positionV relativeFrom="paragraph">
                    <wp:posOffset>108585</wp:posOffset>
                  </wp:positionV>
                  <wp:extent cx="509905" cy="439420"/>
                  <wp:effectExtent l="0" t="0" r="10795" b="5080"/>
                  <wp:wrapSquare wrapText="bothSides"/>
                  <wp:docPr id="10" name="图片 4" descr="T2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T2169-1"/>
                          <pic:cNvPicPr>
                            <a:picLocks noChangeAspect="1"/>
                          </pic:cNvPicPr>
                        </pic:nvPicPr>
                        <pic:blipFill>
                          <a:blip r:embed="rId19" cstate="print"/>
                          <a:stretch>
                            <a:fillRect/>
                          </a:stretch>
                        </pic:blipFill>
                        <pic:spPr>
                          <a:xfrm>
                            <a:off x="0" y="0"/>
                            <a:ext cx="509905" cy="4394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跳袋</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1.尺寸： 55*100cm；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2.材质：仿皮布袋；</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3.功能：能有效的刺激前庭、平衡感、本体感；</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260350" cy="389255"/>
                  <wp:effectExtent l="0" t="0" r="6350" b="4445"/>
                  <wp:docPr id="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pic:cNvPicPr>
                            <a:picLocks noChangeAspect="1"/>
                          </pic:cNvPicPr>
                        </pic:nvPicPr>
                        <pic:blipFill>
                          <a:blip r:embed="rId20" cstate="print"/>
                          <a:stretch>
                            <a:fillRect/>
                          </a:stretch>
                        </pic:blipFill>
                        <pic:spPr>
                          <a:xfrm>
                            <a:off x="0" y="0"/>
                            <a:ext cx="260350" cy="3892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视力环</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塑料；￠18×2.6(cm)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6432" behindDoc="0" locked="0" layoutInCell="1" allowOverlap="1">
                  <wp:simplePos x="0" y="0"/>
                  <wp:positionH relativeFrom="column">
                    <wp:posOffset>125730</wp:posOffset>
                  </wp:positionH>
                  <wp:positionV relativeFrom="paragraph">
                    <wp:posOffset>-8255</wp:posOffset>
                  </wp:positionV>
                  <wp:extent cx="409575" cy="304800"/>
                  <wp:effectExtent l="0" t="0" r="9525" b="0"/>
                  <wp:wrapNone/>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4"/>
                          <pic:cNvPicPr>
                            <a:picLocks noChangeAspect="1"/>
                          </pic:cNvPicPr>
                        </pic:nvPicPr>
                        <pic:blipFill>
                          <a:blip r:embed="rId21" cstate="print"/>
                          <a:stretch>
                            <a:fillRect/>
                          </a:stretch>
                        </pic:blipFill>
                        <pic:spPr>
                          <a:xfrm>
                            <a:off x="0" y="0"/>
                            <a:ext cx="409575" cy="30480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平衡步道</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规格：长148cm x宽30cm x 3cm高</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功能：能有效的刺激触觉</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产品简介：由塑料横杆组成的步道，每组4串4种顔色，可相互串连，让幼儿在上面尽情爬、走、跑、跳、刺激孩子脚底神经及全身触觉感应。</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8480" behindDoc="0" locked="0" layoutInCell="1" allowOverlap="1">
                  <wp:simplePos x="0" y="0"/>
                  <wp:positionH relativeFrom="column">
                    <wp:posOffset>68580</wp:posOffset>
                  </wp:positionH>
                  <wp:positionV relativeFrom="paragraph">
                    <wp:posOffset>-381000</wp:posOffset>
                  </wp:positionV>
                  <wp:extent cx="534035" cy="387985"/>
                  <wp:effectExtent l="0" t="0" r="12065" b="5715"/>
                  <wp:wrapSquare wrapText="bothSides"/>
                  <wp:docPr id="11" name="图片 22" descr="https://ss0.bdstatic.com/70cFuHSh_Q1YnxGkpoWK1HF6hhy/it/u=2614231810,2182255564&amp;fm=27&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https://ss0.bdstatic.com/70cFuHSh_Q1YnxGkpoWK1HF6hhy/it/u=2614231810,2182255564&amp;fm=27&amp;gp=0.jpg"/>
                          <pic:cNvPicPr>
                            <a:picLocks noChangeAspect="1"/>
                          </pic:cNvPicPr>
                        </pic:nvPicPr>
                        <pic:blipFill>
                          <a:blip r:embed="rId22" cstate="print"/>
                          <a:stretch>
                            <a:fillRect/>
                          </a:stretch>
                        </pic:blipFill>
                        <pic:spPr>
                          <a:xfrm>
                            <a:off x="0" y="0"/>
                            <a:ext cx="534035" cy="3879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触觉盘</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1.进口塑料+橡胶+防滑垫，柔韧安全；2，大小触盘有不同配对触点、刺激儿童皮肤接收器，可以锻炼孩子手脚配合能力，3，可训练孩子在游戏中的感知能力和识别能力</w:t>
            </w:r>
          </w:p>
          <w:p>
            <w:pPr>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2.规格：ø27cm×H2cm（大5）                     ø11cm×H2cm（小5个） （内容组件：大盘5个、小盘个，遮眼布1条，布袋1个）塑料+橡胶+帆布</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91008" behindDoc="0" locked="0" layoutInCell="1" allowOverlap="1">
                  <wp:simplePos x="0" y="0"/>
                  <wp:positionH relativeFrom="column">
                    <wp:posOffset>59055</wp:posOffset>
                  </wp:positionH>
                  <wp:positionV relativeFrom="paragraph">
                    <wp:posOffset>-426085</wp:posOffset>
                  </wp:positionV>
                  <wp:extent cx="542925" cy="600075"/>
                  <wp:effectExtent l="0" t="0" r="3175" b="9525"/>
                  <wp:wrapSquare wrapText="bothSides"/>
                  <wp:docPr id="33" name="图片 19" descr="T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T2117"/>
                          <pic:cNvPicPr>
                            <a:picLocks noChangeAspect="1"/>
                          </pic:cNvPicPr>
                        </pic:nvPicPr>
                        <pic:blipFill>
                          <a:blip r:embed="rId23" cstate="print"/>
                          <a:stretch>
                            <a:fillRect/>
                          </a:stretch>
                        </pic:blipFill>
                        <pic:spPr>
                          <a:xfrm>
                            <a:off x="0" y="0"/>
                            <a:ext cx="542925" cy="6000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充气平衡板</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c>
          <w:tcPr>
            <w:tcW w:w="3427" w:type="dxa"/>
            <w:vAlign w:val="center"/>
          </w:tcPr>
          <w:p>
            <w:pPr>
              <w:widowControl/>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1.充气底座通过利用空气压力来调节平衡板硬度，可根据不同个体的需求改变游戏难度,</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2.表面的橡胶防滑设计加强活动安全性。</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尺寸：ø38cm，H9.5cm </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材质：塑料+合成橡胶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92032" behindDoc="0" locked="0" layoutInCell="1" allowOverlap="1">
                  <wp:simplePos x="0" y="0"/>
                  <wp:positionH relativeFrom="column">
                    <wp:posOffset>125730</wp:posOffset>
                  </wp:positionH>
                  <wp:positionV relativeFrom="paragraph">
                    <wp:posOffset>-357505</wp:posOffset>
                  </wp:positionV>
                  <wp:extent cx="394335" cy="485775"/>
                  <wp:effectExtent l="0" t="0" r="12065" b="9525"/>
                  <wp:wrapSquare wrapText="bothSides"/>
                  <wp:docPr id="34" name="图片 1" descr="T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T2170"/>
                          <pic:cNvPicPr>
                            <a:picLocks noChangeAspect="1"/>
                          </pic:cNvPicPr>
                        </pic:nvPicPr>
                        <pic:blipFill>
                          <a:blip r:embed="rId24" cstate="print"/>
                          <a:stretch>
                            <a:fillRect/>
                          </a:stretch>
                        </pic:blipFill>
                        <pic:spPr>
                          <a:xfrm>
                            <a:off x="0" y="0"/>
                            <a:ext cx="394335" cy="4857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颗粒大龙球</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球面上有特殊设计的软质颗粒，游戏中可以提供丰富的触觉刺激。具有按摩作用，促进血液循环。可在球上进行躺、坐、趴或拍、推、滚…等好玩的亲子活动。 可提升幼儿动作、平衡等能力。</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规格：Ф85cm；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69504" behindDoc="0" locked="0" layoutInCell="1" allowOverlap="1">
                  <wp:simplePos x="0" y="0"/>
                  <wp:positionH relativeFrom="column">
                    <wp:posOffset>97155</wp:posOffset>
                  </wp:positionH>
                  <wp:positionV relativeFrom="paragraph">
                    <wp:posOffset>-13970</wp:posOffset>
                  </wp:positionV>
                  <wp:extent cx="438150" cy="276225"/>
                  <wp:effectExtent l="0" t="0" r="6350" b="3175"/>
                  <wp:wrapNone/>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pic:cNvPicPr>
                            <a:picLocks noChangeAspect="1"/>
                          </pic:cNvPicPr>
                        </pic:nvPicPr>
                        <pic:blipFill>
                          <a:blip r:embed="rId25" cstate="print"/>
                          <a:stretch>
                            <a:fillRect/>
                          </a:stretch>
                        </pic:blipFill>
                        <pic:spPr>
                          <a:xfrm>
                            <a:off x="0" y="0"/>
                            <a:ext cx="438150" cy="276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花生球</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适合幼龄孩子进行球上运动,促进身体动作发展 ，加强感觉统合能力的训练 ，增进前庭觉的健全发展。</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规格：Ф40×L80cm</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材质：环保塑料；</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0528" behindDoc="0" locked="0" layoutInCell="1" allowOverlap="1">
                  <wp:simplePos x="0" y="0"/>
                  <wp:positionH relativeFrom="column">
                    <wp:posOffset>29210</wp:posOffset>
                  </wp:positionH>
                  <wp:positionV relativeFrom="paragraph">
                    <wp:posOffset>18415</wp:posOffset>
                  </wp:positionV>
                  <wp:extent cx="542925" cy="400050"/>
                  <wp:effectExtent l="0" t="0" r="3175" b="6350"/>
                  <wp:wrapNone/>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6"/>
                          <pic:cNvPicPr>
                            <a:picLocks noChangeAspect="1"/>
                          </pic:cNvPicPr>
                        </pic:nvPicPr>
                        <pic:blipFill>
                          <a:blip r:embed="rId26" cstate="print"/>
                          <a:stretch>
                            <a:fillRect/>
                          </a:stretch>
                        </pic:blipFill>
                        <pic:spPr>
                          <a:xfrm>
                            <a:off x="0" y="0"/>
                            <a:ext cx="542925" cy="4000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大滑板</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训练儿童前庭平衡的必备器材，若配合滑车训练更能刺激儿童的前庭觉接受器，促进儿童的双脑分化与大肌肉本体刺激。</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材质：多层板，环保水性油漆</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占地面积：L290×W60×H75cm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600075" cy="361315"/>
                  <wp:effectExtent l="0" t="0" r="9525" b="6985"/>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pic:cNvPicPr>
                        </pic:nvPicPr>
                        <pic:blipFill>
                          <a:blip r:embed="rId27" cstate="print"/>
                          <a:stretch>
                            <a:fillRect/>
                          </a:stretch>
                        </pic:blipFill>
                        <pic:spPr>
                          <a:xfrm>
                            <a:off x="0" y="0"/>
                            <a:ext cx="600075" cy="3613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阳光隧道</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材质：尼龙 尺寸：146×46cm。适合年齡：3岁+。可进行多种活动，是感觉統合及孩子探索的最佳教具。轻松折叠好收纳</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1792" behindDoc="0" locked="0" layoutInCell="1" allowOverlap="1">
                  <wp:simplePos x="0" y="0"/>
                  <wp:positionH relativeFrom="column">
                    <wp:posOffset>59055</wp:posOffset>
                  </wp:positionH>
                  <wp:positionV relativeFrom="paragraph">
                    <wp:posOffset>147955</wp:posOffset>
                  </wp:positionV>
                  <wp:extent cx="485775" cy="333375"/>
                  <wp:effectExtent l="0" t="0" r="9525" b="9525"/>
                  <wp:wrapSquare wrapText="bothSides"/>
                  <wp:docPr id="2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5"/>
                          <pic:cNvPicPr>
                            <a:picLocks noChangeAspect="1"/>
                          </pic:cNvPicPr>
                        </pic:nvPicPr>
                        <pic:blipFill>
                          <a:blip r:embed="rId28" cstate="print"/>
                          <a:stretch>
                            <a:fillRect/>
                          </a:stretch>
                        </pic:blipFill>
                        <pic:spPr>
                          <a:xfrm>
                            <a:off x="0" y="0"/>
                            <a:ext cx="485775" cy="3333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独脚椅</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1.材质：安全塑料；</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2.尺寸：23*24cm；</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3.功能：锻炼平衡能力，协调身体，控制重力感，建立庭感觉机能；</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1552" behindDoc="0" locked="0" layoutInCell="1" allowOverlap="1">
                  <wp:simplePos x="0" y="0"/>
                  <wp:positionH relativeFrom="column">
                    <wp:posOffset>103505</wp:posOffset>
                  </wp:positionH>
                  <wp:positionV relativeFrom="paragraph">
                    <wp:posOffset>128270</wp:posOffset>
                  </wp:positionV>
                  <wp:extent cx="438150" cy="361950"/>
                  <wp:effectExtent l="0" t="0" r="6350" b="635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8"/>
                          <pic:cNvPicPr>
                            <a:picLocks noChangeAspect="1"/>
                          </pic:cNvPicPr>
                        </pic:nvPicPr>
                        <pic:blipFill>
                          <a:blip r:embed="rId29" cstate="print"/>
                          <a:stretch>
                            <a:fillRect/>
                          </a:stretch>
                        </pic:blipFill>
                        <pic:spPr>
                          <a:xfrm>
                            <a:off x="0" y="0"/>
                            <a:ext cx="438150" cy="36195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新版万象组合</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1.材质：塑料；</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产品配置：长扁条16个，平衡桥3块，圆桶12个，全砖6个，半砖2个，正方框4个，70cm体能棒12个，33cm体能棒2个，15cm体能棒10个，7.5cm体能棒6个，5.5cm体能棒4个，卡扣10个，配件1个，3角型4个，体操圈直径33cm4个，体操圈直径7.5cm4个，共99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0768" behindDoc="0" locked="0" layoutInCell="1" allowOverlap="1">
                  <wp:simplePos x="0" y="0"/>
                  <wp:positionH relativeFrom="column">
                    <wp:posOffset>58420</wp:posOffset>
                  </wp:positionH>
                  <wp:positionV relativeFrom="paragraph">
                    <wp:posOffset>-36195</wp:posOffset>
                  </wp:positionV>
                  <wp:extent cx="606425" cy="405130"/>
                  <wp:effectExtent l="0" t="0" r="3175" b="127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pic:cNvPicPr>
                        </pic:nvPicPr>
                        <pic:blipFill>
                          <a:blip r:embed="rId30" cstate="print"/>
                          <a:stretch>
                            <a:fillRect/>
                          </a:stretch>
                        </pic:blipFill>
                        <pic:spPr>
                          <a:xfrm>
                            <a:off x="0" y="0"/>
                            <a:ext cx="606425" cy="4051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魔术环</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可随手扭转,挤压,按压的触圈,提升触觉发展,抒发情绪。</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规格:Ф17cm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2576" behindDoc="0" locked="0" layoutInCell="1" allowOverlap="1">
                  <wp:simplePos x="0" y="0"/>
                  <wp:positionH relativeFrom="column">
                    <wp:posOffset>48895</wp:posOffset>
                  </wp:positionH>
                  <wp:positionV relativeFrom="paragraph">
                    <wp:posOffset>28575</wp:posOffset>
                  </wp:positionV>
                  <wp:extent cx="523875" cy="352425"/>
                  <wp:effectExtent l="0" t="0" r="9525" b="3175"/>
                  <wp:wrapNone/>
                  <wp:docPr id="1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8"/>
                          <pic:cNvPicPr>
                            <a:picLocks noChangeAspect="1"/>
                          </pic:cNvPicPr>
                        </pic:nvPicPr>
                        <pic:blipFill>
                          <a:blip r:embed="rId31" cstate="print"/>
                          <a:stretch>
                            <a:fillRect/>
                          </a:stretch>
                        </pic:blipFill>
                        <pic:spPr>
                          <a:xfrm>
                            <a:off x="0" y="0"/>
                            <a:ext cx="523875" cy="3524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踩踏石</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对</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1.阻滑设计，平弧双面交换训练；</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2.规格：ø15cm*H7cm，承重100kg </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49910" cy="438150"/>
                  <wp:effectExtent l="0" t="0" r="8890" b="6350"/>
                  <wp:docPr id="41" name="图片 64" descr="T2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4" descr="T2119-1"/>
                          <pic:cNvPicPr>
                            <a:picLocks noChangeAspect="1"/>
                          </pic:cNvPicPr>
                        </pic:nvPicPr>
                        <pic:blipFill>
                          <a:blip r:embed="rId32" cstate="print"/>
                          <a:stretch>
                            <a:fillRect/>
                          </a:stretch>
                        </pic:blipFill>
                        <pic:spPr>
                          <a:xfrm>
                            <a:off x="0" y="0"/>
                            <a:ext cx="549910" cy="438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88轨道（小）</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塑料+弹性球；34*21*4cm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3600" behindDoc="0" locked="0" layoutInCell="1" allowOverlap="1">
                  <wp:simplePos x="0" y="0"/>
                  <wp:positionH relativeFrom="column">
                    <wp:posOffset>76835</wp:posOffset>
                  </wp:positionH>
                  <wp:positionV relativeFrom="paragraph">
                    <wp:posOffset>70485</wp:posOffset>
                  </wp:positionV>
                  <wp:extent cx="495300" cy="419100"/>
                  <wp:effectExtent l="0" t="0" r="0" b="0"/>
                  <wp:wrapNone/>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
                          <pic:cNvPicPr>
                            <a:picLocks noChangeAspect="1"/>
                          </pic:cNvPicPr>
                        </pic:nvPicPr>
                        <pic:blipFill>
                          <a:blip r:embed="rId33" cstate="print"/>
                          <a:stretch>
                            <a:fillRect/>
                          </a:stretch>
                        </pic:blipFill>
                        <pic:spPr>
                          <a:xfrm>
                            <a:off x="0" y="0"/>
                            <a:ext cx="495300" cy="41910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羊角球</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跳跃动作促进孩子前庭觉、本体觉的统合发展，增进动作控制能力，促进腿部肌肉的发展。</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规格：Ф45cm</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材质：环保塑料</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4624" behindDoc="0" locked="0" layoutInCell="1" allowOverlap="1">
                  <wp:simplePos x="0" y="0"/>
                  <wp:positionH relativeFrom="column">
                    <wp:posOffset>76835</wp:posOffset>
                  </wp:positionH>
                  <wp:positionV relativeFrom="paragraph">
                    <wp:posOffset>71755</wp:posOffset>
                  </wp:positionV>
                  <wp:extent cx="438150" cy="409575"/>
                  <wp:effectExtent l="0" t="0" r="6350" b="9525"/>
                  <wp:wrapNone/>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3"/>
                          <pic:cNvPicPr>
                            <a:picLocks noChangeAspect="1"/>
                          </pic:cNvPicPr>
                        </pic:nvPicPr>
                        <pic:blipFill>
                          <a:blip r:embed="rId34" cstate="print"/>
                          <a:stretch>
                            <a:fillRect/>
                          </a:stretch>
                        </pic:blipFill>
                        <pic:spPr>
                          <a:xfrm>
                            <a:off x="0" y="0"/>
                            <a:ext cx="438150" cy="4095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大龙球</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适合孩子进行球上运动，躺、坐、卧、趴…等。提供前庭刺激，加强平衡能力，也适合大人进行球上健身运动。 适于推、拍、滚的大型体能球具。</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规格：Ф90cm</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材质：环保塑料</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9744" behindDoc="0" locked="0" layoutInCell="1" allowOverlap="1">
                  <wp:simplePos x="0" y="0"/>
                  <wp:positionH relativeFrom="column">
                    <wp:posOffset>57785</wp:posOffset>
                  </wp:positionH>
                  <wp:positionV relativeFrom="paragraph">
                    <wp:posOffset>-516255</wp:posOffset>
                  </wp:positionV>
                  <wp:extent cx="508000" cy="514350"/>
                  <wp:effectExtent l="0" t="0" r="0" b="6350"/>
                  <wp:wrapSquare wrapText="bothSides"/>
                  <wp:docPr id="22" name="图片 13" descr="KD-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KD-001"/>
                          <pic:cNvPicPr>
                            <a:picLocks noChangeAspect="1"/>
                          </pic:cNvPicPr>
                        </pic:nvPicPr>
                        <pic:blipFill>
                          <a:blip r:embed="rId35" cstate="print"/>
                          <a:stretch>
                            <a:fillRect/>
                          </a:stretch>
                        </pic:blipFill>
                        <pic:spPr>
                          <a:xfrm>
                            <a:off x="0" y="0"/>
                            <a:ext cx="508000" cy="5143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吊缆系列</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A字架：202×192×200cm，不锈钢材质，钢管直径5cm，挂件钢管厚度：2.0mm，其他钢管厚度：1.5mm。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吊缆：长度：185cm, 中间宽度：74cm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横抱筒：直径：28cm，长度：81cm，外层PU革、内填充密度海绵，接口处配有拉链。</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竖抱筒：直径：23cm，长度：79cm，外层PU革、内填充密度海绵，接口处配有拉链。</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5648" behindDoc="0" locked="0" layoutInCell="1" allowOverlap="1">
                  <wp:simplePos x="0" y="0"/>
                  <wp:positionH relativeFrom="column">
                    <wp:posOffset>53975</wp:posOffset>
                  </wp:positionH>
                  <wp:positionV relativeFrom="paragraph">
                    <wp:posOffset>32385</wp:posOffset>
                  </wp:positionV>
                  <wp:extent cx="495300" cy="542925"/>
                  <wp:effectExtent l="0" t="0" r="0" b="3175"/>
                  <wp:wrapNone/>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36" cstate="print"/>
                          <a:stretch>
                            <a:fillRect/>
                          </a:stretch>
                        </pic:blipFill>
                        <pic:spPr>
                          <a:xfrm>
                            <a:off x="0" y="0"/>
                            <a:ext cx="495300" cy="542925"/>
                          </a:xfrm>
                          <a:prstGeom prst="rect">
                            <a:avLst/>
                          </a:prstGeom>
                          <a:noFill/>
                          <a:ln>
                            <a:noFill/>
                          </a:ln>
                        </pic:spPr>
                      </pic:pic>
                    </a:graphicData>
                  </a:graphic>
                </wp:anchor>
              </w:drawing>
            </w:r>
          </w:p>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6672" behindDoc="0" locked="0" layoutInCell="1" allowOverlap="1">
                  <wp:simplePos x="0" y="0"/>
                  <wp:positionH relativeFrom="column">
                    <wp:posOffset>-39370</wp:posOffset>
                  </wp:positionH>
                  <wp:positionV relativeFrom="paragraph">
                    <wp:posOffset>120015</wp:posOffset>
                  </wp:positionV>
                  <wp:extent cx="657225" cy="361950"/>
                  <wp:effectExtent l="0" t="0" r="317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37" cstate="print"/>
                          <a:stretch>
                            <a:fillRect/>
                          </a:stretch>
                        </pic:blipFill>
                        <pic:spPr>
                          <a:xfrm>
                            <a:off x="0" y="0"/>
                            <a:ext cx="657225" cy="3619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圆形小滑板</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塑料；直径：52cm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7696" behindDoc="0" locked="0" layoutInCell="1" allowOverlap="1">
                  <wp:simplePos x="0" y="0"/>
                  <wp:positionH relativeFrom="column">
                    <wp:posOffset>112395</wp:posOffset>
                  </wp:positionH>
                  <wp:positionV relativeFrom="paragraph">
                    <wp:posOffset>104140</wp:posOffset>
                  </wp:positionV>
                  <wp:extent cx="508000" cy="414020"/>
                  <wp:effectExtent l="0" t="0" r="0" b="5080"/>
                  <wp:wrapNone/>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0"/>
                          <pic:cNvPicPr>
                            <a:picLocks noChangeAspect="1"/>
                          </pic:cNvPicPr>
                        </pic:nvPicPr>
                        <pic:blipFill>
                          <a:blip r:embed="rId38" cstate="print"/>
                          <a:stretch>
                            <a:fillRect/>
                          </a:stretch>
                        </pic:blipFill>
                        <pic:spPr>
                          <a:xfrm>
                            <a:off x="0" y="0"/>
                            <a:ext cx="508000" cy="41402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乌龟垫</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件</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200*180cm；双面</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78720" behindDoc="0" locked="0" layoutInCell="1" allowOverlap="1">
                  <wp:simplePos x="0" y="0"/>
                  <wp:positionH relativeFrom="column">
                    <wp:posOffset>70485</wp:posOffset>
                  </wp:positionH>
                  <wp:positionV relativeFrom="paragraph">
                    <wp:posOffset>58420</wp:posOffset>
                  </wp:positionV>
                  <wp:extent cx="523875" cy="352425"/>
                  <wp:effectExtent l="0" t="0" r="9525" b="3175"/>
                  <wp:wrapNone/>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3"/>
                          <pic:cNvPicPr>
                            <a:picLocks noChangeAspect="1"/>
                          </pic:cNvPicPr>
                        </pic:nvPicPr>
                        <pic:blipFill>
                          <a:blip r:embed="rId39" cstate="print"/>
                          <a:stretch>
                            <a:fillRect/>
                          </a:stretch>
                        </pic:blipFill>
                        <pic:spPr>
                          <a:xfrm>
                            <a:off x="0" y="0"/>
                            <a:ext cx="523875" cy="352425"/>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四、言语康复训练区</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文字语训学习板</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台</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适用于6-14岁学龄期儿童在学校、家庭的教育干预。通过仿说、配对文字及汉语拼音，提高认知能力，达到发展学龄期儿童的学业水平，培养融入社会的能力。包括：学习中国汉字、数字符号、英文字母、认知配对、字符认知、言语仿说。</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1、产品组成：</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（1）1台沟通板主机；</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（2）内存TF卡：1G </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（3）16个配对模块；</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（4）一个8格键盘框；</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（5） 配基础包，包含400个基本文字；</w:t>
            </w:r>
          </w:p>
          <w:p>
            <w:pPr>
              <w:widowControl/>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（6）基础包，包含400种文字音源</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（7）沟通板使用说明</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（8）4节5号电池（1.5V）；</w:t>
            </w:r>
          </w:p>
          <w:p>
            <w:pPr>
              <w:widowControl/>
              <w:ind w:firstLine="240" w:firstLineChars="1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（9）1条充电数据线</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2、性能参数： </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（1）工作时间：待机6天</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（2）供电方式：DC6V</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（3）材质：ABS+铝合金</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（4）可更换不同卡片，供不同能力和年龄阶段人群使用；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（5）具有语音播报、复读、配对、红外遥控功能</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（6）功能：利用多重感觉（听觉、视觉、触觉等）提高文字认知能力，达到发展文字与符号的口语能力和字图物的泛化联想能力。改善人际关系、对环境的独立自主能力和参与家庭生活与学习教育的作用。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3、包装：配有专用包</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24510" cy="393700"/>
                  <wp:effectExtent l="0" t="0" r="8890" b="0"/>
                  <wp:docPr id="42" name="图片 24" descr="文字语训学习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descr="文字语训学习板"/>
                          <pic:cNvPicPr>
                            <a:picLocks noChangeAspect="1"/>
                          </pic:cNvPicPr>
                        </pic:nvPicPr>
                        <pic:blipFill>
                          <a:blip r:embed="rId40" cstate="print"/>
                          <a:stretch>
                            <a:fillRect/>
                          </a:stretch>
                        </pic:blipFill>
                        <pic:spPr>
                          <a:xfrm>
                            <a:off x="0" y="0"/>
                            <a:ext cx="524510" cy="393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心理干预卡片</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心理障碍干预（男）指导卡片A5（共27张）</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心理障碍干预（女）指导卡片A5（共27张）</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早期行为干预玩具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98片大块百变城市积木 ，木制。</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包括：积木87颗、小车5辆、拼版6块</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产品材质：荷木、罗宾板、MDF</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33400" cy="381000"/>
                  <wp:effectExtent l="0" t="0" r="0" b="0"/>
                  <wp:docPr id="43" name="图片 7" descr="C7~CN_UCP98WVYKT~7C@Z9K"/>
                  <wp:cNvGraphicFramePr/>
                  <a:graphic xmlns:a="http://schemas.openxmlformats.org/drawingml/2006/main">
                    <a:graphicData uri="http://schemas.openxmlformats.org/drawingml/2006/picture">
                      <pic:pic xmlns:pic="http://schemas.openxmlformats.org/drawingml/2006/picture">
                        <pic:nvPicPr>
                          <pic:cNvPr id="43" name="图片 7" descr="C7~CN_UCP98WVYKT~7C@Z9K"/>
                          <pic:cNvPicPr/>
                        </pic:nvPicPr>
                        <pic:blipFill>
                          <a:blip r:embed="rId41" cstate="print"/>
                          <a:stretch>
                            <a:fillRect/>
                          </a:stretch>
                        </pic:blipFill>
                        <pic:spPr>
                          <a:xfrm>
                            <a:off x="0" y="0"/>
                            <a:ext cx="533400" cy="381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沟通任意贴纸</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语言训练、动物乐园、学习全贴纸、左右脑贴纸（左脑）、左右脑贴纸（右脑）、神奇贴纸、神奇贴纸（iq）、识车全贴纸、恐龙世界、世界兵器、学拼音、瓜果蔬菜一套共十二本。</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2816" behindDoc="0" locked="0" layoutInCell="1" allowOverlap="1">
                  <wp:simplePos x="0" y="0"/>
                  <wp:positionH relativeFrom="column">
                    <wp:posOffset>80010</wp:posOffset>
                  </wp:positionH>
                  <wp:positionV relativeFrom="paragraph">
                    <wp:posOffset>44450</wp:posOffset>
                  </wp:positionV>
                  <wp:extent cx="438150" cy="419100"/>
                  <wp:effectExtent l="0" t="0" r="6350" b="0"/>
                  <wp:wrapNone/>
                  <wp:docPr id="2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pic:cNvPicPr>
                            <a:picLocks noChangeAspect="1"/>
                          </pic:cNvPicPr>
                        </pic:nvPicPr>
                        <pic:blipFill>
                          <a:blip r:embed="rId42" cstate="print"/>
                          <a:stretch>
                            <a:fillRect/>
                          </a:stretch>
                        </pic:blipFill>
                        <pic:spPr>
                          <a:xfrm>
                            <a:off x="0" y="0"/>
                            <a:ext cx="438150" cy="4191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临床康复用具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台</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1、专为智力障碍、孤独症、脑瘫等语言沟通障碍儿童设计。</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2、适合康复机构、特殊教育学校等使用，也可作为沟通辅具家庭使用。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3、主界面由核心词汇构成，可自由组合词组、句子，并在播放栏进行播放，同时用户也可自行设计个别化沟通模板，系统预留了设置空间。</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4、可自由设置主界面图片的数量，行和列可从1*1扩展到12*12。</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5、可进行沟通模板的图片的新建、文件夹超链接的新建。</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6、沟通模板可进行图片位置移动、删除等设置。</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7、可进行文字显示、文字大小、文字颜色的设置。</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 能对颜色进行设置，包括单元格背景颜色、单元格颜色、操作区域颜色和播放栏背景颜色的设置。</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9、可进行语音播放速度的设置，分为快、正常和慢三种模式；</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10沟通符号：本系统包含3900张沟通图片，每张图片对应一份中文语音；沟通图片按照其的含义进行分类，共分为常用词汇、大自然、动作、服装、工作教育、社区家庭、交通、情感和食品等14大类，86个小类，用户新建沟通模板时，可按照需求，便捷快速的寻找到沟通图片，便于操作使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11、硬件操作系统：IOS系统，平板，便于携带。</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04825" cy="514350"/>
                  <wp:effectExtent l="0" t="0" r="3175" b="6350"/>
                  <wp:docPr id="44" name="图片 1" descr="智能aac副本"/>
                  <wp:cNvGraphicFramePr/>
                  <a:graphic xmlns:a="http://schemas.openxmlformats.org/drawingml/2006/main">
                    <a:graphicData uri="http://schemas.openxmlformats.org/drawingml/2006/picture">
                      <pic:pic xmlns:pic="http://schemas.openxmlformats.org/drawingml/2006/picture">
                        <pic:nvPicPr>
                          <pic:cNvPr id="44" name="图片 1" descr="智能aac副本"/>
                          <pic:cNvPicPr/>
                        </pic:nvPicPr>
                        <pic:blipFill>
                          <a:blip r:embed="rId43" cstate="print"/>
                          <a:stretch>
                            <a:fillRect/>
                          </a:stretch>
                        </pic:blipFill>
                        <pic:spPr>
                          <a:xfrm>
                            <a:off x="0" y="0"/>
                            <a:ext cx="504825" cy="514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特殊儿童听说能力康复训练系统（软件）</w:t>
            </w:r>
          </w:p>
          <w:p>
            <w:pPr>
              <w:widowControl/>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（开标</w:t>
            </w:r>
            <w:r>
              <w:rPr>
                <w:rFonts w:hint="eastAsia" w:ascii="宋体" w:hAnsi="宋体" w:cs="宋体"/>
                <w:b/>
                <w:color w:val="000000" w:themeColor="text1"/>
                <w:kern w:val="0"/>
                <w:sz w:val="24"/>
                <w:highlight w:val="none"/>
                <w:lang w:val="en-US" w:eastAsia="zh-CN"/>
                <w14:textFill>
                  <w14:solidFill>
                    <w14:schemeClr w14:val="tx1"/>
                  </w14:solidFill>
                </w14:textFill>
              </w:rPr>
              <w:t>须演示</w:t>
            </w:r>
            <w:r>
              <w:rPr>
                <w:rFonts w:hint="eastAsia" w:ascii="宋体" w:hAnsi="宋体" w:cs="宋体"/>
                <w:b/>
                <w:color w:val="000000" w:themeColor="text1"/>
                <w:kern w:val="0"/>
                <w:sz w:val="24"/>
                <w:highlight w:val="none"/>
                <w14:textFill>
                  <w14:solidFill>
                    <w14:schemeClr w14:val="tx1"/>
                  </w14:solidFill>
                </w14:textFill>
              </w:rPr>
              <w:t>）</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1、本系统适用于孤独症谱系障碍儿童、言语语言障碍儿童、听力障碍儿童（人工耳蜗术后）等发展言语与语言交流能力。</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2、适用年龄3-12岁。</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3、本系统主要提供听觉训练、构音训练、发音训练、语言训练四个部分训练模块。</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▲4、主要包括“魔音之塔”、“动听之树”、“佳话小屋”、“妙语城堡”四个功能模块。</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5、魔音之塔：为儿童的听觉辨别康复做基础性训练。辩一辩主要包括交通工具、动物园、乐器房等训练项目。交通指挥员训练儿童辨识交通工具声音的能力；帮我找找家训练儿童辨识动物的声音的能力；小小音乐家训练儿童辨识乐器声音的能力。</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▲6、动听之树：为儿童提供构音训练。学一学主要包括声母、单韵母、复韵母等训练项目。</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7、佳话小屋：通过词语学习来巩固已获得的训练技能。主要包括声音学堂、趣玩乐园等训练项目。声音学堂的内容包括浴室用品、动物卡片、数字、玩具、厨具、交通工具、文具、水果、工具、衣物、颜色与形状、蔬菜、食品、人体等类型。趣玩乐园包括超市总动员、泡泡大作战、今天我挡班、大声说出来、跳跳猴、图文消消看、今天穿什么、一起做沙拉、大家动起来等训练项目。</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▲8、妙语城堡：通过简单语法搭配练习综合运用达到儿童语言康复训练的目的。主要包括快到碗里来、捡苹果、小车对对碰、连词成句、滑滑乐、打地鼠等综合训练项目。</w:t>
            </w:r>
          </w:p>
          <w:p>
            <w:pPr>
              <w:widowControl/>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开标时须</w:t>
            </w:r>
            <w:r>
              <w:rPr>
                <w:rFonts w:hint="eastAsia" w:ascii="宋体" w:hAnsi="宋体" w:cs="宋体"/>
                <w:b/>
                <w:color w:val="000000" w:themeColor="text1"/>
                <w:kern w:val="0"/>
                <w:sz w:val="24"/>
                <w:highlight w:val="none"/>
                <w:lang w:val="en-US" w:eastAsia="zh-CN"/>
                <w14:textFill>
                  <w14:solidFill>
                    <w14:schemeClr w14:val="tx1"/>
                  </w14:solidFill>
                </w14:textFill>
              </w:rPr>
              <w:t>演示</w:t>
            </w:r>
            <w:r>
              <w:rPr>
                <w:rFonts w:hint="eastAsia" w:ascii="宋体" w:hAnsi="宋体" w:cs="宋体"/>
                <w:b/>
                <w:color w:val="000000" w:themeColor="text1"/>
                <w:kern w:val="0"/>
                <w:sz w:val="24"/>
                <w:highlight w:val="none"/>
                <w14:textFill>
                  <w14:solidFill>
                    <w14:schemeClr w14:val="tx1"/>
                  </w14:solidFill>
                </w14:textFill>
              </w:rPr>
              <w:t>，不</w:t>
            </w:r>
            <w:r>
              <w:rPr>
                <w:rFonts w:hint="eastAsia" w:ascii="宋体" w:hAnsi="宋体" w:cs="宋体"/>
                <w:b/>
                <w:color w:val="000000" w:themeColor="text1"/>
                <w:kern w:val="0"/>
                <w:sz w:val="24"/>
                <w:highlight w:val="none"/>
                <w:lang w:val="en-US" w:eastAsia="zh-CN"/>
                <w14:textFill>
                  <w14:solidFill>
                    <w14:schemeClr w14:val="tx1"/>
                  </w14:solidFill>
                </w14:textFill>
              </w:rPr>
              <w:t>演示</w:t>
            </w:r>
            <w:r>
              <w:rPr>
                <w:rFonts w:hint="eastAsia" w:ascii="宋体" w:hAnsi="宋体" w:cs="宋体"/>
                <w:b/>
                <w:color w:val="000000" w:themeColor="text1"/>
                <w:kern w:val="0"/>
                <w:sz w:val="24"/>
                <w:highlight w:val="none"/>
                <w14:textFill>
                  <w14:solidFill>
                    <w14:schemeClr w14:val="tx1"/>
                  </w14:solidFill>
                </w14:textFill>
              </w:rPr>
              <w:t>做无效标处理。</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带▲参数为必须响应的参数，开标现场需要逐一演示，不满足做无效标处理。</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3840" behindDoc="0" locked="0" layoutInCell="1" allowOverlap="1">
                  <wp:simplePos x="0" y="0"/>
                  <wp:positionH relativeFrom="column">
                    <wp:posOffset>86360</wp:posOffset>
                  </wp:positionH>
                  <wp:positionV relativeFrom="paragraph">
                    <wp:posOffset>132080</wp:posOffset>
                  </wp:positionV>
                  <wp:extent cx="589280" cy="370840"/>
                  <wp:effectExtent l="0" t="0" r="7620" b="10160"/>
                  <wp:wrapNone/>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44" cstate="print"/>
                          <a:stretch>
                            <a:fillRect/>
                          </a:stretch>
                        </pic:blipFill>
                        <pic:spPr>
                          <a:xfrm>
                            <a:off x="0" y="0"/>
                            <a:ext cx="589280" cy="3708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五、认知干预训练区</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特殊儿童认知能力的评估与训练（软件DVD光盘）</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感知觉、注意力、观察力、记忆力和思维能力等评估和训练</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8960" behindDoc="0" locked="0" layoutInCell="1" allowOverlap="1">
                  <wp:simplePos x="0" y="0"/>
                  <wp:positionH relativeFrom="column">
                    <wp:posOffset>11430</wp:posOffset>
                  </wp:positionH>
                  <wp:positionV relativeFrom="paragraph">
                    <wp:posOffset>46355</wp:posOffset>
                  </wp:positionV>
                  <wp:extent cx="571500" cy="323850"/>
                  <wp:effectExtent l="0" t="0" r="0" b="6350"/>
                  <wp:wrapNone/>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pic:cNvPicPr>
                        </pic:nvPicPr>
                        <pic:blipFill>
                          <a:blip r:embed="rId45" cstate="print"/>
                          <a:stretch>
                            <a:fillRect/>
                          </a:stretch>
                        </pic:blipFill>
                        <pic:spPr>
                          <a:xfrm>
                            <a:off x="0" y="0"/>
                            <a:ext cx="571500" cy="3238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蒙特梭利教具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材质：榉木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规格：88件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438150" cy="390525"/>
                  <wp:effectExtent l="0" t="0" r="6350" b="3175"/>
                  <wp:docPr id="45" name="图片 2" descr="ertong0929590955.jpg"/>
                  <wp:cNvGraphicFramePr/>
                  <a:graphic xmlns:a="http://schemas.openxmlformats.org/drawingml/2006/main">
                    <a:graphicData uri="http://schemas.openxmlformats.org/drawingml/2006/picture">
                      <pic:pic xmlns:pic="http://schemas.openxmlformats.org/drawingml/2006/picture">
                        <pic:nvPicPr>
                          <pic:cNvPr id="45" name="图片 2" descr="ertong0929590955.jpg"/>
                          <pic:cNvPicPr/>
                        </pic:nvPicPr>
                        <pic:blipFill>
                          <a:blip r:embed="rId46" cstate="print"/>
                          <a:stretch>
                            <a:fillRect/>
                          </a:stretch>
                        </pic:blipFill>
                        <pic:spPr>
                          <a:xfrm>
                            <a:off x="0" y="0"/>
                            <a:ext cx="438150" cy="3905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教具柜</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材质：木质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规格：120cm*80cm*30cm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蒙氏桌椅</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材质：松木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尺寸：100cm*60cm*55cm</w:t>
            </w:r>
            <w:r>
              <w:rPr>
                <w:rFonts w:hint="eastAsia" w:ascii="宋体" w:hAnsi="宋体" w:cs="宋体"/>
                <w:color w:val="000000" w:themeColor="text1"/>
                <w:kern w:val="0"/>
                <w:sz w:val="24"/>
                <w:highlight w:val="none"/>
                <w14:textFill>
                  <w14:solidFill>
                    <w14:schemeClr w14:val="tx1"/>
                  </w14:solidFill>
                </w14:textFill>
              </w:rPr>
              <w:t xml:space="preserve"> </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92455" cy="415925"/>
                  <wp:effectExtent l="0" t="0" r="4445" b="317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47" cstate="print"/>
                          <a:stretch>
                            <a:fillRect/>
                          </a:stretch>
                        </pic:blipFill>
                        <pic:spPr>
                          <a:xfrm>
                            <a:off x="0" y="0"/>
                            <a:ext cx="592455" cy="4159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福禄贝尔教具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材质：木质</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规格：14件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9984" behindDoc="0" locked="0" layoutInCell="1" allowOverlap="1">
                  <wp:simplePos x="0" y="0"/>
                  <wp:positionH relativeFrom="column">
                    <wp:posOffset>30480</wp:posOffset>
                  </wp:positionH>
                  <wp:positionV relativeFrom="paragraph">
                    <wp:posOffset>-241300</wp:posOffset>
                  </wp:positionV>
                  <wp:extent cx="590550" cy="333375"/>
                  <wp:effectExtent l="0" t="0" r="6350" b="9525"/>
                  <wp:wrapSquare wrapText="bothSides"/>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48" cstate="print"/>
                          <a:stretch>
                            <a:fillRect/>
                          </a:stretch>
                        </pic:blipFill>
                        <pic:spPr>
                          <a:xfrm>
                            <a:off x="0" y="0"/>
                            <a:ext cx="590550" cy="333375"/>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42" w:type="dxa"/>
            <w:vMerge w:val="restart"/>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六、补救教学</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教具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1、排箫；2、风力转伞；3、小喷全温度计；4、飞旋小夹子；5、多翅竹蜻蜓；6、万花筒；7、磁体汽车；8、小帆船；9、弹簧秤；10、造彩纸；11、碘酒侦察兵；共11件，</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材质：塑料 </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4864" behindDoc="0" locked="0" layoutInCell="1" allowOverlap="1">
                  <wp:simplePos x="0" y="0"/>
                  <wp:positionH relativeFrom="column">
                    <wp:posOffset>78105</wp:posOffset>
                  </wp:positionH>
                  <wp:positionV relativeFrom="paragraph">
                    <wp:posOffset>140970</wp:posOffset>
                  </wp:positionV>
                  <wp:extent cx="571500" cy="323850"/>
                  <wp:effectExtent l="0" t="0" r="0" b="6350"/>
                  <wp:wrapNone/>
                  <wp:docPr id="2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9"/>
                          <pic:cNvPicPr>
                            <a:picLocks noChangeAspect="1"/>
                          </pic:cNvPicPr>
                        </pic:nvPicPr>
                        <pic:blipFill>
                          <a:blip r:embed="rId49" cstate="print"/>
                          <a:stretch>
                            <a:fillRect/>
                          </a:stretch>
                        </pic:blipFill>
                        <pic:spPr>
                          <a:xfrm>
                            <a:off x="0" y="0"/>
                            <a:ext cx="571500" cy="32385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学具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学具袋：1个。学具盒：1个（内有：图形方和数学方）。学具图阵组合卡：48张。注意选择性训练卡：24张（包含48节课）。注意分配性训练卡：48张。注意力划销测查表：48张。注意力训练记录表：48张。</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5888" behindDoc="0" locked="0" layoutInCell="1" allowOverlap="1">
                  <wp:simplePos x="0" y="0"/>
                  <wp:positionH relativeFrom="column">
                    <wp:posOffset>78105</wp:posOffset>
                  </wp:positionH>
                  <wp:positionV relativeFrom="paragraph">
                    <wp:posOffset>-112395</wp:posOffset>
                  </wp:positionV>
                  <wp:extent cx="542925" cy="371475"/>
                  <wp:effectExtent l="0" t="0" r="3175" b="9525"/>
                  <wp:wrapNone/>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50" cstate="print"/>
                          <a:stretch>
                            <a:fillRect/>
                          </a:stretch>
                        </pic:blipFill>
                        <pic:spPr>
                          <a:xfrm>
                            <a:off x="0" y="0"/>
                            <a:ext cx="542925" cy="37147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课件</w:t>
            </w:r>
          </w:p>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（特殊儿童基础能力训练系统）</w:t>
            </w:r>
          </w:p>
          <w:p>
            <w:pPr>
              <w:widowControl/>
              <w:jc w:val="center"/>
              <w:rPr>
                <w:rFonts w:ascii="宋体" w:hAnsi="宋体" w:cs="宋体"/>
                <w:color w:val="000000" w:themeColor="text1"/>
                <w:kern w:val="0"/>
                <w:sz w:val="24"/>
                <w:highlight w:val="none"/>
                <w14:textFill>
                  <w14:solidFill>
                    <w14:schemeClr w14:val="tx1"/>
                  </w14:solidFill>
                </w14:textFill>
              </w:rPr>
            </w:pP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1.以国家教育部制定的《中度智力残疾学生教育训练纲要》为依据，配套日常生活为核心的教学内容。</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2.包括认识自己、健康生活、快乐家庭、我们的社区、美丽的大自然、交通、我们的学校、食品与营养、节日、特奥运动等十大类共计400份课件，配备密码狗。</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7936" behindDoc="0" locked="0" layoutInCell="1" allowOverlap="1">
                  <wp:simplePos x="0" y="0"/>
                  <wp:positionH relativeFrom="column">
                    <wp:posOffset>40640</wp:posOffset>
                  </wp:positionH>
                  <wp:positionV relativeFrom="paragraph">
                    <wp:posOffset>58420</wp:posOffset>
                  </wp:positionV>
                  <wp:extent cx="542925" cy="457200"/>
                  <wp:effectExtent l="0" t="0" r="3175" b="0"/>
                  <wp:wrapNone/>
                  <wp:docPr id="3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2"/>
                          <pic:cNvPicPr>
                            <a:picLocks noChangeAspect="1"/>
                          </pic:cNvPicPr>
                        </pic:nvPicPr>
                        <pic:blipFill>
                          <a:blip r:embed="rId51" cstate="print"/>
                          <a:stretch>
                            <a:fillRect/>
                          </a:stretch>
                        </pic:blipFill>
                        <pic:spPr>
                          <a:xfrm>
                            <a:off x="0" y="0"/>
                            <a:ext cx="542925" cy="4572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OT综合训练台</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规格：180×105×95cm</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用途：改善手指功能，提高手眼协调功能提高患者感知及大脑</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对图形的识别能力，并能训练上肢稳定性、协调性提高上肢活</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动能力。</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组件: 立式套圈、木棍插板、几何图形插板、弧形分指板、上</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肢协调功能器( 手指)、上螺丝、上螺母、动物图形插板、模拟工具、卧式套圈共十件组成</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561975" cy="421005"/>
                  <wp:effectExtent l="0" t="0" r="9525" b="10795"/>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52" cstate="print"/>
                          <a:stretch>
                            <a:fillRect/>
                          </a:stretch>
                        </pic:blipFill>
                        <pic:spPr>
                          <a:xfrm>
                            <a:off x="0" y="0"/>
                            <a:ext cx="561975" cy="421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绘本</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20本，精装本</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anchor distT="0" distB="0" distL="114300" distR="114300" simplePos="0" relativeHeight="251686912" behindDoc="0" locked="0" layoutInCell="1" allowOverlap="1">
                  <wp:simplePos x="0" y="0"/>
                  <wp:positionH relativeFrom="column">
                    <wp:posOffset>142240</wp:posOffset>
                  </wp:positionH>
                  <wp:positionV relativeFrom="paragraph">
                    <wp:posOffset>0</wp:posOffset>
                  </wp:positionV>
                  <wp:extent cx="403225" cy="387985"/>
                  <wp:effectExtent l="0" t="0" r="3175" b="5715"/>
                  <wp:wrapNone/>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53" cstate="print"/>
                          <a:stretch>
                            <a:fillRect/>
                          </a:stretch>
                        </pic:blipFill>
                        <pic:spPr>
                          <a:xfrm>
                            <a:off x="0" y="0"/>
                            <a:ext cx="403225" cy="3879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242" w:type="dxa"/>
            <w:vMerge w:val="restart"/>
            <w:vAlign w:val="center"/>
          </w:tcPr>
          <w:p>
            <w:pPr>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七、其它</w:t>
            </w: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规章制度</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材质：亚克力</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尺寸：40cm*60cm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内容：资源教室教师及管理制度</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42" w:type="dxa"/>
            <w:vMerge w:val="continue"/>
            <w:vAlign w:val="center"/>
          </w:tcPr>
          <w:p>
            <w:pPr>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彩色拼桌、椅</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1.表面材：进口木皮，厚度为0.6mm，桌面直径：90cm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2、基材：采用优质高强度板材，台面采用中,高密度板，抗弯力强，不易变形。甲醛释放量小于30.0g/100g，颜色可选,各项性能指标均符合国家标准。</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3、涂装：封闭或半开放油漆、采用德国进口IdopA（易涂宝）油漆，硬度大，耐磨性强，可长期保持漆面效果。</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4、五金：班台所采用进口五金配件，持久耐用。隔断材质：屏风采用45款优质铝合金边框，防火板贴面，4张桌子、4把椅子</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478155" cy="377825"/>
                  <wp:effectExtent l="0" t="0" r="4445" b="3175"/>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54" cstate="print"/>
                          <a:stretch>
                            <a:fillRect/>
                          </a:stretch>
                        </pic:blipFill>
                        <pic:spPr>
                          <a:xfrm>
                            <a:off x="0" y="0"/>
                            <a:ext cx="478155" cy="377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置物架</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安装在教室墙体上，用于放置感统器材，有效提升教室使用空间</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墙面软包</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内容：PU皮+木工板+高密度海绵</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规格：150cm*5cm</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安全地垫</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尺寸：100cm*100cm*3cm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材质：环保EVA</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环保地胶</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60</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教室环境的布置：环保地胶，厚度为2mm，环保胶水，包含美工焊线</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吊顶设计</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60</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材质：石膏板、轻钢龙骨、铝方通</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窗帘</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尺寸：需要实地测量</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规格：两层</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材质：布艺</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灯具</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批</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LED灯和吸顶灯，根据实际需求</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墙面美化</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45</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墙面粉刷，根据用户的要求</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教室主题墙</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块</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边框材质：1.5cm厚度的雪弗板</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中间材质：局部磁性白板、局部软木板</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尺寸：240cm*100cm</w:t>
            </w:r>
          </w:p>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颜色：黄色、粉色、绿色、橙色、天蓝色可选</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drawing>
                <wp:inline distT="0" distB="0" distL="114300" distR="114300">
                  <wp:extent cx="657225" cy="342900"/>
                  <wp:effectExtent l="0" t="0" r="3175" b="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pic:cNvPicPr>
                        </pic:nvPicPr>
                        <pic:blipFill>
                          <a:blip r:embed="rId55" cstate="print"/>
                          <a:stretch>
                            <a:fillRect/>
                          </a:stretch>
                        </pic:blipFill>
                        <pic:spPr>
                          <a:xfrm>
                            <a:off x="0" y="0"/>
                            <a:ext cx="657225" cy="342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242" w:type="dxa"/>
            <w:vMerge w:val="continue"/>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c>
          <w:tcPr>
            <w:tcW w:w="1518"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亚克力字</w:t>
            </w:r>
          </w:p>
        </w:tc>
        <w:tc>
          <w:tcPr>
            <w:tcW w:w="851"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8</w:t>
            </w:r>
          </w:p>
        </w:tc>
        <w:tc>
          <w:tcPr>
            <w:tcW w:w="850" w:type="dxa"/>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w:t>
            </w:r>
          </w:p>
        </w:tc>
        <w:tc>
          <w:tcPr>
            <w:tcW w:w="3427" w:type="dxa"/>
            <w:vAlign w:val="center"/>
          </w:tcPr>
          <w:p>
            <w:pPr>
              <w:widowControl/>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根据学校实际情况定制</w:t>
            </w:r>
          </w:p>
        </w:tc>
        <w:tc>
          <w:tcPr>
            <w:tcW w:w="1479" w:type="dxa"/>
            <w:noWrap/>
            <w:vAlign w:val="center"/>
          </w:tcPr>
          <w:p>
            <w:pPr>
              <w:widowControl/>
              <w:jc w:val="center"/>
              <w:rPr>
                <w:rFonts w:ascii="宋体" w:hAnsi="宋体" w:cs="宋体"/>
                <w:color w:val="000000" w:themeColor="text1"/>
                <w:kern w:val="0"/>
                <w:sz w:val="24"/>
                <w:highlight w:val="none"/>
                <w14:textFill>
                  <w14:solidFill>
                    <w14:schemeClr w14:val="tx1"/>
                  </w14:solidFill>
                </w14:textFill>
              </w:rPr>
            </w:pPr>
          </w:p>
        </w:tc>
      </w:tr>
    </w:tbl>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p>
    <w:p>
      <w:pPr>
        <w:widowControl/>
        <w:autoSpaceDE w:val="0"/>
        <w:autoSpaceDN w:val="0"/>
        <w:adjustRightInd w:val="0"/>
        <w:snapToGrid w:val="0"/>
        <w:spacing w:line="420" w:lineRule="exact"/>
        <w:textAlignment w:val="bottom"/>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三、商务条款</w:t>
      </w:r>
    </w:p>
    <w:p>
      <w:pPr>
        <w:widowControl/>
        <w:tabs>
          <w:tab w:val="left" w:pos="785"/>
        </w:tabs>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1、质保期</w:t>
      </w:r>
    </w:p>
    <w:p>
      <w:pPr>
        <w:widowControl/>
        <w:autoSpaceDE w:val="0"/>
        <w:autoSpaceDN w:val="0"/>
        <w:adjustRightInd w:val="0"/>
        <w:snapToGrid w:val="0"/>
        <w:spacing w:line="420" w:lineRule="exact"/>
        <w:ind w:firstLine="360" w:firstLineChars="15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1.1.</w:t>
      </w:r>
      <w:r>
        <w:rPr>
          <w:rFonts w:hint="eastAsia" w:ascii="宋体" w:hAnsi="宋体"/>
          <w:color w:val="000000" w:themeColor="text1"/>
          <w:sz w:val="24"/>
          <w:highlight w:val="none"/>
          <w:u w:val="single"/>
          <w14:textFill>
            <w14:solidFill>
              <w14:schemeClr w14:val="tx1"/>
            </w14:solidFill>
          </w14:textFill>
        </w:rPr>
        <w:t>所有服务自交付安装并通过验收之日起3年质保期（采购文件有其他规定的除外），</w:t>
      </w:r>
      <w:r>
        <w:rPr>
          <w:rFonts w:hint="eastAsia" w:ascii="宋体" w:hAnsi="宋体"/>
          <w:color w:val="000000" w:themeColor="text1"/>
          <w:sz w:val="24"/>
          <w:highlight w:val="none"/>
          <w14:textFill>
            <w14:solidFill>
              <w14:schemeClr w14:val="tx1"/>
            </w14:solidFill>
          </w14:textFill>
        </w:rPr>
        <w:t>质保期内因产品本身缺陷（非人为因素）造成各种故障应由成交供应商免费技术服务和维修、更换。质保期后，如采购人要求，供货商应长期负责有偿优惠维修。</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1.2.要求提供3年免费上门维修服务的，成交供应商应提供2年免费上门服务保证函，并承诺对所有服务负责维修服务；</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1.3.供应商在投标文件中说明保质期内提供的服务计划。</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质量保修期内，要求供应商7×24小时电话响应技术咨询，除非采购文件另有规定，供应商须在接到采购人维修要求电话后，8小时内派技术人员到现场维修，如果不能修复，则提供同样备品供采购人使用，直至产品修复。</w:t>
      </w:r>
    </w:p>
    <w:p>
      <w:pPr>
        <w:widowControl/>
        <w:tabs>
          <w:tab w:val="left" w:pos="785"/>
        </w:tabs>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2、付款方式：</w:t>
      </w:r>
    </w:p>
    <w:p>
      <w:pPr>
        <w:widowControl/>
        <w:autoSpaceDE w:val="0"/>
        <w:autoSpaceDN w:val="0"/>
        <w:adjustRightInd w:val="0"/>
        <w:spacing w:line="420" w:lineRule="exact"/>
        <w:ind w:firstLine="482" w:firstLineChars="200"/>
        <w:textAlignment w:val="bottom"/>
        <w:rPr>
          <w:rFonts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在合同签订前成交供应商应提供合同总金额10%的履约保证金，设备安装调试完成并验收合格后15个工作日内付90%，5个工作日内无息退还履约保证金，12个月后无质量与售后服务问题，支付剩余10%。</w:t>
      </w:r>
    </w:p>
    <w:p>
      <w:pPr>
        <w:pStyle w:val="15"/>
        <w:tabs>
          <w:tab w:val="left" w:pos="540"/>
          <w:tab w:val="clear" w:pos="720"/>
          <w:tab w:val="clear" w:pos="1260"/>
          <w:tab w:val="clear" w:pos="2160"/>
          <w:tab w:val="clear" w:pos="2880"/>
          <w:tab w:val="clear" w:pos="3600"/>
          <w:tab w:val="clear" w:pos="4320"/>
          <w:tab w:val="clear" w:pos="5040"/>
          <w:tab w:val="clear" w:pos="5760"/>
          <w:tab w:val="clear" w:pos="8280"/>
        </w:tabs>
        <w:overflowPunct w:val="0"/>
        <w:spacing w:line="420" w:lineRule="exact"/>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3、安装</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3.1. 安装地点：</w:t>
      </w:r>
      <w:r>
        <w:rPr>
          <w:rFonts w:hint="eastAsia" w:ascii="宋体" w:hAnsi="宋体"/>
          <w:color w:val="000000" w:themeColor="text1"/>
          <w:sz w:val="24"/>
          <w:highlight w:val="none"/>
          <w:u w:val="single"/>
          <w14:textFill>
            <w14:solidFill>
              <w14:schemeClr w14:val="tx1"/>
            </w14:solidFill>
          </w14:textFill>
        </w:rPr>
        <w:t>按采购人要求。</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3.2.质量标准：符合我国国家有关技术规范要求和技术标准。</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3.3.送货、安装过程中发生的费用由成交供应商负责。</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3.4.投标供应商应在投标文件中提出其安装过程中使用单位需配合的内容。</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4．完工期</w:t>
      </w:r>
    </w:p>
    <w:p>
      <w:pPr>
        <w:widowControl/>
        <w:autoSpaceDE w:val="0"/>
        <w:autoSpaceDN w:val="0"/>
        <w:adjustRightInd w:val="0"/>
        <w:spacing w:line="420" w:lineRule="exact"/>
        <w:ind w:firstLine="480" w:firstLineChars="200"/>
        <w:textAlignment w:val="bottom"/>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▲成交供应商必须承诺在合同签订后30日历天内完成所有货物的供货、安装及验收工作。</w:t>
      </w:r>
    </w:p>
    <w:p>
      <w:pPr>
        <w:widowControl/>
        <w:autoSpaceDE w:val="0"/>
        <w:autoSpaceDN w:val="0"/>
        <w:adjustRightIn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5、培训</w:t>
      </w:r>
    </w:p>
    <w:p>
      <w:pPr>
        <w:widowControl/>
        <w:autoSpaceDE w:val="0"/>
        <w:autoSpaceDN w:val="0"/>
        <w:adjustRightIn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5.1、成交供应商有义务对采购人采购服务的正常使用和维护提供必要的培训；</w:t>
      </w:r>
    </w:p>
    <w:p>
      <w:pPr>
        <w:widowControl/>
        <w:autoSpaceDE w:val="0"/>
        <w:autoSpaceDN w:val="0"/>
        <w:adjustRightIn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设备验收</w:t>
      </w:r>
    </w:p>
    <w:p>
      <w:pPr>
        <w:widowControl/>
        <w:autoSpaceDE w:val="0"/>
        <w:autoSpaceDN w:val="0"/>
        <w:adjustRightInd w:val="0"/>
        <w:snapToGrid w:val="0"/>
        <w:spacing w:line="42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已按合同规定提供了符合</w:t>
      </w:r>
      <w:r>
        <w:rPr>
          <w:rFonts w:hint="eastAsia" w:ascii="宋体" w:hAnsi="宋体"/>
          <w:color w:val="000000" w:themeColor="text1"/>
          <w:sz w:val="24"/>
          <w:highlight w:val="none"/>
          <w14:textFill>
            <w14:solidFill>
              <w14:schemeClr w14:val="tx1"/>
            </w14:solidFill>
          </w14:textFill>
        </w:rPr>
        <w:t>采购文件</w:t>
      </w:r>
      <w:r>
        <w:rPr>
          <w:rFonts w:ascii="宋体" w:hAnsi="宋体"/>
          <w:color w:val="000000" w:themeColor="text1"/>
          <w:sz w:val="24"/>
          <w:highlight w:val="none"/>
          <w14:textFill>
            <w14:solidFill>
              <w14:schemeClr w14:val="tx1"/>
            </w14:solidFill>
          </w14:textFill>
        </w:rPr>
        <w:t>规定的要求的</w:t>
      </w:r>
      <w:r>
        <w:rPr>
          <w:rFonts w:hint="eastAsia" w:ascii="宋体" w:hAnsi="宋体"/>
          <w:color w:val="000000" w:themeColor="text1"/>
          <w:sz w:val="24"/>
          <w:highlight w:val="none"/>
          <w14:textFill>
            <w14:solidFill>
              <w14:schemeClr w14:val="tx1"/>
            </w14:solidFill>
          </w14:textFill>
        </w:rPr>
        <w:t>货物及服务</w:t>
      </w:r>
      <w:r>
        <w:rPr>
          <w:rFonts w:ascii="宋体" w:hAnsi="宋体"/>
          <w:color w:val="000000" w:themeColor="text1"/>
          <w:sz w:val="24"/>
          <w:highlight w:val="none"/>
          <w14:textFill>
            <w14:solidFill>
              <w14:schemeClr w14:val="tx1"/>
            </w14:solidFill>
          </w14:textFill>
        </w:rPr>
        <w:t>，并经</w:t>
      </w:r>
      <w:r>
        <w:rPr>
          <w:rFonts w:hint="eastAsia" w:ascii="宋体" w:hAnsi="宋体"/>
          <w:color w:val="000000" w:themeColor="text1"/>
          <w:sz w:val="24"/>
          <w:highlight w:val="none"/>
          <w14:textFill>
            <w14:solidFill>
              <w14:schemeClr w14:val="tx1"/>
            </w14:solidFill>
          </w14:textFill>
        </w:rPr>
        <w:t>采购人组织</w:t>
      </w:r>
      <w:r>
        <w:rPr>
          <w:rFonts w:ascii="宋体" w:hAnsi="宋体"/>
          <w:color w:val="000000" w:themeColor="text1"/>
          <w:sz w:val="24"/>
          <w:highlight w:val="none"/>
          <w14:textFill>
            <w14:solidFill>
              <w14:schemeClr w14:val="tx1"/>
            </w14:solidFill>
          </w14:textFill>
        </w:rPr>
        <w:t>检验合格，所有的技术资料和清单已向</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提交并被接受，验收视为合格</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若因</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质量问题等导致验收不合格，</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应及时予以处理，直至验收合格，期间发生的一切费用由</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承担，采购人保留向</w:t>
      </w:r>
      <w:r>
        <w:rPr>
          <w:rFonts w:hint="eastAsia" w:ascii="宋体" w:hAnsi="宋体"/>
          <w:color w:val="000000" w:themeColor="text1"/>
          <w:sz w:val="24"/>
          <w:highlight w:val="none"/>
          <w14:textFill>
            <w14:solidFill>
              <w14:schemeClr w14:val="tx1"/>
            </w14:solidFill>
          </w14:textFill>
        </w:rPr>
        <w:t>成交供应商</w:t>
      </w:r>
      <w:r>
        <w:rPr>
          <w:rFonts w:ascii="宋体" w:hAnsi="宋体"/>
          <w:color w:val="000000" w:themeColor="text1"/>
          <w:sz w:val="24"/>
          <w:highlight w:val="none"/>
          <w14:textFill>
            <w14:solidFill>
              <w14:schemeClr w14:val="tx1"/>
            </w14:solidFill>
          </w14:textFill>
        </w:rPr>
        <w:t>索赔的权利。</w:t>
      </w:r>
    </w:p>
    <w:p>
      <w:pPr>
        <w:pStyle w:val="3"/>
        <w:tabs>
          <w:tab w:val="left" w:pos="420"/>
          <w:tab w:val="left" w:pos="576"/>
        </w:tabs>
        <w:spacing w:after="120" w:line="420" w:lineRule="exact"/>
        <w:ind w:left="420" w:hanging="420"/>
        <w:rPr>
          <w:rFonts w:ascii="宋体" w:hAnsi="宋体"/>
          <w:b w:val="0"/>
          <w:color w:val="000000" w:themeColor="text1"/>
          <w:sz w:val="24"/>
          <w:szCs w:val="24"/>
          <w:highlight w:val="none"/>
          <w14:textFill>
            <w14:solidFill>
              <w14:schemeClr w14:val="tx1"/>
            </w14:solidFill>
          </w14:textFill>
        </w:rPr>
      </w:pPr>
      <w:bookmarkStart w:id="0" w:name="_Toc384908029"/>
      <w:r>
        <w:rPr>
          <w:rFonts w:hint="eastAsia" w:ascii="宋体" w:hAnsi="宋体"/>
          <w:b w:val="0"/>
          <w:color w:val="000000" w:themeColor="text1"/>
          <w:sz w:val="24"/>
          <w:szCs w:val="24"/>
          <w:highlight w:val="none"/>
          <w14:textFill>
            <w14:solidFill>
              <w14:schemeClr w14:val="tx1"/>
            </w14:solidFill>
          </w14:textFill>
        </w:rPr>
        <w:t>四、工作范围：</w:t>
      </w:r>
      <w:bookmarkEnd w:id="0"/>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根据采购文件，各供应商须按国家有关标准及规范完成下列工作：</w:t>
      </w:r>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1.提供完整成套的货物；</w:t>
      </w:r>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2.设备及相关附件的提供、运输、装卸、就位、安装、调试、检验、通过验收；</w:t>
      </w:r>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3.完成各项安装、调试、检验工作，并在采购人的配合下通过验收；提供各种数据资料；直至通过验收。</w:t>
      </w:r>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对业主的操作人员及维修人员进行技术培训；</w:t>
      </w:r>
    </w:p>
    <w:p>
      <w:pPr>
        <w:pStyle w:val="13"/>
        <w:adjustRightInd w:val="0"/>
        <w:snapToGrid w:val="0"/>
        <w:spacing w:line="420" w:lineRule="exact"/>
        <w:ind w:firstLine="48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质保期内的维保及维修；</w:t>
      </w:r>
    </w:p>
    <w:p>
      <w:pPr>
        <w:pStyle w:val="13"/>
        <w:adjustRightInd w:val="0"/>
        <w:snapToGrid w:val="0"/>
        <w:spacing w:line="420" w:lineRule="exac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6.售后服务的措施及承诺。</w:t>
      </w:r>
    </w:p>
    <w:p>
      <w:pPr>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以上工作内容的费用均包含在谈判总价中。</w:t>
      </w:r>
    </w:p>
    <w:p>
      <w:pPr>
        <w:snapToGrid w:val="0"/>
        <w:spacing w:beforeLines="50" w:afterLines="50"/>
        <w:jc w:val="center"/>
        <w:rPr>
          <w:rFonts w:ascii="宋体" w:hAnsi="宋体"/>
          <w:b/>
          <w:color w:val="000000" w:themeColor="text1"/>
          <w:sz w:val="36"/>
          <w:szCs w:val="36"/>
          <w:highlight w:val="none"/>
          <w14:textFill>
            <w14:solidFill>
              <w14:schemeClr w14:val="tx1"/>
            </w14:solidFill>
          </w14:textFill>
        </w:rPr>
      </w:pPr>
      <w:bookmarkStart w:id="1" w:name="_GoBack"/>
      <w:bookmarkEnd w:id="1"/>
      <w:r>
        <w:rPr>
          <w:rFonts w:hint="eastAsia" w:ascii="宋体" w:hAnsi="宋体"/>
          <w:b/>
          <w:color w:val="000000" w:themeColor="text1"/>
          <w:sz w:val="36"/>
          <w:szCs w:val="36"/>
          <w:highlight w:val="none"/>
          <w14:textFill>
            <w14:solidFill>
              <w14:schemeClr w14:val="tx1"/>
            </w14:solidFill>
          </w14:textFill>
        </w:rPr>
        <w:t xml:space="preserve">第四章  </w:t>
      </w:r>
      <w:r>
        <w:rPr>
          <w:rFonts w:ascii="宋体" w:hAnsi="宋体"/>
          <w:b/>
          <w:color w:val="000000" w:themeColor="text1"/>
          <w:sz w:val="36"/>
          <w:szCs w:val="36"/>
          <w:highlight w:val="none"/>
          <w14:textFill>
            <w14:solidFill>
              <w14:schemeClr w14:val="tx1"/>
            </w14:solidFill>
          </w14:textFill>
        </w:rPr>
        <w:t>政府采购合同主要条款指引</w:t>
      </w:r>
    </w:p>
    <w:p>
      <w:pPr>
        <w:snapToGrid w:val="0"/>
        <w:spacing w:beforeLines="50" w:afterLines="50"/>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货物类</w:t>
      </w:r>
    </w:p>
    <w:p>
      <w:pPr>
        <w:widowControl/>
        <w:shd w:val="clear" w:color="auto" w:fill="FFFFFF"/>
        <w:spacing w:after="150"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采购人</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甲、乙双方根据</w:t>
      </w:r>
      <w:r>
        <w:rPr>
          <w:rFonts w:hint="eastAsia" w:hAnsi="宋体" w:cs="Arial"/>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(采购组织机构名称）</w:t>
      </w:r>
      <w:r>
        <w:rPr>
          <w:rFonts w:hAnsi="宋体"/>
          <w:color w:val="000000" w:themeColor="text1"/>
          <w:sz w:val="24"/>
          <w:highlight w:val="none"/>
          <w14:textFill>
            <w14:solidFill>
              <w14:schemeClr w14:val="tx1"/>
            </w14:solidFill>
          </w14:textFill>
        </w:rPr>
        <w:t>关于</w:t>
      </w:r>
      <w:r>
        <w:rPr>
          <w:rFonts w:hint="eastAsia" w:hAnsi="宋体" w:cs="Arial"/>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单位</w:t>
      </w:r>
      <w:r>
        <w:rPr>
          <w:rFonts w:hint="eastAsia" w:hAnsi="宋体" w:cs="Arial"/>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项目</w:t>
      </w:r>
      <w:r>
        <w:rPr>
          <w:rFonts w:hint="eastAsia" w:hAnsi="宋体"/>
          <w:color w:val="000000" w:themeColor="text1"/>
          <w:sz w:val="24"/>
          <w:highlight w:val="none"/>
          <w14:textFill>
            <w14:solidFill>
              <w14:schemeClr w14:val="tx1"/>
            </w14:solidFill>
          </w14:textFill>
        </w:rPr>
        <w:t>询价采购</w:t>
      </w:r>
      <w:r>
        <w:rPr>
          <w:rFonts w:hAnsi="宋体"/>
          <w:color w:val="000000" w:themeColor="text1"/>
          <w:sz w:val="24"/>
          <w:highlight w:val="none"/>
          <w14:textFill>
            <w14:solidFill>
              <w14:schemeClr w14:val="tx1"/>
            </w14:solidFill>
          </w14:textFill>
        </w:rPr>
        <w:t>的结果，签署本合同。</w:t>
      </w:r>
    </w:p>
    <w:p>
      <w:pPr>
        <w:spacing w:line="360" w:lineRule="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4.询价通知书。</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5.成交供应商询价响应文件。</w:t>
      </w:r>
    </w:p>
    <w:p>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13"/>
        <w:snapToGrid w:val="0"/>
        <w:spacing w:line="360" w:lineRule="auto"/>
        <w:ind w:firstLine="480" w:firstLineChars="200"/>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二</w:t>
      </w:r>
      <w:r>
        <w:rPr>
          <w:rFonts w:hAnsi="宋体"/>
          <w:b/>
          <w:color w:val="000000" w:themeColor="text1"/>
          <w:sz w:val="24"/>
          <w:highlight w:val="none"/>
          <w14:textFill>
            <w14:solidFill>
              <w14:schemeClr w14:val="tx1"/>
            </w14:solidFill>
          </w14:textFill>
        </w:rPr>
        <w:t>、货物内容</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 货物名称：</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 型号规格：</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Ansi="宋体"/>
          <w:color w:val="000000" w:themeColor="text1"/>
          <w:sz w:val="24"/>
          <w:highlight w:val="none"/>
          <w14:textFill>
            <w14:solidFill>
              <w14:schemeClr w14:val="tx1"/>
            </w14:solidFill>
          </w14:textFill>
        </w:rPr>
        <w:t>. 技术参数：</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数量（单位）：</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本合同金额为（大写）：____________________________________元（￥_______________元）人民币。</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规定的时间向甲方提供使用货物的有关技术资料。</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、知识产权</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乙方应保证所提供的货物或其任何一部分均不会侵犯任何第三方的知识产权。</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hAnsi="宋体"/>
          <w:color w:val="000000" w:themeColor="text1"/>
          <w:sz w:val="24"/>
          <w:highlight w:val="none"/>
          <w:u w:val="singl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、产权担保</w:t>
      </w:r>
    </w:p>
    <w:p>
      <w:pPr>
        <w:pStyle w:val="13"/>
        <w:snapToGrid w:val="0"/>
        <w:spacing w:before="120" w:after="120" w:line="360" w:lineRule="auto"/>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乙方保证所交付的货物的所有权完全属于乙方且无任何抵押、查封等产权瑕疵。</w:t>
      </w:r>
    </w:p>
    <w:p>
      <w:pPr>
        <w:pStyle w:val="13"/>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tabs>
          <w:tab w:val="left" w:pos="1418"/>
        </w:tabs>
        <w:autoSpaceDE w:val="0"/>
        <w:autoSpaceDN w:val="0"/>
        <w:adjustRightIn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本项目履约保证金为合同金额的</w:t>
      </w:r>
      <w:r>
        <w:rPr>
          <w:rFonts w:ascii="宋体" w:hAnsi="宋体"/>
          <w:color w:val="000000" w:themeColor="text1"/>
          <w:sz w:val="24"/>
          <w:highlight w:val="none"/>
          <w14:textFill>
            <w14:solidFill>
              <w14:schemeClr w14:val="tx1"/>
            </w14:solidFill>
          </w14:textFill>
        </w:rPr>
        <w:t>____</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[履约保证金交至采购人处，在合同约定交货验收合格满（）个月之日起5个工作日内无息退还]</w:t>
      </w:r>
    </w:p>
    <w:p>
      <w:pPr>
        <w:pStyle w:val="13"/>
        <w:snapToGrid w:val="0"/>
        <w:spacing w:before="120" w:after="120"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八、转包或分包</w:t>
      </w:r>
    </w:p>
    <w:p>
      <w:pPr>
        <w:snapToGrid w:val="0"/>
        <w:spacing w:beforeLines="50"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.本合同范围的货物，应由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snapToGrid w:val="0"/>
        <w:spacing w:beforeLines="50"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.除非得到</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方不得将本合同范围的货物全部或部分分包给他人供应；</w:t>
      </w:r>
    </w:p>
    <w:p>
      <w:pPr>
        <w:snapToGrid w:val="0"/>
        <w:spacing w:beforeLines="50" w:afterLines="50"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方同意的分包行为，</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方有权解除合同，没收履约保证金并追究乙方的违约责任。</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、质保期</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质保期___年。（自交货验收合格之日起计）</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、交货期、交货方式及交货地点</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交货期：</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交货方式：</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交货地点：</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一</w:t>
      </w:r>
      <w:r>
        <w:rPr>
          <w:rFonts w:hAnsi="宋体"/>
          <w:b/>
          <w:color w:val="000000" w:themeColor="text1"/>
          <w:sz w:val="24"/>
          <w:highlight w:val="none"/>
          <w14:textFill>
            <w14:solidFill>
              <w14:schemeClr w14:val="tx1"/>
            </w14:solidFill>
          </w14:textFill>
        </w:rPr>
        <w:t>、货款支付</w:t>
      </w:r>
    </w:p>
    <w:p>
      <w:pPr>
        <w:pStyle w:val="13"/>
        <w:snapToGrid w:val="0"/>
        <w:spacing w:before="120" w:after="120"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付款方式：</w:t>
      </w:r>
    </w:p>
    <w:p>
      <w:pPr>
        <w:pStyle w:val="13"/>
        <w:snapToGrid w:val="0"/>
        <w:spacing w:line="360" w:lineRule="auto"/>
        <w:rPr>
          <w:rFonts w:hAnsi="宋体"/>
          <w:bCs/>
          <w:color w:val="000000" w:themeColor="text1"/>
          <w:sz w:val="24"/>
          <w:highlight w:val="none"/>
          <w14:textFill>
            <w14:solidFill>
              <w14:schemeClr w14:val="tx1"/>
            </w14:solidFill>
          </w14:textFill>
        </w:rPr>
      </w:pPr>
      <w:r>
        <w:rPr>
          <w:rFonts w:hint="eastAsia" w:hAnsi="Times New Roman"/>
          <w:color w:val="000000" w:themeColor="text1"/>
          <w:sz w:val="24"/>
          <w:highlight w:val="none"/>
          <w:lang w:val="zh-CN"/>
          <w14:textFill>
            <w14:solidFill>
              <w14:schemeClr w14:val="tx1"/>
            </w14:solidFill>
          </w14:textFill>
        </w:rPr>
        <w:t>2.当采购数量与实际使用数量不一致时，由采购人向同级财政部门申请并经批准后，可以由乙方根据实际使用量供货，合同的最终结算金额按实际使用量乘以成交单价进行计算。</w:t>
      </w:r>
    </w:p>
    <w:p>
      <w:pPr>
        <w:snapToGrid w:val="0"/>
        <w:spacing w:beforeLines="50" w:afterLines="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snapToGrid w:val="0"/>
        <w:spacing w:beforeLines="50" w:afterLines="50"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13"/>
        <w:snapToGrid w:val="0"/>
        <w:spacing w:before="120" w:after="120"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、质量保证及售后服务</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规定的货物性能、技术要求、质量标准向甲方提供未经使用的全新产品。</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乙方提供的货物在质</w:t>
      </w:r>
      <w:r>
        <w:rPr>
          <w:rFonts w:hint="eastAsia" w:hAnsi="宋体"/>
          <w:color w:val="000000" w:themeColor="text1"/>
          <w:sz w:val="24"/>
          <w:highlight w:val="none"/>
          <w14:textFill>
            <w14:solidFill>
              <w14:schemeClr w14:val="tx1"/>
            </w14:solidFill>
          </w14:textFill>
        </w:rPr>
        <w:t>保</w:t>
      </w:r>
      <w:r>
        <w:rPr>
          <w:rFonts w:hAnsi="宋体"/>
          <w:color w:val="000000" w:themeColor="text1"/>
          <w:sz w:val="24"/>
          <w:highlight w:val="none"/>
          <w14:textFill>
            <w14:solidFill>
              <w14:schemeClr w14:val="tx1"/>
            </w14:solidFill>
          </w14:textFill>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⑴更换：由乙方承担所发生的全部费用。</w:t>
      </w:r>
    </w:p>
    <w:p>
      <w:pPr>
        <w:pStyle w:val="13"/>
        <w:snapToGrid w:val="0"/>
        <w:spacing w:before="120" w:after="120" w:line="360" w:lineRule="auto"/>
        <w:ind w:firstLine="42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13"/>
        <w:snapToGrid w:val="0"/>
        <w:spacing w:before="120" w:after="120" w:line="360" w:lineRule="auto"/>
        <w:ind w:left="420" w:left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如在使用过程中发生质量问题，乙方在接到甲方通知后在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现场。</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在质保期内，乙方应对货物出现的质量及安全问题负责处理解决并承担一切</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费用。</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上述的货物免费保修期为年，因人为因素出现的故障不在免费保修范围</w:t>
      </w:r>
    </w:p>
    <w:p>
      <w:pPr>
        <w:pStyle w:val="13"/>
        <w:snapToGrid w:val="0"/>
        <w:spacing w:before="120" w:after="120" w:line="360" w:lineRule="auto"/>
        <w:ind w:firstLine="240" w:firstLine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内。超过保修期的机器设备，终生维修，维修时只收部件成本费。</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、调试和验收</w:t>
      </w:r>
    </w:p>
    <w:p>
      <w:pPr>
        <w:pStyle w:val="13"/>
        <w:snapToGrid w:val="0"/>
        <w:spacing w:before="120" w:after="120" w:line="360" w:lineRule="auto"/>
        <w:ind w:left="240" w:hanging="240" w:hangingChars="100"/>
        <w:jc w:val="left"/>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甲方对乙方提交的货物依据</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上的技术规格要求和国家有关质量标准进行现场初步验收，外观、说明书符合</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技术要求的，给予签收，初步验收不合格的不予签收。货到后，甲方需在</w:t>
      </w:r>
      <w:r>
        <w:rPr>
          <w:rFonts w:hint="eastAsia" w:hAnsi="宋体"/>
          <w:color w:val="000000" w:themeColor="text1"/>
          <w:sz w:val="24"/>
          <w:highlight w:val="none"/>
          <w:u w:val="single"/>
          <w14:textFill>
            <w14:solidFill>
              <w14:schemeClr w14:val="tx1"/>
            </w14:solidFill>
          </w14:textFill>
        </w:rPr>
        <w:t>五</w:t>
      </w:r>
      <w:r>
        <w:rPr>
          <w:rFonts w:hint="eastAsia" w:hAnsi="宋体"/>
          <w:color w:val="000000" w:themeColor="text1"/>
          <w:sz w:val="24"/>
          <w:highlight w:val="none"/>
          <w14:textFill>
            <w14:solidFill>
              <w14:schemeClr w14:val="tx1"/>
            </w14:solidFill>
          </w14:textFill>
        </w:rPr>
        <w:t>个</w:t>
      </w:r>
      <w:r>
        <w:rPr>
          <w:rFonts w:hAnsi="宋体"/>
          <w:color w:val="000000" w:themeColor="text1"/>
          <w:sz w:val="24"/>
          <w:highlight w:val="none"/>
          <w14:textFill>
            <w14:solidFill>
              <w14:schemeClr w14:val="tx1"/>
            </w14:solidFill>
          </w14:textFill>
        </w:rPr>
        <w:t>工作日内验收。</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乙方交货前应对产品作出全面检查和对验收文件进行整理，并列出清单，作</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为甲方收货验收和使用的技术条件依据，检验的结果应随货物交甲方。</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甲方对乙方提供的货物在使用前进行调试时，乙方需负责安装并培训甲方的</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使用操作人员，并协助甲方一起调试，直到符合技术要求，甲方才做最终验</w:t>
      </w:r>
    </w:p>
    <w:p>
      <w:pPr>
        <w:pStyle w:val="13"/>
        <w:snapToGrid w:val="0"/>
        <w:spacing w:before="120" w:after="120" w:line="360" w:lineRule="auto"/>
        <w:ind w:firstLine="360" w:firstLineChars="150"/>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收。</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对技术复杂的货物，甲方应请国家认可的专业检测机构参与初步验收及最终</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验收，并由其出具质量检测报告。</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验收时乙方必须在现场，验收完毕后作出验收结果报告；验收费用由</w:t>
      </w:r>
      <w:r>
        <w:rPr>
          <w:rFonts w:hint="eastAsia" w:hAnsi="宋体"/>
          <w:color w:val="000000" w:themeColor="text1"/>
          <w:sz w:val="24"/>
          <w:highlight w:val="none"/>
          <w14:textFill>
            <w14:solidFill>
              <w14:schemeClr w14:val="tx1"/>
            </w14:solidFill>
          </w14:textFill>
        </w:rPr>
        <w:t>甲</w:t>
      </w:r>
      <w:r>
        <w:rPr>
          <w:rFonts w:hAnsi="宋体"/>
          <w:color w:val="000000" w:themeColor="text1"/>
          <w:sz w:val="24"/>
          <w:highlight w:val="none"/>
          <w14:textFill>
            <w14:solidFill>
              <w14:schemeClr w14:val="tx1"/>
            </w14:solidFill>
          </w14:textFill>
        </w:rPr>
        <w:t>方负</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责。</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、货物包装、发运及运输</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使用说明书、质量检验证明书、随配附件和工具以及清单一并附于货物内。</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货物在交付甲方前发生的风险均由乙方负责。</w:t>
      </w:r>
    </w:p>
    <w:p>
      <w:pPr>
        <w:pStyle w:val="13"/>
        <w:snapToGrid w:val="0"/>
        <w:spacing w:line="360" w:lineRule="auto"/>
        <w:ind w:left="480" w:right="26"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通知甲方货物已送达。</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、违约责任</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甲方无正当理由拒收货物的，甲方向乙方偿付拒收货款总值的</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违约金。</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甲方无故逾期验收和办理货款支付手续的,甲方应按逾期付款总额每日</w:t>
      </w:r>
      <w:r>
        <w:rPr>
          <w:rFonts w:hAnsi="宋体"/>
          <w:color w:val="000000" w:themeColor="text1"/>
          <w:sz w:val="24"/>
          <w:highlight w:val="none"/>
          <w:u w:val="single"/>
          <w14:textFill>
            <w14:solidFill>
              <w14:schemeClr w14:val="tx1"/>
            </w14:solidFill>
          </w14:textFill>
        </w:rPr>
        <w:t>万分之五</w:t>
      </w:r>
      <w:r>
        <w:rPr>
          <w:rFonts w:hAnsi="宋体"/>
          <w:color w:val="000000" w:themeColor="text1"/>
          <w:sz w:val="24"/>
          <w:highlight w:val="none"/>
          <w14:textFill>
            <w14:solidFill>
              <w14:schemeClr w14:val="tx1"/>
            </w14:solidFill>
          </w14:textFill>
        </w:rPr>
        <w:t>向乙方支付违约金。</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乙方逾期交付货物的，乙方应按逾期交货总额每日</w:t>
      </w:r>
      <w:r>
        <w:rPr>
          <w:rFonts w:hAnsi="宋体"/>
          <w:color w:val="000000" w:themeColor="text1"/>
          <w:sz w:val="24"/>
          <w:highlight w:val="none"/>
          <w:u w:val="single"/>
          <w14:textFill>
            <w14:solidFill>
              <w14:schemeClr w14:val="tx1"/>
            </w14:solidFill>
          </w14:textFill>
        </w:rPr>
        <w:t>千分之六</w:t>
      </w:r>
      <w:r>
        <w:rPr>
          <w:rFonts w:hAnsi="宋体"/>
          <w:color w:val="000000" w:themeColor="text1"/>
          <w:sz w:val="24"/>
          <w:highlight w:val="none"/>
          <w14:textFill>
            <w14:solidFill>
              <w14:schemeClr w14:val="tx1"/>
            </w14:solidFill>
          </w14:textFill>
        </w:rPr>
        <w:t>向甲方支付违约金，由甲方从待付货款中扣除。逾期超过约定日期</w:t>
      </w:r>
      <w:r>
        <w:rPr>
          <w:rFonts w:hAnsi="宋体"/>
          <w:color w:val="000000" w:themeColor="text1"/>
          <w:sz w:val="24"/>
          <w:highlight w:val="none"/>
          <w:u w:val="single"/>
          <w14:textFill>
            <w14:solidFill>
              <w14:schemeClr w14:val="tx1"/>
            </w14:solidFill>
          </w14:textFill>
        </w:rPr>
        <w:t>10</w:t>
      </w:r>
      <w:r>
        <w:rPr>
          <w:rFonts w:hAnsi="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乙方所交的货物品种、型号、规格、技术参数、质量不符合合同规定及</w:t>
      </w:r>
      <w:r>
        <w:rPr>
          <w:rFonts w:hint="eastAsia" w:hAnsi="宋体"/>
          <w:color w:val="000000" w:themeColor="text1"/>
          <w:sz w:val="24"/>
          <w:highlight w:val="none"/>
          <w14:textFill>
            <w14:solidFill>
              <w14:schemeClr w14:val="tx1"/>
            </w14:solidFill>
          </w14:textFill>
        </w:rPr>
        <w:t>询价通知书</w:t>
      </w:r>
      <w:r>
        <w:rPr>
          <w:rFonts w:hAnsi="宋体"/>
          <w:color w:val="000000" w:themeColor="text1"/>
          <w:sz w:val="24"/>
          <w:highlight w:val="none"/>
          <w14:textFill>
            <w14:solidFill>
              <w14:schemeClr w14:val="tx1"/>
            </w14:solidFill>
          </w14:textFill>
        </w:rPr>
        <w:t>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、不可抗力事件处理</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在合同有效期内，任何一方因不可抗力事件导致不能履行合同，则合同履行</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不可抗力事件发生后，应立即通知对方，并寄送有关权威机构出具的证明。</w:t>
      </w:r>
    </w:p>
    <w:p>
      <w:pPr>
        <w:pStyle w:val="13"/>
        <w:snapToGrid w:val="0"/>
        <w:spacing w:before="120" w:after="120"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不可抗力事件延续120天以上，双方应通过友好协商，确定是否继续履行合</w:t>
      </w:r>
    </w:p>
    <w:p>
      <w:pPr>
        <w:pStyle w:val="13"/>
        <w:snapToGrid w:val="0"/>
        <w:spacing w:before="120" w:after="120" w:line="360" w:lineRule="auto"/>
        <w:ind w:firstLine="360" w:firstLineChars="15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13"/>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八</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解决争议的方法</w:t>
      </w:r>
    </w:p>
    <w:p>
      <w:pPr>
        <w:pStyle w:val="13"/>
        <w:snapToGrid w:val="0"/>
        <w:spacing w:before="120" w:after="120" w:line="360" w:lineRule="auto"/>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1. </w:t>
      </w:r>
      <w:r>
        <w:rPr>
          <w:rFonts w:hAnsi="宋体" w:cs="宋体"/>
          <w:color w:val="000000" w:themeColor="text1"/>
          <w:kern w:val="0"/>
          <w:sz w:val="24"/>
          <w:highlight w:val="none"/>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14:textFill>
            <w14:solidFill>
              <w14:schemeClr w14:val="tx1"/>
            </w14:solidFill>
          </w14:textFill>
        </w:rPr>
        <w:t>，</w:t>
      </w:r>
      <w:r>
        <w:rPr>
          <w:rFonts w:hAnsi="宋体" w:cs="宋体"/>
          <w:color w:val="000000" w:themeColor="text1"/>
          <w:kern w:val="0"/>
          <w:sz w:val="24"/>
          <w:highlight w:val="none"/>
          <w14:textFill>
            <w14:solidFill>
              <w14:schemeClr w14:val="tx1"/>
            </w14:solidFill>
          </w14:textFill>
        </w:rPr>
        <w:t>依法向</w:t>
      </w:r>
      <w:r>
        <w:rPr>
          <w:rFonts w:hint="eastAsia" w:hAnsi="宋体" w:cs="宋体"/>
          <w:color w:val="000000" w:themeColor="text1"/>
          <w:kern w:val="0"/>
          <w:sz w:val="24"/>
          <w:highlight w:val="none"/>
          <w14:textFill>
            <w14:solidFill>
              <w14:schemeClr w14:val="tx1"/>
            </w14:solidFill>
          </w14:textFill>
        </w:rPr>
        <w:t>玉环市</w:t>
      </w:r>
      <w:r>
        <w:rPr>
          <w:rFonts w:hAnsi="宋体" w:cs="宋体"/>
          <w:color w:val="000000" w:themeColor="text1"/>
          <w:kern w:val="0"/>
          <w:sz w:val="24"/>
          <w:highlight w:val="none"/>
          <w14:textFill>
            <w14:solidFill>
              <w14:schemeClr w14:val="tx1"/>
            </w14:solidFill>
          </w14:textFill>
        </w:rPr>
        <w:t>人民法院提起诉讼。</w:t>
      </w:r>
    </w:p>
    <w:p>
      <w:pPr>
        <w:pStyle w:val="13"/>
        <w:tabs>
          <w:tab w:val="left" w:pos="5790"/>
        </w:tabs>
        <w:snapToGrid w:val="0"/>
        <w:spacing w:before="120" w:after="120"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、合同生效及其它</w:t>
      </w:r>
      <w:r>
        <w:rPr>
          <w:rFonts w:hAnsi="宋体"/>
          <w:b/>
          <w:color w:val="000000" w:themeColor="text1"/>
          <w:sz w:val="24"/>
          <w:highlight w:val="none"/>
          <w14:textFill>
            <w14:solidFill>
              <w14:schemeClr w14:val="tx1"/>
            </w14:solidFill>
          </w14:textFill>
        </w:rPr>
        <w:tab/>
      </w:r>
    </w:p>
    <w:p>
      <w:pPr>
        <w:pStyle w:val="10"/>
        <w:widowControl/>
        <w:ind w:right="-88"/>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合同经双方法定代表人或授权代表</w:t>
      </w:r>
      <w:r>
        <w:rPr>
          <w:rFonts w:hint="eastAsia" w:ascii="宋体" w:hAnsi="宋体"/>
          <w:color w:val="000000" w:themeColor="text1"/>
          <w:sz w:val="24"/>
          <w:highlight w:val="none"/>
          <w14:textFill>
            <w14:solidFill>
              <w14:schemeClr w14:val="tx1"/>
            </w14:solidFill>
          </w14:textFill>
        </w:rPr>
        <w:t>签字</w:t>
      </w:r>
      <w:r>
        <w:rPr>
          <w:rFonts w:ascii="宋体" w:hAnsi="宋体"/>
          <w:color w:val="000000" w:themeColor="text1"/>
          <w:sz w:val="24"/>
          <w:highlight w:val="none"/>
          <w14:textFill>
            <w14:solidFill>
              <w14:schemeClr w14:val="tx1"/>
            </w14:solidFill>
          </w14:textFill>
        </w:rPr>
        <w:t>并加盖单位公章后生效。</w:t>
      </w:r>
    </w:p>
    <w:p>
      <w:pPr>
        <w:pStyle w:val="10"/>
        <w:widowControl/>
        <w:ind w:right="-88"/>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 </w:t>
      </w:r>
      <w:r>
        <w:rPr>
          <w:rFonts w:ascii="宋体" w:hAnsi="宋体"/>
          <w:color w:val="000000" w:themeColor="text1"/>
          <w:sz w:val="24"/>
          <w:highlight w:val="none"/>
          <w14:textFill>
            <w14:solidFill>
              <w14:schemeClr w14:val="tx1"/>
            </w14:solidFill>
          </w14:textFill>
        </w:rPr>
        <w:t>本合同未尽事宜，遵照《合同法》有关条文执行。</w:t>
      </w:r>
    </w:p>
    <w:p>
      <w:pPr>
        <w:pStyle w:val="10"/>
        <w:widowControl/>
        <w:ind w:right="-88"/>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本合同一式四份。甲、乙双方各执一份，采购组织机构及同级人民政府财政部门各执一份。本项目未尽事宜以询价通知书、询价响应文件及澄清文件等为准。</w:t>
      </w:r>
    </w:p>
    <w:p>
      <w:pPr>
        <w:widowControl/>
        <w:spacing w:line="360" w:lineRule="auto"/>
        <w:rPr>
          <w:rFonts w:ascii="宋体" w:hAnsi="宋体"/>
          <w:b/>
          <w:color w:val="000000" w:themeColor="text1"/>
          <w:sz w:val="24"/>
          <w:highlight w:val="none"/>
          <w14:textFill>
            <w14:solidFill>
              <w14:schemeClr w14:val="tx1"/>
            </w14:solidFill>
          </w14:textFill>
        </w:rPr>
      </w:pPr>
    </w:p>
    <w:p>
      <w:pPr>
        <w:widowControl/>
        <w:spacing w:line="360" w:lineRule="auto"/>
        <w:rPr>
          <w:rFonts w:ascii="宋体" w:hAnsi="宋体"/>
          <w:b/>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920" w:firstLineChars="20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年</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日</w:t>
      </w:r>
    </w:p>
    <w:p>
      <w:pPr>
        <w:spacing w:line="360" w:lineRule="auto"/>
        <w:rPr>
          <w:rFonts w:ascii="宋体" w:hAnsi="宋体"/>
          <w:color w:val="000000" w:themeColor="text1"/>
          <w:sz w:val="24"/>
          <w:highlight w:val="none"/>
          <w14:textFill>
            <w14:solidFill>
              <w14:schemeClr w14:val="tx1"/>
            </w14:solidFill>
          </w14:textFill>
        </w:rPr>
      </w:pPr>
    </w:p>
    <w:p>
      <w:pPr>
        <w:tabs>
          <w:tab w:val="left" w:pos="4270"/>
        </w:tabs>
        <w:rPr>
          <w:b/>
          <w:color w:val="000000" w:themeColor="text1"/>
          <w:sz w:val="10"/>
          <w:highlight w:val="none"/>
          <w14:textFill>
            <w14:solidFill>
              <w14:schemeClr w14:val="tx1"/>
            </w14:solidFill>
          </w14:textFill>
        </w:rPr>
      </w:pPr>
    </w:p>
    <w:p>
      <w:pPr>
        <w:tabs>
          <w:tab w:val="left" w:pos="4270"/>
        </w:tabs>
        <w:rPr>
          <w:b/>
          <w:color w:val="000000" w:themeColor="text1"/>
          <w:sz w:val="10"/>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p>
    <w:p>
      <w:pPr>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第五章 响应文件格式附件</w:t>
      </w:r>
    </w:p>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napToGrid w:val="0"/>
        <w:spacing w:beforeLines="50" w:after="50"/>
        <w:rPr>
          <w:rFonts w:ascii="宋体" w:hAnsi="宋体"/>
          <w:b/>
          <w:color w:val="000000" w:themeColor="text1"/>
          <w:sz w:val="24"/>
          <w:highlight w:val="none"/>
          <w14:textFill>
            <w14:solidFill>
              <w14:schemeClr w14:val="tx1"/>
            </w14:solidFill>
          </w14:textFill>
        </w:rPr>
      </w:pP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资源教室</w:t>
      </w:r>
    </w:p>
    <w:p>
      <w:pPr>
        <w:spacing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HQ-YHZFCG-2019-77</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询</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价</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ascii="宋体" w:hAnsi="宋体"/>
          <w:b/>
          <w:bCs/>
          <w:color w:val="000000" w:themeColor="text1"/>
          <w:sz w:val="32"/>
          <w:szCs w:val="32"/>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询价响应文件目录</w:t>
      </w:r>
    </w:p>
    <w:p>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p>
    <w:p>
      <w:pPr>
        <w:snapToGrid w:val="0"/>
        <w:spacing w:before="50" w:after="50" w:line="360" w:lineRule="auto"/>
        <w:ind w:left="422" w:leftChars="200" w:hanging="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第一部分：资格证明部分</w:t>
      </w:r>
    </w:p>
    <w:p>
      <w:pPr>
        <w:numPr>
          <w:ilvl w:val="0"/>
          <w:numId w:val="6"/>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询价声明书（附件2）</w:t>
      </w:r>
    </w:p>
    <w:p>
      <w:pPr>
        <w:numPr>
          <w:ilvl w:val="0"/>
          <w:numId w:val="6"/>
        </w:num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firstLine="422" w:firstLineChars="15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3、响应产品技术规格资料</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可视情选用附件7</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4、商务及技术响应表</w:t>
      </w:r>
      <w:r>
        <w:rPr>
          <w:rFonts w:hint="eastAsia" w:ascii="宋体" w:hAnsi="宋体" w:cs="宋体"/>
          <w:color w:val="000000" w:themeColor="text1"/>
          <w:sz w:val="24"/>
          <w:highlight w:val="none"/>
          <w14:textFill>
            <w14:solidFill>
              <w14:schemeClr w14:val="tx1"/>
            </w14:solidFill>
          </w14:textFill>
        </w:rPr>
        <w:t>（可视情选用附件8）</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类似项目业绩一览表</w:t>
      </w:r>
      <w:r>
        <w:rPr>
          <w:rFonts w:hint="eastAsia" w:ascii="宋体" w:hAnsi="宋体" w:cs="宋体"/>
          <w:color w:val="000000" w:themeColor="text1"/>
          <w:kern w:val="0"/>
          <w:sz w:val="24"/>
          <w:highlight w:val="none"/>
          <w14:textFill>
            <w14:solidFill>
              <w14:schemeClr w14:val="tx1"/>
            </w14:solidFill>
          </w14:textFill>
        </w:rPr>
        <w:t>（附件10）</w:t>
      </w:r>
    </w:p>
    <w:p>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售后服务措施及承诺</w:t>
      </w:r>
      <w:r>
        <w:rPr>
          <w:rFonts w:hint="eastAsia" w:ascii="宋体" w:hAnsi="宋体" w:cs="宋体"/>
          <w:color w:val="000000" w:themeColor="text1"/>
          <w:kern w:val="0"/>
          <w:sz w:val="24"/>
          <w:highlight w:val="none"/>
          <w14:textFill>
            <w14:solidFill>
              <w14:schemeClr w14:val="tx1"/>
            </w14:solidFill>
          </w14:textFill>
        </w:rPr>
        <w:t>（可视情选用附件11）；</w:t>
      </w:r>
    </w:p>
    <w:p>
      <w:pPr>
        <w:spacing w:line="360" w:lineRule="auto"/>
        <w:ind w:left="422" w:leftChars="200" w:right="-108" w:hanging="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第三部分 ：</w:t>
      </w:r>
      <w:r>
        <w:rPr>
          <w:rFonts w:hint="eastAsia" w:ascii="宋体" w:hAnsi="宋体" w:cs="宋体"/>
          <w:b/>
          <w:color w:val="000000" w:themeColor="text1"/>
          <w:sz w:val="28"/>
          <w:szCs w:val="28"/>
          <w:highlight w:val="none"/>
          <w14:textFill>
            <w14:solidFill>
              <w14:schemeClr w14:val="tx1"/>
            </w14:solidFill>
          </w14:textFill>
        </w:rPr>
        <w:t>报价</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1、报价表（附件12）；</w:t>
      </w:r>
    </w:p>
    <w:p>
      <w:pPr>
        <w:pStyle w:val="14"/>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Style w:val="27"/>
          <w:rFonts w:hint="eastAsia" w:ascii="宋体" w:hAnsi="宋体" w:cs="宋体"/>
          <w:color w:val="000000" w:themeColor="text1"/>
          <w:highlight w:val="none"/>
          <w:u w:val="none"/>
          <w14:textFill>
            <w14:solidFill>
              <w14:schemeClr w14:val="tx1"/>
            </w14:solidFill>
          </w14:textFill>
        </w:rPr>
        <w:t>报价明细表</w:t>
      </w:r>
      <w:r>
        <w:rPr>
          <w:rFonts w:hint="eastAsia" w:ascii="宋体" w:hAnsi="宋体" w:cs="宋体"/>
          <w:color w:val="000000" w:themeColor="text1"/>
          <w:highlight w:val="none"/>
          <w14:textFill>
            <w14:solidFill>
              <w14:schemeClr w14:val="tx1"/>
            </w14:solidFill>
          </w14:textFill>
        </w:rPr>
        <w:t>（附件13）；</w:t>
      </w:r>
    </w:p>
    <w:p>
      <w:pPr>
        <w:spacing w:line="360" w:lineRule="auto"/>
        <w:ind w:right="-108" w:firstLine="422"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第四部分 ：</w:t>
      </w:r>
      <w:r>
        <w:rPr>
          <w:rFonts w:hint="eastAsia" w:ascii="宋体" w:hAnsi="宋体" w:cs="宋体"/>
          <w:b/>
          <w:color w:val="000000" w:themeColor="text1"/>
          <w:sz w:val="28"/>
          <w:szCs w:val="28"/>
          <w:highlight w:val="none"/>
          <w14:textFill>
            <w14:solidFill>
              <w14:schemeClr w14:val="tx1"/>
            </w14:solidFill>
          </w14:textFill>
        </w:rPr>
        <w:t>其他</w:t>
      </w:r>
      <w:r>
        <w:rPr>
          <w:rFonts w:hint="eastAsia" w:ascii="宋体" w:hAnsi="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1、针对询价响应，供应商认为其他需要说明的；</w:t>
      </w:r>
    </w:p>
    <w:p>
      <w:pPr>
        <w:snapToGrid w:val="0"/>
        <w:spacing w:line="360" w:lineRule="auto"/>
        <w:ind w:left="420" w:leftChars="200" w:firstLine="48" w:firstLineChars="2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供应商须知”中“二、询价响应文件”的组成说明）</w:t>
      </w: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snapToGrid w:val="0"/>
        <w:spacing w:beforeLines="50" w:after="50" w:line="360" w:lineRule="auto"/>
        <w:ind w:firstLine="643" w:firstLineChars="200"/>
        <w:jc w:val="center"/>
        <w:rPr>
          <w:rStyle w:val="27"/>
          <w:b/>
          <w:color w:val="000000" w:themeColor="text1"/>
          <w:sz w:val="32"/>
          <w:szCs w:val="32"/>
          <w:highlight w:val="none"/>
          <w:u w:val="none"/>
          <w14:textFill>
            <w14:solidFill>
              <w14:schemeClr w14:val="tx1"/>
            </w14:solidFill>
          </w14:textFill>
        </w:rPr>
      </w:pPr>
      <w:r>
        <w:rPr>
          <w:rStyle w:val="27"/>
          <w:rFonts w:hint="eastAsia"/>
          <w:b/>
          <w:color w:val="000000" w:themeColor="text1"/>
          <w:sz w:val="32"/>
          <w:szCs w:val="32"/>
          <w:highlight w:val="none"/>
          <w:u w:val="none"/>
          <w14:textFill>
            <w14:solidFill>
              <w14:schemeClr w14:val="tx1"/>
            </w14:solidFill>
          </w14:textFill>
        </w:rPr>
        <w:t>询价声明书</w:t>
      </w:r>
    </w:p>
    <w:p>
      <w:pPr>
        <w:snapToGrid w:val="0"/>
        <w:spacing w:beforeLines="50" w:after="50" w:line="288"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（集</w:t>
      </w:r>
      <w:r>
        <w:rPr>
          <w:rFonts w:hint="eastAsia" w:hAnsi="宋体" w:cs="宋体"/>
          <w:color w:val="000000" w:themeColor="text1"/>
          <w:kern w:val="0"/>
          <w:sz w:val="24"/>
          <w:highlight w:val="none"/>
          <w14:textFill>
            <w14:solidFill>
              <w14:schemeClr w14:val="tx1"/>
            </w14:solidFill>
          </w14:textFill>
        </w:rPr>
        <w:t>中</w:t>
      </w:r>
      <w:r>
        <w:rPr>
          <w:rFonts w:hint="eastAsia" w:ascii="宋体" w:hAnsi="宋体" w:cs="宋体"/>
          <w:color w:val="000000" w:themeColor="text1"/>
          <w:kern w:val="0"/>
          <w:sz w:val="24"/>
          <w:highlight w:val="none"/>
          <w14:textFill>
            <w14:solidFill>
              <w14:schemeClr w14:val="tx1"/>
            </w14:solidFill>
          </w14:textFill>
        </w:rPr>
        <w:t>采</w:t>
      </w:r>
      <w:r>
        <w:rPr>
          <w:rFonts w:hint="eastAsia" w:hAnsi="宋体" w:cs="宋体"/>
          <w:color w:val="000000" w:themeColor="text1"/>
          <w:kern w:val="0"/>
          <w:sz w:val="24"/>
          <w:highlight w:val="none"/>
          <w14:textFill>
            <w14:solidFill>
              <w14:schemeClr w14:val="tx1"/>
            </w14:solidFill>
          </w14:textFill>
        </w:rPr>
        <w:t>构</w:t>
      </w:r>
      <w:r>
        <w:rPr>
          <w:rFonts w:hint="eastAsia" w:ascii="宋体" w:hAnsi="宋体" w:cs="宋体"/>
          <w:color w:val="000000" w:themeColor="text1"/>
          <w:kern w:val="0"/>
          <w:sz w:val="24"/>
          <w:highlight w:val="none"/>
          <w14:textFill>
            <w14:solidFill>
              <w14:schemeClr w14:val="tx1"/>
            </w14:solidFill>
          </w14:textFill>
        </w:rPr>
        <w:t>机构/采购代理机构名称）：</w:t>
      </w:r>
    </w:p>
    <w:p>
      <w:pPr>
        <w:snapToGrid w:val="0"/>
        <w:spacing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（供应商名称）系中华人民共和国合法企业，经营地址。</w:t>
      </w:r>
    </w:p>
    <w:p>
      <w:pPr>
        <w:snapToGrid w:val="0"/>
        <w:spacing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）的法定代表人，我公司自愿参加贵方组织的资源教室（编号为HQ-YHZFCG-2019-77）的询价，为此，我公司就本次询价有关事项郑重声明如下：</w:t>
      </w:r>
    </w:p>
    <w:p>
      <w:pPr>
        <w:numPr>
          <w:ilvl w:val="0"/>
          <w:numId w:val="7"/>
        </w:numPr>
        <w:snapToGrid w:val="0"/>
        <w:spacing w:beforeLines="50" w:after="50" w:line="288"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询价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
        </w:numPr>
        <w:snapToGrid w:val="0"/>
        <w:spacing w:beforeLines="50" w:after="50" w:line="288"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14:textFill>
            <w14:solidFill>
              <w14:schemeClr w14:val="tx1"/>
            </w14:solidFill>
          </w14:textFill>
        </w:rPr>
        <w:t>询价</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和所有相关资料，我方完全明白并认为此</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没有倾向性，也没有存在排斥潜在</w:t>
      </w:r>
      <w:r>
        <w:rPr>
          <w:rFonts w:hint="eastAsia" w:ascii="宋体" w:hAnsi="宋体" w:cs="宋体"/>
          <w:color w:val="000000" w:themeColor="text1"/>
          <w:kern w:val="0"/>
          <w:sz w:val="24"/>
          <w:highlight w:val="none"/>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的相关条款，放弃对</w:t>
      </w:r>
      <w:r>
        <w:rPr>
          <w:rFonts w:hint="eastAsia" w:ascii="宋体" w:hAnsi="宋体" w:cs="宋体"/>
          <w:color w:val="000000" w:themeColor="text1"/>
          <w:kern w:val="0"/>
          <w:sz w:val="24"/>
          <w:highlight w:val="none"/>
          <w14:textFill>
            <w14:solidFill>
              <w14:schemeClr w14:val="tx1"/>
            </w14:solidFill>
          </w14:textFill>
        </w:rPr>
        <w:t>询价通知书</w:t>
      </w:r>
      <w:r>
        <w:rPr>
          <w:rFonts w:ascii="宋体" w:hAnsi="宋体" w:cs="宋体"/>
          <w:color w:val="000000" w:themeColor="text1"/>
          <w:kern w:val="0"/>
          <w:sz w:val="24"/>
          <w:highlight w:val="none"/>
          <w14:textFill>
            <w14:solidFill>
              <w14:schemeClr w14:val="tx1"/>
            </w14:solidFill>
          </w14:textFill>
        </w:rPr>
        <w:t>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snapToGrid w:val="0"/>
        <w:spacing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Lines="50" w:after="50" w:line="288"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公司询价响应的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Lines="50" w:after="50" w:line="288"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Lines="50" w:after="50" w:line="288"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60" w:lineRule="auto"/>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60" w:lineRule="auto"/>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adjustRightInd w:val="0"/>
        <w:snapToGrid w:val="0"/>
        <w:spacing w:line="360" w:lineRule="auto"/>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60" w:lineRule="auto"/>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360" w:lineRule="auto"/>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pStyle w:val="13"/>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w:t>
      </w:r>
      <w:r>
        <w:rPr>
          <w:rFonts w:hint="eastAsia" w:hAnsi="宋体" w:cs="宋体"/>
          <w:color w:val="000000" w:themeColor="text1"/>
          <w:kern w:val="0"/>
          <w:sz w:val="24"/>
          <w:highlight w:val="none"/>
          <w14:textFill>
            <w14:solidFill>
              <w14:schemeClr w14:val="tx1"/>
            </w14:solidFill>
          </w14:textFill>
        </w:rPr>
        <w:t>（集采机构/采购代理机构名称）</w:t>
      </w:r>
      <w:r>
        <w:rPr>
          <w:rFonts w:hAnsi="宋体"/>
          <w:b/>
          <w:color w:val="000000" w:themeColor="text1"/>
          <w:sz w:val="24"/>
          <w:highlight w:val="none"/>
          <w14:textFill>
            <w14:solidFill>
              <w14:schemeClr w14:val="tx1"/>
            </w14:solidFill>
          </w14:textFill>
        </w:rPr>
        <w:t>：</w:t>
      </w:r>
    </w:p>
    <w:p>
      <w:pPr>
        <w:pStyle w:val="13"/>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14:textFill>
            <w14:solidFill>
              <w14:schemeClr w14:val="tx1"/>
            </w14:solidFill>
          </w14:textFill>
        </w:rPr>
        <w:t>响应</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报价</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评审</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我方对全权代表的签</w:t>
      </w:r>
      <w:r>
        <w:rPr>
          <w:rFonts w:hAnsi="宋体"/>
          <w:color w:val="000000" w:themeColor="text1"/>
          <w:sz w:val="24"/>
          <w:highlight w:val="none"/>
          <w14:textFill>
            <w14:solidFill>
              <w14:schemeClr w14:val="tx1"/>
            </w14:solidFill>
          </w14:textFill>
        </w:rPr>
        <w:t>署</w:t>
      </w:r>
      <w:r>
        <w:rPr>
          <w:rFonts w:hint="eastAsia" w:hAnsi="宋体"/>
          <w:color w:val="000000" w:themeColor="text1"/>
          <w:sz w:val="24"/>
          <w:highlight w:val="none"/>
          <w14:textFill>
            <w14:solidFill>
              <w14:schemeClr w14:val="tx1"/>
            </w14:solidFill>
          </w14:textFill>
        </w:rPr>
        <w:t>事项负全部责任。</w:t>
      </w:r>
    </w:p>
    <w:p>
      <w:pPr>
        <w:pStyle w:val="13"/>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供应商全称（公章）：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360" w:lineRule="auto"/>
        <w:rPr>
          <w:b/>
          <w:color w:val="000000" w:themeColor="text1"/>
          <w:sz w:val="24"/>
          <w:highlight w:val="none"/>
          <w14:textFill>
            <w14:solidFill>
              <w14:schemeClr w14:val="tx1"/>
            </w14:solidFill>
          </w14:textFill>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pStyle w:val="38"/>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 xml:space="preserve">附件4：       </w:t>
      </w:r>
    </w:p>
    <w:p>
      <w:pPr>
        <w:pStyle w:val="38"/>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38"/>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8"/>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8"/>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Borders>
              <w:top w:val="single" w:color="auto" w:sz="4" w:space="0"/>
            </w:tcBorders>
          </w:tcPr>
          <w:p>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8"/>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tcPr>
          <w:p>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8"/>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8"/>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8"/>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8"/>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8"/>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8"/>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8"/>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8"/>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38"/>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8"/>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8"/>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8"/>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8"/>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8"/>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8"/>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38"/>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8"/>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8"/>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8"/>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8"/>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8"/>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38"/>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8"/>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8"/>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38"/>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8"/>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8"/>
              <w:shd w:val="clear" w:color="auto" w:fill="FFFFFF"/>
              <w:spacing w:line="360" w:lineRule="auto"/>
              <w:rPr>
                <w:bCs/>
                <w:color w:val="000000" w:themeColor="text1"/>
                <w:spacing w:val="16"/>
                <w:highlight w:val="none"/>
                <w14:textFill>
                  <w14:solidFill>
                    <w14:schemeClr w14:val="tx1"/>
                  </w14:solidFill>
                </w14:textFill>
              </w:rPr>
            </w:pPr>
          </w:p>
        </w:tc>
      </w:tr>
    </w:tbl>
    <w:p>
      <w:pPr>
        <w:pStyle w:val="38"/>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8"/>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8"/>
        <w:shd w:val="clear" w:color="auto" w:fill="FFFFFF"/>
        <w:spacing w:before="0" w:beforeAutospacing="0" w:after="0" w:afterAutospacing="0" w:line="360" w:lineRule="auto"/>
        <w:ind w:firstLine="424" w:firstLineChars="202"/>
        <w:rPr>
          <w:color w:val="000000" w:themeColor="text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附件5：</w:t>
      </w:r>
    </w:p>
    <w:p>
      <w:pPr>
        <w:snapToGrid w:val="0"/>
        <w:spacing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项目实施人员一览表（第 标）</w:t>
      </w:r>
    </w:p>
    <w:p>
      <w:pPr>
        <w:snapToGrid w:val="0"/>
        <w:spacing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35"/>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5"/>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3.出具上述人员在本单位服务的外部证明，如：询价</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pacing w:beforeLines="50"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 xml:space="preserve"> (第 标)</w:t>
      </w:r>
    </w:p>
    <w:p>
      <w:pPr>
        <w:spacing w:line="360" w:lineRule="auto"/>
        <w:ind w:left="48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pStyle w:val="13"/>
        <w:adjustRightInd w:val="0"/>
        <w:snapToGrid w:val="0"/>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3"/>
        <w:adjustRightInd w:val="0"/>
        <w:snapToGrid w:val="0"/>
        <w:spacing w:line="360" w:lineRule="auto"/>
        <w:jc w:val="left"/>
        <w:rPr>
          <w:rFonts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Layout w:type="fixed"/>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询价通知书产品技术要求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Layout w:type="fixed"/>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询价</w:t>
            </w:r>
            <w:r>
              <w:rPr>
                <w:rFonts w:hint="eastAsia" w:hAnsi="宋体" w:cs="宋体"/>
                <w:bCs/>
                <w:color w:val="000000" w:themeColor="text1"/>
                <w:spacing w:val="10"/>
                <w:kern w:val="0"/>
                <w:sz w:val="24"/>
                <w:szCs w:val="22"/>
                <w:highlight w:val="none"/>
                <w14:textFill>
                  <w14:solidFill>
                    <w14:schemeClr w14:val="tx1"/>
                  </w14:solidFill>
                </w14:textFill>
              </w:rPr>
              <w:t>通知书</w:t>
            </w:r>
            <w:r>
              <w:rPr>
                <w:rFonts w:hint="eastAsia" w:hAnsi="宋体" w:cs="宋体"/>
                <w:color w:val="000000" w:themeColor="text1"/>
                <w:kern w:val="0"/>
                <w:sz w:val="22"/>
                <w:szCs w:val="22"/>
                <w:highlight w:val="none"/>
                <w14:textFill>
                  <w14:solidFill>
                    <w14:schemeClr w14:val="tx1"/>
                  </w14:solidFill>
                </w14:textFill>
              </w:rPr>
              <w:t>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询价响应文件产品技术响应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Layout w:type="fixed"/>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3"/>
        <w:adjustRightInd w:val="0"/>
        <w:snapToGrid w:val="0"/>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备注：供应商在填写其中的“询价响应文件产品技术响应”内容时，必须对照本询价通知书“产品技术要求”中各指标项逐条说明，写出各询价产品的具体参数响应内容，不得以“符合”或“满足”等词语作简单回答或者完全复制本项目采购需求中参数内容，否则询价小组有权视其询价响应文件未响应询价通知书要求。</w:t>
      </w: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ind w:left="420"/>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ind w:firstLine="435"/>
        <w:rPr>
          <w:rFonts w:ascii="宋体" w:hAnsi="宋体"/>
          <w:color w:val="000000" w:themeColor="text1"/>
          <w:sz w:val="24"/>
          <w:highlight w:val="none"/>
          <w14:textFill>
            <w14:solidFill>
              <w14:schemeClr w14:val="tx1"/>
            </w14:solidFill>
          </w14:textFill>
        </w:rPr>
      </w:pPr>
    </w:p>
    <w:p>
      <w:pPr>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ind w:firstLine="424" w:firstLineChars="177"/>
        <w:rPr>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Lines="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pStyle w:val="30"/>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0"/>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23"/>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0"/>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0"/>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0"/>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1.填写询价供应商获得资质、认证或企业信誉证书。</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0"/>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0"/>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pStyle w:val="38"/>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42"/>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42"/>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复印件可只提供首页、含金额页、盖章页并加盖询价供应商公章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.询价供应商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jc w:val="center"/>
        <w:rPr>
          <w:rFonts w:ascii="仿宋" w:hAnsi="仿宋" w:eastAsia="仿宋"/>
          <w:snapToGrid w:val="0"/>
          <w:color w:val="000000" w:themeColor="text1"/>
          <w:kern w:val="0"/>
          <w:sz w:val="24"/>
          <w:highlight w:val="none"/>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附件11: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询价供应商承诺</w:t>
            </w:r>
          </w:p>
        </w:tc>
        <w:tc>
          <w:tcPr>
            <w:tcW w:w="1373" w:type="dxa"/>
            <w:vAlign w:val="center"/>
          </w:tcPr>
          <w:p>
            <w:pPr>
              <w:pStyle w:val="31"/>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询价供应商售后服务情况：</w:t>
            </w:r>
          </w:p>
        </w:tc>
        <w:tc>
          <w:tcPr>
            <w:tcW w:w="1373" w:type="dxa"/>
          </w:tcPr>
          <w:p>
            <w:pPr>
              <w:pStyle w:val="31"/>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1"/>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1"/>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1"/>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1"/>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1"/>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napToGrid w:val="0"/>
        <w:spacing w:beforeLines="50" w:after="50" w:line="360" w:lineRule="auto"/>
        <w:rPr>
          <w:rFonts w:ascii="宋体" w:hAnsi="宋体"/>
          <w:b/>
          <w:color w:val="000000" w:themeColor="text1"/>
          <w:sz w:val="28"/>
          <w:highlight w:val="none"/>
          <w14:textFill>
            <w14:solidFill>
              <w14:schemeClr w14:val="tx1"/>
            </w14:solidFill>
          </w14:textFill>
        </w:rPr>
      </w:pPr>
    </w:p>
    <w:p>
      <w:pPr>
        <w:snapToGrid w:val="0"/>
        <w:spacing w:beforeLines="50" w:after="50" w:line="360" w:lineRule="auto"/>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报价一览表</w:t>
      </w:r>
    </w:p>
    <w:p>
      <w:pPr>
        <w:pStyle w:val="13"/>
        <w:spacing w:line="320" w:lineRule="exact"/>
        <w:rPr>
          <w:rFonts w:hAnsi="宋体"/>
          <w:b/>
          <w:color w:val="000000" w:themeColor="text1"/>
          <w:sz w:val="24"/>
          <w:highlight w:val="none"/>
          <w14:textFill>
            <w14:solidFill>
              <w14:schemeClr w14:val="tx1"/>
            </w14:solidFill>
          </w14:textFill>
        </w:rPr>
      </w:pPr>
    </w:p>
    <w:p>
      <w:pPr>
        <w:pStyle w:val="13"/>
        <w:spacing w:line="320" w:lineRule="exact"/>
        <w:rPr>
          <w:rFonts w:hAnsi="宋体"/>
          <w:b/>
          <w:color w:val="000000" w:themeColor="text1"/>
          <w:sz w:val="24"/>
          <w:highlight w:val="none"/>
          <w:u w:val="singl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14:textFill>
            <w14:solidFill>
              <w14:schemeClr w14:val="tx1"/>
            </w14:solidFill>
          </w14:textFill>
        </w:rPr>
        <w:t xml:space="preserve">               </w:t>
      </w:r>
    </w:p>
    <w:p>
      <w:pPr>
        <w:pStyle w:val="29"/>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hAnsi="宋体"/>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72" w:type="dxa"/>
        <w:jc w:val="center"/>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pStyle w:val="6"/>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2.报价一经涂改，应在涂改处加盖单位公章，或者由法定代表人或全权代表签字或盖章，否则其报价作无效处理。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询价供应商代表签字：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p>
    <w:p>
      <w:pPr>
        <w:adjustRightInd w:val="0"/>
        <w:snapToGrid w:val="0"/>
        <w:spacing w:line="360" w:lineRule="auto"/>
        <w:ind w:right="480"/>
        <w:jc w:val="center"/>
        <w:rPr>
          <w:rFonts w:ascii="宋体" w:hAnsi="宋体" w:cs="仿宋_GB2312"/>
          <w:color w:val="000000" w:themeColor="text1"/>
          <w:kern w:val="0"/>
          <w:sz w:val="24"/>
          <w:highlight w:val="none"/>
          <w:lang w:val="zh-CN"/>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p>
    <w:p>
      <w:pPr>
        <w:spacing w:line="360" w:lineRule="atLeast"/>
        <w:ind w:left="48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 xml:space="preserve">附件13:           </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本表为《报价一览表》的报价明细表，如有缺项、漏项，视为报价中已包含相关费用，采购人无需另外支付任何费用。</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”中的报价合计应与“报价一览表”中的总报价相一致，不一致时，以报价一览表为准。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报价明细表所填内容按询价通知书采购设备清单要求为准。如有漏报的，视同已包含在总价内或已作优惠处理。有重大缺项的将作无效报价处理。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本表中的型号规格必须明确，询价通知书中明确要求定制的除外。</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5.供应商在报价时需提供本表的电子文档（单独封装，建议使用光盘），以便网上公示使用，电子文档将不予退还。</w:t>
      </w:r>
    </w:p>
    <w:p>
      <w:pPr>
        <w:snapToGrid w:val="0"/>
        <w:spacing w:beforeLines="50"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Lines="50" w:afterLines="50"/>
        <w:ind w:left="420"/>
        <w:rPr>
          <w:rFonts w:ascii="宋体" w:hAnsi="宋体"/>
          <w:color w:val="000000" w:themeColor="text1"/>
          <w:sz w:val="24"/>
          <w:highlight w:val="none"/>
          <w14:textFill>
            <w14:solidFill>
              <w14:schemeClr w14:val="tx1"/>
            </w14:solidFill>
          </w14:textFill>
        </w:rPr>
      </w:pPr>
    </w:p>
    <w:p>
      <w:pPr>
        <w:snapToGrid w:val="0"/>
        <w:spacing w:beforeLines="50" w:afterLines="50"/>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供应商代表签字：</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Lines="50" w:afterLines="50"/>
        <w:ind w:firstLine="435"/>
        <w:rPr>
          <w:rFonts w:ascii="宋体" w:hAnsi="宋体"/>
          <w:color w:val="000000" w:themeColor="text1"/>
          <w:sz w:val="24"/>
          <w:highlight w:val="none"/>
          <w14:textFill>
            <w14:solidFill>
              <w14:schemeClr w14:val="tx1"/>
            </w14:solidFill>
          </w14:textFill>
        </w:rPr>
      </w:pPr>
    </w:p>
    <w:p>
      <w:pPr>
        <w:snapToGrid w:val="0"/>
        <w:spacing w:beforeLines="50" w:afterLines="50"/>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Lines="50" w:afterLines="50"/>
        <w:rPr>
          <w:rFonts w:ascii="宋体" w:hAnsi="宋体"/>
          <w:color w:val="000000" w:themeColor="text1"/>
          <w:sz w:val="24"/>
          <w:highlight w:val="none"/>
          <w14:textFill>
            <w14:solidFill>
              <w14:schemeClr w14:val="tx1"/>
            </w14:solidFill>
          </w14:textFill>
        </w:rPr>
      </w:pPr>
    </w:p>
    <w:p>
      <w:pPr>
        <w:pStyle w:val="38"/>
        <w:shd w:val="clear" w:color="auto" w:fill="FFFFFF"/>
        <w:snapToGrid w:val="0"/>
        <w:spacing w:beforeLines="50" w:beforeAutospacing="0" w:afterLines="50" w:afterAutospacing="0"/>
        <w:ind w:firstLine="424" w:firstLineChars="177"/>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附件14</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9"/>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9"/>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9"/>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9"/>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pic:cNvPicPr>
                  </pic:nvPicPr>
                  <pic:blipFill>
                    <a:blip r:embed="rId56" cstate="print"/>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3"/>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38"/>
        <w:shd w:val="clear" w:color="auto" w:fill="FFFFFF"/>
        <w:snapToGrid w:val="0"/>
        <w:spacing w:beforeLines="50" w:beforeAutospacing="0" w:afterLines="50" w:afterAutospacing="0"/>
        <w:ind w:firstLine="424" w:firstLineChars="177"/>
        <w:rPr>
          <w:color w:val="000000" w:themeColor="text1"/>
          <w:highlight w:val="none"/>
          <w:u w:val="single"/>
          <w14:textFill>
            <w14:solidFill>
              <w14:schemeClr w14:val="tx1"/>
            </w14:solidFill>
          </w14:textFill>
        </w:rPr>
      </w:pPr>
    </w:p>
    <w:p>
      <w:pPr>
        <w:pStyle w:val="13"/>
        <w:adjustRightInd w:val="0"/>
        <w:snapToGrid w:val="0"/>
        <w:spacing w:line="320" w:lineRule="atLeast"/>
        <w:outlineLvl w:val="1"/>
        <w:rPr>
          <w:rFonts w:hAnsi="宋体"/>
          <w:bCs/>
          <w:i/>
          <w:iCs/>
          <w:color w:val="000000" w:themeColor="text1"/>
          <w:spacing w:val="20"/>
          <w:sz w:val="24"/>
          <w:highlight w:val="none"/>
          <w14:textFill>
            <w14:solidFill>
              <w14:schemeClr w14:val="tx1"/>
            </w14:solidFill>
          </w14:textFill>
        </w:rPr>
      </w:pPr>
    </w:p>
    <w:p>
      <w:pPr>
        <w:pStyle w:val="38"/>
        <w:shd w:val="clear" w:color="auto" w:fill="FFFFFF"/>
        <w:snapToGrid w:val="0"/>
        <w:spacing w:beforeLines="50" w:beforeAutospacing="0" w:afterLines="50" w:afterAutospacing="0"/>
        <w:ind w:firstLine="424" w:firstLineChars="177"/>
        <w:rPr>
          <w:color w:val="000000" w:themeColor="text1"/>
          <w:highlight w:val="none"/>
          <w:u w:val="single"/>
          <w14:textFill>
            <w14:solidFill>
              <w14:schemeClr w14:val="tx1"/>
            </w14:solidFill>
          </w14:textFill>
        </w:rPr>
      </w:pPr>
    </w:p>
    <w:sectPr>
      <w:headerReference r:id="rId3" w:type="default"/>
      <w:footerReference r:id="rId4" w:type="default"/>
      <w:footerReference r:id="rId5" w:type="even"/>
      <w:pgSz w:w="11906" w:h="16838"/>
      <w:pgMar w:top="1588" w:right="1758" w:bottom="1304" w:left="175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魏碑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10</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玉环市政府采购通知书</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b/>
        <w:i/>
        <w:color w:val="000000"/>
        <w:spacing w:val="-2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18</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r>
      <w:rPr>
        <w:b/>
        <w:i/>
        <w:color w:val="000000"/>
        <w:spacing w:val="-20"/>
        <w:kern w:val="0"/>
        <w:sz w:val="18"/>
        <w:u w:val="single"/>
      </w:rPr>
      <w:t xml:space="preserve"> </w:t>
    </w:r>
    <w:r>
      <w:rPr>
        <w:rFonts w:hint="eastAsia"/>
        <w:b/>
        <w:i/>
        <w:color w:val="000000"/>
        <w:spacing w:val="-20"/>
        <w:kern w:val="0"/>
        <w:sz w:val="18"/>
        <w:u w:val="single"/>
      </w:rPr>
      <w:t>共</w:t>
    </w:r>
    <w:r>
      <w:rPr>
        <w:b/>
        <w:i/>
        <w:color w:val="000000"/>
        <w:spacing w:val="-20"/>
        <w:kern w:val="0"/>
        <w:sz w:val="18"/>
        <w:u w:val="single"/>
      </w:rPr>
      <w:t xml:space="preserve">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52</w:t>
    </w:r>
    <w:r>
      <w:rPr>
        <w:b/>
        <w:i/>
        <w:color w:val="000000"/>
        <w:spacing w:val="-20"/>
        <w:kern w:val="0"/>
        <w:sz w:val="18"/>
        <w:u w:val="single"/>
      </w:rPr>
      <w:fldChar w:fldCharType="end"/>
    </w:r>
    <w:r>
      <w:rPr>
        <w:b/>
        <w:i/>
        <w:color w:val="000000"/>
        <w:spacing w:val="-20"/>
        <w:kern w:val="0"/>
        <w:sz w:val="18"/>
        <w:u w:val="single"/>
      </w:rPr>
      <w:t xml:space="preserve"> </w:t>
    </w:r>
    <w:r>
      <w:rPr>
        <w:rFonts w:hint="eastAsia"/>
        <w:b/>
        <w:i/>
        <w:color w:val="000000"/>
        <w:spacing w:val="-20"/>
        <w:kern w:val="0"/>
        <w:sz w:val="18"/>
        <w:u w:val="single"/>
      </w:rPr>
      <w:t>页</w:t>
    </w:r>
  </w:p>
  <w:p>
    <w:pPr>
      <w:spacing w:line="20" w:lineRule="atLeast"/>
      <w:rPr>
        <w:b/>
        <w:color w:val="808080"/>
        <w:sz w:val="1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AF7B2CA"/>
    <w:multiLevelType w:val="singleLevel"/>
    <w:tmpl w:val="AAF7B2CA"/>
    <w:lvl w:ilvl="0" w:tentative="0">
      <w:start w:val="1"/>
      <w:numFmt w:val="decimal"/>
      <w:suff w:val="nothing"/>
      <w:lvlText w:val="%1、"/>
      <w:lvlJc w:val="left"/>
    </w:lvl>
  </w:abstractNum>
  <w:abstractNum w:abstractNumId="2">
    <w:nsid w:val="241567B2"/>
    <w:multiLevelType w:val="multilevel"/>
    <w:tmpl w:val="241567B2"/>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61E5E94"/>
    <w:multiLevelType w:val="singleLevel"/>
    <w:tmpl w:val="461E5E94"/>
    <w:lvl w:ilvl="0" w:tentative="0">
      <w:start w:val="2"/>
      <w:numFmt w:val="chineseCounting"/>
      <w:suff w:val="space"/>
      <w:lvlText w:val="第%1章"/>
      <w:lvlJc w:val="left"/>
      <w:rPr>
        <w:rFonts w:hint="eastAsia"/>
      </w:r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5">
    <w:nsid w:val="4969F691"/>
    <w:multiLevelType w:val="singleLevel"/>
    <w:tmpl w:val="4969F691"/>
    <w:lvl w:ilvl="0" w:tentative="0">
      <w:start w:val="2"/>
      <w:numFmt w:val="decimal"/>
      <w:suff w:val="nothing"/>
      <w:lvlText w:val="（%1）"/>
      <w:lvlJc w:val="left"/>
    </w:lvl>
  </w:abstractNum>
  <w:abstractNum w:abstractNumId="6">
    <w:nsid w:val="6B8A5D5B"/>
    <w:multiLevelType w:val="singleLevel"/>
    <w:tmpl w:val="6B8A5D5B"/>
    <w:lvl w:ilvl="0" w:tentative="0">
      <w:start w:val="1"/>
      <w:numFmt w:val="decimal"/>
      <w:pStyle w:val="5"/>
      <w:lvlText w:val="%1."/>
      <w:lvlJc w:val="left"/>
      <w:pPr>
        <w:tabs>
          <w:tab w:val="left" w:pos="993"/>
        </w:tabs>
        <w:ind w:left="993" w:hanging="425"/>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7"/>
    <w:rsid w:val="00000835"/>
    <w:rsid w:val="00002819"/>
    <w:rsid w:val="000066E2"/>
    <w:rsid w:val="000072D0"/>
    <w:rsid w:val="000113BA"/>
    <w:rsid w:val="00011BF9"/>
    <w:rsid w:val="000144D8"/>
    <w:rsid w:val="0001466C"/>
    <w:rsid w:val="00014CBE"/>
    <w:rsid w:val="00015A16"/>
    <w:rsid w:val="00016104"/>
    <w:rsid w:val="00016CEB"/>
    <w:rsid w:val="00020488"/>
    <w:rsid w:val="00033167"/>
    <w:rsid w:val="000374D9"/>
    <w:rsid w:val="0004039D"/>
    <w:rsid w:val="0004573E"/>
    <w:rsid w:val="000462B3"/>
    <w:rsid w:val="00056116"/>
    <w:rsid w:val="00063739"/>
    <w:rsid w:val="00093B71"/>
    <w:rsid w:val="00094020"/>
    <w:rsid w:val="00097489"/>
    <w:rsid w:val="000A184B"/>
    <w:rsid w:val="000B14B3"/>
    <w:rsid w:val="000C1CBA"/>
    <w:rsid w:val="000C44FD"/>
    <w:rsid w:val="000D0D51"/>
    <w:rsid w:val="000D20EF"/>
    <w:rsid w:val="000D6A38"/>
    <w:rsid w:val="000D71AA"/>
    <w:rsid w:val="000F19C1"/>
    <w:rsid w:val="000F2444"/>
    <w:rsid w:val="000F3E7A"/>
    <w:rsid w:val="000F4C1B"/>
    <w:rsid w:val="000F6E8F"/>
    <w:rsid w:val="00107A12"/>
    <w:rsid w:val="00113EFB"/>
    <w:rsid w:val="00125879"/>
    <w:rsid w:val="001322D7"/>
    <w:rsid w:val="001351E1"/>
    <w:rsid w:val="00135574"/>
    <w:rsid w:val="00141C56"/>
    <w:rsid w:val="00141DD0"/>
    <w:rsid w:val="00142FE9"/>
    <w:rsid w:val="00143ED6"/>
    <w:rsid w:val="00144DA0"/>
    <w:rsid w:val="00145F8F"/>
    <w:rsid w:val="001501C0"/>
    <w:rsid w:val="00163B63"/>
    <w:rsid w:val="00164382"/>
    <w:rsid w:val="0017001E"/>
    <w:rsid w:val="0019169C"/>
    <w:rsid w:val="0019198A"/>
    <w:rsid w:val="0019688D"/>
    <w:rsid w:val="001969D8"/>
    <w:rsid w:val="001B2A56"/>
    <w:rsid w:val="001C4682"/>
    <w:rsid w:val="001C5F9E"/>
    <w:rsid w:val="001C7450"/>
    <w:rsid w:val="001C7913"/>
    <w:rsid w:val="001E0A12"/>
    <w:rsid w:val="001F58BD"/>
    <w:rsid w:val="001F5FA7"/>
    <w:rsid w:val="001F70E5"/>
    <w:rsid w:val="0020609C"/>
    <w:rsid w:val="002072DC"/>
    <w:rsid w:val="00222F97"/>
    <w:rsid w:val="00233BBC"/>
    <w:rsid w:val="00241BAF"/>
    <w:rsid w:val="0024494C"/>
    <w:rsid w:val="002519E9"/>
    <w:rsid w:val="00260759"/>
    <w:rsid w:val="00273082"/>
    <w:rsid w:val="00282D35"/>
    <w:rsid w:val="00283771"/>
    <w:rsid w:val="002869D9"/>
    <w:rsid w:val="00290123"/>
    <w:rsid w:val="00290A4C"/>
    <w:rsid w:val="002979B8"/>
    <w:rsid w:val="00297F27"/>
    <w:rsid w:val="002D1A35"/>
    <w:rsid w:val="002D3062"/>
    <w:rsid w:val="002E60C2"/>
    <w:rsid w:val="002E6640"/>
    <w:rsid w:val="00300E12"/>
    <w:rsid w:val="00307E59"/>
    <w:rsid w:val="00310817"/>
    <w:rsid w:val="00317619"/>
    <w:rsid w:val="00322F02"/>
    <w:rsid w:val="00327555"/>
    <w:rsid w:val="003437AC"/>
    <w:rsid w:val="00374040"/>
    <w:rsid w:val="00374368"/>
    <w:rsid w:val="00382A9F"/>
    <w:rsid w:val="003925FB"/>
    <w:rsid w:val="00393051"/>
    <w:rsid w:val="003A1CBD"/>
    <w:rsid w:val="003A38A3"/>
    <w:rsid w:val="003B271B"/>
    <w:rsid w:val="003D6ADF"/>
    <w:rsid w:val="003D7A5E"/>
    <w:rsid w:val="003E05C7"/>
    <w:rsid w:val="003E6D7B"/>
    <w:rsid w:val="003E784A"/>
    <w:rsid w:val="003F0BE6"/>
    <w:rsid w:val="003F321A"/>
    <w:rsid w:val="0040426C"/>
    <w:rsid w:val="00407CC0"/>
    <w:rsid w:val="00407D11"/>
    <w:rsid w:val="004146E9"/>
    <w:rsid w:val="004244D7"/>
    <w:rsid w:val="00424871"/>
    <w:rsid w:val="00424A4B"/>
    <w:rsid w:val="00425295"/>
    <w:rsid w:val="00426AEC"/>
    <w:rsid w:val="00427562"/>
    <w:rsid w:val="00427DB1"/>
    <w:rsid w:val="0045367C"/>
    <w:rsid w:val="004602B5"/>
    <w:rsid w:val="00483488"/>
    <w:rsid w:val="004847D8"/>
    <w:rsid w:val="00492F82"/>
    <w:rsid w:val="00494813"/>
    <w:rsid w:val="004A71C6"/>
    <w:rsid w:val="004B140F"/>
    <w:rsid w:val="004C13E9"/>
    <w:rsid w:val="004C6B5A"/>
    <w:rsid w:val="004E0C97"/>
    <w:rsid w:val="004E3B5C"/>
    <w:rsid w:val="004E4504"/>
    <w:rsid w:val="004E478B"/>
    <w:rsid w:val="004F1F87"/>
    <w:rsid w:val="00500CF2"/>
    <w:rsid w:val="005114E5"/>
    <w:rsid w:val="0051291C"/>
    <w:rsid w:val="00514E7C"/>
    <w:rsid w:val="00516980"/>
    <w:rsid w:val="005218A6"/>
    <w:rsid w:val="00534EBB"/>
    <w:rsid w:val="0053774D"/>
    <w:rsid w:val="0055041A"/>
    <w:rsid w:val="00553B4D"/>
    <w:rsid w:val="00566173"/>
    <w:rsid w:val="0058005F"/>
    <w:rsid w:val="005851AD"/>
    <w:rsid w:val="00586204"/>
    <w:rsid w:val="00593FDE"/>
    <w:rsid w:val="005A24CA"/>
    <w:rsid w:val="005A32B7"/>
    <w:rsid w:val="005A3798"/>
    <w:rsid w:val="005A4F78"/>
    <w:rsid w:val="005B0DB0"/>
    <w:rsid w:val="005B0DB6"/>
    <w:rsid w:val="005C0D64"/>
    <w:rsid w:val="005C2097"/>
    <w:rsid w:val="005C55C0"/>
    <w:rsid w:val="005D37EF"/>
    <w:rsid w:val="005D3F5C"/>
    <w:rsid w:val="005E2F1E"/>
    <w:rsid w:val="005E3E81"/>
    <w:rsid w:val="005F44BB"/>
    <w:rsid w:val="005F7AA2"/>
    <w:rsid w:val="005F7DF8"/>
    <w:rsid w:val="00601FD6"/>
    <w:rsid w:val="006067A6"/>
    <w:rsid w:val="00611A0D"/>
    <w:rsid w:val="00611C60"/>
    <w:rsid w:val="00616B3D"/>
    <w:rsid w:val="0062127B"/>
    <w:rsid w:val="006241D7"/>
    <w:rsid w:val="0062771B"/>
    <w:rsid w:val="0063632D"/>
    <w:rsid w:val="00636CB5"/>
    <w:rsid w:val="006416BF"/>
    <w:rsid w:val="00660CF1"/>
    <w:rsid w:val="00671751"/>
    <w:rsid w:val="0068115D"/>
    <w:rsid w:val="00681DE6"/>
    <w:rsid w:val="00686962"/>
    <w:rsid w:val="00696BA5"/>
    <w:rsid w:val="006C1DA2"/>
    <w:rsid w:val="006C27A0"/>
    <w:rsid w:val="006C61E7"/>
    <w:rsid w:val="006C699A"/>
    <w:rsid w:val="006E1F07"/>
    <w:rsid w:val="006E1F3B"/>
    <w:rsid w:val="006E2053"/>
    <w:rsid w:val="006E4B36"/>
    <w:rsid w:val="006E7A6F"/>
    <w:rsid w:val="006F1469"/>
    <w:rsid w:val="006F3F12"/>
    <w:rsid w:val="007032DA"/>
    <w:rsid w:val="00706434"/>
    <w:rsid w:val="00721B2A"/>
    <w:rsid w:val="007221E2"/>
    <w:rsid w:val="00723EF0"/>
    <w:rsid w:val="007317A0"/>
    <w:rsid w:val="00741637"/>
    <w:rsid w:val="00742679"/>
    <w:rsid w:val="0074379B"/>
    <w:rsid w:val="007473BD"/>
    <w:rsid w:val="007539A3"/>
    <w:rsid w:val="00760692"/>
    <w:rsid w:val="00764D20"/>
    <w:rsid w:val="00771585"/>
    <w:rsid w:val="00790674"/>
    <w:rsid w:val="00791CF1"/>
    <w:rsid w:val="007A0B7C"/>
    <w:rsid w:val="007A5D18"/>
    <w:rsid w:val="007D0428"/>
    <w:rsid w:val="007D525B"/>
    <w:rsid w:val="007D64D9"/>
    <w:rsid w:val="007D65B8"/>
    <w:rsid w:val="007E2FF3"/>
    <w:rsid w:val="007E7236"/>
    <w:rsid w:val="007F21BA"/>
    <w:rsid w:val="007F4AB5"/>
    <w:rsid w:val="007F53B0"/>
    <w:rsid w:val="0082033D"/>
    <w:rsid w:val="00824C45"/>
    <w:rsid w:val="0083176B"/>
    <w:rsid w:val="00832EAD"/>
    <w:rsid w:val="00834AB7"/>
    <w:rsid w:val="00837889"/>
    <w:rsid w:val="008408F8"/>
    <w:rsid w:val="008450F9"/>
    <w:rsid w:val="0084702A"/>
    <w:rsid w:val="00853737"/>
    <w:rsid w:val="00854185"/>
    <w:rsid w:val="008628F7"/>
    <w:rsid w:val="00880D0B"/>
    <w:rsid w:val="008813D7"/>
    <w:rsid w:val="00881774"/>
    <w:rsid w:val="0089742F"/>
    <w:rsid w:val="008B2B58"/>
    <w:rsid w:val="008B38EA"/>
    <w:rsid w:val="008C4E07"/>
    <w:rsid w:val="008E2CC6"/>
    <w:rsid w:val="008E54DD"/>
    <w:rsid w:val="008E7B4A"/>
    <w:rsid w:val="008F390C"/>
    <w:rsid w:val="008F4B8D"/>
    <w:rsid w:val="00905E58"/>
    <w:rsid w:val="009118B1"/>
    <w:rsid w:val="00935CF2"/>
    <w:rsid w:val="00937C64"/>
    <w:rsid w:val="00940E48"/>
    <w:rsid w:val="009511EF"/>
    <w:rsid w:val="0095169F"/>
    <w:rsid w:val="00966B81"/>
    <w:rsid w:val="00986697"/>
    <w:rsid w:val="00987B36"/>
    <w:rsid w:val="009B5DDA"/>
    <w:rsid w:val="009C1D17"/>
    <w:rsid w:val="009C2DDD"/>
    <w:rsid w:val="009C44C6"/>
    <w:rsid w:val="009C58B5"/>
    <w:rsid w:val="009E2E09"/>
    <w:rsid w:val="009E4470"/>
    <w:rsid w:val="009E5E13"/>
    <w:rsid w:val="00A01200"/>
    <w:rsid w:val="00A03D68"/>
    <w:rsid w:val="00A03EDB"/>
    <w:rsid w:val="00A05C95"/>
    <w:rsid w:val="00A07833"/>
    <w:rsid w:val="00A21E8E"/>
    <w:rsid w:val="00A23824"/>
    <w:rsid w:val="00A254B2"/>
    <w:rsid w:val="00A329FF"/>
    <w:rsid w:val="00A35A46"/>
    <w:rsid w:val="00A46762"/>
    <w:rsid w:val="00A5233A"/>
    <w:rsid w:val="00A674A4"/>
    <w:rsid w:val="00A67654"/>
    <w:rsid w:val="00A67E84"/>
    <w:rsid w:val="00A71791"/>
    <w:rsid w:val="00A863DF"/>
    <w:rsid w:val="00A874FC"/>
    <w:rsid w:val="00A87C1B"/>
    <w:rsid w:val="00A87DBE"/>
    <w:rsid w:val="00A921DE"/>
    <w:rsid w:val="00A96DCB"/>
    <w:rsid w:val="00AA7118"/>
    <w:rsid w:val="00AB0371"/>
    <w:rsid w:val="00AB0C2F"/>
    <w:rsid w:val="00AB6F32"/>
    <w:rsid w:val="00AB7C51"/>
    <w:rsid w:val="00AC31E9"/>
    <w:rsid w:val="00AD5517"/>
    <w:rsid w:val="00AD60F0"/>
    <w:rsid w:val="00AE5863"/>
    <w:rsid w:val="00B12AB2"/>
    <w:rsid w:val="00B13686"/>
    <w:rsid w:val="00B17E7A"/>
    <w:rsid w:val="00B2502F"/>
    <w:rsid w:val="00B25444"/>
    <w:rsid w:val="00B27011"/>
    <w:rsid w:val="00B402FE"/>
    <w:rsid w:val="00B430BF"/>
    <w:rsid w:val="00B443E9"/>
    <w:rsid w:val="00B46756"/>
    <w:rsid w:val="00B72359"/>
    <w:rsid w:val="00B87250"/>
    <w:rsid w:val="00B911A7"/>
    <w:rsid w:val="00B96DA8"/>
    <w:rsid w:val="00BB2ED6"/>
    <w:rsid w:val="00BB6AE5"/>
    <w:rsid w:val="00BC0DAA"/>
    <w:rsid w:val="00BC66E2"/>
    <w:rsid w:val="00BD2CA7"/>
    <w:rsid w:val="00BD538C"/>
    <w:rsid w:val="00BD64EF"/>
    <w:rsid w:val="00BF30E3"/>
    <w:rsid w:val="00BF3467"/>
    <w:rsid w:val="00BF3CC2"/>
    <w:rsid w:val="00C134DD"/>
    <w:rsid w:val="00C17A7C"/>
    <w:rsid w:val="00C335C9"/>
    <w:rsid w:val="00C34446"/>
    <w:rsid w:val="00C64EA4"/>
    <w:rsid w:val="00C72FF3"/>
    <w:rsid w:val="00C76672"/>
    <w:rsid w:val="00C80B45"/>
    <w:rsid w:val="00C80CB4"/>
    <w:rsid w:val="00C81E6B"/>
    <w:rsid w:val="00C86EEE"/>
    <w:rsid w:val="00C8701A"/>
    <w:rsid w:val="00C875BF"/>
    <w:rsid w:val="00C87A71"/>
    <w:rsid w:val="00C969C4"/>
    <w:rsid w:val="00CA13E2"/>
    <w:rsid w:val="00CA3E02"/>
    <w:rsid w:val="00CA7535"/>
    <w:rsid w:val="00CB5565"/>
    <w:rsid w:val="00CB7986"/>
    <w:rsid w:val="00CC1A4A"/>
    <w:rsid w:val="00CC33C1"/>
    <w:rsid w:val="00CC35E5"/>
    <w:rsid w:val="00CD04D7"/>
    <w:rsid w:val="00CD2091"/>
    <w:rsid w:val="00CD44B5"/>
    <w:rsid w:val="00CE2E18"/>
    <w:rsid w:val="00CE5C14"/>
    <w:rsid w:val="00CE654D"/>
    <w:rsid w:val="00CE69A9"/>
    <w:rsid w:val="00CF1B02"/>
    <w:rsid w:val="00CF1D84"/>
    <w:rsid w:val="00CF661F"/>
    <w:rsid w:val="00D10306"/>
    <w:rsid w:val="00D10F80"/>
    <w:rsid w:val="00D1388F"/>
    <w:rsid w:val="00D213F4"/>
    <w:rsid w:val="00D3287D"/>
    <w:rsid w:val="00D3492E"/>
    <w:rsid w:val="00D36BCB"/>
    <w:rsid w:val="00D402E1"/>
    <w:rsid w:val="00D406D0"/>
    <w:rsid w:val="00D43064"/>
    <w:rsid w:val="00D458EF"/>
    <w:rsid w:val="00D50AC2"/>
    <w:rsid w:val="00D52E91"/>
    <w:rsid w:val="00D540BB"/>
    <w:rsid w:val="00D76FD3"/>
    <w:rsid w:val="00D773F4"/>
    <w:rsid w:val="00D81C7C"/>
    <w:rsid w:val="00D85072"/>
    <w:rsid w:val="00D86E13"/>
    <w:rsid w:val="00D90DEE"/>
    <w:rsid w:val="00D90E77"/>
    <w:rsid w:val="00D96FBD"/>
    <w:rsid w:val="00DA24EE"/>
    <w:rsid w:val="00DB0B1E"/>
    <w:rsid w:val="00DB36BD"/>
    <w:rsid w:val="00DB3A45"/>
    <w:rsid w:val="00DC1BDF"/>
    <w:rsid w:val="00DC65B6"/>
    <w:rsid w:val="00DC737D"/>
    <w:rsid w:val="00DD15C1"/>
    <w:rsid w:val="00DD2980"/>
    <w:rsid w:val="00DD427E"/>
    <w:rsid w:val="00DD53C6"/>
    <w:rsid w:val="00DD5F70"/>
    <w:rsid w:val="00DE06F9"/>
    <w:rsid w:val="00DE0D40"/>
    <w:rsid w:val="00DE19C1"/>
    <w:rsid w:val="00DE1AE7"/>
    <w:rsid w:val="00DE489B"/>
    <w:rsid w:val="00DE5C11"/>
    <w:rsid w:val="00E0232C"/>
    <w:rsid w:val="00E07E78"/>
    <w:rsid w:val="00E135DF"/>
    <w:rsid w:val="00E25833"/>
    <w:rsid w:val="00E30C86"/>
    <w:rsid w:val="00E43FA0"/>
    <w:rsid w:val="00E520C9"/>
    <w:rsid w:val="00E54DE1"/>
    <w:rsid w:val="00E564AE"/>
    <w:rsid w:val="00E71CF8"/>
    <w:rsid w:val="00EA4239"/>
    <w:rsid w:val="00EA5903"/>
    <w:rsid w:val="00EA6033"/>
    <w:rsid w:val="00EA7341"/>
    <w:rsid w:val="00EB5C09"/>
    <w:rsid w:val="00EB7C67"/>
    <w:rsid w:val="00EC01F8"/>
    <w:rsid w:val="00EC5155"/>
    <w:rsid w:val="00EC6205"/>
    <w:rsid w:val="00ED2686"/>
    <w:rsid w:val="00ED7405"/>
    <w:rsid w:val="00EE7AD4"/>
    <w:rsid w:val="00EF020F"/>
    <w:rsid w:val="00EF03AD"/>
    <w:rsid w:val="00EF0E07"/>
    <w:rsid w:val="00EF690D"/>
    <w:rsid w:val="00F106FF"/>
    <w:rsid w:val="00F11FA8"/>
    <w:rsid w:val="00F13405"/>
    <w:rsid w:val="00F135B7"/>
    <w:rsid w:val="00F1513A"/>
    <w:rsid w:val="00F151AF"/>
    <w:rsid w:val="00F17A6C"/>
    <w:rsid w:val="00F212C5"/>
    <w:rsid w:val="00F2341C"/>
    <w:rsid w:val="00F41CD3"/>
    <w:rsid w:val="00F47012"/>
    <w:rsid w:val="00F55278"/>
    <w:rsid w:val="00F651BC"/>
    <w:rsid w:val="00F67547"/>
    <w:rsid w:val="00F74601"/>
    <w:rsid w:val="00F7573B"/>
    <w:rsid w:val="00F76E4C"/>
    <w:rsid w:val="00F80981"/>
    <w:rsid w:val="00F81A6A"/>
    <w:rsid w:val="00F822B2"/>
    <w:rsid w:val="00F832D7"/>
    <w:rsid w:val="00F86B1B"/>
    <w:rsid w:val="00F87005"/>
    <w:rsid w:val="00F91FF2"/>
    <w:rsid w:val="00FA1B49"/>
    <w:rsid w:val="00FA1DCE"/>
    <w:rsid w:val="00FA2135"/>
    <w:rsid w:val="00FB401C"/>
    <w:rsid w:val="00FD1CA8"/>
    <w:rsid w:val="00FE789B"/>
    <w:rsid w:val="013F616E"/>
    <w:rsid w:val="016643AC"/>
    <w:rsid w:val="01DB42EA"/>
    <w:rsid w:val="01F677E2"/>
    <w:rsid w:val="02612F8F"/>
    <w:rsid w:val="0263266C"/>
    <w:rsid w:val="02D7194E"/>
    <w:rsid w:val="03046607"/>
    <w:rsid w:val="032312E8"/>
    <w:rsid w:val="033A3107"/>
    <w:rsid w:val="03763BCA"/>
    <w:rsid w:val="038D50BE"/>
    <w:rsid w:val="03AA3129"/>
    <w:rsid w:val="03CE70C8"/>
    <w:rsid w:val="04237202"/>
    <w:rsid w:val="04474F16"/>
    <w:rsid w:val="053D27F8"/>
    <w:rsid w:val="055C626D"/>
    <w:rsid w:val="05777BE6"/>
    <w:rsid w:val="05A06C22"/>
    <w:rsid w:val="05C2083D"/>
    <w:rsid w:val="05FE23A3"/>
    <w:rsid w:val="06092EB5"/>
    <w:rsid w:val="066B096B"/>
    <w:rsid w:val="06DD2D94"/>
    <w:rsid w:val="070064C9"/>
    <w:rsid w:val="071A42D2"/>
    <w:rsid w:val="07396242"/>
    <w:rsid w:val="076E15E7"/>
    <w:rsid w:val="07A74D8A"/>
    <w:rsid w:val="07AA7322"/>
    <w:rsid w:val="07E44349"/>
    <w:rsid w:val="07F21A11"/>
    <w:rsid w:val="07FD4CB7"/>
    <w:rsid w:val="08586680"/>
    <w:rsid w:val="08597509"/>
    <w:rsid w:val="08600E56"/>
    <w:rsid w:val="088D102E"/>
    <w:rsid w:val="088D684B"/>
    <w:rsid w:val="08A0430E"/>
    <w:rsid w:val="08B948B1"/>
    <w:rsid w:val="091277E7"/>
    <w:rsid w:val="0944046C"/>
    <w:rsid w:val="098D59F4"/>
    <w:rsid w:val="09A16FE5"/>
    <w:rsid w:val="09B448B3"/>
    <w:rsid w:val="09E3638A"/>
    <w:rsid w:val="09F01497"/>
    <w:rsid w:val="0A332869"/>
    <w:rsid w:val="0B3B4ED3"/>
    <w:rsid w:val="0BFD24E6"/>
    <w:rsid w:val="0C7606F3"/>
    <w:rsid w:val="0C844ADA"/>
    <w:rsid w:val="0CC811EC"/>
    <w:rsid w:val="0CF266C3"/>
    <w:rsid w:val="0CF956B1"/>
    <w:rsid w:val="0D044C19"/>
    <w:rsid w:val="0D143709"/>
    <w:rsid w:val="0D267ABA"/>
    <w:rsid w:val="0D3643AC"/>
    <w:rsid w:val="0D601101"/>
    <w:rsid w:val="0DA60B8C"/>
    <w:rsid w:val="0E3C3167"/>
    <w:rsid w:val="0E610788"/>
    <w:rsid w:val="0E621799"/>
    <w:rsid w:val="0E697B89"/>
    <w:rsid w:val="0E6B5120"/>
    <w:rsid w:val="0E73154C"/>
    <w:rsid w:val="0E876394"/>
    <w:rsid w:val="0F597182"/>
    <w:rsid w:val="0F7375A5"/>
    <w:rsid w:val="0FA35346"/>
    <w:rsid w:val="0FC57D6B"/>
    <w:rsid w:val="0FE606AC"/>
    <w:rsid w:val="0FF24BDF"/>
    <w:rsid w:val="1016409F"/>
    <w:rsid w:val="1082256E"/>
    <w:rsid w:val="108E389F"/>
    <w:rsid w:val="10AC6A32"/>
    <w:rsid w:val="10B10D63"/>
    <w:rsid w:val="11415D16"/>
    <w:rsid w:val="118C2A9F"/>
    <w:rsid w:val="11C427E2"/>
    <w:rsid w:val="12307468"/>
    <w:rsid w:val="124C6E74"/>
    <w:rsid w:val="125B5B46"/>
    <w:rsid w:val="12CF51E3"/>
    <w:rsid w:val="130F6AF0"/>
    <w:rsid w:val="13790AC6"/>
    <w:rsid w:val="138B7928"/>
    <w:rsid w:val="13A95934"/>
    <w:rsid w:val="13BC137D"/>
    <w:rsid w:val="13CB205F"/>
    <w:rsid w:val="14203BB8"/>
    <w:rsid w:val="14565A4C"/>
    <w:rsid w:val="14F27CBB"/>
    <w:rsid w:val="14F37A1A"/>
    <w:rsid w:val="15002998"/>
    <w:rsid w:val="153E7CF2"/>
    <w:rsid w:val="15C75DD7"/>
    <w:rsid w:val="160F5893"/>
    <w:rsid w:val="16180885"/>
    <w:rsid w:val="161822A3"/>
    <w:rsid w:val="16564996"/>
    <w:rsid w:val="1695381E"/>
    <w:rsid w:val="16956A8F"/>
    <w:rsid w:val="16CD798C"/>
    <w:rsid w:val="16D10EF3"/>
    <w:rsid w:val="16D95679"/>
    <w:rsid w:val="16EB322D"/>
    <w:rsid w:val="1710348C"/>
    <w:rsid w:val="18052404"/>
    <w:rsid w:val="18AA2423"/>
    <w:rsid w:val="18F778F9"/>
    <w:rsid w:val="1927675D"/>
    <w:rsid w:val="193539E4"/>
    <w:rsid w:val="19A54990"/>
    <w:rsid w:val="19B74032"/>
    <w:rsid w:val="19C143FB"/>
    <w:rsid w:val="19C3689B"/>
    <w:rsid w:val="1A00718A"/>
    <w:rsid w:val="1A0F77E9"/>
    <w:rsid w:val="1A2C6C7B"/>
    <w:rsid w:val="1A402AE9"/>
    <w:rsid w:val="1B027752"/>
    <w:rsid w:val="1B271D70"/>
    <w:rsid w:val="1B7049E8"/>
    <w:rsid w:val="1BB42361"/>
    <w:rsid w:val="1BF345DA"/>
    <w:rsid w:val="1C2A0FC9"/>
    <w:rsid w:val="1C64379F"/>
    <w:rsid w:val="1C7A463F"/>
    <w:rsid w:val="1C841C4A"/>
    <w:rsid w:val="1CAD4FA6"/>
    <w:rsid w:val="1CD874A4"/>
    <w:rsid w:val="1CFE0276"/>
    <w:rsid w:val="1D384EEC"/>
    <w:rsid w:val="1D4354A8"/>
    <w:rsid w:val="1D507C9D"/>
    <w:rsid w:val="1D90423D"/>
    <w:rsid w:val="1D9F7F47"/>
    <w:rsid w:val="1DC675C7"/>
    <w:rsid w:val="1DD40EB9"/>
    <w:rsid w:val="1E1A3B5A"/>
    <w:rsid w:val="1E4638A8"/>
    <w:rsid w:val="1E6E4592"/>
    <w:rsid w:val="1EDB4322"/>
    <w:rsid w:val="1EF76FDF"/>
    <w:rsid w:val="1F0E1936"/>
    <w:rsid w:val="1F2815BD"/>
    <w:rsid w:val="1F305570"/>
    <w:rsid w:val="1F7550FD"/>
    <w:rsid w:val="1FA74E94"/>
    <w:rsid w:val="20294D79"/>
    <w:rsid w:val="203E058F"/>
    <w:rsid w:val="20677C8A"/>
    <w:rsid w:val="20FD62A3"/>
    <w:rsid w:val="21137BD7"/>
    <w:rsid w:val="211F00E0"/>
    <w:rsid w:val="21AB3A1F"/>
    <w:rsid w:val="21BA4248"/>
    <w:rsid w:val="21FA1B4F"/>
    <w:rsid w:val="22247AC5"/>
    <w:rsid w:val="22586228"/>
    <w:rsid w:val="22A73796"/>
    <w:rsid w:val="235E553A"/>
    <w:rsid w:val="23B1028F"/>
    <w:rsid w:val="23CE4E15"/>
    <w:rsid w:val="23E96896"/>
    <w:rsid w:val="246C64E8"/>
    <w:rsid w:val="247A16EF"/>
    <w:rsid w:val="249D771D"/>
    <w:rsid w:val="24C800C9"/>
    <w:rsid w:val="24C97BA4"/>
    <w:rsid w:val="24CF6702"/>
    <w:rsid w:val="251E45F3"/>
    <w:rsid w:val="2580621C"/>
    <w:rsid w:val="25936A34"/>
    <w:rsid w:val="25A2270E"/>
    <w:rsid w:val="25B30441"/>
    <w:rsid w:val="262D3142"/>
    <w:rsid w:val="26512BEA"/>
    <w:rsid w:val="26824EA7"/>
    <w:rsid w:val="26DE7964"/>
    <w:rsid w:val="270C799A"/>
    <w:rsid w:val="274372B0"/>
    <w:rsid w:val="276E219A"/>
    <w:rsid w:val="27AB1A2B"/>
    <w:rsid w:val="280D7D94"/>
    <w:rsid w:val="28C50885"/>
    <w:rsid w:val="28C734DE"/>
    <w:rsid w:val="28D20EFA"/>
    <w:rsid w:val="28FC1CB0"/>
    <w:rsid w:val="29417F8C"/>
    <w:rsid w:val="29752F0C"/>
    <w:rsid w:val="299335F0"/>
    <w:rsid w:val="29DF348E"/>
    <w:rsid w:val="2A16341D"/>
    <w:rsid w:val="2A2D07CE"/>
    <w:rsid w:val="2A2D6FEB"/>
    <w:rsid w:val="2A3030BB"/>
    <w:rsid w:val="2A8040E3"/>
    <w:rsid w:val="2AB60F80"/>
    <w:rsid w:val="2ABD1EC0"/>
    <w:rsid w:val="2ABD2CE2"/>
    <w:rsid w:val="2AC14A18"/>
    <w:rsid w:val="2AE3061F"/>
    <w:rsid w:val="2AE87E9C"/>
    <w:rsid w:val="2AFE7446"/>
    <w:rsid w:val="2B965BD4"/>
    <w:rsid w:val="2BA36DF7"/>
    <w:rsid w:val="2BA739BD"/>
    <w:rsid w:val="2BB7270B"/>
    <w:rsid w:val="2BC641F7"/>
    <w:rsid w:val="2C5035FD"/>
    <w:rsid w:val="2C55728C"/>
    <w:rsid w:val="2C875DE9"/>
    <w:rsid w:val="2CA61937"/>
    <w:rsid w:val="2CF37269"/>
    <w:rsid w:val="2D196E2F"/>
    <w:rsid w:val="2D242553"/>
    <w:rsid w:val="2D402624"/>
    <w:rsid w:val="2D4F13F9"/>
    <w:rsid w:val="2D672BF4"/>
    <w:rsid w:val="2D6A2B05"/>
    <w:rsid w:val="2D7F7A8D"/>
    <w:rsid w:val="2D837183"/>
    <w:rsid w:val="2DD05D78"/>
    <w:rsid w:val="2E3B42B4"/>
    <w:rsid w:val="2EB9031E"/>
    <w:rsid w:val="2F01165D"/>
    <w:rsid w:val="2F7103B7"/>
    <w:rsid w:val="2F84255F"/>
    <w:rsid w:val="2FD0622F"/>
    <w:rsid w:val="2FD87E6B"/>
    <w:rsid w:val="300938C3"/>
    <w:rsid w:val="302D5991"/>
    <w:rsid w:val="304060F3"/>
    <w:rsid w:val="305E2682"/>
    <w:rsid w:val="306275ED"/>
    <w:rsid w:val="31B601D1"/>
    <w:rsid w:val="31B85566"/>
    <w:rsid w:val="32033B97"/>
    <w:rsid w:val="322B5CEC"/>
    <w:rsid w:val="32572437"/>
    <w:rsid w:val="325A52BA"/>
    <w:rsid w:val="326D0759"/>
    <w:rsid w:val="32E02885"/>
    <w:rsid w:val="330644A3"/>
    <w:rsid w:val="335B139B"/>
    <w:rsid w:val="339B06F5"/>
    <w:rsid w:val="33BF1957"/>
    <w:rsid w:val="340D073E"/>
    <w:rsid w:val="344275CB"/>
    <w:rsid w:val="3461255A"/>
    <w:rsid w:val="349A06B7"/>
    <w:rsid w:val="34AF6CE9"/>
    <w:rsid w:val="34CF3480"/>
    <w:rsid w:val="352F0FF6"/>
    <w:rsid w:val="3547048D"/>
    <w:rsid w:val="3565212B"/>
    <w:rsid w:val="356D734A"/>
    <w:rsid w:val="357562B8"/>
    <w:rsid w:val="358D76C1"/>
    <w:rsid w:val="3590334C"/>
    <w:rsid w:val="35956964"/>
    <w:rsid w:val="35A935FE"/>
    <w:rsid w:val="35DB580D"/>
    <w:rsid w:val="35EC1AB5"/>
    <w:rsid w:val="36235BF9"/>
    <w:rsid w:val="362765FF"/>
    <w:rsid w:val="363361E1"/>
    <w:rsid w:val="368913C1"/>
    <w:rsid w:val="36BF4067"/>
    <w:rsid w:val="36E146B0"/>
    <w:rsid w:val="37143F5C"/>
    <w:rsid w:val="371F0EE2"/>
    <w:rsid w:val="37333532"/>
    <w:rsid w:val="37523019"/>
    <w:rsid w:val="37792ABB"/>
    <w:rsid w:val="37A87FE9"/>
    <w:rsid w:val="380A1BA9"/>
    <w:rsid w:val="38340563"/>
    <w:rsid w:val="3872590B"/>
    <w:rsid w:val="38825204"/>
    <w:rsid w:val="388D550D"/>
    <w:rsid w:val="388F4DE8"/>
    <w:rsid w:val="38EB3477"/>
    <w:rsid w:val="394D6E49"/>
    <w:rsid w:val="39581009"/>
    <w:rsid w:val="3993113A"/>
    <w:rsid w:val="39F27468"/>
    <w:rsid w:val="3ADC0806"/>
    <w:rsid w:val="3AEB4629"/>
    <w:rsid w:val="3B1F4A48"/>
    <w:rsid w:val="3B6A7254"/>
    <w:rsid w:val="3B8F20BF"/>
    <w:rsid w:val="3B964DC5"/>
    <w:rsid w:val="3B9C50D3"/>
    <w:rsid w:val="3C33160A"/>
    <w:rsid w:val="3C6273D6"/>
    <w:rsid w:val="3C865CAA"/>
    <w:rsid w:val="3C9D0725"/>
    <w:rsid w:val="3CC0426C"/>
    <w:rsid w:val="3CC20B14"/>
    <w:rsid w:val="3CD178DC"/>
    <w:rsid w:val="3CD36CD8"/>
    <w:rsid w:val="3CDC5DEE"/>
    <w:rsid w:val="3CE2758C"/>
    <w:rsid w:val="3CF933A3"/>
    <w:rsid w:val="3D64750F"/>
    <w:rsid w:val="3D8D1BEB"/>
    <w:rsid w:val="3DA15C34"/>
    <w:rsid w:val="3DCE58CE"/>
    <w:rsid w:val="3E9406A4"/>
    <w:rsid w:val="3E991D6A"/>
    <w:rsid w:val="3EA74F18"/>
    <w:rsid w:val="3EBE6950"/>
    <w:rsid w:val="3ED72F04"/>
    <w:rsid w:val="3EF86AF1"/>
    <w:rsid w:val="3F2A417A"/>
    <w:rsid w:val="3FC72077"/>
    <w:rsid w:val="3FDC57F8"/>
    <w:rsid w:val="407653FA"/>
    <w:rsid w:val="40797B88"/>
    <w:rsid w:val="408C4F20"/>
    <w:rsid w:val="409E2578"/>
    <w:rsid w:val="409E37EF"/>
    <w:rsid w:val="40BD4E2C"/>
    <w:rsid w:val="40D43317"/>
    <w:rsid w:val="41081635"/>
    <w:rsid w:val="41340C19"/>
    <w:rsid w:val="41CC783B"/>
    <w:rsid w:val="41EE4B4A"/>
    <w:rsid w:val="42170D6A"/>
    <w:rsid w:val="42810641"/>
    <w:rsid w:val="42813466"/>
    <w:rsid w:val="4284564A"/>
    <w:rsid w:val="42B25A51"/>
    <w:rsid w:val="42EE3208"/>
    <w:rsid w:val="42F1193D"/>
    <w:rsid w:val="432149F2"/>
    <w:rsid w:val="438F27E4"/>
    <w:rsid w:val="43ED1FD1"/>
    <w:rsid w:val="440805B4"/>
    <w:rsid w:val="44162E0F"/>
    <w:rsid w:val="44C23EF7"/>
    <w:rsid w:val="455518CB"/>
    <w:rsid w:val="455D214F"/>
    <w:rsid w:val="455E09B0"/>
    <w:rsid w:val="45631F3D"/>
    <w:rsid w:val="460941B1"/>
    <w:rsid w:val="464D0509"/>
    <w:rsid w:val="467D5579"/>
    <w:rsid w:val="46E92582"/>
    <w:rsid w:val="477D3D93"/>
    <w:rsid w:val="47861F93"/>
    <w:rsid w:val="47911A6F"/>
    <w:rsid w:val="47D84420"/>
    <w:rsid w:val="48667C96"/>
    <w:rsid w:val="489E1018"/>
    <w:rsid w:val="489F7795"/>
    <w:rsid w:val="48A32E78"/>
    <w:rsid w:val="48F035A5"/>
    <w:rsid w:val="490A79CC"/>
    <w:rsid w:val="490B1F0F"/>
    <w:rsid w:val="49152594"/>
    <w:rsid w:val="49154720"/>
    <w:rsid w:val="49281662"/>
    <w:rsid w:val="497B7126"/>
    <w:rsid w:val="49842843"/>
    <w:rsid w:val="49D70ACD"/>
    <w:rsid w:val="49F16916"/>
    <w:rsid w:val="49FC4AF8"/>
    <w:rsid w:val="4A2B5787"/>
    <w:rsid w:val="4A5A5C7D"/>
    <w:rsid w:val="4B647F94"/>
    <w:rsid w:val="4B7E30AD"/>
    <w:rsid w:val="4B827D96"/>
    <w:rsid w:val="4B992A03"/>
    <w:rsid w:val="4BD54F21"/>
    <w:rsid w:val="4C017DEE"/>
    <w:rsid w:val="4C051EB5"/>
    <w:rsid w:val="4C741D91"/>
    <w:rsid w:val="4C9C7B2B"/>
    <w:rsid w:val="4CBE1131"/>
    <w:rsid w:val="4D523D94"/>
    <w:rsid w:val="4E267305"/>
    <w:rsid w:val="4E9E15E2"/>
    <w:rsid w:val="4EFD1624"/>
    <w:rsid w:val="4F2A227C"/>
    <w:rsid w:val="4F2D52C4"/>
    <w:rsid w:val="4F5625C5"/>
    <w:rsid w:val="4F9A472B"/>
    <w:rsid w:val="4FF808CD"/>
    <w:rsid w:val="50291142"/>
    <w:rsid w:val="50343572"/>
    <w:rsid w:val="505B6BCD"/>
    <w:rsid w:val="506220FF"/>
    <w:rsid w:val="507A36C3"/>
    <w:rsid w:val="50D05034"/>
    <w:rsid w:val="50DF6493"/>
    <w:rsid w:val="51022D99"/>
    <w:rsid w:val="516376B3"/>
    <w:rsid w:val="517A1330"/>
    <w:rsid w:val="51B44B15"/>
    <w:rsid w:val="520C02FC"/>
    <w:rsid w:val="520E0B99"/>
    <w:rsid w:val="52181CD6"/>
    <w:rsid w:val="52370A38"/>
    <w:rsid w:val="525242F5"/>
    <w:rsid w:val="526966EF"/>
    <w:rsid w:val="5290093F"/>
    <w:rsid w:val="529A0D37"/>
    <w:rsid w:val="52FC5CD6"/>
    <w:rsid w:val="53220D36"/>
    <w:rsid w:val="533F5F2A"/>
    <w:rsid w:val="53450A5B"/>
    <w:rsid w:val="5352581A"/>
    <w:rsid w:val="53591835"/>
    <w:rsid w:val="53606488"/>
    <w:rsid w:val="536E5769"/>
    <w:rsid w:val="537A5E32"/>
    <w:rsid w:val="53E32FD2"/>
    <w:rsid w:val="5406763E"/>
    <w:rsid w:val="540E2864"/>
    <w:rsid w:val="54AA414D"/>
    <w:rsid w:val="54AF3A11"/>
    <w:rsid w:val="54B66268"/>
    <w:rsid w:val="54CC025A"/>
    <w:rsid w:val="550A018C"/>
    <w:rsid w:val="552B2D1C"/>
    <w:rsid w:val="5546232D"/>
    <w:rsid w:val="5564282C"/>
    <w:rsid w:val="563D4ABF"/>
    <w:rsid w:val="56522183"/>
    <w:rsid w:val="56555D29"/>
    <w:rsid w:val="56903F11"/>
    <w:rsid w:val="56EE330D"/>
    <w:rsid w:val="570C4F82"/>
    <w:rsid w:val="5711209E"/>
    <w:rsid w:val="573D11AB"/>
    <w:rsid w:val="57551DB8"/>
    <w:rsid w:val="57A24B17"/>
    <w:rsid w:val="581265C5"/>
    <w:rsid w:val="5816569E"/>
    <w:rsid w:val="587E0364"/>
    <w:rsid w:val="589457B9"/>
    <w:rsid w:val="58E56400"/>
    <w:rsid w:val="59393D70"/>
    <w:rsid w:val="594832AC"/>
    <w:rsid w:val="5954408D"/>
    <w:rsid w:val="59E2514C"/>
    <w:rsid w:val="59EB6FF2"/>
    <w:rsid w:val="5A4F1BAD"/>
    <w:rsid w:val="5A7E2172"/>
    <w:rsid w:val="5AD03B8B"/>
    <w:rsid w:val="5AFF723B"/>
    <w:rsid w:val="5B014317"/>
    <w:rsid w:val="5B587D36"/>
    <w:rsid w:val="5B606B37"/>
    <w:rsid w:val="5B69604A"/>
    <w:rsid w:val="5B6E72C4"/>
    <w:rsid w:val="5BAF2CD7"/>
    <w:rsid w:val="5BE0454E"/>
    <w:rsid w:val="5BEE01C2"/>
    <w:rsid w:val="5BF5555E"/>
    <w:rsid w:val="5BFB004F"/>
    <w:rsid w:val="5BFF07F6"/>
    <w:rsid w:val="5C032475"/>
    <w:rsid w:val="5C3214D8"/>
    <w:rsid w:val="5C5E5C2B"/>
    <w:rsid w:val="5CD62671"/>
    <w:rsid w:val="5D1166A5"/>
    <w:rsid w:val="5D143EA0"/>
    <w:rsid w:val="5D33017B"/>
    <w:rsid w:val="5D357084"/>
    <w:rsid w:val="5D5C3F55"/>
    <w:rsid w:val="5D725382"/>
    <w:rsid w:val="5DCF6383"/>
    <w:rsid w:val="5DF115F7"/>
    <w:rsid w:val="5E555F15"/>
    <w:rsid w:val="5F3C4DBB"/>
    <w:rsid w:val="5F7735B2"/>
    <w:rsid w:val="5F96029A"/>
    <w:rsid w:val="5FBB33C3"/>
    <w:rsid w:val="5FD76D63"/>
    <w:rsid w:val="600442C6"/>
    <w:rsid w:val="60395FA0"/>
    <w:rsid w:val="60D71546"/>
    <w:rsid w:val="60E07F36"/>
    <w:rsid w:val="61340781"/>
    <w:rsid w:val="613A0976"/>
    <w:rsid w:val="618D1399"/>
    <w:rsid w:val="61B6277F"/>
    <w:rsid w:val="61E83144"/>
    <w:rsid w:val="621F5CAE"/>
    <w:rsid w:val="62230166"/>
    <w:rsid w:val="623A4847"/>
    <w:rsid w:val="62774E47"/>
    <w:rsid w:val="62AF343F"/>
    <w:rsid w:val="62CE6151"/>
    <w:rsid w:val="62D136D5"/>
    <w:rsid w:val="62D5655C"/>
    <w:rsid w:val="630664B7"/>
    <w:rsid w:val="63147312"/>
    <w:rsid w:val="63527988"/>
    <w:rsid w:val="63A13CF4"/>
    <w:rsid w:val="63AD3456"/>
    <w:rsid w:val="63B517C2"/>
    <w:rsid w:val="63BC3367"/>
    <w:rsid w:val="63DA2297"/>
    <w:rsid w:val="63E0164F"/>
    <w:rsid w:val="63EE4800"/>
    <w:rsid w:val="65076C1F"/>
    <w:rsid w:val="65533020"/>
    <w:rsid w:val="655C4CA8"/>
    <w:rsid w:val="6587702C"/>
    <w:rsid w:val="658A4DB8"/>
    <w:rsid w:val="658B1B6F"/>
    <w:rsid w:val="65BB3E2B"/>
    <w:rsid w:val="65D352F7"/>
    <w:rsid w:val="661C7184"/>
    <w:rsid w:val="662A352C"/>
    <w:rsid w:val="66463CD6"/>
    <w:rsid w:val="66AC7D69"/>
    <w:rsid w:val="66D21A62"/>
    <w:rsid w:val="66DE0A67"/>
    <w:rsid w:val="67362DE0"/>
    <w:rsid w:val="673F73D6"/>
    <w:rsid w:val="67503F25"/>
    <w:rsid w:val="67596D31"/>
    <w:rsid w:val="67D06B17"/>
    <w:rsid w:val="68390BDB"/>
    <w:rsid w:val="687811D8"/>
    <w:rsid w:val="68923F6F"/>
    <w:rsid w:val="68A40D6E"/>
    <w:rsid w:val="693D2410"/>
    <w:rsid w:val="69455274"/>
    <w:rsid w:val="696B3E06"/>
    <w:rsid w:val="696F4866"/>
    <w:rsid w:val="6978489D"/>
    <w:rsid w:val="69AA07B8"/>
    <w:rsid w:val="69B14CFE"/>
    <w:rsid w:val="69DA0CCC"/>
    <w:rsid w:val="69DA7E0D"/>
    <w:rsid w:val="6A0F73BB"/>
    <w:rsid w:val="6A553D6B"/>
    <w:rsid w:val="6A6A104B"/>
    <w:rsid w:val="6A6E7A81"/>
    <w:rsid w:val="6A9308C6"/>
    <w:rsid w:val="6AA55C3B"/>
    <w:rsid w:val="6ADD62BE"/>
    <w:rsid w:val="6B174AD4"/>
    <w:rsid w:val="6B336204"/>
    <w:rsid w:val="6B550265"/>
    <w:rsid w:val="6B7D4323"/>
    <w:rsid w:val="6BB4280C"/>
    <w:rsid w:val="6BCB74CA"/>
    <w:rsid w:val="6BD620D7"/>
    <w:rsid w:val="6BE57951"/>
    <w:rsid w:val="6BF503E1"/>
    <w:rsid w:val="6C590E4B"/>
    <w:rsid w:val="6CCC0425"/>
    <w:rsid w:val="6CEE4346"/>
    <w:rsid w:val="6D530B8F"/>
    <w:rsid w:val="6D5B3990"/>
    <w:rsid w:val="6D5C2AF4"/>
    <w:rsid w:val="6DBC0209"/>
    <w:rsid w:val="6DF7488F"/>
    <w:rsid w:val="6DFA72BA"/>
    <w:rsid w:val="6E4D4ED8"/>
    <w:rsid w:val="6E5702C8"/>
    <w:rsid w:val="6E5D2328"/>
    <w:rsid w:val="6E920FFE"/>
    <w:rsid w:val="6ED43B14"/>
    <w:rsid w:val="6F236B51"/>
    <w:rsid w:val="6F450BAE"/>
    <w:rsid w:val="6FB41674"/>
    <w:rsid w:val="7007683E"/>
    <w:rsid w:val="702307F9"/>
    <w:rsid w:val="70967C2D"/>
    <w:rsid w:val="70F8527B"/>
    <w:rsid w:val="71046B02"/>
    <w:rsid w:val="71685B57"/>
    <w:rsid w:val="71B730D7"/>
    <w:rsid w:val="71EE4759"/>
    <w:rsid w:val="72025573"/>
    <w:rsid w:val="72105110"/>
    <w:rsid w:val="72341B4D"/>
    <w:rsid w:val="728D6069"/>
    <w:rsid w:val="72AE67B8"/>
    <w:rsid w:val="72C20818"/>
    <w:rsid w:val="72E8339A"/>
    <w:rsid w:val="72FD7490"/>
    <w:rsid w:val="73073EAB"/>
    <w:rsid w:val="730F3C18"/>
    <w:rsid w:val="733301B8"/>
    <w:rsid w:val="73742A95"/>
    <w:rsid w:val="737A116C"/>
    <w:rsid w:val="73A468CB"/>
    <w:rsid w:val="73EA7BD2"/>
    <w:rsid w:val="74130BA8"/>
    <w:rsid w:val="74323A98"/>
    <w:rsid w:val="74345997"/>
    <w:rsid w:val="74731B6E"/>
    <w:rsid w:val="74941B9A"/>
    <w:rsid w:val="74FA51C1"/>
    <w:rsid w:val="752131A0"/>
    <w:rsid w:val="753B1FE8"/>
    <w:rsid w:val="757E6BD3"/>
    <w:rsid w:val="759A001C"/>
    <w:rsid w:val="75AC27A2"/>
    <w:rsid w:val="760B588E"/>
    <w:rsid w:val="763009D1"/>
    <w:rsid w:val="76A72EAF"/>
    <w:rsid w:val="76B80229"/>
    <w:rsid w:val="76FE6745"/>
    <w:rsid w:val="770E0BF6"/>
    <w:rsid w:val="77114DF7"/>
    <w:rsid w:val="77190748"/>
    <w:rsid w:val="771A539D"/>
    <w:rsid w:val="77362ACA"/>
    <w:rsid w:val="776B6611"/>
    <w:rsid w:val="7786095C"/>
    <w:rsid w:val="77D32FC4"/>
    <w:rsid w:val="77F21ED2"/>
    <w:rsid w:val="78213DF6"/>
    <w:rsid w:val="783F69B2"/>
    <w:rsid w:val="78777336"/>
    <w:rsid w:val="787F2759"/>
    <w:rsid w:val="78C35614"/>
    <w:rsid w:val="78CC798D"/>
    <w:rsid w:val="78E84C39"/>
    <w:rsid w:val="79100138"/>
    <w:rsid w:val="791813FF"/>
    <w:rsid w:val="793E2981"/>
    <w:rsid w:val="797E3D30"/>
    <w:rsid w:val="79E20BBB"/>
    <w:rsid w:val="79F2434A"/>
    <w:rsid w:val="7A056510"/>
    <w:rsid w:val="7A17788A"/>
    <w:rsid w:val="7A481EC9"/>
    <w:rsid w:val="7A6F6535"/>
    <w:rsid w:val="7A93415D"/>
    <w:rsid w:val="7A990445"/>
    <w:rsid w:val="7AD73977"/>
    <w:rsid w:val="7AD871FB"/>
    <w:rsid w:val="7B1B5F38"/>
    <w:rsid w:val="7B8A1B47"/>
    <w:rsid w:val="7BDE6230"/>
    <w:rsid w:val="7C064652"/>
    <w:rsid w:val="7C4245EB"/>
    <w:rsid w:val="7C681E25"/>
    <w:rsid w:val="7C863EC6"/>
    <w:rsid w:val="7C9D7072"/>
    <w:rsid w:val="7CC43955"/>
    <w:rsid w:val="7CC54BC8"/>
    <w:rsid w:val="7CF45336"/>
    <w:rsid w:val="7D0563A9"/>
    <w:rsid w:val="7D5E7A12"/>
    <w:rsid w:val="7D832941"/>
    <w:rsid w:val="7DFC7585"/>
    <w:rsid w:val="7E426D78"/>
    <w:rsid w:val="7E4715F7"/>
    <w:rsid w:val="7E552150"/>
    <w:rsid w:val="7E6A7B7B"/>
    <w:rsid w:val="7EB91F7E"/>
    <w:rsid w:val="7EE04D7F"/>
    <w:rsid w:val="7EE84D34"/>
    <w:rsid w:val="7F1E7AF9"/>
    <w:rsid w:val="7F417C65"/>
    <w:rsid w:val="7F642762"/>
    <w:rsid w:val="7F655294"/>
    <w:rsid w:val="7F766B22"/>
    <w:rsid w:val="7F9667D5"/>
    <w:rsid w:val="7FAE2314"/>
    <w:rsid w:val="7FC1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List Number"/>
    <w:basedOn w:val="1"/>
    <w:uiPriority w:val="0"/>
    <w:pPr>
      <w:widowControl/>
      <w:numPr>
        <w:ilvl w:val="0"/>
        <w:numId w:val="2"/>
      </w:numPr>
      <w:tabs>
        <w:tab w:val="left" w:pos="425"/>
        <w:tab w:val="left" w:pos="454"/>
        <w:tab w:val="left" w:pos="720"/>
      </w:tabs>
      <w:spacing w:afterLines="50"/>
      <w:ind w:left="454" w:hanging="284"/>
      <w:jc w:val="left"/>
    </w:pPr>
    <w:rPr>
      <w:kern w:val="0"/>
      <w:sz w:val="24"/>
      <w:szCs w:val="20"/>
    </w:rPr>
  </w:style>
  <w:style w:type="paragraph" w:styleId="6">
    <w:name w:val="Normal Indent"/>
    <w:basedOn w:val="1"/>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semiHidden/>
    <w:uiPriority w:val="0"/>
    <w:pPr>
      <w:shd w:val="clear" w:color="auto" w:fill="000080"/>
    </w:pPr>
  </w:style>
  <w:style w:type="paragraph" w:styleId="9">
    <w:name w:val="annotation text"/>
    <w:basedOn w:val="1"/>
    <w:semiHidden/>
    <w:uiPriority w:val="0"/>
    <w:pPr>
      <w:jc w:val="left"/>
    </w:pPr>
  </w:style>
  <w:style w:type="paragraph" w:styleId="10">
    <w:name w:val="Body Text"/>
    <w:basedOn w:val="1"/>
    <w:uiPriority w:val="0"/>
    <w:pPr>
      <w:spacing w:line="360" w:lineRule="auto"/>
    </w:pPr>
    <w:rPr>
      <w:sz w:val="28"/>
    </w:rPr>
  </w:style>
  <w:style w:type="paragraph" w:styleId="11">
    <w:name w:val="Body Text Indent"/>
    <w:basedOn w:val="1"/>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Block Text"/>
    <w:basedOn w:val="1"/>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3">
    <w:name w:val="Plain Text"/>
    <w:basedOn w:val="1"/>
    <w:link w:val="45"/>
    <w:qFormat/>
    <w:uiPriority w:val="0"/>
    <w:rPr>
      <w:rFonts w:ascii="宋体" w:hAnsi="Courier New"/>
    </w:rPr>
  </w:style>
  <w:style w:type="paragraph" w:styleId="14">
    <w:name w:val="Date"/>
    <w:basedOn w:val="1"/>
    <w:next w:val="1"/>
    <w:uiPriority w:val="0"/>
    <w:rPr>
      <w:sz w:val="24"/>
    </w:rPr>
  </w:style>
  <w:style w:type="paragraph" w:styleId="15">
    <w:name w:val="Body Text Indent 2"/>
    <w:basedOn w:val="1"/>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semiHidden/>
    <w:uiPriority w:val="0"/>
    <w:rPr>
      <w:sz w:val="18"/>
      <w:szCs w:val="18"/>
    </w:rPr>
  </w:style>
  <w:style w:type="paragraph" w:styleId="17">
    <w:name w:val="footer"/>
    <w:basedOn w:val="1"/>
    <w:link w:val="46"/>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List"/>
    <w:basedOn w:val="1"/>
    <w:uiPriority w:val="0"/>
    <w:pPr>
      <w:ind w:left="200" w:hanging="200" w:hangingChars="200"/>
    </w:pPr>
    <w:rPr>
      <w:sz w:val="28"/>
    </w:rPr>
  </w:style>
  <w:style w:type="paragraph" w:styleId="20">
    <w:name w:val="toc 2"/>
    <w:basedOn w:val="1"/>
    <w:next w:val="1"/>
    <w:uiPriority w:val="0"/>
    <w:pPr>
      <w:spacing w:line="360" w:lineRule="auto"/>
      <w:ind w:left="210" w:leftChars="100" w:firstLine="472" w:firstLineChars="196"/>
      <w:jc w:val="left"/>
    </w:pPr>
    <w:rPr>
      <w:rFonts w:ascii="宋体" w:hAnsi="宋体"/>
      <w:b/>
      <w:sz w:val="24"/>
    </w:rPr>
  </w:style>
  <w:style w:type="paragraph" w:styleId="21">
    <w:name w:val="Body Text 2"/>
    <w:basedOn w:val="1"/>
    <w:uiPriority w:val="0"/>
    <w:pPr>
      <w:spacing w:line="360" w:lineRule="auto"/>
    </w:pPr>
    <w:rPr>
      <w:sz w:val="18"/>
    </w:rPr>
  </w:style>
  <w:style w:type="paragraph" w:styleId="22">
    <w:name w:val="Normal (Web)"/>
    <w:basedOn w:val="1"/>
    <w:uiPriority w:val="0"/>
    <w:pPr>
      <w:widowControl/>
      <w:spacing w:before="100" w:beforeAutospacing="1" w:after="100" w:afterAutospacing="1"/>
      <w:jc w:val="left"/>
    </w:pPr>
    <w:rPr>
      <w:rFonts w:hint="eastAsia" w:ascii="宋体" w:hAnsi="宋体"/>
      <w:kern w:val="0"/>
      <w:sz w:val="24"/>
    </w:rPr>
  </w:style>
  <w:style w:type="character" w:styleId="25">
    <w:name w:val="page number"/>
    <w:basedOn w:val="24"/>
    <w:uiPriority w:val="0"/>
  </w:style>
  <w:style w:type="character" w:styleId="26">
    <w:name w:val="FollowedHyperlink"/>
    <w:basedOn w:val="24"/>
    <w:uiPriority w:val="0"/>
    <w:rPr>
      <w:color w:val="800080"/>
      <w:u w:val="single"/>
    </w:rPr>
  </w:style>
  <w:style w:type="character" w:styleId="27">
    <w:name w:val="Hyperlink"/>
    <w:basedOn w:val="24"/>
    <w:uiPriority w:val="0"/>
    <w:rPr>
      <w:color w:val="0000FF"/>
      <w:u w:val="single"/>
    </w:rPr>
  </w:style>
  <w:style w:type="character" w:styleId="28">
    <w:name w:val="annotation reference"/>
    <w:basedOn w:val="24"/>
    <w:semiHidden/>
    <w:uiPriority w:val="0"/>
    <w:rPr>
      <w:sz w:val="21"/>
    </w:rPr>
  </w:style>
  <w:style w:type="paragraph" w:customStyle="1" w:styleId="2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3">
    <w:name w:val="纯文本_0_1"/>
    <w:basedOn w:val="1"/>
    <w:qFormat/>
    <w:uiPriority w:val="0"/>
    <w:pPr>
      <w:widowControl/>
      <w:jc w:val="left"/>
    </w:pPr>
    <w:rPr>
      <w:rFonts w:ascii="宋体" w:hAnsi="Courier New"/>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Ê×ÐÐËõ½ø"/>
    <w:basedOn w:val="1"/>
    <w:uiPriority w:val="0"/>
    <w:pPr>
      <w:widowControl/>
      <w:overflowPunct w:val="0"/>
      <w:autoSpaceDE w:val="0"/>
      <w:autoSpaceDN w:val="0"/>
      <w:adjustRightInd w:val="0"/>
      <w:textAlignment w:val="baseline"/>
    </w:pPr>
    <w:rPr>
      <w:kern w:val="0"/>
      <w:sz w:val="28"/>
      <w:szCs w:val="20"/>
    </w:rPr>
  </w:style>
  <w:style w:type="paragraph" w:customStyle="1" w:styleId="37">
    <w:name w:val="表内文字"/>
    <w:basedOn w:val="1"/>
    <w:uiPriority w:val="0"/>
    <w:pPr>
      <w:tabs>
        <w:tab w:val="left" w:pos="1418"/>
      </w:tabs>
      <w:snapToGrid w:val="0"/>
      <w:spacing w:before="50" w:after="50" w:line="460" w:lineRule="exact"/>
      <w:jc w:val="center"/>
    </w:pPr>
    <w:rPr>
      <w:rFonts w:ascii="宋体" w:hAnsi="宋体"/>
      <w:spacing w:val="-20"/>
      <w:kern w:val="0"/>
      <w:sz w:val="24"/>
    </w:rPr>
  </w:style>
  <w:style w:type="paragraph" w:customStyle="1" w:styleId="38">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Char3"/>
    <w:basedOn w:val="1"/>
    <w:uiPriority w:val="0"/>
  </w:style>
  <w:style w:type="paragraph" w:customStyle="1" w:styleId="4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w:basedOn w:val="1"/>
    <w:uiPriority w:val="0"/>
  </w:style>
  <w:style w:type="character" w:customStyle="1" w:styleId="44">
    <w:name w:val="标题 1 Char Char"/>
    <w:uiPriority w:val="0"/>
    <w:rPr>
      <w:rFonts w:eastAsia="宋体"/>
      <w:b/>
      <w:spacing w:val="-2"/>
      <w:sz w:val="24"/>
      <w:lang w:val="en-US" w:eastAsia="zh-CN" w:bidi="ar-SA"/>
    </w:rPr>
  </w:style>
  <w:style w:type="character" w:customStyle="1" w:styleId="45">
    <w:name w:val="纯文本 Char"/>
    <w:basedOn w:val="24"/>
    <w:link w:val="13"/>
    <w:uiPriority w:val="0"/>
    <w:rPr>
      <w:rFonts w:ascii="宋体" w:hAnsi="Courier New" w:eastAsia="宋体"/>
      <w:kern w:val="2"/>
      <w:sz w:val="21"/>
      <w:szCs w:val="24"/>
      <w:lang w:val="en-US" w:eastAsia="zh-CN" w:bidi="ar-SA"/>
    </w:rPr>
  </w:style>
  <w:style w:type="character" w:customStyle="1" w:styleId="46">
    <w:name w:val="页脚 Char"/>
    <w:basedOn w:val="24"/>
    <w:link w:val="17"/>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jpeg"/><Relationship Id="rId53" Type="http://schemas.openxmlformats.org/officeDocument/2006/relationships/image" Target="media/image47.jpe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2.xml"/><Relationship Id="rId49" Type="http://schemas.openxmlformats.org/officeDocument/2006/relationships/image" Target="media/image43.png"/><Relationship Id="rId48" Type="http://schemas.openxmlformats.org/officeDocument/2006/relationships/image" Target="media/image42.jpeg"/><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pn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pn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cgzx</Company>
  <Pages>52</Pages>
  <Words>4099</Words>
  <Characters>23370</Characters>
  <Lines>194</Lines>
  <Paragraphs>54</Paragraphs>
  <TotalTime>98</TotalTime>
  <ScaleCrop>false</ScaleCrop>
  <LinksUpToDate>false</LinksUpToDate>
  <CharactersWithSpaces>27415</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2003-09-25T02:55:00Z</dcterms:created>
  <dc:creator>陈建忠  </dc:creator>
  <cp:lastModifiedBy>Le.YonG.</cp:lastModifiedBy>
  <cp:lastPrinted>2018-07-12T02:50:00Z</cp:lastPrinted>
  <dcterms:modified xsi:type="dcterms:W3CDTF">2019-09-06T02:31:06Z</dcterms:modified>
  <dc:title>台州市政府采购谈判文件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