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eastAsia" w:ascii="宋体" w:hAnsi="宋体" w:cs="宋体"/>
          <w:b w:val="0"/>
          <w:bCs w:val="0"/>
          <w:color w:val="auto"/>
          <w:kern w:val="0"/>
          <w:sz w:val="30"/>
          <w:szCs w:val="30"/>
          <w:highlight w:val="none"/>
          <w:lang w:eastAsia="zh-CN"/>
        </w:rPr>
      </w:pPr>
      <w:r>
        <w:rPr>
          <w:rFonts w:hint="eastAsia" w:ascii="宋体" w:hAnsi="宋体" w:cs="宋体"/>
          <w:b w:val="0"/>
          <w:bCs w:val="0"/>
          <w:color w:val="auto"/>
          <w:kern w:val="0"/>
          <w:sz w:val="30"/>
          <w:szCs w:val="30"/>
          <w:highlight w:val="none"/>
          <w:lang w:eastAsia="zh-CN"/>
        </w:rPr>
        <w:t>TZHX-2019-033</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eastAsia="宋体" w:cs="宋体"/>
          <w:color w:val="auto"/>
          <w:kern w:val="0"/>
          <w:sz w:val="30"/>
          <w:szCs w:val="30"/>
          <w:highlight w:val="none"/>
          <w:lang w:eastAsia="zh-CN"/>
        </w:rPr>
      </w:pPr>
    </w:p>
    <w:p>
      <w:pPr>
        <w:spacing w:line="360" w:lineRule="auto"/>
        <w:ind w:firstLine="560" w:firstLineChars="200"/>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 xml:space="preserve">采购项目：玉环市水域调查及水域保护规划编制项目 </w:t>
      </w:r>
    </w:p>
    <w:p>
      <w:pPr>
        <w:spacing w:line="360" w:lineRule="auto"/>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采购人</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玉环市农业农村和水利局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ascii="宋体" w:hAnsi="宋体" w:cs="宋体"/>
          <w:color w:val="auto"/>
          <w:kern w:val="0"/>
          <w:sz w:val="30"/>
          <w:szCs w:val="30"/>
          <w:highlight w:val="none"/>
        </w:rPr>
      </w:pPr>
    </w:p>
    <w:p>
      <w:pPr>
        <w:pStyle w:val="10"/>
        <w:rPr>
          <w:rFonts w:hint="eastAsia" w:ascii="宋体" w:hAnsi="宋体" w:cs="宋体"/>
          <w:color w:val="auto"/>
          <w:kern w:val="0"/>
          <w:sz w:val="30"/>
          <w:szCs w:val="30"/>
          <w:highlight w:val="none"/>
        </w:rPr>
      </w:pPr>
    </w:p>
    <w:p>
      <w:pPr>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color w:val="auto"/>
          <w:highlight w:val="none"/>
        </w:rPr>
      </w:pP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台州恒信工程造价咨询有限公司</w:t>
      </w: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2019</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lang w:eastAsia="zh-CN"/>
        </w:rPr>
        <w:t>月</w:t>
      </w: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pStyle w:val="17"/>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w:t>
      </w:r>
      <w:r>
        <w:rPr>
          <w:rFonts w:hint="eastAsia" w:asciiTheme="minorEastAsia" w:hAnsiTheme="minorEastAsia" w:eastAsiaTheme="minorEastAsia"/>
          <w:color w:val="auto"/>
          <w:sz w:val="24"/>
          <w:highlight w:val="none"/>
          <w:lang w:eastAsia="zh-CN"/>
        </w:rPr>
        <w:t>玉环市农业农村和水利局</w:t>
      </w:r>
      <w:r>
        <w:rPr>
          <w:rFonts w:hint="eastAsia" w:asciiTheme="minorEastAsia" w:hAnsiTheme="minorEastAsia" w:eastAsiaTheme="minorEastAsia"/>
          <w:color w:val="auto"/>
          <w:kern w:val="0"/>
          <w:sz w:val="24"/>
          <w:highlight w:val="none"/>
        </w:rPr>
        <w:t>委托，现就</w:t>
      </w:r>
      <w:r>
        <w:rPr>
          <w:rFonts w:hint="eastAsia" w:asciiTheme="minorEastAsia" w:hAnsiTheme="minorEastAsia" w:eastAsiaTheme="minorEastAsia"/>
          <w:color w:val="auto"/>
          <w:sz w:val="24"/>
          <w:highlight w:val="none"/>
          <w:lang w:eastAsia="zh-CN"/>
        </w:rPr>
        <w:t>玉环市水域调查及水域保护规划编制项目</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b/>
          <w:color w:val="auto"/>
          <w:kern w:val="0"/>
          <w:sz w:val="24"/>
          <w:highlight w:val="none"/>
          <w:lang w:eastAsia="zh-CN"/>
        </w:rPr>
        <w:t>TZHX-2019-033</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20"/>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33"/>
        <w:gridCol w:w="1830"/>
        <w:gridCol w:w="697"/>
        <w:gridCol w:w="686"/>
        <w:gridCol w:w="985"/>
        <w:gridCol w:w="110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1233"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项目名称</w:t>
            </w:r>
          </w:p>
        </w:tc>
        <w:tc>
          <w:tcPr>
            <w:tcW w:w="183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项目工作范围</w:t>
            </w:r>
          </w:p>
        </w:tc>
        <w:tc>
          <w:tcPr>
            <w:tcW w:w="697"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数量</w:t>
            </w:r>
          </w:p>
        </w:tc>
        <w:tc>
          <w:tcPr>
            <w:tcW w:w="686"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单位</w:t>
            </w:r>
          </w:p>
        </w:tc>
        <w:tc>
          <w:tcPr>
            <w:tcW w:w="985"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1100"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2222" w:type="dxa"/>
            <w:vAlign w:val="center"/>
          </w:tcPr>
          <w:p>
            <w:pPr>
              <w:tabs>
                <w:tab w:val="left" w:pos="8280"/>
              </w:tabs>
              <w:autoSpaceDE w:val="0"/>
              <w:autoSpaceDN w:val="0"/>
              <w:adjustRightInd w:val="0"/>
              <w:ind w:right="25"/>
              <w:jc w:val="center"/>
              <w:rPr>
                <w:rFonts w:hint="default" w:asciiTheme="minorEastAsia" w:hAnsiTheme="minorEastAsia" w:eastAsiaTheme="minorEastAsia"/>
                <w:b/>
                <w:color w:val="auto"/>
                <w:sz w:val="21"/>
                <w:szCs w:val="21"/>
                <w:highlight w:val="none"/>
                <w:lang w:val="en-US" w:eastAsia="zh-CN"/>
              </w:rPr>
            </w:pPr>
            <w:r>
              <w:rPr>
                <w:rFonts w:hint="default" w:asciiTheme="minorEastAsia" w:hAnsiTheme="minorEastAsia" w:eastAsiaTheme="minorEastAsia"/>
                <w:b/>
                <w:color w:val="auto"/>
                <w:sz w:val="21"/>
                <w:szCs w:val="21"/>
                <w:highlight w:val="none"/>
                <w:lang w:val="en-US" w:eastAsia="zh-CN"/>
              </w:rPr>
              <w:t>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1233" w:type="dxa"/>
            <w:vAlign w:val="center"/>
          </w:tcPr>
          <w:p>
            <w:pPr>
              <w:widowControl/>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玉环市水域调查及水域保护规划编制项目</w:t>
            </w:r>
          </w:p>
        </w:tc>
        <w:tc>
          <w:tcPr>
            <w:tcW w:w="1830" w:type="dxa"/>
            <w:vAlign w:val="center"/>
          </w:tcPr>
          <w:p>
            <w:pPr>
              <w:widowControl/>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本次水域调查及水域保护规划范围为玉环市</w:t>
            </w:r>
            <w:r>
              <w:rPr>
                <w:rFonts w:hint="eastAsia" w:asciiTheme="minorEastAsia" w:hAnsiTheme="minorEastAsia" w:eastAsiaTheme="minorEastAsia"/>
                <w:color w:val="auto"/>
                <w:sz w:val="21"/>
                <w:szCs w:val="21"/>
                <w:highlight w:val="none"/>
                <w:lang w:eastAsia="zh-CN"/>
              </w:rPr>
              <w:t>市</w:t>
            </w:r>
            <w:r>
              <w:rPr>
                <w:rFonts w:hint="eastAsia" w:asciiTheme="minorEastAsia" w:hAnsiTheme="minorEastAsia" w:eastAsiaTheme="minorEastAsia"/>
                <w:color w:val="auto"/>
                <w:sz w:val="21"/>
                <w:szCs w:val="21"/>
                <w:highlight w:val="none"/>
              </w:rPr>
              <w:t>域全境。</w:t>
            </w:r>
          </w:p>
        </w:tc>
        <w:tc>
          <w:tcPr>
            <w:tcW w:w="697"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686"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w:t>
            </w:r>
          </w:p>
        </w:tc>
        <w:tc>
          <w:tcPr>
            <w:tcW w:w="985"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160</w:t>
            </w:r>
          </w:p>
        </w:tc>
        <w:tc>
          <w:tcPr>
            <w:tcW w:w="1100"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160</w:t>
            </w:r>
          </w:p>
        </w:tc>
        <w:tc>
          <w:tcPr>
            <w:tcW w:w="2222" w:type="dxa"/>
            <w:vAlign w:val="center"/>
          </w:tcPr>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2020年</w:t>
            </w: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月底前提交《玉环市水域调查成果报告》</w:t>
            </w:r>
            <w:r>
              <w:rPr>
                <w:rFonts w:hint="eastAsia" w:asciiTheme="minorEastAsia" w:hAnsiTheme="minorEastAsia" w:eastAsiaTheme="minorEastAsia"/>
                <w:color w:val="auto"/>
                <w:sz w:val="21"/>
                <w:szCs w:val="21"/>
                <w:highlight w:val="none"/>
                <w:lang w:eastAsia="zh-CN"/>
              </w:rPr>
              <w:t>终</w:t>
            </w:r>
            <w:r>
              <w:rPr>
                <w:rFonts w:hint="eastAsia" w:asciiTheme="minorEastAsia" w:hAnsiTheme="minorEastAsia" w:eastAsiaTheme="minorEastAsia"/>
                <w:color w:val="auto"/>
                <w:sz w:val="21"/>
                <w:szCs w:val="21"/>
                <w:highlight w:val="none"/>
              </w:rPr>
              <w:t>稿及水域调查空间数据库</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2020年</w:t>
            </w:r>
            <w:r>
              <w:rPr>
                <w:rFonts w:hint="eastAsia" w:asciiTheme="minorEastAsia" w:hAnsiTheme="minorEastAsia" w:eastAsiaTheme="minorEastAsia"/>
                <w:color w:val="auto"/>
                <w:sz w:val="21"/>
                <w:szCs w:val="21"/>
                <w:highlight w:val="none"/>
                <w:lang w:val="en-US" w:eastAsia="zh-CN"/>
              </w:rPr>
              <w:t>11</w:t>
            </w:r>
            <w:r>
              <w:rPr>
                <w:rFonts w:hint="eastAsia" w:asciiTheme="minorEastAsia" w:hAnsiTheme="minorEastAsia" w:eastAsiaTheme="minorEastAsia"/>
                <w:color w:val="auto"/>
                <w:sz w:val="21"/>
                <w:szCs w:val="21"/>
                <w:highlight w:val="none"/>
              </w:rPr>
              <w:t>月底前提交《玉环市水域保护规划》成果报告</w:t>
            </w:r>
            <w:r>
              <w:rPr>
                <w:rFonts w:hint="eastAsia" w:asciiTheme="minorEastAsia" w:hAnsiTheme="minorEastAsia" w:eastAsiaTheme="minorEastAsia"/>
                <w:color w:val="auto"/>
                <w:sz w:val="21"/>
                <w:szCs w:val="21"/>
                <w:highlight w:val="none"/>
                <w:lang w:eastAsia="zh-CN"/>
              </w:rPr>
              <w:t>终</w:t>
            </w:r>
            <w:r>
              <w:rPr>
                <w:rFonts w:hint="eastAsia" w:asciiTheme="minorEastAsia" w:hAnsiTheme="minorEastAsia" w:eastAsiaTheme="minorEastAsia"/>
                <w:color w:val="auto"/>
                <w:sz w:val="21"/>
                <w:szCs w:val="21"/>
                <w:highlight w:val="none"/>
              </w:rPr>
              <w:t>稿</w:t>
            </w:r>
            <w:r>
              <w:rPr>
                <w:rFonts w:hint="eastAsia" w:asciiTheme="minorEastAsia" w:hAnsiTheme="minorEastAsia" w:eastAsiaTheme="minorEastAsia"/>
                <w:color w:val="auto"/>
                <w:sz w:val="21"/>
                <w:szCs w:val="21"/>
                <w:highlight w:val="none"/>
                <w:lang w:eastAsia="zh-CN"/>
              </w:rPr>
              <w:t>。（如有变动，按省厅文件执行）</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▲本项目采用“</w:t>
      </w:r>
      <w:r>
        <w:rPr>
          <w:rFonts w:hint="eastAsia" w:asciiTheme="minorEastAsia" w:hAnsiTheme="minorEastAsia" w:eastAsiaTheme="minorEastAsia"/>
          <w:b/>
          <w:color w:val="auto"/>
          <w:sz w:val="24"/>
          <w:highlight w:val="none"/>
          <w:u w:val="single"/>
          <w:lang w:val="en-US" w:eastAsia="zh-CN"/>
        </w:rPr>
        <w:t>电子交易</w:t>
      </w:r>
      <w:r>
        <w:rPr>
          <w:rFonts w:hint="eastAsia" w:asciiTheme="minorEastAsia" w:hAnsiTheme="minorEastAsia" w:eastAsiaTheme="minorEastAsia"/>
          <w:b/>
          <w:color w:val="auto"/>
          <w:sz w:val="24"/>
          <w:highlight w:val="none"/>
          <w:lang w:val="en-US" w:eastAsia="zh-CN"/>
        </w:rPr>
        <w:t>”的方式提交投标文件（同时提供纸质备份投标文件），请各投标人按照要求进行投标。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pPr>
        <w:spacing w:line="400" w:lineRule="exact"/>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1、投标人为独立法人且具有水利水电专业工程咨询乙级资质和水文水资源调查评价乙级资质的单位。</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2、项目负责人具有高级工程师及以上职称。</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本项目不接受联合体投标</w:t>
      </w:r>
      <w:r>
        <w:rPr>
          <w:rFonts w:hint="eastAsia" w:asciiTheme="minorEastAsia" w:hAnsiTheme="minorEastAsia" w:eastAsiaTheme="minorEastAsia"/>
          <w:color w:val="auto"/>
          <w:sz w:val="24"/>
          <w:highlight w:val="none"/>
          <w:lang w:eastAsia="zh-CN"/>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hint="eastAsia" w:asciiTheme="minorEastAsia" w:hAnsiTheme="minorEastAsia" w:eastAsiaTheme="minorEastAsia"/>
          <w:b/>
          <w:color w:val="auto"/>
          <w:sz w:val="24"/>
          <w:highlight w:val="none"/>
          <w:lang w:eastAsia="zh-CN"/>
        </w:rPr>
        <w:t>采购</w:t>
      </w:r>
      <w:r>
        <w:rPr>
          <w:rFonts w:hint="eastAsia" w:asciiTheme="minorEastAsia" w:hAnsiTheme="minorEastAsia" w:eastAsiaTheme="minorEastAsia"/>
          <w:b/>
          <w:color w:val="auto"/>
          <w:sz w:val="24"/>
          <w:highlight w:val="none"/>
        </w:rPr>
        <w:t>文件的获取方式、时间</w:t>
      </w:r>
      <w:r>
        <w:rPr>
          <w:rFonts w:hint="eastAsia" w:asciiTheme="minorEastAsia" w:hAnsiTheme="minorEastAsia" w:eastAsiaTheme="minorEastAsia"/>
          <w:b/>
          <w:color w:val="auto"/>
          <w:sz w:val="24"/>
          <w:highlight w:val="none"/>
          <w:lang w:eastAsia="zh-CN"/>
        </w:rPr>
        <w:t>、地址</w:t>
      </w:r>
      <w:r>
        <w:rPr>
          <w:rFonts w:hint="eastAsia" w:asciiTheme="minorEastAsia" w:hAnsiTheme="minorEastAsia" w:eastAsiaTheme="minorEastAsia"/>
          <w:b/>
          <w:color w:val="auto"/>
          <w:sz w:val="24"/>
          <w:highlight w:val="none"/>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1、获取方式：网上免费下载。</w:t>
      </w:r>
      <w:r>
        <w:rPr>
          <w:rFonts w:hint="eastAsia" w:cs="Arial" w:asciiTheme="minorEastAsia" w:hAnsiTheme="minorEastAsia" w:eastAsiaTheme="minorEastAsia"/>
          <w:color w:val="auto"/>
          <w:sz w:val="24"/>
          <w:highlight w:val="none"/>
        </w:rPr>
        <w:t>下载地址为http://www.zjzfcg.gov.cn或https://www.yhjyzx.com/home/index</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2、获取（公告）时间：</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09</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26</w:t>
      </w:r>
      <w:r>
        <w:rPr>
          <w:rFonts w:hint="eastAsia" w:ascii="宋体" w:hAnsi="宋体" w:cs="Arial"/>
          <w:color w:val="auto"/>
          <w:sz w:val="24"/>
          <w:highlight w:val="none"/>
        </w:rPr>
        <w:t>日至</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10</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11</w:t>
      </w:r>
      <w:r>
        <w:rPr>
          <w:rFonts w:hint="eastAsia" w:ascii="宋体" w:hAnsi="宋体" w:cs="Arial"/>
          <w:color w:val="auto"/>
          <w:sz w:val="24"/>
          <w:highlight w:val="none"/>
        </w:rPr>
        <w:t>日</w:t>
      </w:r>
    </w:p>
    <w:p>
      <w:pPr>
        <w:keepNext w:val="0"/>
        <w:keepLines w:val="0"/>
        <w:pageBreakBefore w:val="0"/>
        <w:widowControl w:val="0"/>
        <w:kinsoku/>
        <w:wordWrap/>
        <w:overflowPunct/>
        <w:topLinePunct w:val="0"/>
        <w:bidi w:val="0"/>
        <w:snapToGrid/>
        <w:spacing w:line="360" w:lineRule="auto"/>
        <w:ind w:firstLine="960" w:firstLineChars="400"/>
        <w:textAlignment w:val="auto"/>
        <w:rPr>
          <w:rFonts w:cs="Arial" w:asciiTheme="minorEastAsia" w:hAnsiTheme="minorEastAsia" w:eastAsiaTheme="minorEastAsia"/>
          <w:color w:val="auto"/>
          <w:sz w:val="24"/>
          <w:highlight w:val="none"/>
        </w:rPr>
      </w:pPr>
      <w:r>
        <w:rPr>
          <w:rFonts w:hint="eastAsia" w:ascii="宋体" w:hAnsi="宋体" w:cs="Arial"/>
          <w:color w:val="auto"/>
          <w:sz w:val="24"/>
          <w:highlight w:val="none"/>
        </w:rPr>
        <w:t>上午：8:30-12:00      下午</w:t>
      </w:r>
      <w:r>
        <w:rPr>
          <w:rFonts w:hint="eastAsia" w:ascii="宋体" w:hAnsi="宋体" w:cs="Arial"/>
          <w:color w:val="auto"/>
          <w:sz w:val="24"/>
          <w:highlight w:val="none"/>
          <w:lang w:eastAsia="zh-CN"/>
        </w:rPr>
        <w:t>：</w:t>
      </w:r>
      <w:r>
        <w:rPr>
          <w:rFonts w:hint="eastAsia" w:ascii="宋体" w:hAnsi="宋体" w:cs="Arial"/>
          <w:color w:val="auto"/>
          <w:sz w:val="24"/>
          <w:highlight w:val="none"/>
        </w:rPr>
        <w:t>1</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0-1</w:t>
      </w:r>
      <w:r>
        <w:rPr>
          <w:rFonts w:hint="eastAsia" w:ascii="宋体" w:hAnsi="宋体" w:cs="Arial"/>
          <w:color w:val="auto"/>
          <w:sz w:val="24"/>
          <w:highlight w:val="none"/>
          <w:lang w:val="en-US" w:eastAsia="zh-CN"/>
        </w:rPr>
        <w:t>7</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w:t>
      </w:r>
    </w:p>
    <w:p>
      <w:pPr>
        <w:keepNext w:val="0"/>
        <w:keepLines w:val="0"/>
        <w:pageBreakBefore w:val="0"/>
        <w:widowControl w:val="0"/>
        <w:numPr>
          <w:ilvl w:val="0"/>
          <w:numId w:val="3"/>
        </w:numPr>
        <w:kinsoku/>
        <w:wordWrap/>
        <w:overflowPunct/>
        <w:topLinePunct w:val="0"/>
        <w:bidi w:val="0"/>
        <w:snapToGrid/>
        <w:spacing w:line="360" w:lineRule="auto"/>
        <w:ind w:firstLine="480" w:firstLineChars="200"/>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获取采购文件流程</w:t>
      </w:r>
      <w:r>
        <w:rPr>
          <w:rFonts w:hint="eastAsia" w:cs="Arial" w:asciiTheme="minorEastAsia" w:hAnsiTheme="minorEastAsia" w:eastAsiaTheme="minorEastAsia"/>
          <w:color w:val="auto"/>
          <w:sz w:val="24"/>
          <w:highlight w:val="none"/>
          <w:lang w:eastAsia="zh-CN"/>
        </w:rPr>
        <w:t>：</w:t>
      </w:r>
    </w:p>
    <w:p>
      <w:pPr>
        <w:pStyle w:val="2"/>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val="en-US" w:eastAsia="zh-CN"/>
        </w:rPr>
        <w:t xml:space="preserve">    （1）尚未注册浙江政府采购网正式供应商的应先进行注册申请，注册流程详见“浙江政府采购网—网上办事指南—供应商注册申请”，注册申请免费。</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val="en-US" w:eastAsia="zh-CN"/>
        </w:rPr>
        <w:t>（2）供应商注册成功后，登录“政采云”平台进入“项目采购”应用模块，点击菜单的“申请获取采购文件”，填写获取采购文件的申请信息</w:t>
      </w:r>
      <w:r>
        <w:rPr>
          <w:rFonts w:hint="eastAsia" w:asciiTheme="minorEastAsia" w:hAnsiTheme="minorEastAsia" w:eastAsiaTheme="minorEastAsia"/>
          <w:color w:val="auto"/>
          <w:sz w:val="24"/>
          <w:highlight w:val="none"/>
          <w:lang w:val="en-US" w:eastAsia="zh-CN"/>
        </w:rPr>
        <w:t>（▲附件提交：①采购报名申请表（可现场填写）；②营业执照；③相关资质、职称证书；④法定代表人授权委托书原件及被授权人身份证，以上资料的复印件加盖单位公章按顺序提交），并致电代理机构告知</w:t>
      </w:r>
      <w:r>
        <w:rPr>
          <w:rFonts w:hint="eastAsia" w:cs="Arial" w:asciiTheme="minorEastAsia" w:hAnsiTheme="minorEastAsia" w:eastAsiaTheme="minorEastAsia"/>
          <w:color w:val="auto"/>
          <w:sz w:val="24"/>
          <w:highlight w:val="none"/>
          <w:lang w:val="en-US" w:eastAsia="zh-CN"/>
        </w:rPr>
        <w:t>。点击“下载采购文件”即可获取采购文件。</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val="en-US" w:eastAsia="zh-CN"/>
        </w:rPr>
        <w:t>（3）采购公告上附件里的采购文件仅供阅览使用，供应商应当在“政采云”平台注册登记后再获取采购文件，没有通过注册登记而获取采购文件的潜在供应商，对采购文件提起质疑投诉的，不予受理。</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color w:val="auto"/>
          <w:highlight w:val="none"/>
          <w:lang w:val="en-US"/>
        </w:rPr>
      </w:pPr>
      <w:r>
        <w:rPr>
          <w:rFonts w:hint="eastAsia" w:cs="Arial" w:asciiTheme="minorEastAsia" w:hAnsiTheme="minorEastAsia" w:eastAsiaTheme="minorEastAsia"/>
          <w:color w:val="auto"/>
          <w:sz w:val="24"/>
          <w:highlight w:val="none"/>
          <w:lang w:val="en-US" w:eastAsia="zh-CN"/>
        </w:rPr>
        <w:t>（4）采购机构将拒绝接受非通过以上方式获取采购文件的供应商投标文件。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right="23" w:firstLine="482" w:firstLineChars="200"/>
        <w:jc w:val="left"/>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五、招标答疑会</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right="23" w:firstLine="480" w:firstLineChars="200"/>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无</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auto"/>
        <w:ind w:right="23" w:firstLine="482" w:firstLineChars="200"/>
        <w:jc w:val="left"/>
        <w:textAlignment w:val="auto"/>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投标截止及开标时间、地点：</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（一）、投标截止时间：2019年10月16日09:00:00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（二）、开标时间：2019年10月16日09:00:00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（三）、解密截止时间：2019年10月16日09:30:00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本项目实行电子招投标，供应商应按照本项目招标文件和政采云平台的要求编制、加密并递交投标文件。供应商在使用系统进行投标的过程中遇到涉及平台使用的任何问题，可致电政采云平台技术支持热线咨询，联系方式：400-881-7190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2、为确保网上操作合法、有效和安全，供应商应当在投标截止时间前，完成电子交易平台上的CA数字证书办理。（办理流程详见</w:t>
      </w:r>
      <w:r>
        <w:rPr>
          <w:rFonts w:hint="eastAsia" w:cs="Times New Roman" w:asciiTheme="minorEastAsia" w:hAnsiTheme="minorEastAsia" w:eastAsiaTheme="minorEastAsia"/>
          <w:color w:val="auto"/>
          <w:kern w:val="2"/>
          <w:sz w:val="24"/>
          <w:szCs w:val="24"/>
          <w:highlight w:val="none"/>
          <w:lang w:val="en-US" w:eastAsia="zh-CN" w:bidi="ar-SA"/>
        </w:rPr>
        <w:fldChar w:fldCharType="begin"/>
      </w:r>
      <w:r>
        <w:rPr>
          <w:rFonts w:hint="eastAsia" w:cs="Times New Roman" w:asciiTheme="minorEastAsia" w:hAnsiTheme="minorEastAsia" w:eastAsiaTheme="minorEastAsia"/>
          <w:color w:val="auto"/>
          <w:kern w:val="2"/>
          <w:sz w:val="24"/>
          <w:szCs w:val="24"/>
          <w:highlight w:val="none"/>
          <w:lang w:val="en-US" w:eastAsia="zh-CN" w:bidi="ar-SA"/>
        </w:rPr>
        <w:instrText xml:space="preserve"> HYPERLINK "http://www.zjzfcg.gov.cn/bidClientTemplate/2019-05-27/12945.html" </w:instrText>
      </w:r>
      <w:r>
        <w:rPr>
          <w:rFonts w:hint="eastAsia" w:cs="Times New Roman" w:asciiTheme="minorEastAsia" w:hAnsiTheme="minorEastAsia" w:eastAsiaTheme="minorEastAsia"/>
          <w:color w:val="auto"/>
          <w:kern w:val="2"/>
          <w:sz w:val="24"/>
          <w:szCs w:val="24"/>
          <w:highlight w:val="none"/>
          <w:lang w:val="en-US" w:eastAsia="zh-CN" w:bidi="ar-SA"/>
        </w:rPr>
        <w:fldChar w:fldCharType="separate"/>
      </w:r>
      <w:r>
        <w:rPr>
          <w:rFonts w:hint="eastAsia" w:cs="Times New Roman" w:asciiTheme="minorEastAsia" w:hAnsiTheme="minorEastAsia" w:eastAsiaTheme="minorEastAsia"/>
          <w:color w:val="auto"/>
          <w:kern w:val="2"/>
          <w:sz w:val="24"/>
          <w:szCs w:val="24"/>
          <w:highlight w:val="none"/>
          <w:lang w:val="en-US" w:eastAsia="zh-CN" w:bidi="ar-SA"/>
        </w:rPr>
        <w:t>http://www.zjzfcg.gov.cn/bidClientTemplate/2019-05-27/12945.html</w:t>
      </w:r>
      <w:r>
        <w:rPr>
          <w:rFonts w:hint="eastAsia" w:cs="Times New Roman" w:asciiTheme="minorEastAsia" w:hAnsiTheme="minorEastAsia" w:eastAsiaTheme="minorEastAsia"/>
          <w:color w:val="auto"/>
          <w:kern w:val="2"/>
          <w:sz w:val="24"/>
          <w:szCs w:val="24"/>
          <w:highlight w:val="none"/>
          <w:lang w:val="en-US" w:eastAsia="zh-CN" w:bidi="ar-SA"/>
        </w:rPr>
        <w:fldChar w:fldCharType="end"/>
      </w:r>
      <w:r>
        <w:rPr>
          <w:rFonts w:hint="eastAsia" w:cs="Times New Roman" w:asciiTheme="minorEastAsia" w:hAnsiTheme="minorEastAsia" w:eastAsiaTheme="minorEastAsia"/>
          <w:color w:val="auto"/>
          <w:kern w:val="2"/>
          <w:sz w:val="24"/>
          <w:szCs w:val="24"/>
          <w:highlight w:val="none"/>
          <w:lang w:val="en-US" w:eastAsia="zh-CN" w:bidi="ar-SA"/>
        </w:rPr>
        <w:t>）。完成CA数字证书办理预计一周左右，建议各投标人抓紧时间办理。</w:t>
      </w:r>
    </w:p>
    <w:p>
      <w:pPr>
        <w:pStyle w:val="79"/>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3、投标人通过政采云平台电子投标工具制作投标文件，电子投标工具请供应商自行前往浙江省政府采购网下载并安装，（下载网址：</w:t>
      </w:r>
      <w:r>
        <w:rPr>
          <w:rFonts w:hint="eastAsia" w:cs="Times New Roman" w:asciiTheme="minorEastAsia" w:hAnsiTheme="minorEastAsia" w:eastAsiaTheme="minorEastAsia"/>
          <w:color w:val="auto"/>
          <w:kern w:val="2"/>
          <w:sz w:val="24"/>
          <w:szCs w:val="24"/>
          <w:highlight w:val="none"/>
          <w:lang w:val="en-US" w:eastAsia="zh-CN" w:bidi="ar-SA"/>
        </w:rPr>
        <w:fldChar w:fldCharType="begin"/>
      </w:r>
      <w:r>
        <w:rPr>
          <w:rFonts w:hint="eastAsia" w:cs="Times New Roman" w:asciiTheme="minorEastAsia" w:hAnsiTheme="minorEastAsia" w:eastAsiaTheme="minorEastAsia"/>
          <w:color w:val="auto"/>
          <w:kern w:val="2"/>
          <w:sz w:val="24"/>
          <w:szCs w:val="24"/>
          <w:highlight w:val="none"/>
          <w:lang w:val="en-US" w:eastAsia="zh-CN" w:bidi="ar-SA"/>
        </w:rPr>
        <w:instrText xml:space="preserve"> HYPERLINK "http://www.zjzfcg.gov.cn/bidClientTemplate/2019-05-27/12946.html" </w:instrText>
      </w:r>
      <w:r>
        <w:rPr>
          <w:rFonts w:hint="eastAsia" w:cs="Times New Roman" w:asciiTheme="minorEastAsia" w:hAnsiTheme="minorEastAsia" w:eastAsiaTheme="minorEastAsia"/>
          <w:color w:val="auto"/>
          <w:kern w:val="2"/>
          <w:sz w:val="24"/>
          <w:szCs w:val="24"/>
          <w:highlight w:val="none"/>
          <w:lang w:val="en-US" w:eastAsia="zh-CN" w:bidi="ar-SA"/>
        </w:rPr>
        <w:fldChar w:fldCharType="separate"/>
      </w:r>
      <w:r>
        <w:rPr>
          <w:rFonts w:hint="eastAsia" w:cs="Times New Roman" w:asciiTheme="minorEastAsia" w:hAnsiTheme="minorEastAsia" w:eastAsiaTheme="minorEastAsia"/>
          <w:color w:val="auto"/>
          <w:kern w:val="2"/>
          <w:sz w:val="24"/>
          <w:szCs w:val="24"/>
          <w:highlight w:val="none"/>
          <w:lang w:val="en-US" w:eastAsia="zh-CN" w:bidi="ar-SA"/>
        </w:rPr>
        <w:t>http://www.zjzfcg.gov.cn/bidClientTemplate/2019-05-27/12946.html</w:t>
      </w:r>
      <w:r>
        <w:rPr>
          <w:rFonts w:hint="eastAsia" w:cs="Times New Roman" w:asciiTheme="minorEastAsia" w:hAnsiTheme="minorEastAsia" w:eastAsiaTheme="minorEastAsia"/>
          <w:color w:val="auto"/>
          <w:kern w:val="2"/>
          <w:sz w:val="24"/>
          <w:szCs w:val="24"/>
          <w:highlight w:val="none"/>
          <w:lang w:val="en-US" w:eastAsia="zh-CN" w:bidi="ar-SA"/>
        </w:rPr>
        <w:fldChar w:fldCharType="end"/>
      </w:r>
      <w:r>
        <w:rPr>
          <w:rFonts w:hint="eastAsia" w:cs="Times New Roman" w:asciiTheme="minorEastAsia" w:hAnsiTheme="minorEastAsia" w:eastAsiaTheme="minorEastAsia"/>
          <w:color w:val="auto"/>
          <w:kern w:val="2"/>
          <w:sz w:val="24"/>
          <w:szCs w:val="24"/>
          <w:highlight w:val="none"/>
          <w:lang w:val="en-US" w:eastAsia="zh-CN" w:bidi="ar-SA"/>
        </w:rPr>
        <w:t>），电子投标具体流程文档详见网址：</w:t>
      </w:r>
      <w:r>
        <w:rPr>
          <w:rFonts w:hint="eastAsia" w:cs="Times New Roman" w:asciiTheme="minorEastAsia" w:hAnsiTheme="minorEastAsia" w:eastAsiaTheme="minorEastAsia"/>
          <w:color w:val="auto"/>
          <w:kern w:val="2"/>
          <w:sz w:val="24"/>
          <w:szCs w:val="24"/>
          <w:highlight w:val="none"/>
          <w:lang w:val="en-US" w:eastAsia="zh-CN" w:bidi="ar-SA"/>
        </w:rPr>
        <w:fldChar w:fldCharType="begin"/>
      </w:r>
      <w:r>
        <w:rPr>
          <w:rFonts w:hint="eastAsia" w:cs="Times New Roman" w:asciiTheme="minorEastAsia" w:hAnsiTheme="minorEastAsia" w:eastAsiaTheme="minorEastAsia"/>
          <w:color w:val="auto"/>
          <w:kern w:val="2"/>
          <w:sz w:val="24"/>
          <w:szCs w:val="24"/>
          <w:highlight w:val="none"/>
          <w:lang w:val="en-US" w:eastAsia="zh-CN" w:bidi="ar-SA"/>
        </w:rPr>
        <w:instrText xml:space="preserve"> HYPERLINK "https://help.zcygov.cn/web/site_2/2018/12-28/2573.html。" </w:instrText>
      </w:r>
      <w:r>
        <w:rPr>
          <w:rFonts w:hint="eastAsia" w:cs="Times New Roman" w:asciiTheme="minorEastAsia" w:hAnsiTheme="minorEastAsia" w:eastAsiaTheme="minorEastAsia"/>
          <w:color w:val="auto"/>
          <w:kern w:val="2"/>
          <w:sz w:val="24"/>
          <w:szCs w:val="24"/>
          <w:highlight w:val="none"/>
          <w:lang w:val="en-US" w:eastAsia="zh-CN" w:bidi="ar-SA"/>
        </w:rPr>
        <w:fldChar w:fldCharType="separate"/>
      </w:r>
      <w:r>
        <w:rPr>
          <w:rStyle w:val="28"/>
          <w:rFonts w:hint="eastAsia" w:cs="Times New Roman" w:asciiTheme="minorEastAsia" w:hAnsiTheme="minorEastAsia" w:eastAsiaTheme="minorEastAsia"/>
          <w:color w:val="auto"/>
          <w:kern w:val="2"/>
          <w:sz w:val="24"/>
          <w:szCs w:val="24"/>
          <w:highlight w:val="none"/>
          <w:lang w:val="en-US" w:eastAsia="zh-CN" w:bidi="ar-SA"/>
        </w:rPr>
        <w:t>https://help.zcygov.cn/web/site_2/2018/12-28/2573.html。</w:t>
      </w:r>
      <w:r>
        <w:rPr>
          <w:rFonts w:hint="eastAsia" w:cs="Times New Roman" w:asciiTheme="minorEastAsia" w:hAnsiTheme="minorEastAsia" w:eastAsiaTheme="minorEastAsia"/>
          <w:color w:val="auto"/>
          <w:kern w:val="2"/>
          <w:sz w:val="24"/>
          <w:szCs w:val="24"/>
          <w:highlight w:val="none"/>
          <w:lang w:val="en-US" w:eastAsia="zh-CN" w:bidi="ar-SA"/>
        </w:rPr>
        <w:fldChar w:fldCharType="end"/>
      </w:r>
    </w:p>
    <w:p>
      <w:pPr>
        <w:pStyle w:val="79"/>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79"/>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5、本项目需要投标人同时提供纸质备份投标文件。纸质备份投标文件（</w:t>
      </w:r>
      <w:r>
        <w:rPr>
          <w:rFonts w:hint="eastAsia" w:cs="Arial" w:asciiTheme="minorEastAsia" w:hAnsiTheme="minorEastAsia" w:eastAsiaTheme="minorEastAsia"/>
          <w:color w:val="auto"/>
          <w:sz w:val="24"/>
          <w:highlight w:val="none"/>
          <w:lang w:eastAsia="zh-CN"/>
        </w:rPr>
        <w:t>按招标文件要求</w:t>
      </w:r>
      <w:r>
        <w:rPr>
          <w:rFonts w:hint="eastAsia" w:cs="Arial" w:asciiTheme="minorEastAsia" w:hAnsiTheme="minorEastAsia" w:eastAsiaTheme="minorEastAsia"/>
          <w:color w:val="auto"/>
          <w:sz w:val="24"/>
          <w:highlight w:val="none"/>
        </w:rPr>
        <w:t>）应当在投标截止时间前按要求密封送交到</w:t>
      </w:r>
      <w:r>
        <w:rPr>
          <w:rFonts w:hint="eastAsia" w:cs="Arial" w:asciiTheme="minorEastAsia" w:hAnsiTheme="minorEastAsia" w:eastAsiaTheme="minorEastAsia"/>
          <w:color w:val="auto"/>
          <w:sz w:val="24"/>
          <w:highlight w:val="none"/>
          <w:lang w:val="en-US" w:eastAsia="zh-CN"/>
        </w:rPr>
        <w:t>玉环市公共资源交易中心二楼开标室（3）（玉环市新城中路与长治路（南一路）交叉路口）</w:t>
      </w:r>
      <w:r>
        <w:rPr>
          <w:rFonts w:hint="eastAsia" w:cs="Arial" w:asciiTheme="minorEastAsia" w:hAnsiTheme="minorEastAsia" w:eastAsiaTheme="minorEastAsia"/>
          <w:color w:val="auto"/>
          <w:sz w:val="24"/>
          <w:highlight w:val="none"/>
        </w:rPr>
        <w:t>，逾期送达或未按要求密封将被拒收。如投标人未在投标截止时间前完成电子投标文件的传输递交，其纸质备份投标文件也将为无效投标文件。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七</w:t>
      </w:r>
      <w:r>
        <w:rPr>
          <w:rFonts w:cs="Arial" w:asciiTheme="minorEastAsia" w:hAnsiTheme="minorEastAsia" w:eastAsiaTheme="minorEastAsia"/>
          <w:b/>
          <w:bCs/>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bCs/>
          <w:color w:val="auto"/>
          <w:sz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1、查询渠道：国家企业信用信息公示系统（http://www.gsxt.gov.cn/index.html）。</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供应商注册：参与政府采购活动的投标人，必须注册并登记加入浙江省政府采购供应商库。供应商可通过浙江政府采购网（http://www.zjzfcg.gov.cn）或浙江政采云平台（http://www.zcy.gov.cn/）进行注册申请，按规定审核后，登记加入“浙江省政府采购供应商库”。</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 xml:space="preserve">、本项目所有公告发布网站：“浙江省政府采购网”（http:// www.zjzfcg.gov.cn）和“玉环市公共资源交易中心”（ </w:t>
      </w:r>
      <w:r>
        <w:rPr>
          <w:rFonts w:hint="eastAsia" w:cs="Arial" w:asciiTheme="minorEastAsia" w:hAnsiTheme="minorEastAsia" w:eastAsiaTheme="minorEastAsia"/>
          <w:color w:val="auto"/>
          <w:sz w:val="24"/>
          <w:highlight w:val="none"/>
        </w:rPr>
        <w:fldChar w:fldCharType="begin"/>
      </w:r>
      <w:r>
        <w:rPr>
          <w:rFonts w:hint="eastAsia" w:cs="Arial" w:asciiTheme="minorEastAsia" w:hAnsiTheme="minorEastAsia" w:eastAsiaTheme="minorEastAsia"/>
          <w:color w:val="auto"/>
          <w:sz w:val="24"/>
          <w:highlight w:val="none"/>
        </w:rPr>
        <w:instrText xml:space="preserve"> HYPERLINK "https://www.yhjyzx.com/News/zcfg/zfcg）。" </w:instrText>
      </w:r>
      <w:r>
        <w:rPr>
          <w:rFonts w:hint="eastAsia" w:cs="Arial" w:asciiTheme="minorEastAsia" w:hAnsiTheme="minorEastAsia" w:eastAsiaTheme="minorEastAsia"/>
          <w:color w:val="auto"/>
          <w:sz w:val="24"/>
          <w:highlight w:val="none"/>
        </w:rPr>
        <w:fldChar w:fldCharType="separate"/>
      </w:r>
      <w:r>
        <w:rPr>
          <w:rStyle w:val="28"/>
          <w:rFonts w:hint="eastAsia" w:cs="Arial" w:asciiTheme="minorEastAsia" w:hAnsiTheme="minorEastAsia" w:eastAsiaTheme="minorEastAsia"/>
          <w:color w:val="auto"/>
          <w:sz w:val="24"/>
          <w:highlight w:val="none"/>
        </w:rPr>
        <w:t>https://www.yhjyzx.com/News/zcfg/zfcg）。</w:t>
      </w:r>
      <w:r>
        <w:rPr>
          <w:rFonts w:hint="eastAsia" w:cs="Arial" w:asciiTheme="minorEastAsia" w:hAnsiTheme="minorEastAsia" w:eastAsiaTheme="minorEastAsia"/>
          <w:color w:val="auto"/>
          <w:sz w:val="24"/>
          <w:highlight w:val="none"/>
        </w:rPr>
        <w:fldChar w:fldCharType="end"/>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九</w:t>
      </w:r>
      <w:r>
        <w:rPr>
          <w:rFonts w:hint="eastAsia" w:asciiTheme="minorEastAsia" w:hAnsiTheme="minorEastAsia" w:eastAsiaTheme="minorEastAsia"/>
          <w:b/>
          <w:color w:val="auto"/>
          <w:sz w:val="24"/>
          <w:highlight w:val="none"/>
        </w:rPr>
        <w:t>、联系方式：</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项目联系人：</w:t>
      </w:r>
      <w:r>
        <w:rPr>
          <w:rFonts w:hint="eastAsia" w:asciiTheme="minorEastAsia" w:hAnsiTheme="minorEastAsia" w:eastAsiaTheme="minorEastAsia"/>
          <w:color w:val="auto"/>
          <w:kern w:val="0"/>
          <w:sz w:val="24"/>
          <w:highlight w:val="none"/>
          <w:lang w:eastAsia="zh-CN"/>
        </w:rPr>
        <w:t>张先生</w:t>
      </w:r>
    </w:p>
    <w:p>
      <w:pPr>
        <w:spacing w:line="360" w:lineRule="auto"/>
        <w:ind w:firstLine="600" w:firstLineChars="25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r>
        <w:rPr>
          <w:rFonts w:hint="eastAsia" w:asciiTheme="minorEastAsia" w:hAnsiTheme="minorEastAsia" w:eastAsiaTheme="minorEastAsia"/>
          <w:color w:val="auto"/>
          <w:kern w:val="0"/>
          <w:sz w:val="24"/>
          <w:highlight w:val="none"/>
          <w:lang w:val="en-US" w:eastAsia="zh-CN"/>
        </w:rPr>
        <w:t>0576-87229474</w:t>
      </w:r>
      <w:r>
        <w:rPr>
          <w:rFonts w:hint="eastAsia" w:asciiTheme="minorEastAsia" w:hAnsiTheme="minorEastAsia" w:eastAsiaTheme="minorEastAsia"/>
          <w:color w:val="auto"/>
          <w:kern w:val="0"/>
          <w:sz w:val="24"/>
          <w:highlight w:val="none"/>
        </w:rPr>
        <w:t xml:space="preserve">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地址：</w:t>
      </w:r>
      <w:r>
        <w:rPr>
          <w:rFonts w:hint="eastAsia" w:asciiTheme="minorEastAsia" w:hAnsiTheme="minorEastAsia" w:eastAsiaTheme="minorEastAsia"/>
          <w:color w:val="auto"/>
          <w:kern w:val="0"/>
          <w:sz w:val="24"/>
          <w:highlight w:val="none"/>
          <w:lang w:eastAsia="zh-CN"/>
        </w:rPr>
        <w:t>玉环市玉城街道泰安路</w:t>
      </w:r>
      <w:r>
        <w:rPr>
          <w:rFonts w:hint="eastAsia" w:asciiTheme="minorEastAsia" w:hAnsiTheme="minorEastAsia" w:eastAsiaTheme="minorEastAsia"/>
          <w:color w:val="auto"/>
          <w:kern w:val="0"/>
          <w:sz w:val="24"/>
          <w:highlight w:val="none"/>
          <w:lang w:val="en-US" w:eastAsia="zh-CN"/>
        </w:rPr>
        <w:t>312号财富中心5号楼1002</w:t>
      </w:r>
      <w:r>
        <w:rPr>
          <w:rFonts w:hint="eastAsia" w:asciiTheme="minorEastAsia" w:hAnsiTheme="minorEastAsia" w:eastAsiaTheme="minorEastAsia"/>
          <w:color w:val="auto"/>
          <w:kern w:val="0"/>
          <w:sz w:val="24"/>
          <w:highlight w:val="none"/>
        </w:rPr>
        <w:t xml:space="preserve">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玉环市农业农村和水利局</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lang w:eastAsia="zh-CN"/>
        </w:rPr>
        <w:t>玉环市玉城街道城中路56号</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吴女士</w:t>
      </w:r>
    </w:p>
    <w:p>
      <w:pPr>
        <w:snapToGrid w:val="0"/>
        <w:spacing w:line="360" w:lineRule="auto"/>
        <w:ind w:firstLine="600" w:firstLineChars="25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lang w:val="en-US" w:eastAsia="zh-CN"/>
        </w:rPr>
        <w:t>0576-87222762</w:t>
      </w:r>
      <w:r>
        <w:rPr>
          <w:rFonts w:hint="eastAsia" w:cs="Arial" w:asciiTheme="minorEastAsia" w:hAnsiTheme="minorEastAsia" w:eastAsiaTheme="minorEastAsia"/>
          <w:color w:val="auto"/>
          <w:sz w:val="24"/>
          <w:highlight w:val="none"/>
        </w:rPr>
        <w:t xml:space="preserve"> </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谢主任</w:t>
      </w:r>
      <w:r>
        <w:rPr>
          <w:rFonts w:hint="eastAsia" w:cs="Arial" w:asciiTheme="minorEastAsia" w:hAnsiTheme="minorEastAsia" w:eastAsiaTheme="minorEastAsia"/>
          <w:color w:val="auto"/>
          <w:sz w:val="24"/>
          <w:highlight w:val="none"/>
        </w:rPr>
        <w:t xml:space="preserve">   监督投诉电话：0576-87250185   传真：0576-8725018</w:t>
      </w:r>
      <w:r>
        <w:rPr>
          <w:rFonts w:hint="eastAsia" w:cs="Arial" w:asciiTheme="minorEastAsia" w:hAnsiTheme="minorEastAsia" w:eastAsiaTheme="minorEastAsia"/>
          <w:color w:val="auto"/>
          <w:sz w:val="24"/>
          <w:highlight w:val="none"/>
          <w:lang w:val="en-US" w:eastAsia="zh-CN"/>
        </w:rPr>
        <w:t>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2019年09月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auto"/>
          <w:kern w:val="0"/>
          <w:sz w:val="24"/>
          <w:highlight w:val="none"/>
        </w:rPr>
      </w:pPr>
    </w:p>
    <w:p>
      <w:pPr>
        <w:rPr>
          <w:color w:val="auto"/>
          <w:highlight w:val="none"/>
        </w:rPr>
      </w:pPr>
      <w:r>
        <w:rPr>
          <w:color w:val="auto"/>
          <w:highlight w:val="none"/>
        </w:rPr>
        <w:br w:type="page"/>
      </w:r>
    </w:p>
    <w:p>
      <w:pPr>
        <w:widowControl/>
        <w:jc w:val="center"/>
        <w:rPr>
          <w:b/>
          <w:bCs/>
          <w:color w:val="auto"/>
          <w:kern w:val="0"/>
          <w:sz w:val="44"/>
          <w:szCs w:val="44"/>
          <w:highlight w:val="none"/>
        </w:rPr>
      </w:pPr>
      <w:r>
        <w:rPr>
          <w:rFonts w:ascii="方正魏碑简体" w:hAnsi="方正魏碑简体"/>
          <w:b/>
          <w:bCs/>
          <w:color w:val="auto"/>
          <w:kern w:val="0"/>
          <w:sz w:val="44"/>
          <w:szCs w:val="44"/>
          <w:highlight w:val="none"/>
        </w:rPr>
        <w:t>采购报名申请表</w:t>
      </w:r>
    </w:p>
    <w:tbl>
      <w:tblPr>
        <w:tblStyle w:val="20"/>
        <w:tblW w:w="9205" w:type="dxa"/>
        <w:tblInd w:w="-91"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 xml:space="preserve">                                     （盖章）</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bCs/>
                <w:color w:val="auto"/>
                <w:sz w:val="22"/>
                <w:szCs w:val="22"/>
                <w:highlight w:val="none"/>
              </w:rPr>
            </w:pPr>
            <w:r>
              <w:rPr>
                <w:rFonts w:hint="eastAsia" w:ascii="宋体"/>
                <w:bCs/>
                <w:color w:val="auto"/>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b/>
                <w:bCs/>
                <w:color w:val="auto"/>
                <w:kern w:val="0"/>
                <w:sz w:val="22"/>
                <w:szCs w:val="22"/>
                <w:highlight w:val="none"/>
                <w:lang w:eastAsia="zh-CN"/>
              </w:rPr>
            </w:pPr>
            <w:r>
              <w:rPr>
                <w:rFonts w:hint="eastAsia" w:ascii="宋体" w:hAnsi="宋体"/>
                <w:b/>
                <w:bCs/>
                <w:color w:val="auto"/>
                <w:kern w:val="0"/>
                <w:sz w:val="22"/>
                <w:szCs w:val="22"/>
                <w:highlight w:val="none"/>
              </w:rPr>
              <w:t>提交的报名资料清单</w:t>
            </w:r>
            <w:r>
              <w:rPr>
                <w:rFonts w:hint="eastAsia" w:ascii="宋体" w:hAnsi="宋体"/>
                <w:b/>
                <w:bCs/>
                <w:color w:val="auto"/>
                <w:kern w:val="0"/>
                <w:sz w:val="22"/>
                <w:szCs w:val="22"/>
                <w:highlight w:val="none"/>
                <w:lang w:eastAsia="zh-CN"/>
              </w:rPr>
              <w:t>（原件备查）</w:t>
            </w: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备  注</w:t>
            </w: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auto"/>
                <w:sz w:val="22"/>
                <w:highlight w:val="none"/>
              </w:rPr>
            </w:pPr>
            <w:r>
              <w:rPr>
                <w:rFonts w:hint="eastAsia" w:ascii="宋体"/>
                <w:color w:val="auto"/>
                <w:sz w:val="22"/>
                <w:highlight w:val="none"/>
              </w:rPr>
              <w:t>营业执照副本（</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color w:val="auto"/>
                <w:sz w:val="22"/>
                <w:highlight w:val="none"/>
                <w:lang w:eastAsia="zh-CN"/>
              </w:rPr>
            </w:pPr>
            <w:r>
              <w:rPr>
                <w:rFonts w:hint="eastAsia" w:ascii="宋体"/>
                <w:color w:val="auto"/>
                <w:sz w:val="22"/>
                <w:highlight w:val="none"/>
                <w:lang w:eastAsia="zh-CN"/>
              </w:rPr>
              <w:t>相关资质证书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color w:val="auto"/>
                <w:sz w:val="22"/>
                <w:highlight w:val="none"/>
              </w:rPr>
            </w:pPr>
            <w:r>
              <w:rPr>
                <w:rFonts w:hint="eastAsia" w:ascii="宋体"/>
                <w:color w:val="auto"/>
                <w:sz w:val="22"/>
                <w:highlight w:val="none"/>
                <w:lang w:val="en-US" w:eastAsia="zh-CN"/>
              </w:rPr>
              <w:t>项目负责人职称证书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4</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法定代表人授权委托书</w:t>
            </w:r>
            <w:r>
              <w:rPr>
                <w:rFonts w:hint="eastAsia" w:ascii="宋体" w:hAnsi="宋体"/>
                <w:color w:val="auto"/>
                <w:kern w:val="0"/>
                <w:sz w:val="22"/>
                <w:szCs w:val="22"/>
                <w:highlight w:val="none"/>
              </w:rPr>
              <w:t>原件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5</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被授权人的有效身份证件</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复印件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bl>
    <w:p>
      <w:pPr>
        <w:rPr>
          <w:color w:val="auto"/>
          <w:highlight w:val="none"/>
        </w:rPr>
      </w:pPr>
      <w:r>
        <w:rPr>
          <w:rFonts w:hint="eastAsia" w:ascii="楷体_GB2312" w:eastAsia="楷体_GB2312"/>
          <w:b/>
          <w:bCs/>
          <w:color w:val="auto"/>
          <w:kern w:val="0"/>
          <w:sz w:val="24"/>
          <w:highlight w:val="none"/>
        </w:rPr>
        <w:t>以上报名资料请</w:t>
      </w:r>
      <w:r>
        <w:rPr>
          <w:rFonts w:hint="eastAsia" w:ascii="楷体_GB2312" w:eastAsia="楷体_GB2312"/>
          <w:b/>
          <w:bCs/>
          <w:color w:val="auto"/>
          <w:kern w:val="0"/>
          <w:sz w:val="24"/>
          <w:highlight w:val="none"/>
          <w:lang w:eastAsia="zh-CN"/>
        </w:rPr>
        <w:t>按顺序</w:t>
      </w:r>
      <w:r>
        <w:rPr>
          <w:rFonts w:hint="eastAsia" w:ascii="楷体_GB2312" w:eastAsia="楷体_GB2312"/>
          <w:b/>
          <w:bCs/>
          <w:color w:val="auto"/>
          <w:kern w:val="0"/>
          <w:sz w:val="24"/>
          <w:highlight w:val="none"/>
        </w:rPr>
        <w:t>装订成册。</w:t>
      </w:r>
    </w:p>
    <w:p>
      <w:pPr>
        <w:rPr>
          <w:color w:val="auto"/>
          <w:highlight w:val="none"/>
        </w:rPr>
      </w:pPr>
    </w:p>
    <w:p>
      <w:pPr>
        <w:rPr>
          <w:color w:val="auto"/>
          <w:sz w:val="30"/>
          <w:szCs w:val="30"/>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0"/>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符合招标公告资格要求的供应商</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各供应商请自行踏勘</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color w:val="auto"/>
                <w:sz w:val="24"/>
                <w:highlight w:val="none"/>
              </w:rPr>
            </w:pPr>
            <w:r>
              <w:rPr>
                <w:rFonts w:hint="eastAsia" w:ascii="宋体" w:hAnsi="宋体"/>
                <w:color w:val="auto"/>
                <w:sz w:val="24"/>
                <w:highlight w:val="none"/>
              </w:rPr>
              <w:t>电子投标文件的传输递交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highlight w:val="none"/>
              </w:rPr>
            </w:pPr>
            <w:r>
              <w:rPr>
                <w:rFonts w:hint="eastAsia" w:ascii="宋体" w:hAnsi="宋体"/>
                <w:color w:val="auto"/>
                <w:sz w:val="24"/>
                <w:highlight w:val="none"/>
              </w:rPr>
              <w:t>截止时间：2019年10月16日上午09</w:t>
            </w:r>
            <w:r>
              <w:rPr>
                <w:rFonts w:hint="eastAsia" w:ascii="宋体" w:hAnsi="宋体"/>
                <w:color w:val="auto"/>
                <w:sz w:val="24"/>
                <w:highlight w:val="none"/>
                <w:lang w:val="en-US" w:eastAsia="zh-CN"/>
              </w:rPr>
              <w:t>:</w:t>
            </w:r>
            <w:r>
              <w:rPr>
                <w:rFonts w:hint="eastAsia" w:ascii="宋体" w:hAnsi="宋体"/>
                <w:color w:val="auto"/>
                <w:sz w:val="24"/>
                <w:highlight w:val="none"/>
              </w:rPr>
              <w:t>00</w:t>
            </w:r>
          </w:p>
          <w:p>
            <w:pPr>
              <w:spacing w:line="400" w:lineRule="exact"/>
              <w:rPr>
                <w:rFonts w:asciiTheme="majorEastAsia" w:hAnsiTheme="majorEastAsia" w:eastAsiaTheme="majorEastAsia" w:cstheme="majorEastAsia"/>
                <w:color w:val="auto"/>
                <w:sz w:val="24"/>
                <w:highlight w:val="none"/>
              </w:rPr>
            </w:pPr>
            <w:r>
              <w:rPr>
                <w:rFonts w:hint="eastAsia" w:ascii="宋体" w:hAnsi="宋体"/>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纸质备份投标文件递交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截止时间：北京时间20</w:t>
            </w:r>
            <w:r>
              <w:rPr>
                <w:rFonts w:hint="eastAsia" w:ascii="宋体" w:hAnsi="宋体" w:cs="Arial" w:eastAsiaTheme="majorEastAsia"/>
                <w:color w:val="auto"/>
                <w:sz w:val="24"/>
                <w:highlight w:val="none"/>
                <w:lang w:val="en-US" w:eastAsia="zh-CN"/>
              </w:rPr>
              <w:t>19</w:t>
            </w:r>
            <w:r>
              <w:rPr>
                <w:rFonts w:hint="eastAsia" w:ascii="宋体" w:hAnsi="宋体" w:cs="宋体"/>
                <w:color w:val="auto"/>
                <w:sz w:val="24"/>
                <w:highlight w:val="none"/>
              </w:rPr>
              <w:t>年</w:t>
            </w:r>
            <w:r>
              <w:rPr>
                <w:rFonts w:hint="eastAsia" w:ascii="宋体" w:hAnsi="宋体" w:cs="Arial"/>
                <w:color w:val="auto"/>
                <w:sz w:val="24"/>
                <w:highlight w:val="none"/>
                <w:lang w:val="en-US" w:eastAsia="zh-CN"/>
              </w:rPr>
              <w:t>10</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16</w:t>
            </w:r>
            <w:r>
              <w:rPr>
                <w:rFonts w:hint="eastAsia" w:ascii="宋体" w:hAnsi="宋体" w:cs="Arial"/>
                <w:color w:val="auto"/>
                <w:sz w:val="24"/>
                <w:highlight w:val="none"/>
              </w:rPr>
              <w:t>日</w:t>
            </w:r>
            <w:r>
              <w:rPr>
                <w:rFonts w:hint="eastAsia" w:ascii="宋体" w:hAnsi="宋体" w:cs="Arial"/>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逾期送达的投标文件恕不接受</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bCs/>
                <w:color w:val="auto"/>
                <w:sz w:val="24"/>
                <w:highlight w:val="none"/>
              </w:rPr>
              <w:t>如投标人未在投标截止时间前完成电子投标文件的传输递交，其纸质备份投标文件也将为无效投标文件。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宋体" w:hAnsi="宋体"/>
                <w:color w:val="auto"/>
                <w:sz w:val="24"/>
                <w:highlight w:val="none"/>
              </w:rPr>
              <w:t>纸质备份</w:t>
            </w:r>
            <w:r>
              <w:rPr>
                <w:rFonts w:hint="eastAsia" w:asciiTheme="majorEastAsia" w:hAnsiTheme="majorEastAsia" w:eastAsiaTheme="majorEastAsia" w:cstheme="majorEastAsia"/>
                <w:color w:val="auto"/>
                <w:sz w:val="24"/>
                <w:highlight w:val="none"/>
              </w:rPr>
              <w:t>投标文件包装要求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投标文件中的报价文件必须与其他文件分开</w:t>
            </w:r>
            <w:r>
              <w:rPr>
                <w:rFonts w:hint="eastAsia" w:ascii="宋体" w:hAnsi="宋体" w:cs="宋体"/>
                <w:color w:val="auto"/>
                <w:sz w:val="24"/>
                <w:highlight w:val="none"/>
                <w:lang w:eastAsia="zh-CN"/>
              </w:rPr>
              <w:t>单独</w:t>
            </w:r>
            <w:r>
              <w:rPr>
                <w:rFonts w:hint="eastAsia" w:ascii="宋体" w:hAnsi="宋体" w:cs="宋体"/>
                <w:color w:val="auto"/>
                <w:sz w:val="24"/>
                <w:highlight w:val="none"/>
              </w:rPr>
              <w:t>密封包装。</w:t>
            </w:r>
          </w:p>
          <w:p>
            <w:pPr>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电子投标文件解密时间</w:t>
            </w:r>
          </w:p>
        </w:tc>
        <w:tc>
          <w:tcPr>
            <w:tcW w:w="63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时间：2019年10月16日上午9</w:t>
            </w:r>
            <w:r>
              <w:rPr>
                <w:rFonts w:hint="eastAsia" w:ascii="宋体" w:hAnsi="宋体"/>
                <w:color w:val="auto"/>
                <w:sz w:val="24"/>
                <w:highlight w:val="none"/>
                <w:lang w:val="en-US" w:eastAsia="zh-CN"/>
              </w:rPr>
              <w:t>:00～09:30</w:t>
            </w:r>
          </w:p>
          <w:p>
            <w:pPr>
              <w:spacing w:line="400" w:lineRule="exact"/>
              <w:rPr>
                <w:rFonts w:hint="eastAsia" w:asciiTheme="majorEastAsia" w:hAnsiTheme="majorEastAsia" w:eastAsiaTheme="majorEastAsia" w:cstheme="majorEastAsia"/>
                <w:color w:val="auto"/>
                <w:sz w:val="24"/>
                <w:highlight w:val="none"/>
              </w:rPr>
            </w:pPr>
            <w:r>
              <w:rPr>
                <w:rFonts w:hint="eastAsia" w:ascii="宋体" w:hAnsi="宋体"/>
                <w:color w:val="auto"/>
                <w:sz w:val="24"/>
                <w:highlight w:val="none"/>
              </w:rPr>
              <w:t>注意事项：</w:t>
            </w:r>
            <w:r>
              <w:rPr>
                <w:rFonts w:ascii="宋体"/>
                <w:color w:val="auto"/>
                <w:sz w:val="24"/>
                <w:highlight w:val="none"/>
              </w:rPr>
              <w:t>投标人可携带笔记本电脑及CA</w:t>
            </w:r>
            <w:r>
              <w:rPr>
                <w:rFonts w:hint="eastAsia" w:ascii="宋体" w:hAnsi="宋体"/>
                <w:color w:val="auto"/>
                <w:sz w:val="24"/>
                <w:highlight w:val="none"/>
              </w:rPr>
              <w:t>数字证书</w:t>
            </w:r>
            <w:r>
              <w:rPr>
                <w:rFonts w:ascii="宋体"/>
                <w:color w:val="auto"/>
                <w:sz w:val="24"/>
                <w:highlight w:val="none"/>
              </w:rPr>
              <w:t>至开标现场完成传输、解密等事宜。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color w:val="auto"/>
                <w:sz w:val="24"/>
                <w:highlight w:val="none"/>
              </w:rPr>
            </w:pPr>
            <w:r>
              <w:rPr>
                <w:rFonts w:hint="eastAsia" w:ascii="宋体" w:hAnsi="宋体"/>
                <w:color w:val="auto"/>
                <w:sz w:val="24"/>
                <w:highlight w:val="none"/>
              </w:rPr>
              <w:t>投标保证金</w:t>
            </w:r>
          </w:p>
        </w:tc>
        <w:tc>
          <w:tcPr>
            <w:tcW w:w="63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3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供应商在签订合同前须交纳本项目履约保证金为合同金额的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（履约保证金应采用银行保函保证方式）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实质性条款</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w:t>
            </w:r>
            <w:r>
              <w:rPr>
                <w:rFonts w:hint="eastAsia" w:asciiTheme="majorEastAsia" w:hAnsiTheme="majorEastAsia" w:eastAsiaTheme="majorEastAsia" w:cstheme="maj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解释权</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r>
              <w:rPr>
                <w:rFonts w:hint="eastAsia" w:cs="Arial" w:asciiTheme="minorEastAsia" w:hAnsiTheme="minorEastAsia" w:eastAsiaTheme="minorEastAsia"/>
                <w:color w:val="auto"/>
                <w:sz w:val="24"/>
                <w:highlight w:val="none"/>
                <w:lang w:eastAsia="zh-CN"/>
              </w:rPr>
              <w:t>。</w:t>
            </w:r>
          </w:p>
        </w:tc>
      </w:tr>
    </w:tbl>
    <w:p>
      <w:pPr>
        <w:pStyle w:val="11"/>
        <w:snapToGrid w:val="0"/>
        <w:spacing w:before="120" w:after="120" w:line="360" w:lineRule="auto"/>
        <w:rPr>
          <w:rFonts w:asciiTheme="minorEastAsia" w:hAnsiTheme="minorEastAsia" w:eastAsiaTheme="minorEastAsia"/>
          <w:b/>
          <w:color w:val="auto"/>
          <w:sz w:val="24"/>
          <w:highlight w:val="none"/>
        </w:rPr>
      </w:pPr>
    </w:p>
    <w:p>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4"/>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宋体" w:hAnsi="宋体"/>
          <w:b/>
          <w:color w:val="auto"/>
          <w:kern w:val="0"/>
          <w:sz w:val="24"/>
          <w:highlight w:val="none"/>
        </w:rPr>
        <w:t>投标文件的形式和效力</w:t>
      </w:r>
    </w:p>
    <w:p>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1、投标文件分为电子投标文件以及纸质备份投标文件两部分。电子投标文件按政采云平台供应商项目采购</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lang w:eastAsia="zh-CN"/>
        </w:rPr>
        <w:t>电子招投标操作指南（网址：https://help.zcygov.cn/web/site_2/2018/12-28/2573.html）及本招标文件要求制作、加密并递交；纸质备份投标文件系电子投标文件纸质版，按照“</w:t>
      </w:r>
      <w:r>
        <w:rPr>
          <w:rFonts w:hint="eastAsia" w:asciiTheme="minorEastAsia" w:hAnsiTheme="minorEastAsia"/>
          <w:b/>
          <w:bCs/>
          <w:color w:val="auto"/>
          <w:sz w:val="24"/>
          <w:highlight w:val="none"/>
          <w:lang w:eastAsia="zh-CN"/>
        </w:rPr>
        <w:t>纸质备份</w:t>
      </w:r>
      <w:r>
        <w:rPr>
          <w:rFonts w:hint="eastAsia" w:asciiTheme="minorEastAsia" w:hAnsiTheme="minorEastAsia"/>
          <w:b/>
          <w:bCs/>
          <w:color w:val="auto"/>
          <w:sz w:val="24"/>
          <w:highlight w:val="none"/>
        </w:rPr>
        <w:t>投标文件的封装要求</w:t>
      </w:r>
      <w:r>
        <w:rPr>
          <w:rFonts w:hint="eastAsia" w:ascii="宋体" w:hAnsi="宋体" w:eastAsia="宋体" w:cs="宋体"/>
          <w:b w:val="0"/>
          <w:bCs/>
          <w:color w:val="auto"/>
          <w:sz w:val="24"/>
          <w:highlight w:val="none"/>
          <w:lang w:eastAsia="zh-CN"/>
        </w:rPr>
        <w:t>”制作。</w:t>
      </w:r>
    </w:p>
    <w:p>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2、投标文件的启用，按先后顺位分别为电子投标文件、纸质备份投标文件。因网络或者其他问题造成电子投标文件无法正常解密</w:t>
      </w:r>
      <w:r>
        <w:rPr>
          <w:rFonts w:hint="eastAsia" w:ascii="宋体" w:hAnsi="宋体" w:cs="宋体"/>
          <w:b w:val="0"/>
          <w:bCs/>
          <w:color w:val="auto"/>
          <w:sz w:val="24"/>
          <w:highlight w:val="none"/>
          <w:lang w:eastAsia="zh-CN"/>
        </w:rPr>
        <w:t>的</w:t>
      </w:r>
      <w:r>
        <w:rPr>
          <w:rFonts w:hint="eastAsia" w:ascii="宋体" w:hAnsi="宋体" w:eastAsia="宋体" w:cs="宋体"/>
          <w:b w:val="0"/>
          <w:bCs/>
          <w:color w:val="auto"/>
          <w:sz w:val="24"/>
          <w:highlight w:val="none"/>
          <w:lang w:eastAsia="zh-CN"/>
        </w:rPr>
        <w:t>，启用纸质备份投标文件。纸质备份投标文件一旦启用，则电子投标文件失效，不予启用。</w:t>
      </w:r>
    </w:p>
    <w:p>
      <w:pPr>
        <w:snapToGrid w:val="0"/>
        <w:spacing w:line="360" w:lineRule="auto"/>
        <w:ind w:firstLine="482" w:firstLineChars="20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（二）投标文件的组成</w:t>
      </w:r>
    </w:p>
    <w:p>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  投标文件（包含电子投标文件和纸质备份投标文件）分为【资格证明文件】、【商务</w:t>
      </w:r>
      <w:r>
        <w:rPr>
          <w:rFonts w:hint="eastAsia" w:ascii="宋体" w:hAnsi="宋体" w:cs="宋体"/>
          <w:b w:val="0"/>
          <w:bCs/>
          <w:color w:val="auto"/>
          <w:sz w:val="24"/>
          <w:highlight w:val="none"/>
          <w:lang w:eastAsia="zh-CN"/>
        </w:rPr>
        <w:t>与</w:t>
      </w:r>
      <w:r>
        <w:rPr>
          <w:rFonts w:hint="eastAsia" w:ascii="宋体" w:hAnsi="宋体" w:eastAsia="宋体" w:cs="宋体"/>
          <w:b w:val="0"/>
          <w:bCs/>
          <w:color w:val="auto"/>
          <w:sz w:val="24"/>
          <w:highlight w:val="none"/>
          <w:lang w:eastAsia="zh-CN"/>
        </w:rPr>
        <w:t>技术文件】和【报价文件】。其中电子投标文件中所须加盖公章部分均采用CA签章。</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w:t>
      </w:r>
      <w:r>
        <w:rPr>
          <w:rFonts w:hint="eastAsia" w:ascii="宋体" w:hAnsi="宋体" w:cs="宋体"/>
          <w:color w:val="auto"/>
          <w:sz w:val="24"/>
          <w:highlight w:val="none"/>
          <w:lang w:eastAsia="zh-CN"/>
        </w:rPr>
        <w:t>相关</w:t>
      </w:r>
      <w:r>
        <w:rPr>
          <w:rFonts w:hint="eastAsia" w:ascii="宋体" w:hAnsi="宋体" w:cs="宋体"/>
          <w:color w:val="auto"/>
          <w:sz w:val="24"/>
          <w:highlight w:val="none"/>
        </w:rPr>
        <w:t>证书复印件（投标供应商特定条件中有要求的必须提供），以及</w:t>
      </w:r>
      <w:r>
        <w:rPr>
          <w:rFonts w:hint="eastAsia" w:ascii="宋体" w:hAnsi="宋体" w:cs="宋体"/>
          <w:color w:val="auto"/>
          <w:sz w:val="24"/>
          <w:highlight w:val="none"/>
          <w:lang w:eastAsia="zh-CN"/>
        </w:rPr>
        <w:t>评标时</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7"/>
        <w:widowControl/>
        <w:adjustRightInd w:val="0"/>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autoSpaceDE w:val="0"/>
        <w:autoSpaceDN w:val="0"/>
        <w:adjustRightInd w:val="0"/>
        <w:spacing w:line="360" w:lineRule="auto"/>
        <w:ind w:firstLine="482" w:firstLineChars="200"/>
        <w:rPr>
          <w:rFonts w:hint="eastAsia"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color w:val="auto"/>
          <w:sz w:val="24"/>
          <w:highlight w:val="none"/>
        </w:rPr>
        <w:t>投标人</w:t>
      </w:r>
      <w:r>
        <w:rPr>
          <w:rFonts w:hint="eastAsia" w:asciiTheme="minorEastAsia" w:hAnsiTheme="minorEastAsia"/>
          <w:color w:val="auto"/>
          <w:sz w:val="24"/>
          <w:highlight w:val="none"/>
        </w:rPr>
        <w:t>应</w:t>
      </w:r>
      <w:r>
        <w:rPr>
          <w:rFonts w:hint="eastAsia" w:asciiTheme="minorEastAsia" w:hAnsiTheme="minorEastAsia" w:eastAsiaTheme="minorEastAsia"/>
          <w:color w:val="auto"/>
          <w:sz w:val="24"/>
          <w:highlight w:val="none"/>
        </w:rPr>
        <w:t>按照</w:t>
      </w:r>
      <w:r>
        <w:rPr>
          <w:rFonts w:hint="eastAsia" w:asciiTheme="minorEastAsia" w:hAnsiTheme="minorEastAsia"/>
          <w:color w:val="auto"/>
          <w:sz w:val="24"/>
          <w:highlight w:val="none"/>
        </w:rPr>
        <w:t>投标文件组成内容</w:t>
      </w:r>
      <w:r>
        <w:rPr>
          <w:rFonts w:hint="eastAsia" w:asciiTheme="minorEastAsia" w:hAnsiTheme="minorEastAsia" w:eastAsiaTheme="minorEastAsia"/>
          <w:color w:val="auto"/>
          <w:sz w:val="24"/>
          <w:highlight w:val="none"/>
        </w:rPr>
        <w:t>及项目招标需求制作投标文件，</w:t>
      </w:r>
      <w:r>
        <w:rPr>
          <w:rFonts w:hint="eastAsia" w:asciiTheme="minorEastAsia" w:hAnsiTheme="minorEastAsia" w:eastAsiaTheme="minorEastAsia"/>
          <w:color w:val="auto"/>
          <w:kern w:val="0"/>
          <w:sz w:val="24"/>
          <w:highlight w:val="none"/>
        </w:rPr>
        <w:t>不按招标文件要求制作投标文件的将视情</w:t>
      </w:r>
      <w:r>
        <w:rPr>
          <w:rFonts w:hint="eastAsia" w:asciiTheme="minorEastAsia" w:hAnsiTheme="minorEastAsia"/>
          <w:color w:val="auto"/>
          <w:kern w:val="0"/>
          <w:sz w:val="24"/>
          <w:highlight w:val="none"/>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宋体" w:hAnsi="宋体"/>
          <w:color w:val="auto"/>
          <w:sz w:val="24"/>
          <w:highlight w:val="none"/>
        </w:rPr>
        <w:t>（2）投标人应对所提供的全部资料的真实性承担法律责任，</w:t>
      </w:r>
      <w:r>
        <w:rPr>
          <w:rFonts w:hint="eastAsia" w:asciiTheme="minorEastAsia" w:hAnsiTheme="minorEastAsia"/>
          <w:color w:val="auto"/>
          <w:kern w:val="0"/>
          <w:sz w:val="24"/>
          <w:highlight w:val="none"/>
          <w:lang w:val="zh-CN"/>
        </w:rPr>
        <w:t>投标文件</w:t>
      </w:r>
      <w:r>
        <w:rPr>
          <w:rFonts w:hint="eastAsia" w:asciiTheme="minorEastAsia" w:hAnsiTheme="minorEastAsia" w:eastAsiaTheme="minorEastAsia"/>
          <w:color w:val="auto"/>
          <w:kern w:val="0"/>
          <w:sz w:val="24"/>
          <w:highlight w:val="none"/>
          <w:lang w:val="zh-CN"/>
        </w:rPr>
        <w:t>内</w:t>
      </w:r>
      <w:r>
        <w:rPr>
          <w:rFonts w:hint="eastAsia" w:asciiTheme="minorEastAsia" w:hAnsiTheme="minorEastAsia"/>
          <w:color w:val="auto"/>
          <w:kern w:val="0"/>
          <w:sz w:val="24"/>
          <w:highlight w:val="none"/>
          <w:lang w:val="zh-CN"/>
        </w:rPr>
        <w:t>容中</w:t>
      </w:r>
      <w:r>
        <w:rPr>
          <w:rFonts w:hint="eastAsia" w:asciiTheme="minorEastAsia" w:hAnsiTheme="minorEastAsia" w:eastAsiaTheme="minorEastAsia"/>
          <w:color w:val="auto"/>
          <w:kern w:val="0"/>
          <w:sz w:val="24"/>
          <w:highlight w:val="none"/>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lang w:val="zh-CN"/>
        </w:rPr>
        <w:t>（</w:t>
      </w:r>
      <w:r>
        <w:rPr>
          <w:rFonts w:hint="eastAsia" w:asciiTheme="minorEastAsia" w:hAnsiTheme="minorEastAsia"/>
          <w:color w:val="auto"/>
          <w:kern w:val="0"/>
          <w:sz w:val="24"/>
          <w:highlight w:val="none"/>
        </w:rPr>
        <w:t>3</w:t>
      </w:r>
      <w:r>
        <w:rPr>
          <w:rFonts w:hint="eastAsia" w:asciiTheme="minorEastAsia" w:hAnsiTheme="minorEastAsia"/>
          <w:color w:val="auto"/>
          <w:kern w:val="0"/>
          <w:sz w:val="24"/>
          <w:highlight w:val="none"/>
          <w:lang w:val="zh-CN"/>
        </w:rPr>
        <w:t>）</w:t>
      </w:r>
      <w:r>
        <w:rPr>
          <w:rFonts w:asciiTheme="minorEastAsia" w:hAnsiTheme="minorEastAsia" w:eastAsiaTheme="minorEastAsia"/>
          <w:color w:val="auto"/>
          <w:sz w:val="24"/>
          <w:highlight w:val="none"/>
        </w:rPr>
        <w:t>投标文件以及投标人与</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就有关投标事宜的所有来往函电，均应以中文汉语书写。除</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eastAsiaTheme="minorEastAsia"/>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（5）</w:t>
      </w:r>
      <w:r>
        <w:rPr>
          <w:rFonts w:asciiTheme="minorEastAsia" w:hAnsiTheme="minorEastAsia" w:eastAsiaTheme="minorEastAsia"/>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rPr>
        <w:t>（6）</w:t>
      </w:r>
      <w:r>
        <w:rPr>
          <w:rFonts w:hint="eastAsia" w:asciiTheme="minorEastAsia" w:hAnsiTheme="minorEastAsia" w:eastAsiaTheme="minorEastAsia"/>
          <w:color w:val="auto"/>
          <w:sz w:val="24"/>
          <w:highlight w:val="none"/>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w:t>
      </w:r>
      <w:r>
        <w:rPr>
          <w:rFonts w:hint="eastAsia" w:asciiTheme="minorEastAsia" w:hAnsiTheme="minorEastAsia"/>
          <w:b/>
          <w:bCs/>
          <w:color w:val="auto"/>
          <w:sz w:val="24"/>
          <w:highlight w:val="none"/>
          <w:lang w:eastAsia="zh-CN"/>
        </w:rPr>
        <w:t>纸质备份</w:t>
      </w:r>
      <w:r>
        <w:rPr>
          <w:rFonts w:hint="eastAsia" w:asciiTheme="minorEastAsia" w:hAnsiTheme="minorEastAsia"/>
          <w:b/>
          <w:bCs/>
          <w:color w:val="auto"/>
          <w:sz w:val="24"/>
          <w:highlight w:val="none"/>
        </w:rPr>
        <w:t>投标文件的封装要求</w:t>
      </w:r>
    </w:p>
    <w:p>
      <w:pPr>
        <w:autoSpaceDE w:val="0"/>
        <w:autoSpaceDN w:val="0"/>
        <w:adjustRightInd w:val="0"/>
        <w:spacing w:line="360" w:lineRule="auto"/>
        <w:ind w:firstLine="475" w:firstLineChars="198"/>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（1）投标文件份数：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u w:val="single"/>
        </w:rPr>
        <w:t xml:space="preserve"> 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。投标文件的正本封面必须注明“正本”字样，副本可以采用正本的复印件。</w:t>
      </w:r>
      <w:r>
        <w:rPr>
          <w:rFonts w:hint="eastAsia" w:asciiTheme="minorEastAsia" w:hAnsiTheme="minorEastAsia" w:eastAsiaTheme="minorEastAsia"/>
          <w:color w:val="auto"/>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（2）所有投标资料按投标文件的组成所列内容及顺序装订成册，</w:t>
      </w:r>
      <w:r>
        <w:rPr>
          <w:rFonts w:hint="eastAsia" w:asciiTheme="minorEastAsia" w:hAnsiTheme="minorEastAsia" w:eastAsiaTheme="minorEastAsia"/>
          <w:color w:val="auto"/>
          <w:sz w:val="24"/>
          <w:highlight w:val="none"/>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（3）请在密封袋的封口处应有投标单位公章或投标全权代表签字。封皮上写明项目编号、标段、招标项目名称、投标人名称，并注明“投标文件名称（资格证明文件、</w:t>
      </w:r>
      <w:r>
        <w:rPr>
          <w:rFonts w:hint="eastAsia" w:ascii="宋体" w:hAnsi="宋体"/>
          <w:bCs/>
          <w:color w:val="auto"/>
          <w:sz w:val="24"/>
          <w:highlight w:val="none"/>
          <w:lang w:val="zh-CN"/>
        </w:rPr>
        <w:t>商务与技术文件</w:t>
      </w:r>
      <w:r>
        <w:rPr>
          <w:rFonts w:hint="eastAsia" w:asciiTheme="minorEastAsia" w:hAnsiTheme="minorEastAsia" w:eastAsiaTheme="minorEastAsia"/>
          <w:color w:val="auto"/>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color w:val="auto"/>
          <w:sz w:val="24"/>
          <w:highlight w:val="none"/>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（1）必须在规定时间前</w:t>
      </w:r>
      <w:r>
        <w:rPr>
          <w:rFonts w:hint="eastAsia" w:asciiTheme="minorEastAsia" w:hAnsiTheme="minorEastAsia" w:eastAsiaTheme="minorEastAsia"/>
          <w:color w:val="auto"/>
          <w:kern w:val="0"/>
          <w:sz w:val="24"/>
          <w:highlight w:val="none"/>
          <w:lang w:eastAsia="zh-CN"/>
        </w:rPr>
        <w:t>网上传输递交电子投标文件和</w:t>
      </w:r>
      <w:r>
        <w:rPr>
          <w:rFonts w:hint="eastAsia" w:asciiTheme="minorEastAsia" w:hAnsiTheme="minorEastAsia" w:eastAsiaTheme="minorEastAsia"/>
          <w:color w:val="auto"/>
          <w:kern w:val="0"/>
          <w:sz w:val="24"/>
          <w:highlight w:val="none"/>
        </w:rPr>
        <w:t>派人</w:t>
      </w:r>
      <w:r>
        <w:rPr>
          <w:rFonts w:hint="eastAsia" w:asciiTheme="minorEastAsia" w:hAnsiTheme="minorEastAsia" w:eastAsiaTheme="minorEastAsia"/>
          <w:color w:val="auto"/>
          <w:kern w:val="0"/>
          <w:sz w:val="24"/>
          <w:highlight w:val="none"/>
          <w:lang w:eastAsia="zh-CN"/>
        </w:rPr>
        <w:t>将</w:t>
      </w:r>
      <w:r>
        <w:rPr>
          <w:rFonts w:hint="eastAsia" w:ascii="宋体" w:hAnsi="宋体" w:eastAsia="宋体" w:cs="宋体"/>
          <w:b w:val="0"/>
          <w:bCs/>
          <w:color w:val="auto"/>
          <w:sz w:val="24"/>
          <w:highlight w:val="none"/>
          <w:lang w:eastAsia="zh-CN"/>
        </w:rPr>
        <w:t>纸质备份投标文件</w:t>
      </w:r>
      <w:r>
        <w:rPr>
          <w:rFonts w:hint="eastAsia" w:asciiTheme="minorEastAsia" w:hAnsiTheme="minorEastAsia" w:eastAsiaTheme="minorEastAsia"/>
          <w:color w:val="auto"/>
          <w:kern w:val="0"/>
          <w:sz w:val="24"/>
          <w:highlight w:val="none"/>
        </w:rPr>
        <w:t>送达指定的投标地点。投标文件在截止时间后提交</w:t>
      </w:r>
      <w:r>
        <w:rPr>
          <w:rFonts w:hint="eastAsia" w:asciiTheme="minorEastAsia" w:hAnsiTheme="minorEastAsia" w:eastAsiaTheme="minorEastAsia"/>
          <w:color w:val="auto"/>
          <w:kern w:val="0"/>
          <w:sz w:val="24"/>
          <w:highlight w:val="none"/>
          <w:lang w:eastAsia="zh-CN"/>
        </w:rPr>
        <w:t>的</w:t>
      </w:r>
      <w:r>
        <w:rPr>
          <w:rFonts w:hint="eastAsia" w:asciiTheme="minorEastAsia" w:hAnsiTheme="minorEastAsia" w:eastAsiaTheme="minorEastAsia"/>
          <w:color w:val="auto"/>
          <w:kern w:val="0"/>
          <w:sz w:val="24"/>
          <w:highlight w:val="none"/>
        </w:rPr>
        <w:t>，采购组织机构将拒绝接收。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截止时间</w:t>
      </w:r>
      <w:r>
        <w:rPr>
          <w:rFonts w:hint="eastAsia" w:ascii="宋体"/>
          <w:color w:val="auto"/>
          <w:kern w:val="0"/>
          <w:sz w:val="24"/>
          <w:highlight w:val="none"/>
        </w:rPr>
        <w:t>以前将书面的修改文件或撤消通知送达采购组织机构。电子投标文件的补充或者修改，应当先行撤回原文件，补充、修改后重新传输递交</w:t>
      </w:r>
      <w:r>
        <w:rPr>
          <w:rFonts w:hint="eastAsia" w:ascii="宋体"/>
          <w:color w:val="auto"/>
          <w:kern w:val="0"/>
          <w:sz w:val="24"/>
          <w:highlight w:val="none"/>
          <w:lang w:eastAsia="zh-CN"/>
        </w:rPr>
        <w:t>，</w:t>
      </w:r>
      <w:r>
        <w:rPr>
          <w:rFonts w:hint="eastAsia" w:ascii="宋体"/>
          <w:color w:val="auto"/>
          <w:kern w:val="0"/>
          <w:sz w:val="24"/>
          <w:highlight w:val="none"/>
        </w:rPr>
        <w:t>投标截止时间前未完成传输的，视为撤回投标文件。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lang w:eastAsia="zh-CN"/>
        </w:rPr>
        <w:t>纸质备份的</w:t>
      </w:r>
      <w:r>
        <w:rPr>
          <w:rFonts w:hint="eastAsia" w:asciiTheme="minorEastAsia" w:hAnsiTheme="minorEastAsia" w:eastAsiaTheme="minorEastAsia"/>
          <w:color w:val="auto"/>
          <w:kern w:val="0"/>
          <w:sz w:val="24"/>
          <w:highlight w:val="none"/>
        </w:rPr>
        <w:t>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（一）开标事项</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采购组织机构按照采购文件规定的时间通过电子交易平台组织开标、开启投标文件，所有供应商均应当准时在线参加。</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开标时，电子交易平台自动提取所有投标文件，提示采购组织机构和供应商按采购文件规定的方式和时间在线解密。给予供应商在线解密的时间为截止投标后30分钟。</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投标文件未按时解密，供应商提供了备份纸质备份投标文件的，以备份纸质备份投标文件作为依据，否则视为投标文件撤回。投标文件已按时解密的，纸质备份投标文件不再拆封。</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采购组织机构在“招标公告”规定的时间和地点公开开标，投标人的法定代表人或其授权代表应参加开标会并签到。</w:t>
      </w:r>
      <w:r>
        <w:rPr>
          <w:rFonts w:asciiTheme="minorEastAsia" w:hAnsiTheme="minorEastAsia" w:eastAsiaTheme="minorEastAsia"/>
          <w:bCs/>
          <w:color w:val="auto"/>
          <w:sz w:val="24"/>
          <w:highlight w:val="none"/>
        </w:rPr>
        <w:t>投标人的法定代表人或其授权代表未按时签到的，视同放弃开标监督权利、认可开标结果。</w:t>
      </w:r>
      <w:r>
        <w:rPr>
          <w:rFonts w:hint="eastAsia" w:asciiTheme="minorEastAsia" w:hAnsiTheme="minorEastAsia" w:eastAsiaTheme="minorEastAsia"/>
          <w:bCs/>
          <w:color w:val="auto"/>
          <w:sz w:val="24"/>
          <w:highlight w:val="none"/>
        </w:rPr>
        <w:t>采购组织机构</w:t>
      </w:r>
      <w:r>
        <w:rPr>
          <w:rFonts w:asciiTheme="minorEastAsia" w:hAnsiTheme="minorEastAsia" w:eastAsiaTheme="minorEastAsia"/>
          <w:bCs/>
          <w:color w:val="auto"/>
          <w:sz w:val="24"/>
          <w:highlight w:val="none"/>
        </w:rPr>
        <w:t>工作人员接收投标文件并登记，并由供应商代表对递交记录情况进行</w:t>
      </w:r>
      <w:r>
        <w:rPr>
          <w:rFonts w:hint="eastAsia" w:asciiTheme="minorEastAsia" w:hAnsiTheme="minorEastAsia" w:eastAsiaTheme="minorEastAsia"/>
          <w:bCs/>
          <w:color w:val="auto"/>
          <w:sz w:val="24"/>
          <w:highlight w:val="none"/>
        </w:rPr>
        <w:t>签字</w:t>
      </w:r>
      <w:r>
        <w:rPr>
          <w:rFonts w:asciiTheme="minorEastAsia" w:hAnsiTheme="minorEastAsia" w:eastAsiaTheme="minorEastAsia"/>
          <w:bCs/>
          <w:color w:val="auto"/>
          <w:sz w:val="24"/>
          <w:highlight w:val="none"/>
        </w:rPr>
        <w:t>确认。</w:t>
      </w:r>
      <w:r>
        <w:rPr>
          <w:rFonts w:hint="eastAsia" w:asciiTheme="minorEastAsia" w:hAnsiTheme="minorEastAsia" w:eastAsiaTheme="minorEastAsia"/>
          <w:bCs/>
          <w:color w:val="auto"/>
          <w:sz w:val="24"/>
          <w:highlight w:val="none"/>
        </w:rPr>
        <w:t>评标委员会成员不得参加开标活动</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 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1、开标会由招标项目负责人主持，主持人宣布开标会议开始；</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2、主持人介绍参加开标会的人员名单； </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3、主持人宣布评标期间的有关事项，告知应当回避的情形,提请有关人员回避；</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4、投标人或其当场推荐的代表，检查投标文件密封的完整性；</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5、按投标文件递交的先后顺序当场拆封</w:t>
      </w:r>
      <w:r>
        <w:rPr>
          <w:rFonts w:hint="eastAsia" w:asciiTheme="minorEastAsia" w:hAnsiTheme="minorEastAsia" w:eastAsiaTheme="minorEastAsia"/>
          <w:color w:val="auto"/>
          <w:kern w:val="0"/>
          <w:sz w:val="24"/>
          <w:highlight w:val="none"/>
        </w:rPr>
        <w:t>资格证明文件、</w:t>
      </w:r>
      <w:r>
        <w:rPr>
          <w:rFonts w:hint="eastAsia" w:hAnsi="宋体"/>
          <w:bCs/>
          <w:color w:val="auto"/>
          <w:sz w:val="24"/>
          <w:highlight w:val="none"/>
          <w:lang w:val="zh-CN"/>
        </w:rPr>
        <w:t>商务与技术文件</w:t>
      </w:r>
      <w:r>
        <w:rPr>
          <w:rFonts w:hint="eastAsia" w:asciiTheme="minorEastAsia" w:hAnsiTheme="minorEastAsia" w:eastAsiaTheme="minorEastAsia"/>
          <w:color w:val="auto"/>
          <w:sz w:val="24"/>
          <w:highlight w:val="none"/>
        </w:rPr>
        <w:t>后，进入资格审查及符合性审查环节；</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w:t>
      </w:r>
      <w:r>
        <w:rPr>
          <w:rFonts w:ascii="Arial" w:hAnsi="Arial" w:cs="Arial"/>
          <w:color w:val="auto"/>
          <w:sz w:val="24"/>
          <w:highlight w:val="none"/>
        </w:rPr>
        <w:t>综合比较与评价</w:t>
      </w:r>
      <w:r>
        <w:rPr>
          <w:rFonts w:hint="eastAsia" w:ascii="Arial" w:hAnsi="Arial" w:cs="Arial"/>
          <w:color w:val="auto"/>
          <w:sz w:val="24"/>
          <w:highlight w:val="none"/>
        </w:rPr>
        <w:t>后，</w:t>
      </w:r>
      <w:r>
        <w:rPr>
          <w:rFonts w:hint="eastAsia" w:asciiTheme="minorEastAsia" w:hAnsiTheme="minorEastAsia" w:eastAsiaTheme="minorEastAsia"/>
          <w:color w:val="auto"/>
          <w:sz w:val="24"/>
          <w:highlight w:val="none"/>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8、在完成评标后，宣布评标结果，开标会议结束。</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1"/>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snapToGrid w:val="0"/>
        <w:spacing w:line="360" w:lineRule="auto"/>
        <w:ind w:firstLine="480" w:firstLineChars="200"/>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评审中需要供应商对投标文件作出澄清、说明或者补正的，评审小组和供应商应当通过电子交易平台交换数据电文。给予供应商提交澄清说明或补正的时间为30分钟，供应商已经明确表示澄清说明或补正完毕的除外。</w:t>
      </w:r>
    </w:p>
    <w:p>
      <w:pPr>
        <w:snapToGrid w:val="0"/>
        <w:spacing w:line="360" w:lineRule="auto"/>
        <w:ind w:firstLine="480" w:firstLineChars="200"/>
        <w:rPr>
          <w:rFonts w:hint="default" w:eastAsia="宋体"/>
          <w:color w:val="auto"/>
          <w:highlight w:val="none"/>
          <w:lang w:val="en-US" w:eastAsia="zh-CN"/>
        </w:rPr>
      </w:pPr>
      <w:r>
        <w:rPr>
          <w:rFonts w:hint="eastAsia" w:asciiTheme="minorEastAsia" w:hAnsiTheme="minorEastAsia"/>
          <w:color w:val="auto"/>
          <w:sz w:val="24"/>
          <w:highlight w:val="none"/>
          <w:lang w:val="en-US" w:eastAsia="zh-CN"/>
        </w:rPr>
        <w:t>本次采购项目，采购组织机构可能在投标截止时间以后的某些环节以纸质形式进行。</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eastAsia="zh-CN"/>
        </w:rPr>
        <w:t>纸质备份的</w:t>
      </w:r>
      <w:r>
        <w:rPr>
          <w:rFonts w:hint="eastAsia" w:asciiTheme="minorEastAsia" w:hAnsiTheme="minorEastAsia" w:eastAsiaTheme="minorEastAsia"/>
          <w:color w:val="auto"/>
          <w:kern w:val="0"/>
          <w:sz w:val="24"/>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11、</w:t>
      </w:r>
      <w:r>
        <w:rPr>
          <w:rFonts w:asciiTheme="minorEastAsia" w:hAnsiTheme="minorEastAsia" w:eastAsiaTheme="minorEastAsia"/>
          <w:color w:val="auto"/>
          <w:highlight w:val="none"/>
        </w:rPr>
        <w:t>电子投标文件解密失败的，且未在规定时间内提交纸质备份投标文件的；</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12、</w:t>
      </w:r>
      <w:r>
        <w:rPr>
          <w:rFonts w:asciiTheme="minorEastAsia" w:hAnsiTheme="minorEastAsia" w:eastAsiaTheme="minorEastAsia"/>
          <w:color w:val="auto"/>
          <w:highlight w:val="none"/>
        </w:rPr>
        <w:t>电子投标文件未按规定要求</w:t>
      </w:r>
      <w:r>
        <w:rPr>
          <w:rFonts w:hint="eastAsia" w:asciiTheme="minorEastAsia" w:hAnsiTheme="minorEastAsia" w:eastAsiaTheme="minorEastAsia"/>
          <w:color w:val="auto"/>
          <w:highlight w:val="none"/>
          <w:lang w:eastAsia="zh-CN"/>
        </w:rPr>
        <w:t>进行</w:t>
      </w:r>
      <w:r>
        <w:rPr>
          <w:rFonts w:asciiTheme="minorEastAsia" w:hAnsiTheme="minorEastAsia" w:eastAsiaTheme="minorEastAsia"/>
          <w:color w:val="auto"/>
          <w:highlight w:val="none"/>
        </w:rPr>
        <w:t>电子签章的。</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autoSpaceDE w:val="0"/>
        <w:autoSpaceDN w:val="0"/>
        <w:adjustRightInd w:val="0"/>
        <w:spacing w:line="420" w:lineRule="exact"/>
        <w:ind w:left="480"/>
        <w:rPr>
          <w:rFonts w:ascii="宋体" w:hAnsi="宋体"/>
          <w:b/>
          <w:color w:val="auto"/>
          <w:kern w:val="0"/>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电子交易异常情形处理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采购过程中出现以下情形，导致电子交易平台无法正常运行，或者无法保证电子交易的公平、公正和安全时，采购组织机构可中止电子交易活动：</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（一）电子交易平台发生故障而无法登录访问的；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（二）电子交易平台应用或数据库出现错误，不能进行正常操作的；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（三）电子交易平台发现严重安全漏洞，有潜在泄密危险的；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（四）病毒发作导致不能进行正常操作的；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（五）其他无法保证电子交易的公平、公正和安全的情况。</w:t>
      </w:r>
    </w:p>
    <w:p>
      <w:pPr>
        <w:pStyle w:val="16"/>
        <w:spacing w:before="0" w:beforeAutospacing="0" w:after="0" w:afterAutospacing="0" w:line="360" w:lineRule="auto"/>
        <w:ind w:firstLine="600" w:firstLineChars="25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出现前款规定情形，不影响采购公平、公正性的，采购组织机构可以待上述情形消除后继续组织电子交易活动</w:t>
      </w:r>
      <w:r>
        <w:rPr>
          <w:rFonts w:hint="eastAsia" w:asciiTheme="minorEastAsia" w:hAnsiTheme="minorEastAsia" w:eastAsiaTheme="minorEastAsia"/>
          <w:color w:val="auto"/>
          <w:highlight w:val="none"/>
          <w:lang w:eastAsia="zh-CN"/>
        </w:rPr>
        <w:t>，或启用纸质备份投标文件进行评标</w:t>
      </w:r>
      <w:r>
        <w:rPr>
          <w:rFonts w:asciiTheme="minorEastAsia" w:hAnsiTheme="minorEastAsia" w:eastAsiaTheme="minorEastAsia"/>
          <w:color w:val="auto"/>
          <w:highlight w:val="none"/>
        </w:rPr>
        <w:t>，也可以决定某些环节以纸质形式进行；影响或可能影响采购公平、公正性的，应当重新采购。</w:t>
      </w:r>
    </w:p>
    <w:p>
      <w:pPr>
        <w:numPr>
          <w:ilvl w:val="0"/>
          <w:numId w:val="6"/>
        </w:numPr>
        <w:autoSpaceDE w:val="0"/>
        <w:autoSpaceDN w:val="0"/>
        <w:adjustRightInd w:val="0"/>
        <w:spacing w:line="420" w:lineRule="exact"/>
        <w:ind w:left="48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评标原则和评标办法</w:t>
      </w:r>
    </w:p>
    <w:p>
      <w:pPr>
        <w:numPr>
          <w:ilvl w:val="0"/>
          <w:numId w:val="7"/>
        </w:numPr>
        <w:autoSpaceDE w:val="0"/>
        <w:autoSpaceDN w:val="0"/>
        <w:adjustRightInd w:val="0"/>
        <w:spacing w:line="4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numPr>
          <w:ilvl w:val="0"/>
          <w:numId w:val="7"/>
        </w:numPr>
        <w:autoSpaceDE w:val="0"/>
        <w:autoSpaceDN w:val="0"/>
        <w:adjustRightInd w:val="0"/>
        <w:spacing w:line="42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numPr>
          <w:ilvl w:val="0"/>
          <w:numId w:val="0"/>
        </w:numPr>
        <w:autoSpaceDE w:val="0"/>
        <w:autoSpaceDN w:val="0"/>
        <w:adjustRightInd w:val="0"/>
        <w:spacing w:line="420" w:lineRule="exact"/>
        <w:ind w:firstLine="482" w:firstLineChars="200"/>
        <w:rPr>
          <w:rFonts w:hint="eastAsia" w:cs="Times New Roman" w:asciiTheme="minorEastAsia" w:hAnsiTheme="minorEastAsia" w:eastAsiaTheme="minorEastAsia"/>
          <w:b/>
          <w:bCs/>
          <w:color w:val="auto"/>
          <w:kern w:val="0"/>
          <w:sz w:val="24"/>
          <w:szCs w:val="24"/>
          <w:highlight w:val="none"/>
          <w:lang w:val="en-US" w:eastAsia="zh-CN" w:bidi="ar-SA"/>
        </w:rPr>
      </w:pPr>
      <w:r>
        <w:rPr>
          <w:rFonts w:hint="eastAsia" w:cs="Times New Roman" w:asciiTheme="minorEastAsia" w:hAnsiTheme="minorEastAsia" w:eastAsiaTheme="minorEastAsia"/>
          <w:b/>
          <w:bCs/>
          <w:color w:val="auto"/>
          <w:kern w:val="0"/>
          <w:sz w:val="24"/>
          <w:szCs w:val="24"/>
          <w:highlight w:val="none"/>
          <w:lang w:val="en-US" w:eastAsia="zh-CN" w:bidi="ar-SA"/>
        </w:rPr>
        <w:t>（九）评标过程的监控</w:t>
      </w:r>
    </w:p>
    <w:p>
      <w:pPr>
        <w:pStyle w:val="16"/>
        <w:spacing w:before="0" w:beforeAutospacing="0" w:after="0" w:afterAutospacing="0" w:line="360" w:lineRule="auto"/>
        <w:ind w:firstLine="480" w:firstLineChars="200"/>
        <w:jc w:val="both"/>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六</w:t>
      </w:r>
      <w:r>
        <w:rPr>
          <w:rFonts w:asciiTheme="minorEastAsia" w:hAnsiTheme="minorEastAsia" w:eastAsiaTheme="minorEastAsia"/>
          <w:b/>
          <w:color w:val="auto"/>
          <w:highlight w:val="none"/>
        </w:rPr>
        <w:t>、定标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6"/>
        <w:spacing w:before="0" w:beforeAutospacing="0" w:after="0" w:afterAutospacing="0" w:line="360" w:lineRule="auto"/>
        <w:ind w:firstLine="424" w:firstLineChars="177"/>
        <w:jc w:val="both"/>
        <w:rPr>
          <w:rFonts w:hint="default"/>
          <w:color w:val="auto"/>
          <w:highlight w:val="none"/>
        </w:rPr>
      </w:pPr>
      <w:r>
        <w:rPr>
          <w:color w:val="auto"/>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6"/>
        <w:spacing w:before="0" w:beforeAutospacing="0" w:after="0" w:afterAutospacing="0" w:line="360" w:lineRule="auto"/>
        <w:ind w:firstLine="480" w:firstLineChars="200"/>
        <w:jc w:val="both"/>
        <w:rPr>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default"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（二）合同公告及备案</w:t>
      </w:r>
    </w:p>
    <w:p>
      <w:pPr>
        <w:pStyle w:val="3"/>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3"/>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1"/>
        <w:snapToGrid w:val="0"/>
        <w:spacing w:line="360" w:lineRule="auto"/>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45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12000元整</w:t>
      </w:r>
      <w:r>
        <w:rPr>
          <w:rFonts w:hint="eastAsia" w:ascii="宋体" w:hAnsi="宋体"/>
          <w:color w:val="auto"/>
          <w:sz w:val="24"/>
          <w:highlight w:val="none"/>
          <w:lang w:eastAsia="zh-CN"/>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s="Arial"/>
          <w:color w:val="auto"/>
          <w:sz w:val="24"/>
          <w:highlight w:val="none"/>
          <w:lang w:eastAsia="zh-CN"/>
        </w:rPr>
        <w:t>（</w:t>
      </w:r>
      <w:r>
        <w:rPr>
          <w:rFonts w:hint="eastAsia" w:ascii="宋体" w:hAnsi="宋体"/>
          <w:color w:val="auto"/>
          <w:sz w:val="24"/>
          <w:highlight w:val="none"/>
        </w:rPr>
        <w:t>招标代理服务费</w:t>
      </w:r>
      <w:r>
        <w:rPr>
          <w:rFonts w:hint="eastAsia" w:ascii="宋体" w:hAnsi="宋体" w:cs="Arial"/>
          <w:color w:val="auto"/>
          <w:sz w:val="24"/>
          <w:highlight w:val="none"/>
          <w:lang w:eastAsia="zh-CN"/>
        </w:rPr>
        <w:t>）</w:t>
      </w:r>
      <w:r>
        <w:rPr>
          <w:rFonts w:hint="eastAsia" w:ascii="宋体" w:hAnsi="宋体"/>
          <w:color w:val="auto"/>
          <w:sz w:val="24"/>
          <w:highlight w:val="none"/>
        </w:rPr>
        <w:t>汇入以下账户：</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420" w:lineRule="exact"/>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keepNext w:val="0"/>
        <w:keepLines w:val="0"/>
        <w:pageBreakBefore w:val="0"/>
        <w:widowControl w:val="0"/>
        <w:numPr>
          <w:ilvl w:val="0"/>
          <w:numId w:val="4"/>
        </w:numPr>
        <w:kinsoku/>
        <w:wordWrap/>
        <w:overflowPunct/>
        <w:topLinePunct w:val="0"/>
        <w:bidi w:val="0"/>
        <w:snapToGrid/>
        <w:spacing w:line="288" w:lineRule="auto"/>
        <w:jc w:val="center"/>
        <w:textAlignment w:val="auto"/>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keepNext w:val="0"/>
        <w:keepLines w:val="0"/>
        <w:pageBreakBefore w:val="0"/>
        <w:widowControl w:val="0"/>
        <w:kinsoku/>
        <w:wordWrap/>
        <w:overflowPunct/>
        <w:topLinePunct w:val="0"/>
        <w:autoSpaceDE w:val="0"/>
        <w:autoSpaceDN w:val="0"/>
        <w:bidi w:val="0"/>
        <w:snapToGrid/>
        <w:spacing w:line="288" w:lineRule="auto"/>
        <w:ind w:firstLine="480" w:firstLineChars="200"/>
        <w:textAlignment w:val="auto"/>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keepNext w:val="0"/>
        <w:keepLines w:val="0"/>
        <w:pageBreakBefore w:val="0"/>
        <w:widowControl w:val="0"/>
        <w:kinsoku/>
        <w:wordWrap/>
        <w:overflowPunct/>
        <w:topLinePunct w:val="0"/>
        <w:autoSpaceDE w:val="0"/>
        <w:autoSpaceDN w:val="0"/>
        <w:bidi w:val="0"/>
        <w:adjustRightInd w:val="0"/>
        <w:snapToGrid/>
        <w:spacing w:line="288" w:lineRule="auto"/>
        <w:ind w:left="19" w:leftChars="9" w:firstLine="458" w:firstLineChars="191"/>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0分，商务与技术评分</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0分</w:t>
      </w:r>
      <w:r>
        <w:rPr>
          <w:rFonts w:hint="eastAsia" w:asciiTheme="minorEastAsia" w:hAnsiTheme="minorEastAsia" w:eastAsiaTheme="minorEastAsia"/>
          <w:color w:val="auto"/>
          <w:kern w:val="0"/>
          <w:sz w:val="24"/>
          <w:highlight w:val="none"/>
        </w:rPr>
        <w:t>。合格投标人的评标得分为各项目汇总得分，</w:t>
      </w:r>
      <w:r>
        <w:rPr>
          <w:rFonts w:hint="eastAsia" w:asciiTheme="minorEastAsia" w:hAnsiTheme="minorEastAsia" w:eastAsiaTheme="minorEastAsia"/>
          <w:color w:val="auto"/>
          <w:kern w:val="0"/>
          <w:sz w:val="24"/>
          <w:highlight w:val="none"/>
          <w:u w:val="single"/>
          <w:lang w:val="zh-CN"/>
        </w:rPr>
        <w:t>总得分=商务与技术得分＋报价得分</w:t>
      </w:r>
      <w:r>
        <w:rPr>
          <w:rFonts w:hint="eastAsia" w:asciiTheme="minorEastAsia" w:hAnsiTheme="minorEastAsia" w:eastAsiaTheme="minorEastAsia"/>
          <w:color w:val="auto"/>
          <w:kern w:val="0"/>
          <w:sz w:val="24"/>
          <w:highlight w:val="none"/>
          <w:lang w:eastAsia="zh-CN"/>
        </w:rPr>
        <w:t>。中标候选资格按评标</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得分由高到低顺序排列，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得分相同的，按投标报价由低到高顺序排列；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得分且投标报价相同的，按</w:t>
      </w:r>
      <w:r>
        <w:rPr>
          <w:rFonts w:hint="eastAsia" w:asciiTheme="minorEastAsia" w:hAnsiTheme="minorEastAsia" w:eastAsiaTheme="minorEastAsia"/>
          <w:color w:val="auto"/>
          <w:kern w:val="0"/>
          <w:sz w:val="24"/>
          <w:highlight w:val="none"/>
          <w:lang w:val="zh-CN" w:eastAsia="zh-CN"/>
        </w:rPr>
        <w:t>商务与技术得分</w:t>
      </w:r>
      <w:r>
        <w:rPr>
          <w:rFonts w:hint="eastAsia" w:asciiTheme="minorEastAsia" w:hAnsiTheme="minorEastAsia" w:eastAsiaTheme="minorEastAsia"/>
          <w:color w:val="auto"/>
          <w:kern w:val="0"/>
          <w:sz w:val="24"/>
          <w:highlight w:val="none"/>
          <w:lang w:eastAsia="zh-CN"/>
        </w:rPr>
        <w:t>由高到低顺序排列。排名第一的投标人为中标候选人。评分过程中采用四舍五入法，并保留小数2位。</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商务与技术文件得分=评标委员会所有成员评分合计数/评标委员会组成人员数。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ascii="宋体" w:hAnsi="宋体"/>
          <w:color w:val="auto"/>
          <w:sz w:val="24"/>
          <w:highlight w:val="none"/>
          <w:u w:val="single"/>
        </w:rPr>
      </w:pPr>
      <w:r>
        <w:rPr>
          <w:rFonts w:hint="eastAsia"/>
          <w:color w:val="auto"/>
          <w:sz w:val="24"/>
          <w:highlight w:val="none"/>
          <w:u w:val="single"/>
        </w:rPr>
        <w:t>报价</w:t>
      </w:r>
      <w:r>
        <w:rPr>
          <w:rFonts w:hint="eastAsia"/>
          <w:color w:val="auto"/>
          <w:sz w:val="24"/>
          <w:highlight w:val="none"/>
          <w:u w:val="single"/>
          <w:lang w:eastAsia="zh-CN"/>
        </w:rPr>
        <w:t>得分</w:t>
      </w:r>
      <w:r>
        <w:rPr>
          <w:color w:val="auto"/>
          <w:sz w:val="24"/>
          <w:highlight w:val="none"/>
          <w:u w:val="single"/>
        </w:rPr>
        <w:t>=</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0%</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hint="eastAsia" w:ascii="宋体"/>
          <w:color w:val="auto"/>
          <w:sz w:val="24"/>
          <w:highlight w:val="none"/>
          <w:lang w:val="zh-CN"/>
        </w:rPr>
      </w:pPr>
      <w:r>
        <w:rPr>
          <w:rFonts w:hint="eastAsia" w:ascii="宋体"/>
          <w:color w:val="auto"/>
          <w:sz w:val="24"/>
          <w:highlight w:val="none"/>
          <w:lang w:val="zh-CN"/>
        </w:rPr>
        <w:t>（四）商务与技术评分细则（80分）</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701"/>
        <w:gridCol w:w="5868"/>
        <w:gridCol w:w="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3"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评议内容</w:t>
            </w:r>
          </w:p>
        </w:tc>
        <w:tc>
          <w:tcPr>
            <w:tcW w:w="5868"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评议标准</w:t>
            </w:r>
          </w:p>
        </w:tc>
        <w:tc>
          <w:tcPr>
            <w:tcW w:w="800"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24" w:hRule="atLeast"/>
        </w:trPr>
        <w:tc>
          <w:tcPr>
            <w:tcW w:w="582" w:type="dxa"/>
            <w:vMerge w:val="restart"/>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投标人综合实力</w:t>
            </w:r>
          </w:p>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（1）具有水利水电专业工程咨询单位资信评价甲级的得2分，其他不得分。 </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（2）具有水文水资源调查评价甲级资质的得1分，其他不得分。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trPr>
        <w:tc>
          <w:tcPr>
            <w:tcW w:w="582" w:type="dxa"/>
            <w:vMerge w:val="continue"/>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2015年1月1日（以获奖时间为准）以来，投标人获得过省级及以上部门颁发的水利类科技进步奖或创新奖，每有1个得2分，最高得6分。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注：提供证书或奖牌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0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类似服务业绩</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投标人自2015年1月1日（以完成时间为准）以来：</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（1）承担过省级及以上水域、岸线保护（或管理）等规划，每项得3分，最多得6分。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（2）承担过水域调查、水域（岸线）保护规划等水利管理与保护类相关导则、规范等编制的，每项得3分，最多得9分。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（3）承担过县级及以上水域调查、防洪能力调查等项目的，每项得1分，最多得3分。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sz w:val="21"/>
                <w:szCs w:val="21"/>
                <w:highlight w:val="none"/>
              </w:rPr>
              <w:t>（如</w:t>
            </w:r>
            <w:r>
              <w:rPr>
                <w:rFonts w:hint="eastAsia" w:asciiTheme="minorEastAsia" w:hAnsiTheme="minorEastAsia" w:eastAsiaTheme="minorEastAsia" w:cstheme="minorEastAsia"/>
                <w:color w:val="auto"/>
                <w:kern w:val="0"/>
                <w:sz w:val="21"/>
                <w:szCs w:val="21"/>
                <w:highlight w:val="none"/>
              </w:rPr>
              <w:t>合同等不能说明业绩要求的，另须提供业主证明等证明资料）、报告封面和扉页。</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78"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项目负责人资历及经验（8分）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（1）项目负责人具有教授级高工职称的得4分，高级工程师职称的得2分；具有注册咨询工程师、注册土木工程师资格证书的，每个</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分，最多</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rPr>
              <w:t>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（2）2015年1月1日</w:t>
            </w:r>
            <w:r>
              <w:rPr>
                <w:rFonts w:hint="eastAsia" w:asciiTheme="minorEastAsia" w:hAnsiTheme="minorEastAsia" w:eastAsiaTheme="minorEastAsia" w:cstheme="minorEastAsia"/>
                <w:color w:val="auto"/>
                <w:kern w:val="0"/>
                <w:sz w:val="21"/>
                <w:szCs w:val="21"/>
                <w:highlight w:val="none"/>
                <w:lang w:eastAsia="zh-CN"/>
              </w:rPr>
              <w:t>（以合同签订时间为准）</w:t>
            </w:r>
            <w:r>
              <w:rPr>
                <w:rFonts w:hint="eastAsia" w:asciiTheme="minorEastAsia" w:hAnsiTheme="minorEastAsia" w:eastAsiaTheme="minorEastAsia" w:cstheme="minorEastAsia"/>
                <w:color w:val="auto"/>
                <w:kern w:val="0"/>
                <w:sz w:val="21"/>
                <w:szCs w:val="21"/>
                <w:highlight w:val="none"/>
              </w:rPr>
              <w:t>以来主持或参与过水域调查、水域保护规划、岸线保护（或管理）规划等项目的，每项得1分，最多得2分</w:t>
            </w:r>
            <w:r>
              <w:rPr>
                <w:rFonts w:hint="eastAsia" w:asciiTheme="minorEastAsia" w:hAnsiTheme="minorEastAsia" w:eastAsiaTheme="minorEastAsia" w:cstheme="minorEastAsia"/>
                <w:color w:val="auto"/>
                <w:kern w:val="0"/>
                <w:sz w:val="21"/>
                <w:szCs w:val="21"/>
                <w:highlight w:val="none"/>
                <w:lang w:eastAsia="zh-CN"/>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注：提供职称（资格）证书、合同、报告及近3个月社保证明</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20" w:hRule="atLeast"/>
        </w:trPr>
        <w:tc>
          <w:tcPr>
            <w:tcW w:w="582" w:type="dxa"/>
            <w:vMerge w:val="restart"/>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工作方案</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（45分）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投标人对投标项目理解的掌握程度、思路清晰程度，对本项目重点、难点的技术分析和对策措施等情况。</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20"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针对本项目收集基础资料的完整性、测量测绘方案的合理性、水域调查技术手段的先进性及工作流程的完备性、水域保护规划工作方案的合理性等。</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84"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项目组成员配置合理（除项目负责人外）：具有水利规划、水利工程、水文及水资源、工程测绘（或地理信息系统）、水土保持等专业，副高级及以上职称每个得1分，中级职称每个得0.5分，最高得6分。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注：提供毕业证书、职称（资格）证书及近3个月社保证明</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投标人是否具有满足招标要求的进度安排计划及质量保证措施。</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4"/>
                <w:kern w:val="0"/>
                <w:sz w:val="21"/>
                <w:szCs w:val="21"/>
                <w:highlight w:val="none"/>
              </w:rPr>
              <w:t>根据项</w:t>
            </w:r>
            <w:r>
              <w:rPr>
                <w:rFonts w:hint="eastAsia" w:asciiTheme="minorEastAsia" w:hAnsiTheme="minorEastAsia" w:eastAsiaTheme="minorEastAsia" w:cstheme="minorEastAsia"/>
                <w:color w:val="auto"/>
                <w:spacing w:val="2"/>
                <w:kern w:val="0"/>
                <w:sz w:val="21"/>
                <w:szCs w:val="21"/>
                <w:highlight w:val="none"/>
              </w:rPr>
              <w:t>目</w:t>
            </w:r>
            <w:r>
              <w:rPr>
                <w:rFonts w:hint="eastAsia" w:asciiTheme="minorEastAsia" w:hAnsiTheme="minorEastAsia" w:eastAsiaTheme="minorEastAsia" w:cstheme="minorEastAsia"/>
                <w:color w:val="auto"/>
                <w:spacing w:val="4"/>
                <w:kern w:val="0"/>
                <w:sz w:val="21"/>
                <w:szCs w:val="21"/>
                <w:highlight w:val="none"/>
              </w:rPr>
              <w:t>实际</w:t>
            </w:r>
            <w:r>
              <w:rPr>
                <w:rFonts w:hint="eastAsia" w:asciiTheme="minorEastAsia" w:hAnsiTheme="minorEastAsia" w:eastAsiaTheme="minorEastAsia" w:cstheme="minorEastAsia"/>
                <w:color w:val="auto"/>
                <w:spacing w:val="2"/>
                <w:kern w:val="0"/>
                <w:sz w:val="21"/>
                <w:szCs w:val="21"/>
                <w:highlight w:val="none"/>
              </w:rPr>
              <w:t>情</w:t>
            </w:r>
            <w:r>
              <w:rPr>
                <w:rFonts w:hint="eastAsia" w:asciiTheme="minorEastAsia" w:hAnsiTheme="minorEastAsia" w:eastAsiaTheme="minorEastAsia" w:cstheme="minorEastAsia"/>
                <w:color w:val="auto"/>
                <w:spacing w:val="4"/>
                <w:kern w:val="0"/>
                <w:sz w:val="21"/>
                <w:szCs w:val="21"/>
                <w:highlight w:val="none"/>
              </w:rPr>
              <w:t>况，</w:t>
            </w:r>
            <w:r>
              <w:rPr>
                <w:rFonts w:hint="eastAsia" w:asciiTheme="minorEastAsia" w:hAnsiTheme="minorEastAsia" w:eastAsiaTheme="minorEastAsia" w:cstheme="minorEastAsia"/>
                <w:color w:val="auto"/>
                <w:spacing w:val="2"/>
                <w:kern w:val="0"/>
                <w:sz w:val="21"/>
                <w:szCs w:val="21"/>
                <w:highlight w:val="none"/>
              </w:rPr>
              <w:t>投</w:t>
            </w:r>
            <w:r>
              <w:rPr>
                <w:rFonts w:hint="eastAsia" w:asciiTheme="minorEastAsia" w:hAnsiTheme="minorEastAsia" w:eastAsiaTheme="minorEastAsia" w:cstheme="minorEastAsia"/>
                <w:color w:val="auto"/>
                <w:spacing w:val="4"/>
                <w:kern w:val="0"/>
                <w:sz w:val="21"/>
                <w:szCs w:val="21"/>
                <w:highlight w:val="none"/>
              </w:rPr>
              <w:t>标供应</w:t>
            </w:r>
            <w:r>
              <w:rPr>
                <w:rFonts w:hint="eastAsia" w:asciiTheme="minorEastAsia" w:hAnsiTheme="minorEastAsia" w:eastAsiaTheme="minorEastAsia" w:cstheme="minorEastAsia"/>
                <w:color w:val="auto"/>
                <w:spacing w:val="2"/>
                <w:kern w:val="0"/>
                <w:sz w:val="21"/>
                <w:szCs w:val="21"/>
                <w:highlight w:val="none"/>
              </w:rPr>
              <w:t>商</w:t>
            </w:r>
            <w:r>
              <w:rPr>
                <w:rFonts w:hint="eastAsia" w:asciiTheme="minorEastAsia" w:hAnsiTheme="minorEastAsia" w:eastAsiaTheme="minorEastAsia" w:cstheme="minorEastAsia"/>
                <w:color w:val="auto"/>
                <w:spacing w:val="4"/>
                <w:kern w:val="0"/>
                <w:sz w:val="21"/>
                <w:szCs w:val="21"/>
                <w:highlight w:val="none"/>
              </w:rPr>
              <w:t>提出</w:t>
            </w:r>
            <w:r>
              <w:rPr>
                <w:rFonts w:hint="eastAsia" w:asciiTheme="minorEastAsia" w:hAnsiTheme="minorEastAsia" w:eastAsiaTheme="minorEastAsia" w:cstheme="minorEastAsia"/>
                <w:color w:val="auto"/>
                <w:spacing w:val="2"/>
                <w:kern w:val="0"/>
                <w:sz w:val="21"/>
                <w:szCs w:val="21"/>
                <w:highlight w:val="none"/>
              </w:rPr>
              <w:t>的</w:t>
            </w:r>
            <w:r>
              <w:rPr>
                <w:rFonts w:hint="eastAsia" w:asciiTheme="minorEastAsia" w:hAnsiTheme="minorEastAsia" w:eastAsiaTheme="minorEastAsia" w:cstheme="minorEastAsia"/>
                <w:color w:val="auto"/>
                <w:spacing w:val="4"/>
                <w:kern w:val="0"/>
                <w:sz w:val="21"/>
                <w:szCs w:val="21"/>
                <w:highlight w:val="none"/>
              </w:rPr>
              <w:t>合理</w:t>
            </w:r>
            <w:r>
              <w:rPr>
                <w:rFonts w:hint="eastAsia" w:asciiTheme="minorEastAsia" w:hAnsiTheme="minorEastAsia" w:eastAsiaTheme="minorEastAsia" w:cstheme="minorEastAsia"/>
                <w:color w:val="auto"/>
                <w:spacing w:val="2"/>
                <w:kern w:val="0"/>
                <w:sz w:val="21"/>
                <w:szCs w:val="21"/>
                <w:highlight w:val="none"/>
              </w:rPr>
              <w:t>化</w:t>
            </w:r>
            <w:r>
              <w:rPr>
                <w:rFonts w:hint="eastAsia" w:asciiTheme="minorEastAsia" w:hAnsiTheme="minorEastAsia" w:eastAsiaTheme="minorEastAsia" w:cstheme="minorEastAsia"/>
                <w:color w:val="auto"/>
                <w:spacing w:val="4"/>
                <w:kern w:val="0"/>
                <w:sz w:val="21"/>
                <w:szCs w:val="21"/>
                <w:highlight w:val="none"/>
              </w:rPr>
              <w:t>建议</w:t>
            </w:r>
            <w:r>
              <w:rPr>
                <w:rFonts w:hint="eastAsia" w:asciiTheme="minorEastAsia" w:hAnsiTheme="minorEastAsia" w:eastAsiaTheme="minorEastAsia" w:cstheme="minorEastAsia"/>
                <w:color w:val="auto"/>
                <w:kern w:val="0"/>
                <w:sz w:val="21"/>
                <w:szCs w:val="21"/>
                <w:highlight w:val="none"/>
              </w:rPr>
              <w:t>。</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0-4分</w:t>
            </w:r>
          </w:p>
        </w:tc>
      </w:tr>
    </w:tbl>
    <w:p>
      <w:pPr>
        <w:autoSpaceDE w:val="0"/>
        <w:autoSpaceDN w:val="0"/>
        <w:adjustRightInd w:val="0"/>
        <w:spacing w:line="360" w:lineRule="auto"/>
        <w:ind w:right="84" w:firstLine="472"/>
        <w:rPr>
          <w:rFonts w:hint="eastAsia" w:ascii="宋体"/>
          <w:b/>
          <w:bCs w:val="0"/>
          <w:color w:val="auto"/>
          <w:sz w:val="24"/>
          <w:highlight w:val="none"/>
          <w:lang w:val="zh-CN"/>
        </w:rPr>
      </w:pPr>
      <w:r>
        <w:rPr>
          <w:rFonts w:hint="eastAsia" w:ascii="宋体"/>
          <w:b/>
          <w:bCs w:val="0"/>
          <w:color w:val="auto"/>
          <w:sz w:val="24"/>
          <w:highlight w:val="none"/>
          <w:lang w:val="zh-CN"/>
        </w:rPr>
        <w:br w:type="page"/>
      </w:r>
    </w:p>
    <w:p>
      <w:pPr>
        <w:pStyle w:val="2"/>
        <w:rPr>
          <w:color w:val="auto"/>
          <w:highlight w:val="none"/>
          <w:lang w:val="zh-CN"/>
        </w:rPr>
      </w:pP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一、项目工作范围</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本次水域调查及水域保护规划范围为玉环市市域全境。</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二、招标内容及要求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招标</w:t>
      </w:r>
      <w:r>
        <w:rPr>
          <w:rFonts w:hint="eastAsia" w:asciiTheme="minorEastAsia" w:hAnsiTheme="minorEastAsia" w:eastAsiaTheme="minorEastAsia"/>
          <w:b/>
          <w:bCs/>
          <w:color w:val="auto"/>
          <w:sz w:val="24"/>
          <w:highlight w:val="none"/>
        </w:rPr>
        <w:t>主要内容</w:t>
      </w:r>
      <w:r>
        <w:rPr>
          <w:rFonts w:hint="eastAsia" w:asciiTheme="minorEastAsia" w:hAnsiTheme="minorEastAsia" w:eastAsiaTheme="minorEastAsia"/>
          <w:b/>
          <w:bCs/>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根据《浙江省水域保护办法》、《浙江省水域调查技术导则（修订）》及《浙江省水域保护规划编制导则（征求意见稿）》及其他相关标准、文件要求，确定本次主要工作内容如下：</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（1）水域调查主要工作内容</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在已有水利专项规划及水利基础数据的基础上，通过在近3年的地形图和影像图判绘与实地调查、测量的方式，针对玉环市河道、湖泊、山塘、水库、蓄滞洪区、人工水道</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池塘等水域开展水域调查工作。具体工作内容如下：</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u w:val="single"/>
        </w:rPr>
        <w:t>水域基础信息调查</w:t>
      </w:r>
      <w:r>
        <w:rPr>
          <w:rFonts w:hint="eastAsia" w:asciiTheme="minorEastAsia" w:hAnsiTheme="minorEastAsia" w:eastAsiaTheme="minorEastAsia"/>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调查玉环市各水域名称、等级、位置、规模及特征参数（长度、宽度或正常蓄水位、设计洪水位等）、水域面积、水域容积、流经区域、所在流域、所属地形地貌、跨界情况、主要功能等。</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u w:val="single"/>
        </w:rPr>
        <w:t>水域空间信息调查</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结合国土部门三调图、近3年1/2000地形图及影像图，判绘玉环市各水域水面线、临水线、水域管理范围线（统称“三线”），标绘空间坐标并完成对象编码。</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③</w:t>
      </w:r>
      <w:r>
        <w:rPr>
          <w:rFonts w:hint="eastAsia" w:asciiTheme="minorEastAsia" w:hAnsiTheme="minorEastAsia" w:eastAsiaTheme="minorEastAsia"/>
          <w:color w:val="auto"/>
          <w:sz w:val="24"/>
          <w:highlight w:val="none"/>
          <w:u w:val="single"/>
        </w:rPr>
        <w:t>水利工程基础信息调查</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调查玉环市堤防（海塘）、水闸、泵站、拦水坝（堰）、桥梁、码头、船闸等工程的名称、等级、位置、规模及特征参数等。</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④</w:t>
      </w:r>
      <w:r>
        <w:rPr>
          <w:rFonts w:hint="eastAsia" w:asciiTheme="minorEastAsia" w:hAnsiTheme="minorEastAsia" w:eastAsiaTheme="minorEastAsia"/>
          <w:color w:val="auto"/>
          <w:sz w:val="24"/>
          <w:highlight w:val="none"/>
          <w:u w:val="single"/>
        </w:rPr>
        <w:t>县、乡级河道外业测量</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开展玉环市</w:t>
      </w:r>
      <w:r>
        <w:rPr>
          <w:rFonts w:hint="eastAsia" w:asciiTheme="minorEastAsia" w:hAnsiTheme="minorEastAsia" w:eastAsiaTheme="minorEastAsia"/>
          <w:color w:val="auto"/>
          <w:sz w:val="24"/>
          <w:highlight w:val="none"/>
          <w:lang w:eastAsia="zh-CN"/>
        </w:rPr>
        <w:t>约</w:t>
      </w:r>
      <w:r>
        <w:rPr>
          <w:rFonts w:hint="eastAsia" w:asciiTheme="minorEastAsia" w:hAnsiTheme="minorEastAsia" w:eastAsiaTheme="minorEastAsia"/>
          <w:color w:val="auto"/>
          <w:sz w:val="24"/>
          <w:highlight w:val="none"/>
          <w:lang w:val="en-US" w:eastAsia="zh-CN"/>
        </w:rPr>
        <w:t>100</w:t>
      </w:r>
      <w:r>
        <w:rPr>
          <w:rFonts w:hint="eastAsia" w:asciiTheme="minorEastAsia" w:hAnsiTheme="minorEastAsia" w:eastAsiaTheme="minorEastAsia"/>
          <w:color w:val="auto"/>
          <w:sz w:val="24"/>
          <w:highlight w:val="none"/>
        </w:rPr>
        <w:t>km县级河道断面测量，玉环市</w:t>
      </w:r>
      <w:r>
        <w:rPr>
          <w:rFonts w:hint="eastAsia" w:asciiTheme="minorEastAsia" w:hAnsiTheme="minorEastAsia" w:eastAsiaTheme="minorEastAsia"/>
          <w:color w:val="auto"/>
          <w:sz w:val="24"/>
          <w:highlight w:val="none"/>
          <w:lang w:eastAsia="zh-CN"/>
        </w:rPr>
        <w:t>约</w:t>
      </w:r>
      <w:r>
        <w:rPr>
          <w:rFonts w:hint="eastAsia" w:asciiTheme="minorEastAsia" w:hAnsiTheme="minorEastAsia" w:eastAsiaTheme="minorEastAsia"/>
          <w:color w:val="auto"/>
          <w:sz w:val="24"/>
          <w:highlight w:val="none"/>
          <w:lang w:val="en-US" w:eastAsia="zh-CN"/>
        </w:rPr>
        <w:t>150</w:t>
      </w:r>
      <w:r>
        <w:rPr>
          <w:rFonts w:hint="eastAsia" w:asciiTheme="minorEastAsia" w:hAnsiTheme="minorEastAsia" w:eastAsiaTheme="minorEastAsia"/>
          <w:color w:val="auto"/>
          <w:sz w:val="24"/>
          <w:highlight w:val="none"/>
        </w:rPr>
        <w:t>km乡级河道断面测量、河道临水线测量及控制点测量。</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（2）水域保护规划编制</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u w:val="single"/>
        </w:rPr>
        <w:t>水域现状调查与评价</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水域调查成果基础上，对市域内不同类型的水域数量、长度、水域面积、水域容积以及功能等信息现状进行评价，调查水域建设情况（堤岸长度及位置、水利工程位置与规模等）、管理情况（包括河道分级、水域划界等情况）。</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u w:val="single"/>
        </w:rPr>
        <w:t>区域总体布局与水面率确定</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市域总体规划与相关规划要求，从行洪排涝、景观生态、航运等不同的功能需求方面，明确玉环市各项水域功能布局（河道功能网络），确定市域现状水面率、水域容积与规划水面率、水域容积。明确各乡镇分区、流域分区、功能分区（新区、特色小区、经济开发区等）的功能布局和现状水面率、水域容积与规划水面率、水域容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③</w:t>
      </w:r>
      <w:r>
        <w:rPr>
          <w:rFonts w:hint="eastAsia" w:asciiTheme="minorEastAsia" w:hAnsiTheme="minorEastAsia" w:eastAsiaTheme="minorEastAsia"/>
          <w:color w:val="auto"/>
          <w:sz w:val="24"/>
          <w:highlight w:val="none"/>
          <w:u w:val="single"/>
        </w:rPr>
        <w:t>区域水系调整方案</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针对有规划水域调整需求的区域，结合相关规划，提出水域调整方案并进行合理性分析，明确水域调整对水域功能及水面率的影响，并提出合理性对策或补偿建议；</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④</w:t>
      </w:r>
      <w:r>
        <w:rPr>
          <w:rFonts w:hint="eastAsia" w:asciiTheme="minorEastAsia" w:hAnsiTheme="minorEastAsia" w:eastAsiaTheme="minorEastAsia"/>
          <w:color w:val="auto"/>
          <w:sz w:val="24"/>
          <w:highlight w:val="none"/>
          <w:u w:val="single"/>
        </w:rPr>
        <w:t>重要水域名录调整、水域范围划定及保护措施</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水域保护办法》的要求，对原有重要水域名录进行调整。在水域调查成果的基础上，确定玉环市类型水域范围（水面线、临水线及管理范围线），同时根据相关法律法规，结合玉环市水域管护实际需求，提出相应水域保护的工程和非工程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2、有关工作要求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）成果形式</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rPr>
        <w:t>水域调查成果主要包括：《玉环市水域调查成果报告》、玉环市水域调查GIS成果空间数据库及玉环市域水域现状总图、重要水域分布图等相关附件。|</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rPr>
        <w:t>水域保护规划成果主要包括：《玉环市水域保护规划报告》及相关附件；</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③</w:t>
      </w:r>
      <w:r>
        <w:rPr>
          <w:rFonts w:hint="eastAsia" w:asciiTheme="minorEastAsia" w:hAnsiTheme="minorEastAsia" w:eastAsiaTheme="minorEastAsia"/>
          <w:color w:val="auto"/>
          <w:sz w:val="24"/>
          <w:highlight w:val="none"/>
        </w:rPr>
        <w:t>以上报告成果形式包括纸质版和电子版，其中，纸质版送审稿数量应满足审查需要，纸质版报批稿20份，电子版最终成果一份；水域调查GIS成果空间数据库及相关图件电子版一份；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）成果质量要求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rPr>
        <w:t>水域调查成果应严格按照《浙江省水域调查技术导则（修订）》相关技术标准执行，水域调查空间数据库成果应满足省、市抽检符合要求。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rPr>
        <w:t>水域保护规划成果报告应严格按照省厅出台的《浙江省水域保护规划技术导则》相关技术标准执行。</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）进度要求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月底前提交《玉环市水域调查成果报告》</w:t>
      </w:r>
      <w:r>
        <w:rPr>
          <w:rFonts w:hint="eastAsia" w:asciiTheme="minorEastAsia" w:hAnsiTheme="minorEastAsia" w:eastAsiaTheme="minorEastAsia"/>
          <w:color w:val="auto"/>
          <w:sz w:val="24"/>
          <w:highlight w:val="none"/>
          <w:lang w:eastAsia="zh-CN"/>
        </w:rPr>
        <w:t>终</w:t>
      </w:r>
      <w:r>
        <w:rPr>
          <w:rFonts w:hint="eastAsia" w:asciiTheme="minorEastAsia" w:hAnsiTheme="minorEastAsia" w:eastAsiaTheme="minorEastAsia"/>
          <w:color w:val="auto"/>
          <w:sz w:val="24"/>
          <w:highlight w:val="none"/>
        </w:rPr>
        <w:t>稿及水域调查空间数据库</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月底前提交《玉环市水域保护规划》成果报告</w:t>
      </w:r>
      <w:r>
        <w:rPr>
          <w:rFonts w:hint="eastAsia" w:asciiTheme="minorEastAsia" w:hAnsiTheme="minorEastAsia" w:eastAsiaTheme="minorEastAsia"/>
          <w:color w:val="auto"/>
          <w:sz w:val="24"/>
          <w:highlight w:val="none"/>
          <w:lang w:eastAsia="zh-CN"/>
        </w:rPr>
        <w:t>终</w:t>
      </w:r>
      <w:r>
        <w:rPr>
          <w:rFonts w:hint="eastAsia" w:asciiTheme="minorEastAsia" w:hAnsiTheme="minorEastAsia" w:eastAsiaTheme="minorEastAsia"/>
          <w:color w:val="auto"/>
          <w:sz w:val="24"/>
          <w:highlight w:val="none"/>
        </w:rPr>
        <w:t>稿</w:t>
      </w:r>
      <w:r>
        <w:rPr>
          <w:rFonts w:hint="eastAsia" w:asciiTheme="minorEastAsia" w:hAnsiTheme="minorEastAsia" w:eastAsiaTheme="minorEastAsia"/>
          <w:color w:val="auto"/>
          <w:sz w:val="24"/>
          <w:highlight w:val="none"/>
          <w:lang w:eastAsia="zh-CN"/>
        </w:rPr>
        <w:t>。（如有变动，按省厅文件执行）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color w:val="auto"/>
          <w:sz w:val="36"/>
          <w:szCs w:val="36"/>
          <w:highlight w:val="none"/>
        </w:rPr>
        <w:br w:type="page"/>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pPr>
        <w:tabs>
          <w:tab w:val="left" w:pos="1200"/>
        </w:tabs>
        <w:rPr>
          <w:rFonts w:hint="eastAsia" w:ascii="Calibri" w:hAnsi="Calibri" w:eastAsia="宋体"/>
          <w:b/>
          <w:color w:val="auto"/>
          <w:sz w:val="28"/>
          <w:szCs w:val="22"/>
          <w:highlight w:val="none"/>
        </w:rPr>
      </w:pPr>
    </w:p>
    <w:p>
      <w:pPr>
        <w:tabs>
          <w:tab w:val="left" w:pos="1200"/>
        </w:tabs>
        <w:rPr>
          <w:rFonts w:ascii="Calibri" w:hAnsi="Calibri" w:eastAsia="宋体"/>
          <w:color w:val="auto"/>
          <w:sz w:val="10"/>
          <w:szCs w:val="22"/>
          <w:highlight w:val="none"/>
        </w:rPr>
      </w:pPr>
    </w:p>
    <w:tbl>
      <w:tblPr>
        <w:tblStyle w:val="20"/>
        <w:tblW w:w="590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r>
    </w:tbl>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技  术  咨  询  合  同  书</w:t>
      </w:r>
    </w:p>
    <w:p>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pPr>
        <w:tabs>
          <w:tab w:val="left" w:pos="1100"/>
        </w:tabs>
        <w:spacing w:line="560" w:lineRule="exact"/>
        <w:rPr>
          <w:rFonts w:ascii="Calibri" w:hAnsi="Calibri" w:eastAsia="宋体"/>
          <w:color w:val="auto"/>
          <w:sz w:val="30"/>
          <w:szCs w:val="22"/>
          <w:highlight w:val="none"/>
        </w:rPr>
      </w:pPr>
    </w:p>
    <w:p>
      <w:pPr>
        <w:tabs>
          <w:tab w:val="left" w:pos="1100"/>
        </w:tabs>
        <w:spacing w:line="560" w:lineRule="exact"/>
        <w:ind w:firstLine="980" w:firstLineChars="35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pPr>
        <w:pStyle w:val="2"/>
        <w:rPr>
          <w:rFonts w:hint="default"/>
          <w:color w:val="auto"/>
          <w:highlight w:val="none"/>
          <w:lang w:val="en-US"/>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委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托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顾</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30"/>
          <w:szCs w:val="22"/>
          <w:highlight w:val="none"/>
        </w:rPr>
      </w:pPr>
      <w:r>
        <w:rPr>
          <w:rFonts w:hint="eastAsia" w:ascii="宋体" w:hAnsi="宋体" w:eastAsia="宋体" w:cs="宋体"/>
          <w:color w:val="auto"/>
          <w:sz w:val="28"/>
          <w:szCs w:val="28"/>
          <w:highlight w:val="none"/>
        </w:rPr>
        <w:t>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rPr>
          <w:rFonts w:hint="eastAsia" w:ascii="黑体" w:eastAsia="黑体"/>
          <w:b/>
          <w:color w:val="auto"/>
          <w:sz w:val="36"/>
          <w:szCs w:val="36"/>
          <w:highlight w:val="none"/>
        </w:rPr>
      </w:pPr>
      <w:bookmarkStart w:id="0" w:name="_Toc179632789"/>
      <w:bookmarkStart w:id="1" w:name="_Toc152045772"/>
      <w:bookmarkStart w:id="2" w:name="_Toc152042554"/>
      <w:bookmarkStart w:id="3" w:name="_Toc144974834"/>
      <w:bookmarkStart w:id="4" w:name="_Toc228163250"/>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3" w:firstLineChars="200"/>
        <w:jc w:val="center"/>
        <w:textAlignment w:val="auto"/>
        <w:outlineLvl w:val="9"/>
        <w:rPr>
          <w:rFonts w:ascii="黑体" w:eastAsia="黑体"/>
          <w:b/>
          <w:color w:val="auto"/>
          <w:sz w:val="44"/>
          <w:szCs w:val="44"/>
          <w:highlight w:val="none"/>
        </w:rPr>
      </w:pPr>
      <w:r>
        <w:rPr>
          <w:rFonts w:hint="eastAsia" w:ascii="黑体" w:eastAsia="黑体"/>
          <w:b/>
          <w:color w:val="auto"/>
          <w:sz w:val="36"/>
          <w:szCs w:val="36"/>
          <w:highlight w:val="none"/>
        </w:rPr>
        <w:t>协议</w:t>
      </w:r>
      <w:r>
        <w:rPr>
          <w:rFonts w:hint="eastAsia" w:ascii="黑体" w:eastAsia="黑体"/>
          <w:b/>
          <w:color w:val="auto"/>
          <w:sz w:val="36"/>
          <w:szCs w:val="36"/>
          <w:highlight w:val="none"/>
          <w:lang w:eastAsia="zh-CN"/>
        </w:rPr>
        <w:t>书</w:t>
      </w:r>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rPr>
        <w:t>委托方：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eastAsia="zh-CN"/>
        </w:rPr>
        <w:t>顾问</w:t>
      </w:r>
      <w:r>
        <w:rPr>
          <w:rFonts w:hint="eastAsia" w:ascii="宋体" w:hAnsi="宋体" w:eastAsia="宋体" w:cs="宋体"/>
          <w:b/>
          <w:bCs/>
          <w:color w:val="auto"/>
          <w:sz w:val="24"/>
          <w:szCs w:val="24"/>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bookmarkStart w:id="5" w:name="12"/>
      <w:bookmarkEnd w:id="5"/>
      <w:r>
        <w:rPr>
          <w:rFonts w:hint="eastAsia" w:ascii="宋体" w:hAnsi="宋体" w:eastAsia="宋体" w:cs="宋体"/>
          <w:color w:val="auto"/>
          <w:sz w:val="24"/>
          <w:szCs w:val="24"/>
          <w:highlight w:val="none"/>
        </w:rPr>
        <w:t>玉环市农业农村和水利</w:t>
      </w:r>
      <w:r>
        <w:rPr>
          <w:rFonts w:hint="eastAsia" w:ascii="宋体" w:hAnsi="宋体" w:eastAsia="宋体" w:cs="宋体"/>
          <w:color w:val="auto"/>
          <w:sz w:val="24"/>
          <w:szCs w:val="24"/>
          <w:highlight w:val="none"/>
          <w:lang w:eastAsia="zh-CN"/>
        </w:rPr>
        <w:t>局</w:t>
      </w:r>
      <w:r>
        <w:rPr>
          <w:rFonts w:hint="eastAsia" w:ascii="宋体" w:hAnsi="宋体" w:eastAsia="宋体" w:cs="宋体"/>
          <w:color w:val="auto"/>
          <w:sz w:val="24"/>
          <w:szCs w:val="24"/>
          <w:highlight w:val="none"/>
        </w:rPr>
        <w:t>以公开招标方式采购所需（采购编号：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)，经评标委员会决标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为中标供应商。双方同意按照下面条款和条件，签署本合同。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分项报价表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技术规格、商务条款偏离表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合同补充条款或说明（如有的话）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承诺书（含询标记录和优惠条件）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2．合同范围和条件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本合同范围和条件应与上述合同文件规定的内容相一致。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3．工作范围及工作量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本合同提供的工作范围及工作量（详见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4．合同总价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5．付款方式及项目工期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本合同的付款方式及项目工期在合同主要条款中已规定。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本合同经双方授权代表签署，买卖双方加盖印章后生效。</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eastAsia="zh-CN"/>
        </w:rPr>
        <w:t>六</w:t>
      </w:r>
      <w:r>
        <w:rPr>
          <w:rFonts w:hint="eastAsia" w:ascii="宋体" w:hAnsi="宋体" w:eastAsia="宋体" w:cs="宋体"/>
          <w:color w:val="auto"/>
          <w:sz w:val="24"/>
          <w:szCs w:val="24"/>
          <w:highlight w:val="none"/>
        </w:rPr>
        <w:t>]份。其中正本[</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eastAsia="zh-CN"/>
        </w:rPr>
        <w:t>四</w:t>
      </w:r>
      <w:r>
        <w:rPr>
          <w:rFonts w:hint="eastAsia" w:ascii="宋体" w:hAnsi="宋体" w:eastAsia="宋体" w:cs="宋体"/>
          <w:color w:val="auto"/>
          <w:sz w:val="24"/>
          <w:szCs w:val="24"/>
          <w:highlight w:val="none"/>
        </w:rPr>
        <w:t>]份，委托方执[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]份，顾问方执[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政府采购管理部门备案执[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未尽事宜，经双方协商一致，签订补充协议，补充协议与本合同具有同等效力。</w:t>
      </w:r>
    </w:p>
    <w:p>
      <w:pPr>
        <w:rPr>
          <w:rFonts w:hint="eastAsia" w:ascii="黑体" w:eastAsia="黑体"/>
          <w:b/>
          <w:color w:val="auto"/>
          <w:sz w:val="36"/>
          <w:szCs w:val="36"/>
          <w:highlight w:val="none"/>
        </w:rPr>
      </w:pPr>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line="40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黑体" w:eastAsia="黑体"/>
          <w:b/>
          <w:color w:val="auto"/>
          <w:sz w:val="36"/>
          <w:szCs w:val="36"/>
          <w:highlight w:val="none"/>
        </w:rPr>
        <w:t>合同主要条款</w:t>
      </w:r>
    </w:p>
    <w:p>
      <w:pPr>
        <w:keepNext w:val="0"/>
        <w:keepLines w:val="0"/>
        <w:pageBreakBefore w:val="0"/>
        <w:widowControl w:val="0"/>
        <w:kinsoku/>
        <w:wordWrap/>
        <w:overflowPunct/>
        <w:topLinePunct w:val="0"/>
        <w:autoSpaceDE/>
        <w:autoSpaceDN/>
        <w:bidi w:val="0"/>
        <w:adjustRightInd/>
        <w:snapToGrid/>
        <w:spacing w:before="156" w:beforeLines="50" w:line="400" w:lineRule="exact"/>
        <w:ind w:left="17" w:leftChars="8" w:right="0" w:rightChars="0" w:firstLine="45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依据《中华人民共和国合同法》的规定，合同双方就项目的编制，经协商一致，签订本合同。</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一、编制的内容、形式和要求：</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511" w:firstLineChars="21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主要工作内容包括：水域调查主要工作内容</w:t>
      </w:r>
      <w:r>
        <w:rPr>
          <w:rFonts w:hint="eastAsia" w:ascii="宋体" w:hAnsi="宋体" w:cs="宋体"/>
          <w:color w:val="auto"/>
          <w:sz w:val="24"/>
          <w:szCs w:val="24"/>
          <w:highlight w:val="none"/>
          <w:lang w:eastAsia="zh-CN"/>
        </w:rPr>
        <w:t>和水域保护规划编制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二、履行期限、地点和方式：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本合同履行时间：自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本项目</w:t>
      </w:r>
      <w:r>
        <w:rPr>
          <w:rFonts w:hint="eastAsia" w:ascii="宋体" w:hAnsi="宋体" w:cs="宋体"/>
          <w:color w:val="auto"/>
          <w:sz w:val="24"/>
          <w:szCs w:val="24"/>
          <w:highlight w:val="none"/>
          <w:u w:val="single"/>
          <w:lang w:eastAsia="zh-CN"/>
        </w:rPr>
        <w:t>调</w:t>
      </w:r>
      <w:r>
        <w:rPr>
          <w:rFonts w:hint="eastAsia" w:ascii="宋体" w:hAnsi="宋体" w:eastAsia="宋体" w:cs="宋体"/>
          <w:color w:val="auto"/>
          <w:sz w:val="24"/>
          <w:szCs w:val="24"/>
          <w:highlight w:val="none"/>
          <w:u w:val="single"/>
        </w:rPr>
        <w:t>查成果、规划编制完成并得到政府部门或行业主管部门审核批准通过</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月底前提交《玉环市水域调查成果报告》</w:t>
      </w:r>
      <w:r>
        <w:rPr>
          <w:rFonts w:hint="eastAsia" w:ascii="宋体" w:hAnsi="宋体" w:eastAsia="宋体" w:cs="宋体"/>
          <w:color w:val="auto"/>
          <w:sz w:val="24"/>
          <w:szCs w:val="24"/>
          <w:highlight w:val="none"/>
          <w:lang w:eastAsia="zh-CN"/>
        </w:rPr>
        <w:t>终</w:t>
      </w:r>
      <w:r>
        <w:rPr>
          <w:rFonts w:hint="eastAsia" w:ascii="宋体" w:hAnsi="宋体" w:eastAsia="宋体" w:cs="宋体"/>
          <w:color w:val="auto"/>
          <w:sz w:val="24"/>
          <w:szCs w:val="24"/>
          <w:highlight w:val="none"/>
        </w:rPr>
        <w:t>稿及水域调查空间数据库</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月底前提交《玉环市水域保护规划》成果报告</w:t>
      </w:r>
      <w:r>
        <w:rPr>
          <w:rFonts w:hint="eastAsia" w:ascii="宋体" w:hAnsi="宋体" w:eastAsia="宋体" w:cs="宋体"/>
          <w:color w:val="auto"/>
          <w:sz w:val="24"/>
          <w:szCs w:val="24"/>
          <w:highlight w:val="none"/>
          <w:lang w:eastAsia="zh-CN"/>
        </w:rPr>
        <w:t>终</w:t>
      </w:r>
      <w:r>
        <w:rPr>
          <w:rFonts w:hint="eastAsia" w:ascii="宋体" w:hAnsi="宋体" w:eastAsia="宋体" w:cs="宋体"/>
          <w:color w:val="auto"/>
          <w:sz w:val="24"/>
          <w:szCs w:val="24"/>
          <w:highlight w:val="none"/>
        </w:rPr>
        <w:t>稿</w:t>
      </w:r>
      <w:r>
        <w:rPr>
          <w:rFonts w:hint="eastAsia" w:ascii="宋体" w:hAnsi="宋体" w:eastAsia="宋体" w:cs="宋体"/>
          <w:color w:val="auto"/>
          <w:sz w:val="24"/>
          <w:szCs w:val="24"/>
          <w:highlight w:val="none"/>
          <w:lang w:eastAsia="zh-CN"/>
        </w:rPr>
        <w:t>。（如有变动，按省厅文件执行）</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参考计划进度：</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（1）水域</w:t>
      </w:r>
      <w:r>
        <w:rPr>
          <w:rFonts w:hint="eastAsia" w:ascii="宋体" w:hAnsi="宋体" w:cs="宋体"/>
          <w:color w:val="auto"/>
          <w:sz w:val="24"/>
          <w:szCs w:val="24"/>
          <w:highlight w:val="none"/>
          <w:lang w:eastAsia="zh-CN"/>
        </w:rPr>
        <w:t>调查</w:t>
      </w:r>
      <w:r>
        <w:rPr>
          <w:rFonts w:hint="eastAsia" w:ascii="宋体" w:hAnsi="宋体" w:eastAsia="宋体" w:cs="宋体"/>
          <w:color w:val="auto"/>
          <w:sz w:val="24"/>
          <w:szCs w:val="24"/>
          <w:highlight w:val="none"/>
        </w:rPr>
        <w:t>技术路线</w:t>
      </w:r>
      <w:r>
        <w:rPr>
          <w:rFonts w:hint="eastAsia" w:ascii="宋体" w:hAnsi="宋体" w:cs="宋体"/>
          <w:color w:val="auto"/>
          <w:sz w:val="24"/>
          <w:szCs w:val="24"/>
          <w:highlight w:val="none"/>
          <w:lang w:eastAsia="zh-CN"/>
        </w:rPr>
        <w:t>和水域保护</w:t>
      </w:r>
      <w:r>
        <w:rPr>
          <w:rFonts w:hint="eastAsia" w:ascii="宋体" w:hAnsi="宋体" w:eastAsia="宋体" w:cs="宋体"/>
          <w:color w:val="auto"/>
          <w:sz w:val="24"/>
          <w:szCs w:val="24"/>
          <w:highlight w:val="none"/>
        </w:rPr>
        <w:t>规划大纲，递交时间：</w:t>
      </w:r>
      <w:r>
        <w:rPr>
          <w:rFonts w:hint="eastAsia" w:ascii="宋体" w:hAnsi="宋体" w:eastAsia="宋体" w:cs="宋体"/>
          <w:color w:val="auto"/>
          <w:sz w:val="24"/>
          <w:szCs w:val="24"/>
          <w:highlight w:val="none"/>
          <w:u w:val="single"/>
        </w:rPr>
        <w:t>合同签订后15天内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水域调查</w:t>
      </w:r>
      <w:r>
        <w:rPr>
          <w:rFonts w:hint="eastAsia" w:ascii="宋体" w:hAnsi="宋体" w:eastAsia="宋体" w:cs="宋体"/>
          <w:color w:val="auto"/>
          <w:sz w:val="24"/>
          <w:szCs w:val="24"/>
          <w:highlight w:val="none"/>
        </w:rPr>
        <w:t>成果递交时间：</w:t>
      </w:r>
      <w:r>
        <w:rPr>
          <w:rFonts w:hint="eastAsia" w:ascii="宋体" w:hAnsi="宋体" w:eastAsia="宋体" w:cs="宋体"/>
          <w:color w:val="auto"/>
          <w:sz w:val="24"/>
          <w:szCs w:val="24"/>
          <w:highlight w:val="none"/>
          <w:u w:val="single"/>
        </w:rPr>
        <w:t>规划大纲</w:t>
      </w:r>
      <w:r>
        <w:rPr>
          <w:rFonts w:hint="eastAsia" w:ascii="宋体" w:hAnsi="宋体" w:cs="宋体"/>
          <w:color w:val="auto"/>
          <w:sz w:val="24"/>
          <w:szCs w:val="24"/>
          <w:highlight w:val="none"/>
          <w:u w:val="single"/>
          <w:lang w:eastAsia="zh-CN"/>
        </w:rPr>
        <w:t>内审</w:t>
      </w:r>
      <w:r>
        <w:rPr>
          <w:rFonts w:hint="eastAsia" w:ascii="宋体" w:hAnsi="宋体" w:eastAsia="宋体" w:cs="宋体"/>
          <w:color w:val="auto"/>
          <w:sz w:val="24"/>
          <w:szCs w:val="24"/>
          <w:highlight w:val="none"/>
          <w:u w:val="single"/>
        </w:rPr>
        <w:t>后1个月内递交初步</w:t>
      </w:r>
      <w:r>
        <w:rPr>
          <w:rFonts w:hint="eastAsia" w:ascii="宋体" w:hAnsi="宋体" w:cs="宋体"/>
          <w:color w:val="auto"/>
          <w:sz w:val="24"/>
          <w:szCs w:val="24"/>
          <w:highlight w:val="none"/>
          <w:u w:val="single"/>
          <w:lang w:eastAsia="zh-CN"/>
        </w:rPr>
        <w:t>调</w:t>
      </w:r>
      <w:r>
        <w:rPr>
          <w:rFonts w:hint="eastAsia" w:ascii="宋体" w:hAnsi="宋体" w:eastAsia="宋体" w:cs="宋体"/>
          <w:color w:val="auto"/>
          <w:sz w:val="24"/>
          <w:szCs w:val="24"/>
          <w:highlight w:val="none"/>
          <w:u w:val="single"/>
        </w:rPr>
        <w:t>查成果</w:t>
      </w:r>
      <w:r>
        <w:rPr>
          <w:rFonts w:hint="eastAsia" w:ascii="宋体" w:hAnsi="宋体" w:cs="宋体"/>
          <w:color w:val="auto"/>
          <w:sz w:val="24"/>
          <w:szCs w:val="24"/>
          <w:highlight w:val="none"/>
          <w:u w:val="single"/>
          <w:lang w:eastAsia="zh-CN"/>
        </w:rPr>
        <w:t>送审稿</w:t>
      </w:r>
      <w:r>
        <w:rPr>
          <w:rFonts w:hint="eastAsia" w:ascii="宋体" w:hAnsi="宋体" w:eastAsia="宋体" w:cs="宋体"/>
          <w:color w:val="auto"/>
          <w:sz w:val="24"/>
          <w:szCs w:val="24"/>
          <w:highlight w:val="none"/>
          <w:u w:val="single"/>
        </w:rPr>
        <w:t>，2个月内递交验收成果</w:t>
      </w:r>
      <w:r>
        <w:rPr>
          <w:rFonts w:hint="eastAsia" w:ascii="宋体" w:hAnsi="宋体" w:cs="宋体"/>
          <w:color w:val="auto"/>
          <w:sz w:val="24"/>
          <w:szCs w:val="24"/>
          <w:highlight w:val="none"/>
          <w:u w:val="single"/>
          <w:lang w:eastAsia="zh-CN"/>
        </w:rPr>
        <w:t>终稿</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（3）水域保护规划</w:t>
      </w:r>
      <w:r>
        <w:rPr>
          <w:rFonts w:hint="eastAsia" w:ascii="宋体" w:hAnsi="宋体" w:cs="宋体"/>
          <w:color w:val="auto"/>
          <w:sz w:val="24"/>
          <w:szCs w:val="24"/>
          <w:highlight w:val="none"/>
          <w:lang w:eastAsia="zh-CN"/>
        </w:rPr>
        <w:t>成果</w:t>
      </w:r>
      <w:r>
        <w:rPr>
          <w:rFonts w:hint="eastAsia" w:ascii="宋体" w:hAnsi="宋体" w:eastAsia="宋体" w:cs="宋体"/>
          <w:color w:val="auto"/>
          <w:sz w:val="24"/>
          <w:szCs w:val="24"/>
          <w:highlight w:val="none"/>
        </w:rPr>
        <w:t>递交时间：</w:t>
      </w:r>
      <w:r>
        <w:rPr>
          <w:rFonts w:hint="eastAsia" w:ascii="宋体" w:hAnsi="宋体" w:eastAsia="宋体" w:cs="宋体"/>
          <w:color w:val="auto"/>
          <w:sz w:val="24"/>
          <w:szCs w:val="24"/>
          <w:highlight w:val="none"/>
          <w:u w:val="single"/>
        </w:rPr>
        <w:t>规划</w:t>
      </w:r>
      <w:r>
        <w:rPr>
          <w:rFonts w:hint="eastAsia" w:ascii="宋体" w:hAnsi="宋体" w:cs="宋体"/>
          <w:color w:val="auto"/>
          <w:sz w:val="24"/>
          <w:szCs w:val="24"/>
          <w:highlight w:val="none"/>
          <w:u w:val="single"/>
          <w:lang w:eastAsia="zh-CN"/>
        </w:rPr>
        <w:t>大纲</w:t>
      </w:r>
      <w:r>
        <w:rPr>
          <w:rFonts w:hint="eastAsia" w:ascii="宋体" w:hAnsi="宋体" w:eastAsia="宋体" w:cs="宋体"/>
          <w:color w:val="auto"/>
          <w:sz w:val="24"/>
          <w:szCs w:val="24"/>
          <w:highlight w:val="none"/>
          <w:u w:val="single"/>
        </w:rPr>
        <w:t>内审后</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个月内</w:t>
      </w:r>
      <w:r>
        <w:rPr>
          <w:rFonts w:hint="eastAsia" w:ascii="宋体" w:hAnsi="宋体" w:cs="宋体"/>
          <w:color w:val="auto"/>
          <w:sz w:val="24"/>
          <w:szCs w:val="24"/>
          <w:highlight w:val="none"/>
          <w:u w:val="single"/>
          <w:lang w:eastAsia="zh-CN"/>
        </w:rPr>
        <w:t>递交</w:t>
      </w:r>
      <w:r>
        <w:rPr>
          <w:rFonts w:hint="eastAsia" w:ascii="宋体" w:hAnsi="宋体" w:eastAsia="宋体" w:cs="宋体"/>
          <w:color w:val="auto"/>
          <w:sz w:val="24"/>
          <w:szCs w:val="24"/>
          <w:highlight w:val="none"/>
          <w:u w:val="single"/>
        </w:rPr>
        <w:t>水域保护规划成果</w:t>
      </w:r>
      <w:r>
        <w:rPr>
          <w:rFonts w:hint="eastAsia" w:ascii="宋体" w:hAnsi="宋体" w:cs="宋体"/>
          <w:color w:val="auto"/>
          <w:sz w:val="24"/>
          <w:szCs w:val="24"/>
          <w:highlight w:val="none"/>
          <w:u w:val="single"/>
          <w:lang w:eastAsia="zh-CN"/>
        </w:rPr>
        <w:t>送审稿，规划</w:t>
      </w:r>
      <w:r>
        <w:rPr>
          <w:rFonts w:hint="eastAsia" w:ascii="宋体" w:hAnsi="宋体" w:eastAsia="宋体" w:cs="宋体"/>
          <w:color w:val="auto"/>
          <w:sz w:val="24"/>
          <w:szCs w:val="24"/>
          <w:highlight w:val="none"/>
          <w:u w:val="single"/>
        </w:rPr>
        <w:t>经评审后1个月内递交水域保护规划成果</w:t>
      </w:r>
      <w:r>
        <w:rPr>
          <w:rFonts w:hint="eastAsia" w:ascii="宋体" w:hAnsi="宋体" w:cs="宋体"/>
          <w:color w:val="auto"/>
          <w:sz w:val="24"/>
          <w:szCs w:val="24"/>
          <w:highlight w:val="none"/>
          <w:u w:val="single"/>
          <w:lang w:eastAsia="zh-CN"/>
        </w:rPr>
        <w:t>终稿</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）后续服务：</w:t>
      </w:r>
      <w:r>
        <w:rPr>
          <w:rFonts w:hint="eastAsia" w:ascii="宋体" w:hAnsi="宋体" w:eastAsia="宋体" w:cs="宋体"/>
          <w:color w:val="auto"/>
          <w:sz w:val="24"/>
          <w:szCs w:val="24"/>
          <w:highlight w:val="none"/>
          <w:u w:val="single"/>
        </w:rPr>
        <w:t>配合业主单位做好规划报批各项工作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本合同的履行方式：经审核通过的</w:t>
      </w:r>
      <w:r>
        <w:rPr>
          <w:rFonts w:hint="eastAsia" w:ascii="宋体" w:hAnsi="宋体" w:cs="宋体"/>
          <w:color w:val="auto"/>
          <w:sz w:val="24"/>
          <w:szCs w:val="24"/>
          <w:highlight w:val="none"/>
          <w:lang w:eastAsia="zh-CN"/>
        </w:rPr>
        <w:t>调</w:t>
      </w:r>
      <w:r>
        <w:rPr>
          <w:rFonts w:hint="eastAsia" w:ascii="宋体" w:hAnsi="宋体" w:eastAsia="宋体" w:cs="宋体"/>
          <w:color w:val="auto"/>
          <w:sz w:val="24"/>
          <w:szCs w:val="24"/>
          <w:highlight w:val="none"/>
        </w:rPr>
        <w:t>查成果和规划编制成果。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最终成果报告按如下要求提供：</w:t>
      </w:r>
    </w:p>
    <w:tbl>
      <w:tblPr>
        <w:tblStyle w:val="20"/>
        <w:tblW w:w="9380" w:type="dxa"/>
        <w:tblInd w:w="113" w:type="dxa"/>
        <w:tblLayout w:type="fixed"/>
        <w:tblCellMar>
          <w:top w:w="0" w:type="dxa"/>
          <w:left w:w="108" w:type="dxa"/>
          <w:bottom w:w="0" w:type="dxa"/>
          <w:right w:w="108" w:type="dxa"/>
        </w:tblCellMar>
      </w:tblPr>
      <w:tblGrid>
        <w:gridCol w:w="791"/>
        <w:gridCol w:w="5377"/>
        <w:gridCol w:w="808"/>
        <w:gridCol w:w="2404"/>
      </w:tblGrid>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资料成果名称</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《玉环市水域调查成果报告》</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份</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玉环市水域调查GIS成果空间数据库及玉环市域水域现状总图、重要水域分布图等相关附件</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份</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《玉环市水域保护规划报告》及相关附件</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份</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tc>
      </w:tr>
    </w:tbl>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530" w:firstLineChars="221"/>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以上报告成果形式包括纸质版和电子版，其中，纸质版送审稿数量应满足审查需要，纸质版报批稿20份，电子版最终成果一份；水域调查GIS成果空间数据库及相关图件电子版一份</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三、委托方的权利、义务和责任：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检查规划编制方项目组的组成和人员到位情况、人员稳定情况，考核主要专业负责人的工作能力，如因人力、能力不足致使编制工作不能按计划完成时，业主有权要求其增加或调整相应的技术人员。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阶段审查或工作检查中，有权对顾问方不胜任研究工作的人员发出撤换的指令，对不能胜任合同职责的，业主有权给予处罚，直至解除合同，由此造成的费用增加和进度延期，委托方不承担任何责任。委托方有权根据工作需要将此不胜任的部分另行指定其它研究单位完成，费用从原合同价中开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检查顾问方的研究工作是否采取有力的措施对分包方的研究工作质量进行控制和管理，未达到要求的，委托方有权要求顾问方健全完善，顾问方整改后仍未达到要求的，委托方有权给予处罚。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检查顾问方是否按进度计划及要求开展规划，是否落实了进度控制的各项措施，未达到要求的，委托方有权要求顾问方进行整改，整改后仍未达到要求的，委托方有权给予处罚。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根据研究工作需要，委托方有权提出本合同范围以外的工作内容，顾问方应予以执行，所发生费用，经双方协商解决。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在合同有效期内，委托方应当履行合同约定的义务，如有违反，则应当承担违约责任。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按合同规定支付合同费用。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委托方对编制过程中的决策、控制、实施等环节实行全面管理，协调和监督研究工作开展，进行中间检查，组织成果评审。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审查顾问方编制的管理文件及技术文件。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委托方负责组织评审和确认成果及重大技术方案，委托方接到可行性研究报告编制人交付的相关研究工作文件后，应及时组织评审，并将评审意见以书面方式通知顾问方。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在合同履行期间，如因委托方原因提出解除合同的，委托方应根据顾问方已完成的实际工作量支付相应的费用。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四、顾问方的权利、义务和责任：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有权按合同规定提出本项目支付申请。</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根据研究工作需要，在合同规定的由委托方提供的资料范围内，顾问方有权要求委托方提供相关资料。</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有义务配合委托方完成各项审批和各阶段成果审查工作。</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有义务提供相关技术咨询服务。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有义务满足委托方提出的合理的工作要求。</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顾问方须建立完善的组织，建立研究人员日常工作程序,配备足够的人员并保持基本稳定。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顾问方应建立各项管理制度，形成相应的管理文件。顾问方制定的管理制度必须与委托方有关管理制度相适应，确保顾问方工作与委托方管理的协调一致。</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顾问方必须积极响应各种必要的程序性审查，以及在技术上的调整。整个工作贯穿编制和评审全过程。</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顾问方有技术保密的责任和义务，对于编制的过程文件、科研专题、成果文件等，未经委托方同意不得泄露或转让给第三方，如发生此类问题，顾问方承担相应的经济赔偿及法律责任。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负责建立技术管理的有关规章制度，按照档案、资料管理的有关规定，制定相关规定。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成果提交时间与方式</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参考计划进度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五、技术情报和资料保密：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顾问方所提供的编制成果所有权归委托方所有。如若发生侵权事件，其侵权责任与委托方无关，由顾问方承担全部责任。侵权造成的所有相关费用，均由顾问方支付，保证不伤害委托方的利益。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顾问方所提供的编制成果未经委托方同意，不能擅自提供给第三方。</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本合同变更，解除及终止，本条款均有效。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六、验收、评价方法：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1、编制成果论证评审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编制成果阶段性论证评审：在编制过程中，委托方将组织一次阶段性成果论证评审会，顾问方根据论证评审会上的意见和建议进行修改和完善；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编制成果送审论证评审：顾问方在合同约定的时间内完成的编制成果送交委托方，委托方组织送审论证会进行论证评审，顾问方根据论证评审会上的意见和建议进行修改和完善；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论证评审会地点由双方协商确定；</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论证评审工作产生的费用，由顾问方承担。</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在编制过程中，招标人将面向各级相关部门和单位征求意见和建议。顾问方须予以配合，并根据意见征求情况进行修改和完善。</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七、报酬及支付方式：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本项目报酬为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支付方式：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分期支付</w:t>
      </w:r>
      <w:r>
        <w:rPr>
          <w:rFonts w:hint="eastAsia" w:ascii="宋体" w:hAnsi="宋体" w:eastAsia="宋体" w:cs="宋体"/>
          <w:b/>
          <w:bCs/>
          <w:color w:val="auto"/>
          <w:sz w:val="24"/>
          <w:szCs w:val="24"/>
          <w:highlight w:val="none"/>
          <w:lang w:eastAsia="zh-CN"/>
        </w:rPr>
        <w:t>）</w:t>
      </w:r>
    </w:p>
    <w:p>
      <w:pPr>
        <w:keepNext w:val="0"/>
        <w:keepLines w:val="0"/>
        <w:pageBreakBefore w:val="0"/>
        <w:widowControl w:val="0"/>
        <w:tabs>
          <w:tab w:val="left" w:pos="831"/>
        </w:tabs>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1）合同签订后的三十天内，委托方支付20%合同款。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2）顾问方提交</w:t>
      </w:r>
      <w:r>
        <w:rPr>
          <w:rFonts w:hint="eastAsia" w:ascii="宋体" w:hAnsi="宋体" w:cs="宋体"/>
          <w:color w:val="auto"/>
          <w:sz w:val="24"/>
          <w:szCs w:val="24"/>
          <w:highlight w:val="none"/>
          <w:lang w:eastAsia="zh-CN"/>
        </w:rPr>
        <w:t>调</w:t>
      </w:r>
      <w:r>
        <w:rPr>
          <w:rFonts w:hint="eastAsia" w:ascii="宋体" w:hAnsi="宋体" w:eastAsia="宋体" w:cs="宋体"/>
          <w:color w:val="auto"/>
          <w:sz w:val="24"/>
          <w:szCs w:val="24"/>
          <w:highlight w:val="none"/>
        </w:rPr>
        <w:t>查成果并经审查通过后15天内，委托方支付30%合同款；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3）顾问方提交规划成果并经审查通过后15天内，委托方支付40%合同款；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4）规划成果得到批复后，委托方支付剩余10%合同款。</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八、违约金或者损失赔偿额的计算方式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1.1委托方未按约定及时提供基础资料，或受客观原因的制约未能履行合同约定职责的，有责任采取措施，消除影响。</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合同履行期间，因委托方自身原因，委托方要求中止或解除合同，如果顾问方尚未开始研究工作，不退还委托方己付的合同款；如顾问方实际己完成工作量价款大于己付的合同款时，不足部分应由委托方补齐。</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顾问方违约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2.1顾问方未按合同约定提供组织保证方面服务，影响履行职责的，应按委托方要求继续履行职责，并接受委托方处罚。如给委托方造成损失的，顾问方应减收或免收研究工作费用，并给予相应损失的赔偿。</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2.2若因顾问方原因导致提交的编制成果文件无法通过委托方组织的评审，委托方有权发出如下任一指令，顾问方必须遵照执行。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(1)对不合格部分重新进行编制，由此引起的费用增加和工期延误由顾问方自行负责；</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(2)解除该不合格部分的合同，委托方将该不合格部分指定分包给其他研究单位，并扣除顾问方合同总价中此部分的研究费用；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2.3顾问方在合同有效期内，应当履行合同约定的义务，如因非委托方的原因而产生质量事故、工期延误，造成委托方实际损失或虽未发生实际损失但存有风险，顾问方应承担相应赔偿责任。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2.4顾问方未按合同约定及时提交相关技术文件、研究报告，影响委托方开展下一步工作的，顾问方应承担相应赔偿责任。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2.5顾问方未按合同约定提交各阶段研究报告，每延迟一天，按3000元/天的标准赔偿，最高赔偿额度为合同总价的4%。</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2.6合同生效后，顾问方如要求中止或解除合同，顾问方应双倍返还委托方已支付的合同款。</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合同生效后，顾问方无正当理由而又未完全履行合同规定的义务时，委托方可向顾问方发出指明其未履行义务的通知。若委托方发出通知后14日内未收到满意的书面答复，委托方将有权视情形在发出通知后28日内或委托方认为合理的时间内向顾问方发出解除本合同的通知，该通知到达顾问方时合同即行终止。双方按有效的研究工作量结算费用。若由此而造成委托方重大损失时，顾问方应赔偿损失，并承担由此而产生的法律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九、合同生效、变更、中止、解除和终止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本合同生效的时间以双方签署的合同上注明的时间为准。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当任何一方提出申请并经双方书面同意后，可对本合同进行变更。要求变更的申请及变更协议必须采用书面形式，变更合同未达成之前，原合同仍然有效。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对本合同条款的任何变更、修改或增减，须经双方协商同意后由法定代表人或委托代理人签署书面文件，作为本合同的组成部分。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顾问方有故意或恶意违约行为，委托方可单方面解除合同并要求顾问方双倍返还委托方已支付合同款作为惩罚。</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双方协商一致，可以解除合同。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双方因不可抗力致使合同无法履行，可以解除合同。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合同解除后， 双方在合同中约定的结算和清理条款、损失赔偿条款及争议解决条款继续有效。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十、风险与保险</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不可抗力参照中华人民共和国保险监督管理委员会关于不可抗力的解释。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因合同一方延迟履行合同后发生不可抗力的，不能免除履行方的相应责任。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十一、争议及解决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委托方与顾问方在履行合同时发生争议，可以和解或者要求有关部门调解。如不愿和解、调解或者和解、调解不成的，双方约定向台州仲裁委员会申请仲裁解决争议。</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十二、合同生效及其它</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1、委托方委托顾问方承担本合同内容以外的工作服务，另行签订协议并支付费用。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2、由于不可抗拒因素致使合同无法履行时，双方应及时协商解决。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3、本合同生效后，按规定应到政府采购监管备案。双方履行完合同规定的义务后，本合同即行终止。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4、双方来往传真、电报、会议纪要等，经双方认可后均为合同的组成部分，与本合同具有同等法律效力。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5、未尽事宜，经双方协商一致，签订补充协议，补充协议与本合同具有同等法律效力。</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083"/>
        <w:gridCol w:w="2902"/>
        <w:gridCol w:w="19"/>
        <w:gridCol w:w="59"/>
        <w:gridCol w:w="1131"/>
        <w:gridCol w:w="72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8"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委托方</w:t>
            </w:r>
            <w:r>
              <w:rPr>
                <w:rFonts w:ascii="Calibri" w:hAnsi="Calibri" w:eastAsia="宋体"/>
                <w:color w:val="auto"/>
                <w:sz w:val="24"/>
                <w:szCs w:val="24"/>
                <w:highlight w:val="none"/>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516255</wp:posOffset>
                      </wp:positionV>
                      <wp:extent cx="76200" cy="172085"/>
                      <wp:effectExtent l="4445" t="4445" r="14605" b="13970"/>
                      <wp:wrapNone/>
                      <wp:docPr id="1" name="左中括号 1"/>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58240;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SyWl1wAAAAwBAAAPAAAAAAAAAAEAIAAAACIAAABkcnMvZG93bnJldi54bWxQ&#10;SwECFAAUAAAACACHTuJAgORfivgBAADUAwAADgAAAAAAAAABACAAAAAmAQAAZHJzL2Uyb0RvYy54&#10;bWxQSwUGAAAAAAYABgBZAQAAkAUAAAAA&#10;" adj="1799">
                      <v:fill on="f" focussize="0,0"/>
                      <v:stroke color="#000000" joinstyle="round"/>
                      <v:imagedata o:title=""/>
                      <o:lock v:ext="edit" aspectratio="f"/>
                    </v:shape>
                  </w:pict>
                </mc:Fallback>
              </mc:AlternateContent>
            </w:r>
          </w:p>
        </w:tc>
        <w:tc>
          <w:tcPr>
            <w:tcW w:w="2083" w:type="dxa"/>
            <w:tcBorders>
              <w:top w:val="single" w:color="auto" w:sz="8"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8"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玉环市农业农村和水利</w:t>
            </w:r>
            <w:r>
              <w:rPr>
                <w:rFonts w:hint="eastAsia" w:ascii="宋体" w:hAnsi="宋体" w:eastAsia="宋体"/>
                <w:color w:val="auto"/>
                <w:sz w:val="24"/>
                <w:szCs w:val="24"/>
                <w:highlight w:val="none"/>
                <w:lang w:eastAsia="zh-CN"/>
              </w:rPr>
              <w:t>局</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ind w:right="420"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4"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顾问方</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160" w:firstLineChars="9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1080" w:firstLineChars="4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jc w:val="center"/>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360" w:firstLineChars="1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bl>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17"/>
        <w:rPr>
          <w:rFonts w:hint="eastAsia" w:eastAsia="仿宋_GB2312"/>
          <w:color w:val="auto"/>
          <w:highlight w:val="none"/>
          <w:lang w:eastAsia="zh-CN"/>
        </w:rPr>
      </w:pPr>
      <w:r>
        <w:rPr>
          <w:rFonts w:hint="eastAsia" w:ascii="宋体" w:hAnsi="宋体"/>
          <w:b/>
          <w:bCs/>
          <w:color w:val="auto"/>
          <w:sz w:val="36"/>
          <w:szCs w:val="36"/>
          <w:highlight w:val="none"/>
          <w:lang w:eastAsia="zh-CN"/>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9"/>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9"/>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9"/>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hint="eastAsia" w:ascii="宋体" w:hAnsi="宋体" w:eastAsia="宋体"/>
          <w:color w:val="auto"/>
          <w:kern w:val="0"/>
          <w:sz w:val="28"/>
          <w:szCs w:val="28"/>
          <w:highlight w:val="none"/>
          <w:lang w:eastAsia="zh-CN"/>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r>
        <w:rPr>
          <w:rFonts w:hint="eastAsia" w:ascii="宋体" w:hAnsi="宋体"/>
          <w:color w:val="auto"/>
          <w:kern w:val="0"/>
          <w:sz w:val="28"/>
          <w:szCs w:val="28"/>
          <w:highlight w:val="none"/>
          <w:lang w:eastAsia="zh-CN"/>
        </w:rPr>
        <w:t>（或评标时所需的证书材料）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theme="minorBidi"/>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b w:val="0"/>
          <w:bCs/>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val="0"/>
          <w:bCs/>
          <w:color w:val="auto"/>
          <w:spacing w:val="40"/>
          <w:sz w:val="28"/>
          <w:szCs w:val="28"/>
          <w:highlight w:val="none"/>
          <w:lang w:val="en-US" w:eastAsia="zh-CN"/>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17"/>
        <w:rPr>
          <w:color w:val="auto"/>
          <w:highlight w:val="none"/>
        </w:rPr>
      </w:pPr>
      <w:r>
        <w:rPr>
          <w:rFonts w:hint="eastAsia" w:ascii="宋体" w:hAnsi="宋体"/>
          <w:b/>
          <w:bCs/>
          <w:color w:val="auto"/>
          <w:sz w:val="36"/>
          <w:szCs w:val="36"/>
          <w:highlight w:val="none"/>
          <w:lang w:eastAsia="zh-CN"/>
        </w:rPr>
        <w:t>（</w:t>
      </w:r>
      <w:r>
        <w:rPr>
          <w:rFonts w:hint="eastAsia" w:ascii="宋体" w:hAnsi="宋体"/>
          <w:b/>
          <w:bCs/>
          <w:color w:val="auto"/>
          <w:sz w:val="36"/>
          <w:szCs w:val="36"/>
          <w:highlight w:val="none"/>
          <w:u w:val="single"/>
          <w:lang w:eastAsia="zh-CN"/>
        </w:rPr>
        <w:t>仅供参考</w:t>
      </w:r>
      <w:r>
        <w:rPr>
          <w:rFonts w:hint="eastAsia" w:ascii="宋体" w:hAnsi="宋体"/>
          <w:b/>
          <w:bCs/>
          <w:color w:val="auto"/>
          <w:sz w:val="36"/>
          <w:szCs w:val="36"/>
          <w:highlight w:val="none"/>
          <w:lang w:eastAsia="zh-CN"/>
        </w:rPr>
        <w:t>）</w:t>
      </w:r>
    </w:p>
    <w:p>
      <w:pPr>
        <w:snapToGrid w:val="0"/>
        <w:spacing w:line="360" w:lineRule="auto"/>
        <w:ind w:firstLine="562" w:firstLineChars="200"/>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t>▲得分自查表（</w:t>
      </w:r>
      <w:r>
        <w:rPr>
          <w:rFonts w:hint="eastAsia" w:ascii="宋体" w:hAnsi="宋体"/>
          <w:b/>
          <w:bCs/>
          <w:color w:val="auto"/>
          <w:sz w:val="28"/>
          <w:szCs w:val="28"/>
          <w:highlight w:val="none"/>
          <w:u w:val="single"/>
        </w:rPr>
        <w:t>附件</w:t>
      </w:r>
      <w:r>
        <w:rPr>
          <w:rFonts w:hint="eastAsia" w:ascii="宋体" w:hAnsi="宋体"/>
          <w:b/>
          <w:bCs/>
          <w:color w:val="auto"/>
          <w:sz w:val="28"/>
          <w:szCs w:val="28"/>
          <w:highlight w:val="none"/>
          <w:u w:val="single"/>
          <w:lang w:val="en-US" w:eastAsia="zh-CN"/>
        </w:rPr>
        <w:t>17</w:t>
      </w:r>
      <w:r>
        <w:rPr>
          <w:rFonts w:hint="eastAsia" w:ascii="宋体" w:hAnsi="宋体"/>
          <w:b/>
          <w:bCs/>
          <w:color w:val="auto"/>
          <w:sz w:val="28"/>
          <w:szCs w:val="28"/>
          <w:highlight w:val="none"/>
          <w:lang w:eastAsia="zh-CN"/>
        </w:rPr>
        <w:t>）</w:t>
      </w: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总体方案描述部分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投标人情况介绍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2、总体方案描述；</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项目实施方案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附件6、附件7</w:t>
      </w:r>
      <w:r>
        <w:rPr>
          <w:rFonts w:hint="eastAsia" w:ascii="宋体" w:hAnsi="宋体" w:cs="宋体"/>
          <w:color w:val="auto"/>
          <w:sz w:val="28"/>
          <w:szCs w:val="28"/>
          <w:highlight w:val="none"/>
          <w:lang w:eastAsia="zh-CN"/>
        </w:rPr>
        <w:t>）</w:t>
      </w:r>
      <w:r>
        <w:rPr>
          <w:rFonts w:ascii="宋体" w:hAnsi="宋体"/>
          <w:color w:val="auto"/>
          <w:sz w:val="28"/>
          <w:szCs w:val="28"/>
          <w:highlight w:val="none"/>
        </w:rPr>
        <w:t xml:space="preserve">； </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hint="eastAsia"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附件8、附件9</w:t>
      </w:r>
      <w:r>
        <w:rPr>
          <w:rFonts w:hint="eastAsia" w:ascii="宋体" w:hAnsi="宋体"/>
          <w:color w:val="auto"/>
          <w:kern w:val="0"/>
          <w:sz w:val="28"/>
          <w:szCs w:val="28"/>
          <w:highlight w:val="none"/>
        </w:rPr>
        <w:t>）；</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s="Times New Roman"/>
          <w:color w:val="auto"/>
          <w:sz w:val="28"/>
          <w:szCs w:val="28"/>
          <w:highlight w:val="none"/>
          <w:lang w:val="en-US" w:eastAsia="zh-CN"/>
        </w:rPr>
        <w:t>2、</w:t>
      </w:r>
      <w:r>
        <w:rPr>
          <w:rFonts w:hint="eastAsia" w:ascii="宋体" w:hAnsi="宋体"/>
          <w:color w:val="auto"/>
          <w:sz w:val="28"/>
          <w:szCs w:val="28"/>
          <w:highlight w:val="none"/>
        </w:rPr>
        <w:t>投标人</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包括可能影响投标人技术性能评分项的各类证明材料）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2、类似服务业绩（附件11）</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w:t>
      </w:r>
      <w:r>
        <w:rPr>
          <w:rFonts w:hint="eastAsia" w:ascii="宋体" w:hAnsi="宋体"/>
          <w:color w:val="auto"/>
          <w:kern w:val="0"/>
          <w:sz w:val="28"/>
          <w:szCs w:val="28"/>
          <w:highlight w:val="none"/>
          <w:u w:val="single"/>
        </w:rPr>
        <w:t>可视情选用</w:t>
      </w:r>
      <w:r>
        <w:rPr>
          <w:rFonts w:hint="eastAsia" w:ascii="宋体" w:hAnsi="宋体"/>
          <w:color w:val="auto"/>
          <w:kern w:val="0"/>
          <w:sz w:val="28"/>
          <w:szCs w:val="28"/>
          <w:highlight w:val="none"/>
        </w:rPr>
        <w:t>附件12，附件13）；</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4、投标人需要说明的其他内容。（包括可能影响投标人企业实力及信誉评分项以及售后服务评分项的各类证明材料）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四</w:t>
      </w:r>
      <w:r>
        <w:rPr>
          <w:rFonts w:hint="eastAsia" w:ascii="宋体" w:hAnsi="宋体"/>
          <w:b/>
          <w:bCs/>
          <w:color w:val="auto"/>
          <w:kern w:val="0"/>
          <w:sz w:val="28"/>
          <w:szCs w:val="28"/>
          <w:highlight w:val="none"/>
        </w:rPr>
        <w:t>部分  工作方案</w:t>
      </w:r>
    </w:p>
    <w:p>
      <w:pPr>
        <w:snapToGrid w:val="0"/>
        <w:spacing w:line="360" w:lineRule="auto"/>
        <w:ind w:left="837" w:leftChars="260" w:hanging="291" w:hangingChars="104"/>
        <w:rPr>
          <w:rFonts w:ascii="宋体" w:hAnsi="宋体"/>
          <w:color w:val="auto"/>
          <w:kern w:val="0"/>
          <w:sz w:val="28"/>
          <w:szCs w:val="28"/>
          <w:highlight w:val="none"/>
        </w:rPr>
      </w:pPr>
    </w:p>
    <w:p>
      <w:pPr>
        <w:pStyle w:val="38"/>
        <w:shd w:val="clear" w:color="auto" w:fill="FFFFFF"/>
        <w:spacing w:before="0" w:beforeAutospacing="0" w:after="0" w:afterAutospacing="0" w:line="360" w:lineRule="auto"/>
        <w:rPr>
          <w:b/>
          <w:color w:val="auto"/>
          <w:sz w:val="28"/>
          <w:highlight w:val="none"/>
        </w:rPr>
      </w:pPr>
    </w:p>
    <w:p>
      <w:pPr>
        <w:rPr>
          <w:rFonts w:hint="eastAsia"/>
          <w:b/>
          <w:color w:val="auto"/>
          <w:sz w:val="28"/>
          <w:highlight w:val="none"/>
        </w:rPr>
      </w:pPr>
      <w:r>
        <w:rPr>
          <w:rFonts w:hint="eastAsia"/>
          <w:b/>
          <w:color w:val="auto"/>
          <w:sz w:val="28"/>
          <w:highlight w:val="none"/>
        </w:rPr>
        <w:br w:type="page"/>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b/>
          <w:color w:val="auto"/>
          <w:sz w:val="28"/>
          <w:highlight w:val="none"/>
        </w:rPr>
      </w:pPr>
      <w:r>
        <w:rPr>
          <w:rFonts w:hint="eastAsia"/>
          <w:b/>
          <w:color w:val="auto"/>
          <w:sz w:val="28"/>
          <w:highlight w:val="none"/>
        </w:rPr>
        <w:t>附件5</w:t>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682" w:type="dxa"/>
          </w:tcPr>
          <w:p>
            <w:pPr>
              <w:pStyle w:val="38"/>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38"/>
              <w:shd w:val="clear" w:color="auto" w:fill="FFFFFF"/>
              <w:spacing w:line="360" w:lineRule="auto"/>
              <w:rPr>
                <w:bCs/>
                <w:color w:val="auto"/>
                <w:highlight w:val="none"/>
              </w:rPr>
            </w:pP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2" w:type="dxa"/>
          </w:tcPr>
          <w:p>
            <w:pPr>
              <w:pStyle w:val="38"/>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38"/>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38"/>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38"/>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vMerge w:val="continue"/>
          </w:tcPr>
          <w:p>
            <w:pPr>
              <w:pStyle w:val="38"/>
              <w:shd w:val="clear" w:color="auto" w:fill="FFFFFF"/>
              <w:spacing w:line="360" w:lineRule="auto"/>
              <w:rPr>
                <w:bCs/>
                <w:color w:val="auto"/>
                <w:spacing w:val="16"/>
                <w:highlight w:val="none"/>
              </w:rPr>
            </w:pPr>
          </w:p>
        </w:tc>
        <w:tc>
          <w:tcPr>
            <w:tcW w:w="2151" w:type="dxa"/>
            <w:gridSpan w:val="2"/>
            <w:vMerge w:val="continue"/>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38"/>
              <w:shd w:val="clear" w:color="auto" w:fill="FFFFFF"/>
              <w:spacing w:line="360" w:lineRule="auto"/>
              <w:ind w:left="107"/>
              <w:rPr>
                <w:bCs/>
                <w:color w:val="auto"/>
                <w:highlight w:val="none"/>
              </w:rPr>
            </w:pPr>
            <w:r>
              <w:rPr>
                <w:rFonts w:hint="eastAsia"/>
                <w:bCs/>
                <w:color w:val="auto"/>
                <w:highlight w:val="none"/>
              </w:rPr>
              <w:t>企</w:t>
            </w:r>
          </w:p>
          <w:p>
            <w:pPr>
              <w:pStyle w:val="38"/>
              <w:shd w:val="clear" w:color="auto" w:fill="FFFFFF"/>
              <w:spacing w:line="360" w:lineRule="auto"/>
              <w:ind w:left="107"/>
              <w:rPr>
                <w:bCs/>
                <w:color w:val="auto"/>
                <w:highlight w:val="none"/>
              </w:rPr>
            </w:pPr>
            <w:r>
              <w:rPr>
                <w:rFonts w:hint="eastAsia"/>
                <w:bCs/>
                <w:color w:val="auto"/>
                <w:highlight w:val="none"/>
              </w:rPr>
              <w:t>业</w:t>
            </w:r>
          </w:p>
          <w:p>
            <w:pPr>
              <w:pStyle w:val="38"/>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38"/>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38"/>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38"/>
              <w:shd w:val="clear" w:color="auto" w:fill="FFFFFF"/>
              <w:spacing w:line="360" w:lineRule="auto"/>
              <w:rPr>
                <w:bCs/>
                <w:color w:val="auto"/>
                <w:spacing w:val="16"/>
                <w:highlight w:val="none"/>
              </w:rPr>
            </w:pPr>
          </w:p>
        </w:tc>
        <w:tc>
          <w:tcPr>
            <w:tcW w:w="1163" w:type="dxa"/>
            <w:tcBorders>
              <w:top w:val="nil"/>
            </w:tcBorders>
          </w:tcPr>
          <w:p>
            <w:pPr>
              <w:pStyle w:val="38"/>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38"/>
              <w:shd w:val="clear" w:color="auto" w:fill="FFFFFF"/>
              <w:spacing w:line="360" w:lineRule="auto"/>
              <w:rPr>
                <w:bCs/>
                <w:color w:val="auto"/>
                <w:highlight w:val="none"/>
              </w:rPr>
            </w:pPr>
          </w:p>
        </w:tc>
        <w:tc>
          <w:tcPr>
            <w:tcW w:w="1163" w:type="dxa"/>
          </w:tcPr>
          <w:p>
            <w:pPr>
              <w:pStyle w:val="38"/>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38"/>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38"/>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38"/>
              <w:shd w:val="clear" w:color="auto" w:fill="FFFFFF"/>
              <w:spacing w:line="360" w:lineRule="auto"/>
              <w:ind w:left="2"/>
              <w:rPr>
                <w:bCs/>
                <w:color w:val="auto"/>
                <w:highlight w:val="none"/>
              </w:rPr>
            </w:pPr>
          </w:p>
        </w:tc>
        <w:tc>
          <w:tcPr>
            <w:tcW w:w="1163" w:type="dxa"/>
          </w:tcPr>
          <w:p>
            <w:pPr>
              <w:pStyle w:val="38"/>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38"/>
              <w:shd w:val="clear" w:color="auto" w:fill="FFFFFF"/>
              <w:spacing w:line="360" w:lineRule="auto"/>
              <w:ind w:left="107"/>
              <w:rPr>
                <w:bCs/>
                <w:color w:val="auto"/>
                <w:highlight w:val="none"/>
              </w:rPr>
            </w:pPr>
          </w:p>
        </w:tc>
        <w:tc>
          <w:tcPr>
            <w:tcW w:w="1218" w:type="dxa"/>
          </w:tcPr>
          <w:p>
            <w:pPr>
              <w:pStyle w:val="38"/>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auto"/>
                <w:highlight w:val="none"/>
              </w:rPr>
            </w:pPr>
          </w:p>
        </w:tc>
        <w:tc>
          <w:tcPr>
            <w:tcW w:w="8131" w:type="dxa"/>
            <w:gridSpan w:val="11"/>
          </w:tcPr>
          <w:p>
            <w:pPr>
              <w:pStyle w:val="38"/>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38"/>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38"/>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38"/>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38"/>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38"/>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38"/>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auto"/>
                <w:highlight w:val="none"/>
              </w:rPr>
            </w:pPr>
          </w:p>
        </w:tc>
        <w:tc>
          <w:tcPr>
            <w:tcW w:w="1553" w:type="dxa"/>
            <w:gridSpan w:val="2"/>
            <w:vMerge w:val="continue"/>
          </w:tcPr>
          <w:p>
            <w:pPr>
              <w:pStyle w:val="38"/>
              <w:shd w:val="clear" w:color="auto" w:fill="FFFFFF"/>
              <w:spacing w:line="360" w:lineRule="auto"/>
              <w:rPr>
                <w:bCs/>
                <w:color w:val="auto"/>
                <w:highlight w:val="none"/>
              </w:rPr>
            </w:pPr>
          </w:p>
        </w:tc>
        <w:tc>
          <w:tcPr>
            <w:tcW w:w="1333" w:type="dxa"/>
            <w:gridSpan w:val="3"/>
          </w:tcPr>
          <w:p>
            <w:pPr>
              <w:pStyle w:val="38"/>
              <w:shd w:val="clear" w:color="auto" w:fill="FFFFFF"/>
              <w:spacing w:line="360" w:lineRule="auto"/>
              <w:rPr>
                <w:bCs/>
                <w:color w:val="auto"/>
                <w:highlight w:val="none"/>
              </w:rPr>
            </w:pPr>
          </w:p>
        </w:tc>
        <w:tc>
          <w:tcPr>
            <w:tcW w:w="1418" w:type="dxa"/>
            <w:gridSpan w:val="2"/>
          </w:tcPr>
          <w:p>
            <w:pPr>
              <w:pStyle w:val="38"/>
              <w:shd w:val="clear" w:color="auto" w:fill="FFFFFF"/>
              <w:spacing w:line="360" w:lineRule="auto"/>
              <w:rPr>
                <w:bCs/>
                <w:color w:val="auto"/>
                <w:highlight w:val="none"/>
              </w:rPr>
            </w:pPr>
          </w:p>
        </w:tc>
        <w:tc>
          <w:tcPr>
            <w:tcW w:w="1276" w:type="dxa"/>
          </w:tcPr>
          <w:p>
            <w:pPr>
              <w:pStyle w:val="38"/>
              <w:shd w:val="clear" w:color="auto" w:fill="FFFFFF"/>
              <w:spacing w:line="360" w:lineRule="auto"/>
              <w:rPr>
                <w:bCs/>
                <w:color w:val="auto"/>
                <w:highlight w:val="none"/>
              </w:rPr>
            </w:pPr>
          </w:p>
        </w:tc>
        <w:tc>
          <w:tcPr>
            <w:tcW w:w="2551" w:type="dxa"/>
            <w:gridSpan w:val="3"/>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auto"/>
                <w:spacing w:val="16"/>
                <w:highlight w:val="none"/>
              </w:rPr>
            </w:pPr>
          </w:p>
        </w:tc>
        <w:tc>
          <w:tcPr>
            <w:tcW w:w="1553" w:type="dxa"/>
            <w:gridSpan w:val="2"/>
          </w:tcPr>
          <w:p>
            <w:pPr>
              <w:pStyle w:val="38"/>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auto"/>
                <w:spacing w:val="27"/>
                <w:highlight w:val="none"/>
              </w:rPr>
            </w:pPr>
          </w:p>
        </w:tc>
        <w:tc>
          <w:tcPr>
            <w:tcW w:w="1553" w:type="dxa"/>
            <w:gridSpan w:val="2"/>
          </w:tcPr>
          <w:p>
            <w:pPr>
              <w:pStyle w:val="38"/>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38"/>
              <w:shd w:val="clear" w:color="auto" w:fill="FFFFFF"/>
              <w:spacing w:line="360" w:lineRule="auto"/>
              <w:rPr>
                <w:bCs/>
                <w:color w:val="auto"/>
                <w:spacing w:val="16"/>
                <w:highlight w:val="none"/>
              </w:rPr>
            </w:pPr>
          </w:p>
        </w:tc>
      </w:tr>
    </w:tbl>
    <w:p>
      <w:pPr>
        <w:pStyle w:val="3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项目实施人员一览表（第 标）</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val="0"/>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9"/>
        <w:spacing w:line="360" w:lineRule="auto"/>
        <w:ind w:left="424" w:leftChars="202"/>
        <w:rPr>
          <w:rFonts w:hint="eastAsia" w:ascii="宋体" w:hAnsi="宋体" w:eastAsia="宋体"/>
          <w:color w:val="auto"/>
          <w:szCs w:val="21"/>
          <w:highlight w:val="none"/>
          <w:lang w:eastAsia="zh-CN"/>
        </w:rPr>
      </w:pPr>
      <w:r>
        <w:rPr>
          <w:rFonts w:hint="eastAsia" w:ascii="宋体" w:hAnsi="宋体"/>
          <w:color w:val="auto"/>
          <w:szCs w:val="21"/>
          <w:highlight w:val="none"/>
        </w:rPr>
        <w:t>2.附人员证书复印件</w:t>
      </w:r>
      <w:r>
        <w:rPr>
          <w:rFonts w:hint="eastAsia" w:ascii="宋体" w:hAnsi="宋体"/>
          <w:color w:val="auto"/>
          <w:szCs w:val="21"/>
          <w:highlight w:val="none"/>
          <w:lang w:eastAsia="zh-CN"/>
        </w:rPr>
        <w:t>。</w:t>
      </w:r>
    </w:p>
    <w:p>
      <w:pPr>
        <w:pStyle w:val="3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lang w:val="en-US" w:eastAsia="zh-CN"/>
        </w:rPr>
        <w:t>3</w:t>
      </w:r>
      <w:r>
        <w:rPr>
          <w:rFonts w:ascii="宋体" w:hAnsi="宋体"/>
          <w:color w:val="auto"/>
          <w:szCs w:val="21"/>
          <w:highlight w:val="none"/>
        </w:rPr>
        <w:t>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hint="eastAsia"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left"/>
              <w:rPr>
                <w:rFonts w:ascii="宋体" w:hAnsi="宋体"/>
                <w:color w:val="auto"/>
                <w:highlight w:val="none"/>
                <w:lang w:val="zh-CN"/>
              </w:rPr>
            </w:pPr>
            <w:r>
              <w:rPr>
                <w:rFonts w:hint="eastAsia" w:ascii="宋体" w:hAnsi="宋体"/>
                <w:color w:val="auto"/>
                <w:highlight w:val="none"/>
              </w:rPr>
              <w:t>注：业绩证明应提供合同复印件</w:t>
            </w:r>
            <w:r>
              <w:rPr>
                <w:rFonts w:hint="eastAsia" w:ascii="宋体" w:hAnsi="宋体"/>
                <w:color w:val="auto"/>
                <w:highlight w:val="none"/>
                <w:lang w:eastAsia="zh-CN"/>
              </w:rPr>
              <w:t>（</w:t>
            </w:r>
            <w:r>
              <w:rPr>
                <w:rFonts w:hint="eastAsia" w:ascii="Times New Roman" w:hAnsi="Times New Roman" w:cs="Times New Roman"/>
                <w:color w:val="auto"/>
                <w:kern w:val="0"/>
                <w:sz w:val="21"/>
                <w:szCs w:val="21"/>
                <w:highlight w:val="none"/>
              </w:rPr>
              <w:t>原件现场备查</w:t>
            </w:r>
            <w:r>
              <w:rPr>
                <w:rFonts w:hint="eastAsia" w:ascii="宋体" w:hAnsi="宋体"/>
                <w:color w:val="auto"/>
                <w:highlight w:val="none"/>
                <w:lang w:eastAsia="zh-CN"/>
              </w:rPr>
              <w:t>）</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r>
        <w:rPr>
          <w:rFonts w:hint="eastAsia" w:ascii="宋体" w:hAnsi="宋体"/>
          <w:b/>
          <w:color w:val="auto"/>
          <w:sz w:val="32"/>
          <w:szCs w:val="32"/>
          <w:highlight w:val="none"/>
        </w:rPr>
        <w:t xml:space="preserve"> (第 标)</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04"/>
        <w:gridCol w:w="1134"/>
        <w:gridCol w:w="1842"/>
        <w:gridCol w:w="993"/>
        <w:gridCol w:w="1559"/>
      </w:tblGrid>
      <w:tr>
        <w:tblPrEx>
          <w:tblLayout w:type="fixed"/>
          <w:tblCellMar>
            <w:top w:w="0" w:type="dxa"/>
            <w:left w:w="108" w:type="dxa"/>
            <w:bottom w:w="0" w:type="dxa"/>
            <w:right w:w="108" w:type="dxa"/>
          </w:tblCellMar>
        </w:tblPrEx>
        <w:trPr>
          <w:cantSplit/>
          <w:trHeight w:val="640" w:hRule="atLeast"/>
        </w:trPr>
        <w:tc>
          <w:tcPr>
            <w:tcW w:w="790"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904" w:type="dxa"/>
            <w:vAlign w:val="center"/>
          </w:tcPr>
          <w:p>
            <w:pPr>
              <w:tabs>
                <w:tab w:val="left" w:pos="8280"/>
              </w:tabs>
              <w:autoSpaceDE w:val="0"/>
              <w:autoSpaceDN w:val="0"/>
              <w:adjustRightInd w:val="0"/>
              <w:spacing w:line="360" w:lineRule="auto"/>
              <w:ind w:right="25" w:firstLine="361" w:firstLineChars="150"/>
              <w:jc w:val="both"/>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单位</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lang w:eastAsia="zh-CN"/>
              </w:rPr>
              <w:t>时间</w:t>
            </w:r>
          </w:p>
        </w:tc>
        <w:tc>
          <w:tcPr>
            <w:tcW w:w="1559" w:type="dxa"/>
            <w:vAlign w:val="center"/>
          </w:tcPr>
          <w:p>
            <w:pPr>
              <w:spacing w:line="360" w:lineRule="auto"/>
              <w:ind w:left="152"/>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 标)</w:t>
      </w:r>
    </w:p>
    <w:p>
      <w:pPr>
        <w:spacing w:line="360" w:lineRule="auto"/>
        <w:rPr>
          <w:rFonts w:ascii="宋体" w:hAnsi="宋体"/>
          <w:color w:val="auto"/>
          <w:sz w:val="24"/>
          <w:highlight w:val="none"/>
        </w:rPr>
      </w:pPr>
    </w:p>
    <w:tbl>
      <w:tblPr>
        <w:tblStyle w:val="20"/>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0"/>
        <w:gridCol w:w="1914"/>
        <w:gridCol w:w="17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90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90"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914"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719"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6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bl>
    <w:p>
      <w:pPr>
        <w:pStyle w:val="40"/>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0"/>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41"/>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2"/>
        <w:spacing w:line="360" w:lineRule="auto"/>
        <w:jc w:val="center"/>
        <w:rPr>
          <w:rFonts w:ascii="宋体" w:hAnsi="宋体" w:cs="Arial"/>
          <w:color w:val="auto"/>
          <w:sz w:val="28"/>
          <w:szCs w:val="28"/>
          <w:highlight w:val="none"/>
        </w:rPr>
      </w:pPr>
    </w:p>
    <w:tbl>
      <w:tblPr>
        <w:tblStyle w:val="20"/>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bl>
    <w:p>
      <w:pPr>
        <w:pStyle w:val="42"/>
        <w:tabs>
          <w:tab w:val="left" w:pos="1050"/>
        </w:tabs>
        <w:spacing w:line="360" w:lineRule="auto"/>
        <w:rPr>
          <w:rFonts w:ascii="仿宋_GB2312" w:hAnsi="宋体" w:eastAsia="仿宋_GB2312"/>
          <w:color w:val="auto"/>
          <w:sz w:val="24"/>
          <w:highlight w:val="none"/>
        </w:rPr>
      </w:pPr>
    </w:p>
    <w:p>
      <w:pPr>
        <w:pStyle w:val="4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4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41"/>
        <w:spacing w:line="360" w:lineRule="auto"/>
        <w:jc w:val="center"/>
        <w:rPr>
          <w:rFonts w:ascii="仿宋_GB2312" w:eastAsia="仿宋_GB2312"/>
          <w:b/>
          <w:color w:val="auto"/>
          <w:sz w:val="28"/>
          <w:szCs w:val="28"/>
          <w:highlight w:val="none"/>
        </w:rPr>
      </w:pPr>
    </w:p>
    <w:tbl>
      <w:tblPr>
        <w:tblStyle w:val="20"/>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w:t>
      </w:r>
      <w:r>
        <w:rPr>
          <w:rFonts w:hint="eastAsia" w:ascii="宋体" w:hAnsi="宋体" w:cs="Arial"/>
          <w:color w:val="auto"/>
          <w:szCs w:val="21"/>
          <w:highlight w:val="none"/>
        </w:rPr>
        <w:t>提供合同复印件（如合同等不能说明业绩要求的，另须提供业主证明等证明资料）、报告封面和扉页。原件现场备查，否则不得分。</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42"/>
        <w:tabs>
          <w:tab w:val="left" w:pos="1050"/>
        </w:tabs>
        <w:spacing w:line="360" w:lineRule="auto"/>
        <w:rPr>
          <w:rFonts w:ascii="仿宋_GB2312" w:hAnsi="宋体" w:eastAsia="仿宋_GB2312"/>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资信及商务需求响应表(第 标)</w:t>
      </w:r>
    </w:p>
    <w:p>
      <w:pPr>
        <w:spacing w:line="360" w:lineRule="auto"/>
        <w:ind w:left="481" w:leftChars="229" w:firstLine="813" w:firstLineChars="450"/>
        <w:rPr>
          <w:rFonts w:ascii="宋体" w:hAnsi="宋体"/>
          <w:b/>
          <w:color w:val="auto"/>
          <w:sz w:val="18"/>
          <w:szCs w:val="18"/>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lang w:eastAsia="zh-CN"/>
              </w:rPr>
              <w:t>项目进度要求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rPr>
          <w:rFonts w:hint="eastAsia" w:ascii="宋体" w:hAnsi="宋体"/>
          <w:b/>
          <w:color w:val="auto"/>
          <w:sz w:val="28"/>
          <w:highlight w:val="none"/>
        </w:rPr>
      </w:pPr>
      <w:r>
        <w:rPr>
          <w:rFonts w:hint="eastAsia" w:ascii="宋体" w:hAnsi="宋体"/>
          <w:b/>
          <w:color w:val="auto"/>
          <w:sz w:val="28"/>
          <w:highlight w:val="none"/>
        </w:rPr>
        <w:br w:type="page"/>
      </w:r>
    </w:p>
    <w:p>
      <w:pPr>
        <w:tabs>
          <w:tab w:val="left" w:pos="2460"/>
        </w:tabs>
        <w:spacing w:line="360" w:lineRule="auto"/>
        <w:ind w:firstLine="435"/>
        <w:rPr>
          <w:rFonts w:ascii="宋体" w:hAnsi="宋体"/>
          <w:b/>
          <w:color w:val="auto"/>
          <w:sz w:val="28"/>
          <w:highlight w:val="none"/>
        </w:rPr>
      </w:pPr>
      <w:r>
        <w:rPr>
          <w:rFonts w:hint="eastAsia" w:ascii="宋体" w:hAnsi="宋体"/>
          <w:b/>
          <w:color w:val="auto"/>
          <w:sz w:val="28"/>
          <w:highlight w:val="none"/>
        </w:rPr>
        <w:t>附件13</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3"/>
              <w:widowControl/>
              <w:spacing w:line="360" w:lineRule="auto"/>
              <w:jc w:val="left"/>
              <w:rPr>
                <w:rFonts w:ascii="宋体" w:hAnsi="宋体" w:cs="Arial"/>
                <w:bCs/>
                <w:color w:val="auto"/>
                <w:sz w:val="24"/>
                <w:highlight w:val="none"/>
              </w:rPr>
            </w:pPr>
          </w:p>
        </w:tc>
        <w:tc>
          <w:tcPr>
            <w:tcW w:w="2355" w:type="dxa"/>
            <w:vMerge w:val="continue"/>
            <w:vAlign w:val="center"/>
          </w:tcPr>
          <w:p>
            <w:pPr>
              <w:pStyle w:val="43"/>
              <w:widowControl/>
              <w:spacing w:line="360" w:lineRule="auto"/>
              <w:jc w:val="left"/>
              <w:rPr>
                <w:rFonts w:ascii="宋体" w:hAnsi="宋体" w:cs="Arial"/>
                <w:bCs/>
                <w:color w:val="auto"/>
                <w:sz w:val="24"/>
                <w:highlight w:val="none"/>
              </w:rPr>
            </w:pP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43"/>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c>
          <w:tcPr>
            <w:tcW w:w="1373"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43"/>
              <w:widowControl/>
              <w:spacing w:line="360" w:lineRule="auto"/>
              <w:jc w:val="left"/>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right="-110"/>
        <w:jc w:val="left"/>
        <w:rPr>
          <w:rFonts w:hint="eastAsia" w:ascii="宋体" w:hAnsi="宋体" w:eastAsia="宋体"/>
          <w:color w:val="auto"/>
          <w:spacing w:val="40"/>
          <w:sz w:val="52"/>
          <w:szCs w:val="52"/>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2、报价明细表（附件1</w:t>
      </w:r>
      <w:r>
        <w:rPr>
          <w:rFonts w:hint="eastAsia" w:ascii="宋体" w:hAnsi="宋体"/>
          <w:color w:val="auto"/>
          <w:sz w:val="24"/>
          <w:highlight w:val="none"/>
          <w:lang w:val="en-US" w:eastAsia="zh-CN"/>
        </w:rPr>
        <w:t>6</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3、针对报价投标人认为其他需要说明的；</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spacing w:line="360" w:lineRule="auto"/>
        <w:ind w:left="-2" w:hanging="2"/>
        <w:jc w:val="center"/>
        <w:rPr>
          <w:rFonts w:ascii="宋体" w:hAnsi="宋体"/>
          <w:b/>
          <w:color w:val="auto"/>
          <w:sz w:val="32"/>
          <w:szCs w:val="32"/>
          <w:highlight w:val="none"/>
        </w:rPr>
      </w:pPr>
    </w:p>
    <w:p>
      <w:pPr>
        <w:pStyle w:val="11"/>
        <w:spacing w:line="320" w:lineRule="exact"/>
        <w:rPr>
          <w:rFonts w:hAnsi="宋体"/>
          <w:b/>
          <w:color w:val="auto"/>
          <w:sz w:val="24"/>
          <w:highlight w:val="none"/>
        </w:rPr>
      </w:pPr>
      <w:r>
        <w:rPr>
          <w:rFonts w:hAnsi="宋体"/>
          <w:b/>
          <w:color w:val="auto"/>
          <w:sz w:val="24"/>
          <w:highlight w:val="none"/>
        </w:rPr>
        <w:t>项目编号：</w:t>
      </w:r>
    </w:p>
    <w:p>
      <w:pPr>
        <w:pStyle w:val="47"/>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0"/>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hint="eastAsia" w:ascii="宋体" w:hAnsi="宋体"/>
          <w:color w:val="auto"/>
          <w:sz w:val="24"/>
          <w:highlight w:val="none"/>
          <w:lang w:eastAsia="zh-CN"/>
        </w:rPr>
      </w:pPr>
      <w:r>
        <w:rPr>
          <w:rFonts w:hint="eastAsia" w:ascii="宋体" w:hAnsi="宋体"/>
          <w:color w:val="auto"/>
          <w:sz w:val="24"/>
          <w:highlight w:val="none"/>
        </w:rPr>
        <w:t>日        期</w:t>
      </w:r>
      <w:r>
        <w:rPr>
          <w:rFonts w:hint="eastAsia" w:ascii="宋体" w:hAnsi="宋体"/>
          <w:color w:val="auto"/>
          <w:sz w:val="24"/>
          <w:highlight w:val="none"/>
          <w:lang w:eastAsia="zh-CN"/>
        </w:rPr>
        <w:t>：</w:t>
      </w: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pStyle w:val="2"/>
        <w:ind w:left="0" w:leftChars="0" w:firstLine="0" w:firstLineChars="0"/>
        <w:rPr>
          <w:rFonts w:hint="eastAsia" w:ascii="宋体" w:hAnsi="宋体"/>
          <w:b/>
          <w:bCs/>
          <w:color w:val="auto"/>
          <w:sz w:val="28"/>
          <w:szCs w:val="28"/>
          <w:highlight w:val="none"/>
          <w:u w:val="none"/>
          <w:lang w:val="en-US" w:eastAsia="zh-CN"/>
        </w:rPr>
      </w:pPr>
      <w:r>
        <w:rPr>
          <w:rFonts w:hint="eastAsia" w:ascii="宋体" w:hAnsi="宋体"/>
          <w:b/>
          <w:bCs/>
          <w:color w:val="auto"/>
          <w:sz w:val="28"/>
          <w:szCs w:val="28"/>
          <w:highlight w:val="none"/>
          <w:u w:val="none"/>
        </w:rPr>
        <w:t>附件</w:t>
      </w:r>
      <w:r>
        <w:rPr>
          <w:rFonts w:hint="eastAsia" w:ascii="宋体" w:hAnsi="宋体"/>
          <w:b/>
          <w:bCs/>
          <w:color w:val="auto"/>
          <w:sz w:val="28"/>
          <w:szCs w:val="28"/>
          <w:highlight w:val="none"/>
          <w:u w:val="none"/>
          <w:lang w:val="en-US" w:eastAsia="zh-CN"/>
        </w:rPr>
        <w:t>17</w:t>
      </w:r>
    </w:p>
    <w:p>
      <w:pPr>
        <w:pStyle w:val="2"/>
        <w:ind w:left="0" w:leftChars="0" w:firstLine="0" w:firstLineChars="0"/>
        <w:jc w:val="center"/>
        <w:rPr>
          <w:rFonts w:hint="eastAsia" w:ascii="宋体" w:hAnsi="宋体"/>
          <w:b/>
          <w:bCs/>
          <w:color w:val="auto"/>
          <w:sz w:val="28"/>
          <w:szCs w:val="28"/>
          <w:highlight w:val="none"/>
          <w:u w:val="none"/>
          <w:lang w:val="en-US" w:eastAsia="zh-CN"/>
        </w:rPr>
      </w:pPr>
      <w:r>
        <w:rPr>
          <w:rFonts w:hint="eastAsia" w:ascii="宋体" w:hAnsi="宋体"/>
          <w:b/>
          <w:bCs/>
          <w:color w:val="auto"/>
          <w:sz w:val="28"/>
          <w:szCs w:val="28"/>
          <w:highlight w:val="none"/>
          <w:lang w:eastAsia="zh-CN"/>
        </w:rPr>
        <w:t>得分自查表</w:t>
      </w:r>
    </w:p>
    <w:tbl>
      <w:tblPr>
        <w:tblStyle w:val="20"/>
        <w:tblpPr w:leftFromText="180" w:rightFromText="180" w:vertAnchor="text" w:horzAnchor="margin" w:tblpY="307"/>
        <w:tblW w:w="9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701"/>
        <w:gridCol w:w="5868"/>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98"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评议内容</w:t>
            </w:r>
          </w:p>
        </w:tc>
        <w:tc>
          <w:tcPr>
            <w:tcW w:w="5868"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评议标准</w:t>
            </w:r>
          </w:p>
        </w:tc>
        <w:tc>
          <w:tcPr>
            <w:tcW w:w="1139"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自查得分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9" w:hRule="atLeast"/>
        </w:trPr>
        <w:tc>
          <w:tcPr>
            <w:tcW w:w="582" w:type="dxa"/>
            <w:vMerge w:val="restart"/>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投标人综合实力</w:t>
            </w:r>
          </w:p>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（1）具有水利水电专业工程咨询单位资信评价甲级的得2分，其他不得分。 </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（2）具有水文水资源调查评价甲级资质的得1分，其他不得分。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64" w:hRule="atLeast"/>
        </w:trPr>
        <w:tc>
          <w:tcPr>
            <w:tcW w:w="582" w:type="dxa"/>
            <w:vMerge w:val="continue"/>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2015年1月1日（以获奖时间为准）以来，投标人获得过省级及以上部门颁发的水利类科技进步奖或创新奖，每有1个得2分，最高得6分。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注：提供证书或奖牌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类似服务业绩</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投标人自2015年1月1日（以完成时间为准）以来：</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（1）承担过省级及以上水域、岸线保护（或管理）等规划，每项得3分，最多得6分。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（2）承担过水域调查、水域（岸线）保护规划等水利管理与保护类相关导则、规范等编制的，每项得3分，最多得9分。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（3）承担过县级及以上水域调查、防洪能力调查等项目的，每项得1分，最多得3分。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sz w:val="21"/>
                <w:szCs w:val="21"/>
                <w:highlight w:val="none"/>
              </w:rPr>
              <w:t>（如</w:t>
            </w:r>
            <w:r>
              <w:rPr>
                <w:rFonts w:hint="eastAsia" w:asciiTheme="minorEastAsia" w:hAnsiTheme="minorEastAsia" w:eastAsiaTheme="minorEastAsia" w:cstheme="minorEastAsia"/>
                <w:color w:val="auto"/>
                <w:kern w:val="0"/>
                <w:sz w:val="21"/>
                <w:szCs w:val="21"/>
                <w:highlight w:val="none"/>
              </w:rPr>
              <w:t>合同等不能说明业绩要求的，另须提供业主证明等证明资料）、报告封面和扉页。</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328"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项目负责人资历及经验（8分）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（1）项目负责人具有教授级高工职称的得4分，高级工程师职称的得2分；具有注册咨询工程师、注册土木工程师资格证书的，每个</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分，最多</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rPr>
              <w:t>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（2）2015年1月1日</w:t>
            </w:r>
            <w:r>
              <w:rPr>
                <w:rFonts w:hint="eastAsia" w:asciiTheme="minorEastAsia" w:hAnsiTheme="minorEastAsia" w:eastAsiaTheme="minorEastAsia" w:cstheme="minorEastAsia"/>
                <w:color w:val="auto"/>
                <w:kern w:val="0"/>
                <w:sz w:val="21"/>
                <w:szCs w:val="21"/>
                <w:highlight w:val="none"/>
                <w:lang w:eastAsia="zh-CN"/>
              </w:rPr>
              <w:t>（以合同签订</w:t>
            </w:r>
            <w:bookmarkStart w:id="6" w:name="_GoBack"/>
            <w:bookmarkEnd w:id="6"/>
            <w:r>
              <w:rPr>
                <w:rFonts w:hint="eastAsia" w:asciiTheme="minorEastAsia" w:hAnsiTheme="minorEastAsia" w:eastAsiaTheme="minorEastAsia" w:cstheme="minorEastAsia"/>
                <w:color w:val="auto"/>
                <w:kern w:val="0"/>
                <w:sz w:val="21"/>
                <w:szCs w:val="21"/>
                <w:highlight w:val="none"/>
                <w:lang w:eastAsia="zh-CN"/>
              </w:rPr>
              <w:t>时间为准）</w:t>
            </w:r>
            <w:r>
              <w:rPr>
                <w:rFonts w:hint="eastAsia" w:asciiTheme="minorEastAsia" w:hAnsiTheme="minorEastAsia" w:eastAsiaTheme="minorEastAsia" w:cstheme="minorEastAsia"/>
                <w:color w:val="auto"/>
                <w:kern w:val="0"/>
                <w:sz w:val="21"/>
                <w:szCs w:val="21"/>
                <w:highlight w:val="none"/>
              </w:rPr>
              <w:t>以来主持或参与过水域调查、水域保护规划、岸线保护（或管理）规划等项目的，每项得1分，最多得2分</w:t>
            </w:r>
            <w:r>
              <w:rPr>
                <w:rFonts w:hint="eastAsia" w:asciiTheme="minorEastAsia" w:hAnsiTheme="minorEastAsia" w:eastAsiaTheme="minorEastAsia" w:cstheme="minorEastAsia"/>
                <w:color w:val="auto"/>
                <w:kern w:val="0"/>
                <w:sz w:val="21"/>
                <w:szCs w:val="21"/>
                <w:highlight w:val="none"/>
                <w:lang w:eastAsia="zh-CN"/>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注：提供职称（资格）证书、合同、报告及近3个月社保证明</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58" w:hRule="atLeast"/>
        </w:trPr>
        <w:tc>
          <w:tcPr>
            <w:tcW w:w="8151" w:type="dxa"/>
            <w:gridSpan w:val="3"/>
            <w:tcBorders>
              <w:tl2br w:val="nil"/>
              <w:tr2bl w:val="nil"/>
            </w:tcBorders>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合计</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bl>
    <w:p>
      <w:pPr>
        <w:pStyle w:val="2"/>
        <w:ind w:left="0" w:leftChars="0" w:firstLine="0" w:firstLineChars="0"/>
        <w:rPr>
          <w:rFonts w:hint="eastAsia" w:ascii="宋体" w:hAnsi="宋体"/>
          <w:b/>
          <w:bCs/>
          <w:color w:val="auto"/>
          <w:sz w:val="28"/>
          <w:szCs w:val="28"/>
          <w:highlight w:val="none"/>
          <w:u w:val="none"/>
          <w:lang w:val="en-US" w:eastAsia="zh-CN"/>
        </w:rPr>
      </w:pPr>
    </w:p>
    <w:sectPr>
      <w:headerReference r:id="rId3"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Arial Unicode MS"/>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5"/>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D140C9BE"/>
    <w:multiLevelType w:val="singleLevel"/>
    <w:tmpl w:val="D140C9BE"/>
    <w:lvl w:ilvl="0" w:tentative="0">
      <w:start w:val="1"/>
      <w:numFmt w:val="decimal"/>
      <w:suff w:val="nothing"/>
      <w:lvlText w:val="%1、"/>
      <w:lvlJc w:val="left"/>
    </w:lvl>
  </w:abstractNum>
  <w:abstractNum w:abstractNumId="4">
    <w:nsid w:val="EA1E0DFD"/>
    <w:multiLevelType w:val="singleLevel"/>
    <w:tmpl w:val="EA1E0DFD"/>
    <w:lvl w:ilvl="0" w:tentative="0">
      <w:start w:val="3"/>
      <w:numFmt w:val="decimal"/>
      <w:suff w:val="nothing"/>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A1FBCB5"/>
    <w:multiLevelType w:val="singleLevel"/>
    <w:tmpl w:val="5A1FBCB5"/>
    <w:lvl w:ilvl="0" w:tentative="0">
      <w:start w:val="7"/>
      <w:numFmt w:val="decimal"/>
      <w:suff w:val="space"/>
      <w:lvlText w:val="%1."/>
      <w:lvlJc w:val="left"/>
    </w:lvl>
  </w:abstractNum>
  <w:abstractNum w:abstractNumId="8">
    <w:nsid w:val="71F3A6BE"/>
    <w:multiLevelType w:val="singleLevel"/>
    <w:tmpl w:val="71F3A6BE"/>
    <w:lvl w:ilvl="0" w:tentative="0">
      <w:start w:val="8"/>
      <w:numFmt w:val="chineseCounting"/>
      <w:suff w:val="nothing"/>
      <w:lvlText w:val="（%1）"/>
      <w:lvlJc w:val="left"/>
      <w:rPr>
        <w:rFonts w:hint="eastAsia"/>
      </w:rPr>
    </w:lvl>
  </w:abstractNum>
  <w:num w:numId="1">
    <w:abstractNumId w:val="1"/>
  </w:num>
  <w:num w:numId="2">
    <w:abstractNumId w:val="6"/>
  </w:num>
  <w:num w:numId="3">
    <w:abstractNumId w:val="4"/>
  </w:num>
  <w:num w:numId="4">
    <w:abstractNumId w:val="5"/>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formatting="1" w:enforcement="1" w:cryptProviderType="rsaFull" w:cryptAlgorithmClass="hash" w:cryptAlgorithmType="typeAny" w:cryptAlgorithmSid="4" w:cryptSpinCount="0" w:hash="vGKEsbQvUkPzoDBxjHVVeIcDqQs=" w:salt="BDRMKx+Juq8D9lKTFgDve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6BD"/>
    <w:rsid w:val="0006294D"/>
    <w:rsid w:val="00062AB3"/>
    <w:rsid w:val="00073AAD"/>
    <w:rsid w:val="00095A8F"/>
    <w:rsid w:val="00107BF6"/>
    <w:rsid w:val="00165F2A"/>
    <w:rsid w:val="00174CCD"/>
    <w:rsid w:val="00201D62"/>
    <w:rsid w:val="0021318F"/>
    <w:rsid w:val="00216850"/>
    <w:rsid w:val="002A1620"/>
    <w:rsid w:val="003102FB"/>
    <w:rsid w:val="00332E30"/>
    <w:rsid w:val="003C04D2"/>
    <w:rsid w:val="003C5E00"/>
    <w:rsid w:val="003F595C"/>
    <w:rsid w:val="003F78E0"/>
    <w:rsid w:val="00441FAE"/>
    <w:rsid w:val="00446CEF"/>
    <w:rsid w:val="0046392C"/>
    <w:rsid w:val="00491BDF"/>
    <w:rsid w:val="004B4165"/>
    <w:rsid w:val="005144EF"/>
    <w:rsid w:val="00573613"/>
    <w:rsid w:val="00616E31"/>
    <w:rsid w:val="00655E3C"/>
    <w:rsid w:val="00674C42"/>
    <w:rsid w:val="006C78FA"/>
    <w:rsid w:val="006F4DFE"/>
    <w:rsid w:val="006F6B57"/>
    <w:rsid w:val="007A2629"/>
    <w:rsid w:val="007B4D13"/>
    <w:rsid w:val="007C1005"/>
    <w:rsid w:val="007D4118"/>
    <w:rsid w:val="007D73C7"/>
    <w:rsid w:val="007F303F"/>
    <w:rsid w:val="00802325"/>
    <w:rsid w:val="0082291E"/>
    <w:rsid w:val="00847BE5"/>
    <w:rsid w:val="0088066B"/>
    <w:rsid w:val="00886E4A"/>
    <w:rsid w:val="008D0714"/>
    <w:rsid w:val="00902653"/>
    <w:rsid w:val="00912983"/>
    <w:rsid w:val="00921F0A"/>
    <w:rsid w:val="00953816"/>
    <w:rsid w:val="00985E3B"/>
    <w:rsid w:val="009B3E22"/>
    <w:rsid w:val="009F3459"/>
    <w:rsid w:val="00A128BC"/>
    <w:rsid w:val="00A30B75"/>
    <w:rsid w:val="00A67321"/>
    <w:rsid w:val="00A730CA"/>
    <w:rsid w:val="00AD086F"/>
    <w:rsid w:val="00AF082F"/>
    <w:rsid w:val="00C141DE"/>
    <w:rsid w:val="00C52E14"/>
    <w:rsid w:val="00C54F22"/>
    <w:rsid w:val="00C767D4"/>
    <w:rsid w:val="00CC232E"/>
    <w:rsid w:val="00CC29B4"/>
    <w:rsid w:val="00CD1804"/>
    <w:rsid w:val="00CD3D80"/>
    <w:rsid w:val="00CF2B51"/>
    <w:rsid w:val="00E25A81"/>
    <w:rsid w:val="00E319E7"/>
    <w:rsid w:val="00E41A5E"/>
    <w:rsid w:val="00E94954"/>
    <w:rsid w:val="00EA1958"/>
    <w:rsid w:val="00EF2797"/>
    <w:rsid w:val="00F127FF"/>
    <w:rsid w:val="00F25E81"/>
    <w:rsid w:val="011E5F59"/>
    <w:rsid w:val="01935887"/>
    <w:rsid w:val="01962C9F"/>
    <w:rsid w:val="04CC341D"/>
    <w:rsid w:val="05137CD7"/>
    <w:rsid w:val="05851C84"/>
    <w:rsid w:val="060B26E0"/>
    <w:rsid w:val="073C2287"/>
    <w:rsid w:val="07424EE0"/>
    <w:rsid w:val="07504E39"/>
    <w:rsid w:val="07564610"/>
    <w:rsid w:val="082F2E74"/>
    <w:rsid w:val="088B0BF4"/>
    <w:rsid w:val="095204DA"/>
    <w:rsid w:val="0BC1228B"/>
    <w:rsid w:val="0C1E2BA0"/>
    <w:rsid w:val="0C2415D3"/>
    <w:rsid w:val="0C765CB2"/>
    <w:rsid w:val="0DB37DA9"/>
    <w:rsid w:val="0DC4358A"/>
    <w:rsid w:val="0E970358"/>
    <w:rsid w:val="0F530A77"/>
    <w:rsid w:val="0FA73AF3"/>
    <w:rsid w:val="10392EAE"/>
    <w:rsid w:val="10706EC2"/>
    <w:rsid w:val="10F459C9"/>
    <w:rsid w:val="12807280"/>
    <w:rsid w:val="13781EA1"/>
    <w:rsid w:val="148463E6"/>
    <w:rsid w:val="1499656E"/>
    <w:rsid w:val="14D20D9B"/>
    <w:rsid w:val="15287094"/>
    <w:rsid w:val="15A72BED"/>
    <w:rsid w:val="15D145C3"/>
    <w:rsid w:val="1621170E"/>
    <w:rsid w:val="18B91D2B"/>
    <w:rsid w:val="18C40414"/>
    <w:rsid w:val="18F4063D"/>
    <w:rsid w:val="19124180"/>
    <w:rsid w:val="1A6A6D44"/>
    <w:rsid w:val="1A817123"/>
    <w:rsid w:val="1BDEBEAC"/>
    <w:rsid w:val="1BE23DA9"/>
    <w:rsid w:val="1C093ECB"/>
    <w:rsid w:val="1CE4433A"/>
    <w:rsid w:val="1E0A2076"/>
    <w:rsid w:val="1EE84AA8"/>
    <w:rsid w:val="1EFFF4B3"/>
    <w:rsid w:val="1F77199B"/>
    <w:rsid w:val="211A582E"/>
    <w:rsid w:val="228447E5"/>
    <w:rsid w:val="23424F53"/>
    <w:rsid w:val="236E14E2"/>
    <w:rsid w:val="242F739C"/>
    <w:rsid w:val="250224DD"/>
    <w:rsid w:val="25E93BCF"/>
    <w:rsid w:val="265A0151"/>
    <w:rsid w:val="27442F3D"/>
    <w:rsid w:val="27F76B28"/>
    <w:rsid w:val="28591734"/>
    <w:rsid w:val="28655363"/>
    <w:rsid w:val="29D148D0"/>
    <w:rsid w:val="2A7D70A8"/>
    <w:rsid w:val="2AC803DC"/>
    <w:rsid w:val="2B99658A"/>
    <w:rsid w:val="2C1908E8"/>
    <w:rsid w:val="2C6911C0"/>
    <w:rsid w:val="2C8C1715"/>
    <w:rsid w:val="2E0A1441"/>
    <w:rsid w:val="2EA40BAA"/>
    <w:rsid w:val="2EAB0B7A"/>
    <w:rsid w:val="2F474A6F"/>
    <w:rsid w:val="2F5A0DD9"/>
    <w:rsid w:val="2FAB2A22"/>
    <w:rsid w:val="30143D85"/>
    <w:rsid w:val="31752B09"/>
    <w:rsid w:val="31AD0F6D"/>
    <w:rsid w:val="31D7307C"/>
    <w:rsid w:val="32684247"/>
    <w:rsid w:val="32AF2028"/>
    <w:rsid w:val="32E84B9D"/>
    <w:rsid w:val="341548E3"/>
    <w:rsid w:val="358B07BE"/>
    <w:rsid w:val="37712A39"/>
    <w:rsid w:val="37C271D1"/>
    <w:rsid w:val="380672F9"/>
    <w:rsid w:val="39573B6C"/>
    <w:rsid w:val="39DF1FDA"/>
    <w:rsid w:val="3A1D2170"/>
    <w:rsid w:val="3AE50133"/>
    <w:rsid w:val="3B345EA5"/>
    <w:rsid w:val="3B7D477A"/>
    <w:rsid w:val="3C52548E"/>
    <w:rsid w:val="3C535292"/>
    <w:rsid w:val="3D817FE1"/>
    <w:rsid w:val="3D8A6641"/>
    <w:rsid w:val="3DB531EC"/>
    <w:rsid w:val="3DE86C6B"/>
    <w:rsid w:val="3E7F57D9"/>
    <w:rsid w:val="3EFD547E"/>
    <w:rsid w:val="3F3C60EE"/>
    <w:rsid w:val="3FF39BA0"/>
    <w:rsid w:val="3FFD8D37"/>
    <w:rsid w:val="420A29EE"/>
    <w:rsid w:val="42BA2EFC"/>
    <w:rsid w:val="42E82B6F"/>
    <w:rsid w:val="43036342"/>
    <w:rsid w:val="446E79B8"/>
    <w:rsid w:val="450E3DB6"/>
    <w:rsid w:val="4563730C"/>
    <w:rsid w:val="45CB53CC"/>
    <w:rsid w:val="46FAF615"/>
    <w:rsid w:val="47015E11"/>
    <w:rsid w:val="47360A56"/>
    <w:rsid w:val="485C107E"/>
    <w:rsid w:val="48694FA0"/>
    <w:rsid w:val="488E768B"/>
    <w:rsid w:val="4991008C"/>
    <w:rsid w:val="49F41D5E"/>
    <w:rsid w:val="4B1E31F7"/>
    <w:rsid w:val="4B812F58"/>
    <w:rsid w:val="4BCB3573"/>
    <w:rsid w:val="4CE75373"/>
    <w:rsid w:val="4DE82B27"/>
    <w:rsid w:val="4DF64B52"/>
    <w:rsid w:val="4F687EAB"/>
    <w:rsid w:val="4FB54C32"/>
    <w:rsid w:val="52E6D006"/>
    <w:rsid w:val="53F769F5"/>
    <w:rsid w:val="546C2376"/>
    <w:rsid w:val="566D4B95"/>
    <w:rsid w:val="56C61367"/>
    <w:rsid w:val="572656D4"/>
    <w:rsid w:val="586F5D71"/>
    <w:rsid w:val="58ED32FB"/>
    <w:rsid w:val="590509E3"/>
    <w:rsid w:val="593A1A77"/>
    <w:rsid w:val="596D0701"/>
    <w:rsid w:val="59AD06A4"/>
    <w:rsid w:val="5A4D586D"/>
    <w:rsid w:val="5A6249B0"/>
    <w:rsid w:val="5B3F3E55"/>
    <w:rsid w:val="5BC04CAB"/>
    <w:rsid w:val="5CF650A8"/>
    <w:rsid w:val="5E3C0F5D"/>
    <w:rsid w:val="5E7C626E"/>
    <w:rsid w:val="5E8D12D1"/>
    <w:rsid w:val="5EE84C68"/>
    <w:rsid w:val="5EEBC73C"/>
    <w:rsid w:val="5EF764CF"/>
    <w:rsid w:val="5F66E909"/>
    <w:rsid w:val="5FE42EC2"/>
    <w:rsid w:val="5FF91521"/>
    <w:rsid w:val="615C17E5"/>
    <w:rsid w:val="621D5BA4"/>
    <w:rsid w:val="627235D1"/>
    <w:rsid w:val="62FE32E3"/>
    <w:rsid w:val="635B6748"/>
    <w:rsid w:val="63947A95"/>
    <w:rsid w:val="64CA4280"/>
    <w:rsid w:val="66F21BCF"/>
    <w:rsid w:val="67B167D1"/>
    <w:rsid w:val="685F1C50"/>
    <w:rsid w:val="699022E9"/>
    <w:rsid w:val="69E15C1B"/>
    <w:rsid w:val="6A714498"/>
    <w:rsid w:val="6D02011C"/>
    <w:rsid w:val="6DDD645C"/>
    <w:rsid w:val="6F1B1050"/>
    <w:rsid w:val="6F7FEEA3"/>
    <w:rsid w:val="6FDE4F78"/>
    <w:rsid w:val="6FEFC4EC"/>
    <w:rsid w:val="73377263"/>
    <w:rsid w:val="745919C6"/>
    <w:rsid w:val="74702A9A"/>
    <w:rsid w:val="74ED10B4"/>
    <w:rsid w:val="74FFE614"/>
    <w:rsid w:val="761C2BBB"/>
    <w:rsid w:val="765F4246"/>
    <w:rsid w:val="76F72695"/>
    <w:rsid w:val="76FA25F3"/>
    <w:rsid w:val="776A1DE8"/>
    <w:rsid w:val="77B6F360"/>
    <w:rsid w:val="77D7EC4F"/>
    <w:rsid w:val="785D00CA"/>
    <w:rsid w:val="78A57D93"/>
    <w:rsid w:val="78B437F6"/>
    <w:rsid w:val="7AB04F60"/>
    <w:rsid w:val="7B5F9255"/>
    <w:rsid w:val="7C89B142"/>
    <w:rsid w:val="7CAB59E6"/>
    <w:rsid w:val="7D095886"/>
    <w:rsid w:val="7DB506D7"/>
    <w:rsid w:val="7DDD6CEA"/>
    <w:rsid w:val="7DFF81C2"/>
    <w:rsid w:val="7E0D7EF2"/>
    <w:rsid w:val="7E165E5B"/>
    <w:rsid w:val="7E2716A7"/>
    <w:rsid w:val="7E2F7CAD"/>
    <w:rsid w:val="7E4E9CF6"/>
    <w:rsid w:val="7E636E1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53"/>
    <w:qFormat/>
    <w:uiPriority w:val="0"/>
    <w:pPr>
      <w:spacing w:after="120"/>
      <w:ind w:left="420" w:leftChars="20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50"/>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4"/>
    <w:next w:val="1"/>
    <w:qFormat/>
    <w:uiPriority w:val="0"/>
    <w:pPr>
      <w:wordWrap w:val="0"/>
      <w:ind w:left="850"/>
      <w:jc w:val="both"/>
    </w:pPr>
    <w:rPr>
      <w:rFonts w:ascii="Calibri" w:hAnsi="Calibri" w:eastAsia="宋体" w:cs="Times New Roman"/>
      <w:sz w:val="21"/>
      <w:lang w:val="en-US" w:eastAsia="zh-CN" w:bidi="ar-SA"/>
    </w:r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18">
    <w:name w:val="annotation subject"/>
    <w:basedOn w:val="8"/>
    <w:next w:val="8"/>
    <w:link w:val="51"/>
    <w:qFormat/>
    <w:uiPriority w:val="0"/>
    <w:rPr>
      <w:b/>
      <w:bCs/>
    </w:rPr>
  </w:style>
  <w:style w:type="paragraph" w:styleId="19">
    <w:name w:val="Body Text First Indent"/>
    <w:basedOn w:val="9"/>
    <w:unhideWhenUsed/>
    <w:qFormat/>
    <w:uiPriority w:val="99"/>
    <w:pPr>
      <w:ind w:firstLine="420" w:firstLineChars="100"/>
    </w:pPr>
  </w:style>
  <w:style w:type="character" w:styleId="22">
    <w:name w:val="Strong"/>
    <w:basedOn w:val="21"/>
    <w:qFormat/>
    <w:uiPriority w:val="0"/>
    <w:rPr>
      <w:b/>
    </w:rPr>
  </w:style>
  <w:style w:type="character" w:styleId="23">
    <w:name w:val="FollowedHyperlink"/>
    <w:basedOn w:val="21"/>
    <w:qFormat/>
    <w:uiPriority w:val="0"/>
    <w:rPr>
      <w:color w:val="00000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00"/>
      <w:u w:val="none"/>
    </w:rPr>
  </w:style>
  <w:style w:type="character" w:styleId="29">
    <w:name w:val="HTML Code"/>
    <w:basedOn w:val="21"/>
    <w:qFormat/>
    <w:uiPriority w:val="0"/>
    <w:rPr>
      <w:rFonts w:ascii="Courier New" w:hAnsi="Courier New"/>
      <w:sz w:val="20"/>
    </w:rPr>
  </w:style>
  <w:style w:type="character" w:styleId="30">
    <w:name w:val="annotation reference"/>
    <w:basedOn w:val="21"/>
    <w:qFormat/>
    <w:uiPriority w:val="0"/>
    <w:rPr>
      <w:sz w:val="21"/>
      <w:szCs w:val="21"/>
    </w:rPr>
  </w:style>
  <w:style w:type="character" w:styleId="31">
    <w:name w:val="HTML Cite"/>
    <w:basedOn w:val="21"/>
    <w:qFormat/>
    <w:uiPriority w:val="0"/>
  </w:style>
  <w:style w:type="paragraph" w:customStyle="1" w:styleId="32">
    <w:name w:val="表格文字"/>
    <w:basedOn w:val="1"/>
    <w:next w:val="9"/>
    <w:qFormat/>
    <w:uiPriority w:val="0"/>
    <w:pPr>
      <w:adjustRightInd w:val="0"/>
      <w:spacing w:line="420" w:lineRule="atLeast"/>
      <w:jc w:val="left"/>
      <w:textAlignment w:val="baseline"/>
    </w:pPr>
    <w:rPr>
      <w:kern w:val="0"/>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列表段落1"/>
    <w:basedOn w:val="1"/>
    <w:qFormat/>
    <w:uiPriority w:val="34"/>
    <w:pPr>
      <w:ind w:firstLine="420" w:firstLineChars="200"/>
    </w:pPr>
    <w:rPr>
      <w:rFonts w:ascii="Calibri" w:hAnsi="Calibri"/>
      <w:szCs w:val="22"/>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列出段落1"/>
    <w:basedOn w:val="1"/>
    <w:qFormat/>
    <w:uiPriority w:val="0"/>
    <w:pPr>
      <w:ind w:firstLine="420" w:firstLineChars="200"/>
    </w:pPr>
    <w:rPr>
      <w:rFonts w:ascii="Calibri" w:hAnsi="Calibri"/>
      <w:kern w:val="0"/>
      <w:szCs w:val="20"/>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批注文字 Char"/>
    <w:basedOn w:val="21"/>
    <w:link w:val="8"/>
    <w:qFormat/>
    <w:uiPriority w:val="0"/>
    <w:rPr>
      <w:rFonts w:ascii="Times New Roman" w:hAnsi="Times New Roman" w:eastAsia="宋体" w:cs="Times New Roman"/>
      <w:kern w:val="2"/>
      <w:sz w:val="21"/>
      <w:szCs w:val="24"/>
    </w:rPr>
  </w:style>
  <w:style w:type="character" w:customStyle="1" w:styleId="51">
    <w:name w:val="批注主题 Char"/>
    <w:basedOn w:val="50"/>
    <w:link w:val="18"/>
    <w:qFormat/>
    <w:uiPriority w:val="0"/>
    <w:rPr>
      <w:rFonts w:ascii="Times New Roman" w:hAnsi="Times New Roman" w:eastAsia="宋体" w:cs="Times New Roman"/>
      <w:b/>
      <w:bCs/>
      <w:kern w:val="2"/>
      <w:sz w:val="21"/>
      <w:szCs w:val="24"/>
    </w:rPr>
  </w:style>
  <w:style w:type="character" w:customStyle="1" w:styleId="52">
    <w:name w:val="批注框文本 Char"/>
    <w:basedOn w:val="21"/>
    <w:link w:val="13"/>
    <w:qFormat/>
    <w:uiPriority w:val="0"/>
    <w:rPr>
      <w:rFonts w:ascii="Times New Roman" w:hAnsi="Times New Roman" w:eastAsia="宋体" w:cs="Times New Roman"/>
      <w:kern w:val="2"/>
      <w:sz w:val="18"/>
      <w:szCs w:val="18"/>
    </w:rPr>
  </w:style>
  <w:style w:type="character" w:customStyle="1" w:styleId="53">
    <w:name w:val="正文文本缩进 Char"/>
    <w:basedOn w:val="21"/>
    <w:link w:val="3"/>
    <w:qFormat/>
    <w:uiPriority w:val="0"/>
    <w:rPr>
      <w:kern w:val="2"/>
      <w:sz w:val="21"/>
      <w:szCs w:val="24"/>
    </w:rPr>
  </w:style>
  <w:style w:type="character" w:customStyle="1" w:styleId="54">
    <w:name w:val="s1"/>
    <w:basedOn w:val="21"/>
    <w:qFormat/>
    <w:uiPriority w:val="0"/>
    <w:rPr>
      <w:rFonts w:ascii="Helvetica" w:hAnsi="Helvetica" w:eastAsia="Helvetica" w:cs="Helvetica"/>
      <w:sz w:val="24"/>
      <w:szCs w:val="24"/>
    </w:rPr>
  </w:style>
  <w:style w:type="paragraph" w:customStyle="1" w:styleId="55">
    <w:name w:val="p2"/>
    <w:basedOn w:val="1"/>
    <w:qFormat/>
    <w:uiPriority w:val="0"/>
    <w:pPr>
      <w:jc w:val="left"/>
    </w:pPr>
    <w:rPr>
      <w:rFonts w:ascii="pingfang sc" w:hAnsi="pingfang sc" w:eastAsia="pingfang sc"/>
      <w:kern w:val="0"/>
      <w:sz w:val="24"/>
    </w:rPr>
  </w:style>
  <w:style w:type="paragraph" w:customStyle="1" w:styleId="56">
    <w:name w:val="p1"/>
    <w:basedOn w:val="1"/>
    <w:qFormat/>
    <w:uiPriority w:val="0"/>
    <w:pPr>
      <w:jc w:val="left"/>
    </w:pPr>
    <w:rPr>
      <w:rFonts w:ascii="pingfang sc" w:hAnsi="pingfang sc" w:eastAsia="pingfang sc"/>
      <w:kern w:val="0"/>
      <w:sz w:val="24"/>
    </w:rPr>
  </w:style>
  <w:style w:type="paragraph" w:customStyle="1" w:styleId="57">
    <w:name w:val="Char"/>
    <w:basedOn w:val="1"/>
    <w:qFormat/>
    <w:uiPriority w:val="0"/>
    <w:pPr>
      <w:spacing w:line="440" w:lineRule="exact"/>
      <w:ind w:left="510" w:firstLine="480" w:firstLineChars="200"/>
    </w:pPr>
    <w:rPr>
      <w:rFonts w:ascii="宋体" w:hAnsi="宋体"/>
      <w:sz w:val="24"/>
    </w:rPr>
  </w:style>
  <w:style w:type="character" w:customStyle="1" w:styleId="58">
    <w:name w:val="font01"/>
    <w:basedOn w:val="21"/>
    <w:qFormat/>
    <w:uiPriority w:val="0"/>
    <w:rPr>
      <w:rFonts w:hint="eastAsia" w:ascii="宋体" w:hAnsi="宋体" w:eastAsia="宋体" w:cs="宋体"/>
      <w:b/>
      <w:color w:val="000000"/>
      <w:sz w:val="24"/>
      <w:szCs w:val="24"/>
      <w:u w:val="none"/>
    </w:rPr>
  </w:style>
  <w:style w:type="character" w:customStyle="1" w:styleId="59">
    <w:name w:val="font21"/>
    <w:basedOn w:val="21"/>
    <w:qFormat/>
    <w:uiPriority w:val="0"/>
    <w:rPr>
      <w:rFonts w:hint="eastAsia" w:ascii="宋体" w:hAnsi="宋体" w:eastAsia="宋体" w:cs="宋体"/>
      <w:color w:val="000000"/>
      <w:sz w:val="24"/>
      <w:szCs w:val="24"/>
      <w:u w:val="none"/>
    </w:rPr>
  </w:style>
  <w:style w:type="character" w:customStyle="1" w:styleId="60">
    <w:name w:val="text-overflow"/>
    <w:basedOn w:val="21"/>
    <w:qFormat/>
    <w:uiPriority w:val="0"/>
  </w:style>
  <w:style w:type="character" w:customStyle="1" w:styleId="61">
    <w:name w:val="text-overflow1"/>
    <w:basedOn w:val="21"/>
    <w:qFormat/>
    <w:uiPriority w:val="0"/>
  </w:style>
  <w:style w:type="character" w:customStyle="1" w:styleId="62">
    <w:name w:val="publishtime"/>
    <w:basedOn w:val="21"/>
    <w:qFormat/>
    <w:uiPriority w:val="0"/>
    <w:rPr>
      <w:color w:val="999999"/>
    </w:rPr>
  </w:style>
  <w:style w:type="character" w:customStyle="1" w:styleId="63">
    <w:name w:val="publishtime1"/>
    <w:basedOn w:val="21"/>
    <w:qFormat/>
    <w:uiPriority w:val="0"/>
    <w:rPr>
      <w:color w:val="666666"/>
    </w:rPr>
  </w:style>
  <w:style w:type="character" w:customStyle="1" w:styleId="64">
    <w:name w:val="first-child"/>
    <w:basedOn w:val="21"/>
    <w:qFormat/>
    <w:uiPriority w:val="0"/>
  </w:style>
  <w:style w:type="character" w:customStyle="1" w:styleId="65">
    <w:name w:val="hover9"/>
    <w:basedOn w:val="21"/>
    <w:qFormat/>
    <w:uiPriority w:val="0"/>
    <w:rPr>
      <w:color w:val="23527C"/>
      <w:shd w:val="clear" w:fill="EEEEEE"/>
    </w:rPr>
  </w:style>
  <w:style w:type="character" w:customStyle="1" w:styleId="66">
    <w:name w:val="hover10"/>
    <w:basedOn w:val="21"/>
    <w:qFormat/>
    <w:uiPriority w:val="0"/>
    <w:rPr>
      <w:color w:val="777777"/>
      <w:shd w:val="clear" w:fill="FFFFFF"/>
    </w:rPr>
  </w:style>
  <w:style w:type="character" w:customStyle="1" w:styleId="67">
    <w:name w:val="second-line"/>
    <w:basedOn w:val="21"/>
    <w:qFormat/>
    <w:uiPriority w:val="0"/>
    <w:rPr>
      <w:color w:val="727272"/>
    </w:rPr>
  </w:style>
  <w:style w:type="character" w:customStyle="1" w:styleId="68">
    <w:name w:val="time"/>
    <w:basedOn w:val="21"/>
    <w:qFormat/>
    <w:uiPriority w:val="0"/>
    <w:rPr>
      <w:sz w:val="21"/>
      <w:szCs w:val="21"/>
    </w:rPr>
  </w:style>
  <w:style w:type="character" w:customStyle="1" w:styleId="69">
    <w:name w:val="focus2"/>
    <w:basedOn w:val="21"/>
    <w:qFormat/>
    <w:uiPriority w:val="0"/>
    <w:rPr>
      <w:color w:val="23527C"/>
      <w:shd w:val="clear" w:fill="EEEEEE"/>
    </w:rPr>
  </w:style>
  <w:style w:type="character" w:customStyle="1" w:styleId="70">
    <w:name w:val="focus3"/>
    <w:basedOn w:val="21"/>
    <w:qFormat/>
    <w:uiPriority w:val="0"/>
    <w:rPr>
      <w:color w:val="777777"/>
      <w:shd w:val="clear" w:fill="FFFFFF"/>
    </w:rPr>
  </w:style>
  <w:style w:type="character" w:customStyle="1" w:styleId="71">
    <w:name w:val="first-child1"/>
    <w:basedOn w:val="21"/>
    <w:qFormat/>
    <w:uiPriority w:val="0"/>
  </w:style>
  <w:style w:type="character" w:customStyle="1" w:styleId="72">
    <w:name w:val="focus"/>
    <w:basedOn w:val="21"/>
    <w:qFormat/>
    <w:uiPriority w:val="0"/>
    <w:rPr>
      <w:color w:val="23527C"/>
      <w:shd w:val="clear" w:fill="EEEEEE"/>
    </w:rPr>
  </w:style>
  <w:style w:type="character" w:customStyle="1" w:styleId="73">
    <w:name w:val="focus1"/>
    <w:basedOn w:val="21"/>
    <w:qFormat/>
    <w:uiPriority w:val="0"/>
    <w:rPr>
      <w:color w:val="777777"/>
      <w:shd w:val="clear" w:fill="FFFFFF"/>
    </w:rPr>
  </w:style>
  <w:style w:type="character" w:customStyle="1" w:styleId="74">
    <w:name w:val="hover35"/>
    <w:basedOn w:val="21"/>
    <w:qFormat/>
    <w:uiPriority w:val="0"/>
    <w:rPr>
      <w:color w:val="3EAF0E"/>
    </w:rPr>
  </w:style>
  <w:style w:type="character" w:customStyle="1" w:styleId="75">
    <w:name w:val="mr-prof"/>
    <w:basedOn w:val="21"/>
    <w:qFormat/>
    <w:uiPriority w:val="0"/>
  </w:style>
  <w:style w:type="character" w:customStyle="1" w:styleId="76">
    <w:name w:val="s16"/>
    <w:basedOn w:val="21"/>
    <w:qFormat/>
    <w:uiPriority w:val="0"/>
    <w:rPr>
      <w:color w:val="DDDDDD"/>
      <w:sz w:val="18"/>
      <w:szCs w:val="18"/>
    </w:rPr>
  </w:style>
  <w:style w:type="character" w:customStyle="1" w:styleId="77">
    <w:name w:val="hover33"/>
    <w:basedOn w:val="21"/>
    <w:qFormat/>
    <w:uiPriority w:val="0"/>
    <w:rPr>
      <w:color w:val="3EAF0E"/>
    </w:rPr>
  </w:style>
  <w:style w:type="character" w:customStyle="1" w:styleId="78">
    <w:name w:val="hover31"/>
    <w:basedOn w:val="21"/>
    <w:qFormat/>
    <w:uiPriority w:val="0"/>
    <w:rPr>
      <w:color w:val="3EAF0E"/>
    </w:rPr>
  </w:style>
  <w:style w:type="paragraph" w:customStyle="1" w:styleId="79">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5112</Words>
  <Characters>29144</Characters>
  <Lines>242</Lines>
  <Paragraphs>68</Paragraphs>
  <TotalTime>1</TotalTime>
  <ScaleCrop>false</ScaleCrop>
  <LinksUpToDate>false</LinksUpToDate>
  <CharactersWithSpaces>34188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2018-06-22T05:33:00Z</dcterms:created>
  <dc:creator>S-mile</dc:creator>
  <cp:lastModifiedBy>❤罒飃鎏づ</cp:lastModifiedBy>
  <dcterms:modified xsi:type="dcterms:W3CDTF">2019-09-26T04:00:36Z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