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pPr>
        <w:autoSpaceDE w:val="0"/>
        <w:autoSpaceDN w:val="0"/>
        <w:adjustRightInd w:val="0"/>
        <w:spacing w:line="360" w:lineRule="auto"/>
        <w:rPr>
          <w:rFonts w:ascii="宋体"/>
          <w:color w:val="auto"/>
          <w:kern w:val="0"/>
          <w:sz w:val="28"/>
          <w:highlight w:val="none"/>
        </w:rPr>
      </w:pPr>
    </w:p>
    <w:p>
      <w:pPr>
        <w:spacing w:line="360" w:lineRule="auto"/>
        <w:jc w:val="center"/>
        <w:rPr>
          <w:rFonts w:hint="eastAsia" w:ascii="宋体" w:hAnsi="宋体" w:cs="宋体"/>
          <w:b w:val="0"/>
          <w:bCs w:val="0"/>
          <w:color w:val="auto"/>
          <w:kern w:val="0"/>
          <w:sz w:val="30"/>
          <w:szCs w:val="30"/>
          <w:highlight w:val="none"/>
          <w:lang w:eastAsia="zh-CN"/>
        </w:rPr>
      </w:pPr>
      <w:r>
        <w:rPr>
          <w:rFonts w:hint="eastAsia" w:ascii="宋体" w:hAnsi="宋体" w:cs="宋体"/>
          <w:b w:val="0"/>
          <w:bCs w:val="0"/>
          <w:color w:val="auto"/>
          <w:kern w:val="0"/>
          <w:sz w:val="30"/>
          <w:szCs w:val="30"/>
          <w:highlight w:val="none"/>
          <w:lang w:eastAsia="zh-CN"/>
        </w:rPr>
        <w:t>TZHX-2019-039</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eastAsia="宋体" w:cs="宋体"/>
          <w:color w:val="auto"/>
          <w:kern w:val="0"/>
          <w:sz w:val="30"/>
          <w:szCs w:val="30"/>
          <w:highlight w:val="none"/>
          <w:lang w:eastAsia="zh-CN"/>
        </w:rPr>
      </w:pPr>
    </w:p>
    <w:p>
      <w:pPr>
        <w:spacing w:line="360" w:lineRule="auto"/>
        <w:jc w:val="left"/>
        <w:rPr>
          <w:rFonts w:hint="default" w:ascii="宋体" w:hAnsi="宋体" w:cs="宋体"/>
          <w:color w:val="auto"/>
          <w:kern w:val="0"/>
          <w:sz w:val="25"/>
          <w:szCs w:val="25"/>
          <w:highlight w:val="none"/>
          <w:lang w:val="en-US" w:eastAsia="zh-CN"/>
        </w:rPr>
      </w:pPr>
      <w:r>
        <w:rPr>
          <w:rFonts w:hint="eastAsia" w:ascii="宋体" w:hAnsi="宋体" w:cs="宋体"/>
          <w:color w:val="auto"/>
          <w:kern w:val="0"/>
          <w:sz w:val="23"/>
          <w:szCs w:val="23"/>
          <w:highlight w:val="none"/>
          <w:lang w:eastAsia="zh-CN"/>
        </w:rPr>
        <w:t>采购项目：玉环市“十四五”“三农”和水利高质量发展规划研究及编制项目（重新）</w:t>
      </w:r>
      <w:r>
        <w:rPr>
          <w:rFonts w:hint="eastAsia" w:ascii="宋体" w:hAnsi="宋体" w:cs="宋体"/>
          <w:color w:val="auto"/>
          <w:kern w:val="0"/>
          <w:sz w:val="25"/>
          <w:szCs w:val="25"/>
          <w:highlight w:val="none"/>
          <w:lang w:eastAsia="zh-CN"/>
        </w:rPr>
        <w:t xml:space="preserve"> </w:t>
      </w:r>
    </w:p>
    <w:p>
      <w:pPr>
        <w:spacing w:line="360" w:lineRule="auto"/>
        <w:jc w:val="left"/>
        <w:rPr>
          <w:rFonts w:hint="eastAsia" w:ascii="宋体" w:hAnsi="宋体" w:eastAsia="宋体" w:cs="宋体"/>
          <w:color w:val="auto"/>
          <w:kern w:val="0"/>
          <w:sz w:val="23"/>
          <w:szCs w:val="23"/>
          <w:highlight w:val="none"/>
          <w:lang w:eastAsia="zh-CN"/>
        </w:rPr>
      </w:pPr>
      <w:r>
        <w:rPr>
          <w:rFonts w:hint="eastAsia" w:ascii="宋体" w:hAnsi="宋体" w:cs="宋体"/>
          <w:color w:val="auto"/>
          <w:kern w:val="0"/>
          <w:sz w:val="23"/>
          <w:szCs w:val="23"/>
          <w:highlight w:val="none"/>
          <w:lang w:eastAsia="zh-CN"/>
        </w:rPr>
        <w:t>采购人</w:t>
      </w:r>
      <w:r>
        <w:rPr>
          <w:rFonts w:hint="eastAsia" w:ascii="宋体" w:hAnsi="宋体" w:cs="宋体"/>
          <w:color w:val="auto"/>
          <w:kern w:val="0"/>
          <w:sz w:val="23"/>
          <w:szCs w:val="23"/>
          <w:highlight w:val="none"/>
        </w:rPr>
        <w:t>：</w:t>
      </w:r>
      <w:r>
        <w:rPr>
          <w:rFonts w:hint="eastAsia" w:ascii="宋体" w:hAnsi="宋体" w:cs="宋体"/>
          <w:color w:val="auto"/>
          <w:kern w:val="0"/>
          <w:sz w:val="23"/>
          <w:szCs w:val="23"/>
          <w:highlight w:val="none"/>
          <w:lang w:eastAsia="zh-CN"/>
        </w:rPr>
        <w:t>玉环市农业农村和水利局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ascii="宋体" w:hAnsi="宋体" w:cs="宋体"/>
          <w:color w:val="auto"/>
          <w:kern w:val="0"/>
          <w:sz w:val="30"/>
          <w:szCs w:val="30"/>
          <w:highlight w:val="none"/>
        </w:rPr>
      </w:pPr>
    </w:p>
    <w:p>
      <w:pPr>
        <w:pStyle w:val="10"/>
        <w:rPr>
          <w:rFonts w:hint="eastAsia" w:ascii="宋体" w:hAnsi="宋体" w:cs="宋体"/>
          <w:color w:val="auto"/>
          <w:kern w:val="0"/>
          <w:sz w:val="30"/>
          <w:szCs w:val="30"/>
          <w:highlight w:val="none"/>
        </w:rPr>
      </w:pPr>
    </w:p>
    <w:p>
      <w:pPr>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color w:val="auto"/>
          <w:highlight w:val="none"/>
        </w:rPr>
      </w:pP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台州恒信工程造价咨询有限公司</w:t>
      </w: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2019</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lang w:eastAsia="zh-CN"/>
        </w:rPr>
        <w:t>月</w:t>
      </w:r>
    </w:p>
    <w:p>
      <w:pPr>
        <w:spacing w:line="360" w:lineRule="auto"/>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pStyle w:val="17"/>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w:t>
      </w:r>
      <w:r>
        <w:rPr>
          <w:rFonts w:hint="eastAsia" w:asciiTheme="minorEastAsia" w:hAnsiTheme="minorEastAsia" w:eastAsiaTheme="minorEastAsia"/>
          <w:color w:val="auto"/>
          <w:sz w:val="24"/>
          <w:highlight w:val="none"/>
          <w:lang w:eastAsia="zh-CN"/>
        </w:rPr>
        <w:t>玉环市农业农村和水利局</w:t>
      </w:r>
      <w:r>
        <w:rPr>
          <w:rFonts w:hint="eastAsia" w:asciiTheme="minorEastAsia" w:hAnsiTheme="minorEastAsia" w:eastAsiaTheme="minorEastAsia"/>
          <w:color w:val="auto"/>
          <w:kern w:val="0"/>
          <w:sz w:val="24"/>
          <w:highlight w:val="none"/>
        </w:rPr>
        <w:t>委托，现就</w:t>
      </w:r>
      <w:r>
        <w:rPr>
          <w:rFonts w:hint="eastAsia" w:asciiTheme="minorEastAsia" w:hAnsiTheme="minorEastAsia" w:eastAsiaTheme="minorEastAsia"/>
          <w:color w:val="auto"/>
          <w:sz w:val="24"/>
          <w:highlight w:val="none"/>
          <w:lang w:eastAsia="zh-CN"/>
        </w:rPr>
        <w:t>玉环市“十四五”“三农”和水利高质量发展规划研究及编制项目（重新）</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b/>
          <w:color w:val="auto"/>
          <w:kern w:val="0"/>
          <w:sz w:val="24"/>
          <w:highlight w:val="none"/>
          <w:lang w:eastAsia="zh-CN"/>
        </w:rPr>
        <w:t>TZHX-2019-039</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20"/>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74"/>
        <w:gridCol w:w="1523"/>
        <w:gridCol w:w="652"/>
        <w:gridCol w:w="630"/>
        <w:gridCol w:w="1065"/>
        <w:gridCol w:w="1088"/>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序号</w:t>
            </w:r>
          </w:p>
        </w:tc>
        <w:tc>
          <w:tcPr>
            <w:tcW w:w="1174" w:type="dxa"/>
            <w:vAlign w:val="center"/>
          </w:tcPr>
          <w:p>
            <w:pPr>
              <w:tabs>
                <w:tab w:val="left" w:pos="8280"/>
              </w:tabs>
              <w:autoSpaceDE w:val="0"/>
              <w:autoSpaceDN w:val="0"/>
              <w:adjustRightInd w:val="0"/>
              <w:ind w:right="25" w:firstLine="105" w:firstLineChars="50"/>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w:t>
            </w:r>
          </w:p>
          <w:p>
            <w:pPr>
              <w:tabs>
                <w:tab w:val="left" w:pos="8280"/>
              </w:tabs>
              <w:autoSpaceDE w:val="0"/>
              <w:autoSpaceDN w:val="0"/>
              <w:adjustRightInd w:val="0"/>
              <w:ind w:right="25" w:firstLine="105" w:firstLineChars="5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名称</w:t>
            </w:r>
          </w:p>
        </w:tc>
        <w:tc>
          <w:tcPr>
            <w:tcW w:w="1523"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项目工作范围</w:t>
            </w:r>
          </w:p>
        </w:tc>
        <w:tc>
          <w:tcPr>
            <w:tcW w:w="652"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数量</w:t>
            </w:r>
          </w:p>
        </w:tc>
        <w:tc>
          <w:tcPr>
            <w:tcW w:w="63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单位</w:t>
            </w:r>
          </w:p>
        </w:tc>
        <w:tc>
          <w:tcPr>
            <w:tcW w:w="1065"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1088"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2621" w:type="dxa"/>
            <w:vAlign w:val="center"/>
          </w:tcPr>
          <w:p>
            <w:pPr>
              <w:tabs>
                <w:tab w:val="left" w:pos="8280"/>
              </w:tabs>
              <w:autoSpaceDE w:val="0"/>
              <w:autoSpaceDN w:val="0"/>
              <w:adjustRightInd w:val="0"/>
              <w:ind w:right="25"/>
              <w:jc w:val="center"/>
              <w:rPr>
                <w:rFonts w:hint="default" w:asciiTheme="minorEastAsia" w:hAnsiTheme="minorEastAsia" w:eastAsiaTheme="minorEastAsia"/>
                <w:b/>
                <w:color w:val="auto"/>
                <w:sz w:val="21"/>
                <w:szCs w:val="21"/>
                <w:highlight w:val="none"/>
                <w:lang w:val="en-US" w:eastAsia="zh-CN"/>
              </w:rPr>
            </w:pPr>
            <w:r>
              <w:rPr>
                <w:rFonts w:hint="default" w:asciiTheme="minorEastAsia" w:hAnsiTheme="minorEastAsia" w:eastAsiaTheme="minorEastAsia"/>
                <w:b/>
                <w:color w:val="auto"/>
                <w:sz w:val="21"/>
                <w:szCs w:val="21"/>
                <w:highlight w:val="none"/>
                <w:lang w:val="en-US" w:eastAsia="zh-CN"/>
              </w:rPr>
              <w:t>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1174" w:type="dxa"/>
            <w:vAlign w:val="center"/>
          </w:tcPr>
          <w:p>
            <w:pPr>
              <w:widowControl/>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玉环市“十四五”“三农”和水利高质量发展规划研究及编制项目（重新）</w:t>
            </w:r>
          </w:p>
        </w:tc>
        <w:tc>
          <w:tcPr>
            <w:tcW w:w="1523" w:type="dxa"/>
            <w:vAlign w:val="center"/>
          </w:tcPr>
          <w:p>
            <w:pPr>
              <w:widowControl/>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编制</w:t>
            </w:r>
            <w:r>
              <w:rPr>
                <w:rFonts w:hint="eastAsia" w:asciiTheme="minorEastAsia" w:hAnsiTheme="minorEastAsia" w:eastAsiaTheme="minorEastAsia"/>
                <w:color w:val="auto"/>
                <w:sz w:val="21"/>
                <w:szCs w:val="21"/>
                <w:highlight w:val="none"/>
                <w:lang w:eastAsia="zh-CN"/>
              </w:rPr>
              <w:t>玉环市“十四五”“三农”和水利高质量发展规划</w:t>
            </w:r>
            <w:r>
              <w:rPr>
                <w:rFonts w:hint="eastAsia" w:asciiTheme="minorEastAsia" w:hAnsiTheme="minorEastAsia" w:eastAsiaTheme="minorEastAsia"/>
                <w:color w:val="auto"/>
                <w:sz w:val="21"/>
                <w:szCs w:val="21"/>
                <w:highlight w:val="none"/>
              </w:rPr>
              <w:t>思路研究报告和</w:t>
            </w:r>
            <w:r>
              <w:rPr>
                <w:rFonts w:hint="eastAsia" w:asciiTheme="minorEastAsia" w:hAnsiTheme="minorEastAsia" w:eastAsiaTheme="minorEastAsia"/>
                <w:color w:val="auto"/>
                <w:sz w:val="21"/>
                <w:szCs w:val="21"/>
                <w:highlight w:val="none"/>
                <w:lang w:eastAsia="zh-CN"/>
              </w:rPr>
              <w:t>规划</w:t>
            </w:r>
            <w:r>
              <w:rPr>
                <w:rFonts w:hint="eastAsia" w:asciiTheme="minorEastAsia" w:hAnsiTheme="minorEastAsia" w:eastAsiaTheme="minorEastAsia"/>
                <w:color w:val="auto"/>
                <w:sz w:val="21"/>
                <w:szCs w:val="21"/>
                <w:highlight w:val="none"/>
              </w:rPr>
              <w:t>报告</w:t>
            </w:r>
            <w:r>
              <w:rPr>
                <w:rFonts w:hint="eastAsia" w:asciiTheme="minorEastAsia" w:hAnsiTheme="minorEastAsia" w:eastAsiaTheme="minorEastAsia"/>
                <w:color w:val="auto"/>
                <w:sz w:val="21"/>
                <w:szCs w:val="21"/>
                <w:highlight w:val="none"/>
                <w:lang w:eastAsia="zh-CN"/>
              </w:rPr>
              <w:t>等</w:t>
            </w:r>
          </w:p>
        </w:tc>
        <w:tc>
          <w:tcPr>
            <w:tcW w:w="652"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630"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w:t>
            </w:r>
          </w:p>
        </w:tc>
        <w:tc>
          <w:tcPr>
            <w:tcW w:w="1065"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90</w:t>
            </w:r>
          </w:p>
        </w:tc>
        <w:tc>
          <w:tcPr>
            <w:tcW w:w="1088"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90</w:t>
            </w:r>
          </w:p>
        </w:tc>
        <w:tc>
          <w:tcPr>
            <w:tcW w:w="2621" w:type="dxa"/>
            <w:vAlign w:val="center"/>
          </w:tcPr>
          <w:p>
            <w:pPr>
              <w:tabs>
                <w:tab w:val="left" w:pos="8280"/>
              </w:tabs>
              <w:autoSpaceDE w:val="0"/>
              <w:autoSpaceDN w:val="0"/>
              <w:adjustRightInd w:val="0"/>
              <w:ind w:right="25"/>
              <w:jc w:val="left"/>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1、20</w:t>
            </w:r>
            <w:r>
              <w:rPr>
                <w:rFonts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月底</w:t>
            </w:r>
            <w:r>
              <w:rPr>
                <w:rFonts w:hint="eastAsia" w:asciiTheme="minorEastAsia" w:hAnsiTheme="minorEastAsia" w:eastAsiaTheme="minorEastAsia"/>
                <w:color w:val="auto"/>
                <w:sz w:val="21"/>
                <w:szCs w:val="21"/>
                <w:highlight w:val="none"/>
                <w:lang w:eastAsia="zh-CN"/>
              </w:rPr>
              <w:t>前完成“十四五”课题研究报告。</w:t>
            </w:r>
          </w:p>
          <w:p>
            <w:pPr>
              <w:tabs>
                <w:tab w:val="left" w:pos="8280"/>
              </w:tabs>
              <w:autoSpaceDE w:val="0"/>
              <w:autoSpaceDN w:val="0"/>
              <w:adjustRightInd w:val="0"/>
              <w:ind w:right="25"/>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20</w:t>
            </w:r>
            <w:r>
              <w:rPr>
                <w:rFonts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月底</w:t>
            </w:r>
            <w:r>
              <w:rPr>
                <w:rFonts w:hint="eastAsia" w:asciiTheme="minorEastAsia" w:hAnsiTheme="minorEastAsia" w:eastAsiaTheme="minorEastAsia"/>
                <w:color w:val="auto"/>
                <w:sz w:val="21"/>
                <w:szCs w:val="21"/>
                <w:highlight w:val="none"/>
                <w:lang w:eastAsia="zh-CN"/>
              </w:rPr>
              <w:t>前</w:t>
            </w:r>
            <w:r>
              <w:rPr>
                <w:rFonts w:hint="eastAsia" w:asciiTheme="minorEastAsia" w:hAnsiTheme="minorEastAsia" w:eastAsiaTheme="minorEastAsia"/>
                <w:color w:val="auto"/>
                <w:sz w:val="21"/>
                <w:szCs w:val="21"/>
                <w:highlight w:val="none"/>
              </w:rPr>
              <w:t>提交玉环市“十四五”规划思路研究报告。</w:t>
            </w:r>
          </w:p>
          <w:p>
            <w:pPr>
              <w:tabs>
                <w:tab w:val="left" w:pos="8280"/>
              </w:tabs>
              <w:autoSpaceDE w:val="0"/>
              <w:autoSpaceDN w:val="0"/>
              <w:adjustRightInd w:val="0"/>
              <w:ind w:right="25"/>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3</w:t>
            </w:r>
            <w:r>
              <w:rPr>
                <w:rFonts w:hint="eastAsia" w:asciiTheme="minorEastAsia" w:hAnsiTheme="minorEastAsia" w:eastAsiaTheme="minorEastAsia"/>
                <w:color w:val="auto"/>
                <w:sz w:val="21"/>
                <w:szCs w:val="21"/>
                <w:highlight w:val="none"/>
              </w:rPr>
              <w:t>、20</w:t>
            </w:r>
            <w:r>
              <w:rPr>
                <w:rFonts w:asciiTheme="minorEastAsia" w:hAnsiTheme="minorEastAsia" w:eastAsiaTheme="minorEastAsia"/>
                <w:color w:val="auto"/>
                <w:sz w:val="21"/>
                <w:szCs w:val="21"/>
                <w:highlight w:val="none"/>
              </w:rPr>
              <w:t>20</w:t>
            </w:r>
            <w:r>
              <w:rPr>
                <w:rFonts w:hint="eastAsia"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月底前提交玉环市“十四五”规划报告送审稿，审查结束后一个月内提交报批稿，实际提交时间以省水利厅</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省农</w:t>
            </w:r>
            <w:r>
              <w:rPr>
                <w:rFonts w:hint="eastAsia" w:asciiTheme="minorEastAsia" w:hAnsiTheme="minorEastAsia" w:eastAsiaTheme="minorEastAsia"/>
                <w:color w:val="auto"/>
                <w:sz w:val="21"/>
                <w:szCs w:val="21"/>
                <w:highlight w:val="none"/>
                <w:lang w:eastAsia="zh-CN"/>
              </w:rPr>
              <w:t>业</w:t>
            </w:r>
            <w:r>
              <w:rPr>
                <w:rFonts w:hint="eastAsia" w:asciiTheme="minorEastAsia" w:hAnsiTheme="minorEastAsia" w:eastAsiaTheme="minorEastAsia"/>
                <w:color w:val="auto"/>
                <w:sz w:val="21"/>
                <w:szCs w:val="21"/>
                <w:highlight w:val="none"/>
              </w:rPr>
              <w:t>农村厅</w:t>
            </w:r>
            <w:r>
              <w:rPr>
                <w:rFonts w:hint="eastAsia" w:asciiTheme="minorEastAsia" w:hAnsiTheme="minorEastAsia" w:eastAsiaTheme="minorEastAsia"/>
                <w:color w:val="auto"/>
                <w:sz w:val="21"/>
                <w:szCs w:val="21"/>
                <w:highlight w:val="none"/>
                <w:lang w:eastAsia="zh-CN"/>
              </w:rPr>
              <w:t>、玉环市发展和改革局</w:t>
            </w:r>
            <w:r>
              <w:rPr>
                <w:rFonts w:hint="eastAsia" w:asciiTheme="minorEastAsia" w:hAnsiTheme="minorEastAsia" w:eastAsiaTheme="minorEastAsia"/>
                <w:color w:val="auto"/>
                <w:sz w:val="21"/>
                <w:szCs w:val="21"/>
                <w:highlight w:val="none"/>
              </w:rPr>
              <w:t>具体要求为准。</w:t>
            </w:r>
          </w:p>
        </w:tc>
      </w:tr>
    </w:tbl>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三、合格投标人的资格条件：</w:t>
      </w:r>
    </w:p>
    <w:p>
      <w:pPr>
        <w:spacing w:line="400" w:lineRule="exact"/>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1、投标人为独立法人资格,需同时具有以下①和②（或①和②组成的联合体，联合体主体为①）</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①水利水电专业工程咨询乙级及以上资质；</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②农业农村专业工程咨询乙级及以上资质。</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2、项目负责人具有高级工程师及以上职称。</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本项目接受联合体投标</w:t>
      </w:r>
      <w:r>
        <w:rPr>
          <w:rFonts w:hint="eastAsia" w:asciiTheme="minorEastAsia" w:hAnsiTheme="minorEastAsia" w:eastAsiaTheme="minorEastAsia"/>
          <w:color w:val="auto"/>
          <w:sz w:val="24"/>
          <w:highlight w:val="none"/>
          <w:lang w:eastAsia="zh-CN"/>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r>
        <w:rPr>
          <w:rFonts w:hint="eastAsia" w:asciiTheme="minorEastAsia" w:hAnsiTheme="minorEastAsia" w:eastAsiaTheme="minorEastAsia"/>
          <w:b/>
          <w:color w:val="auto"/>
          <w:sz w:val="24"/>
          <w:highlight w:val="none"/>
          <w:lang w:eastAsia="zh-CN"/>
        </w:rPr>
        <w:t>、地址</w:t>
      </w:r>
      <w:r>
        <w:rPr>
          <w:rFonts w:hint="eastAsia"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1、获取方式：网上免费下载</w:t>
      </w:r>
      <w:r>
        <w:rPr>
          <w:rFonts w:hint="eastAsia" w:cs="Arial" w:asciiTheme="minorEastAsia" w:hAnsiTheme="minorEastAsia" w:eastAsiaTheme="minorEastAsia"/>
          <w:b/>
          <w:bCs/>
          <w:color w:val="auto"/>
          <w:sz w:val="24"/>
          <w:highlight w:val="none"/>
        </w:rPr>
        <w:t>（不接受网上报名）</w:t>
      </w:r>
      <w:r>
        <w:rPr>
          <w:rFonts w:hint="eastAsia" w:cs="Arial" w:asciiTheme="minorEastAsia" w:hAnsiTheme="minorEastAsia" w:eastAsiaTheme="minorEastAsia"/>
          <w:color w:val="auto"/>
          <w:sz w:val="24"/>
          <w:highlight w:val="none"/>
        </w:rPr>
        <w:t>，下载地址为http://www.zjzfcg.gov.cn或https://www.yhjyzx.com/home/index</w:t>
      </w:r>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2、获取（公告）时间：</w:t>
      </w:r>
      <w:r>
        <w:rPr>
          <w:rFonts w:hint="eastAsia" w:ascii="宋体" w:hAnsi="宋体" w:cs="Arial"/>
          <w:color w:val="auto"/>
          <w:sz w:val="24"/>
          <w:highlight w:val="none"/>
          <w:lang w:val="en-US" w:eastAsia="zh-CN"/>
        </w:rPr>
        <w:t>2019</w:t>
      </w:r>
      <w:r>
        <w:rPr>
          <w:rFonts w:hint="eastAsia" w:ascii="宋体" w:hAnsi="宋体" w:cs="Arial"/>
          <w:color w:val="auto"/>
          <w:sz w:val="24"/>
          <w:highlight w:val="none"/>
        </w:rPr>
        <w:t>年</w:t>
      </w:r>
      <w:r>
        <w:rPr>
          <w:rFonts w:hint="eastAsia" w:ascii="宋体" w:hAnsi="宋体" w:cs="Arial"/>
          <w:color w:val="auto"/>
          <w:sz w:val="24"/>
          <w:highlight w:val="none"/>
          <w:lang w:val="en-US" w:eastAsia="zh-CN"/>
        </w:rPr>
        <w:t>10</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17</w:t>
      </w:r>
      <w:r>
        <w:rPr>
          <w:rFonts w:hint="eastAsia" w:ascii="宋体" w:hAnsi="宋体" w:cs="Arial"/>
          <w:color w:val="auto"/>
          <w:sz w:val="24"/>
          <w:highlight w:val="none"/>
        </w:rPr>
        <w:t>日至</w:t>
      </w:r>
      <w:r>
        <w:rPr>
          <w:rFonts w:hint="eastAsia" w:ascii="宋体" w:hAnsi="宋体" w:cs="Arial"/>
          <w:color w:val="auto"/>
          <w:sz w:val="24"/>
          <w:highlight w:val="none"/>
          <w:lang w:val="en-US" w:eastAsia="zh-CN"/>
        </w:rPr>
        <w:t>2019</w:t>
      </w:r>
      <w:r>
        <w:rPr>
          <w:rFonts w:hint="eastAsia" w:ascii="宋体" w:hAnsi="宋体" w:cs="Arial"/>
          <w:color w:val="auto"/>
          <w:sz w:val="24"/>
          <w:highlight w:val="none"/>
        </w:rPr>
        <w:t>年</w:t>
      </w:r>
      <w:r>
        <w:rPr>
          <w:rFonts w:hint="eastAsia" w:ascii="宋体" w:hAnsi="宋体" w:cs="Arial"/>
          <w:color w:val="auto"/>
          <w:sz w:val="24"/>
          <w:highlight w:val="none"/>
          <w:lang w:val="en-US" w:eastAsia="zh-CN"/>
        </w:rPr>
        <w:t>10</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28</w:t>
      </w:r>
      <w:r>
        <w:rPr>
          <w:rFonts w:hint="eastAsia" w:ascii="宋体" w:hAnsi="宋体" w:cs="Arial"/>
          <w:color w:val="auto"/>
          <w:sz w:val="24"/>
          <w:highlight w:val="none"/>
        </w:rPr>
        <w:t>日</w:t>
      </w:r>
    </w:p>
    <w:p>
      <w:pPr>
        <w:spacing w:line="360" w:lineRule="auto"/>
        <w:ind w:firstLine="960" w:firstLineChars="400"/>
        <w:rPr>
          <w:rFonts w:cs="Arial" w:asciiTheme="minorEastAsia" w:hAnsiTheme="minorEastAsia" w:eastAsiaTheme="minorEastAsia"/>
          <w:color w:val="auto"/>
          <w:sz w:val="24"/>
          <w:highlight w:val="none"/>
        </w:rPr>
      </w:pPr>
      <w:r>
        <w:rPr>
          <w:rFonts w:hint="eastAsia" w:ascii="宋体" w:hAnsi="宋体" w:cs="Arial"/>
          <w:color w:val="auto"/>
          <w:sz w:val="24"/>
          <w:highlight w:val="none"/>
        </w:rPr>
        <w:t>上午：8:30-12:00      下午</w:t>
      </w:r>
      <w:r>
        <w:rPr>
          <w:rFonts w:hint="eastAsia" w:ascii="宋体" w:hAnsi="宋体" w:cs="Arial"/>
          <w:color w:val="auto"/>
          <w:sz w:val="24"/>
          <w:highlight w:val="none"/>
          <w:lang w:eastAsia="zh-CN"/>
        </w:rPr>
        <w:t>：</w:t>
      </w:r>
      <w:r>
        <w:rPr>
          <w:rFonts w:hint="eastAsia" w:ascii="宋体" w:hAnsi="宋体" w:cs="Arial"/>
          <w:color w:val="auto"/>
          <w:sz w:val="24"/>
          <w:highlight w:val="none"/>
        </w:rPr>
        <w:t>1</w:t>
      </w:r>
      <w:r>
        <w:rPr>
          <w:rFonts w:hint="eastAsia" w:ascii="宋体" w:hAnsi="宋体" w:cs="Arial"/>
          <w:color w:val="auto"/>
          <w:sz w:val="24"/>
          <w:highlight w:val="none"/>
          <w:lang w:val="en-US" w:eastAsia="zh-CN"/>
        </w:rPr>
        <w:t>4</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0-1</w:t>
      </w:r>
      <w:r>
        <w:rPr>
          <w:rFonts w:hint="eastAsia" w:ascii="宋体" w:hAnsi="宋体" w:cs="Arial"/>
          <w:color w:val="auto"/>
          <w:sz w:val="24"/>
          <w:highlight w:val="none"/>
          <w:lang w:val="en-US" w:eastAsia="zh-CN"/>
        </w:rPr>
        <w:t>7</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w:t>
      </w:r>
    </w:p>
    <w:p>
      <w:pPr>
        <w:numPr>
          <w:ilvl w:val="0"/>
          <w:numId w:val="3"/>
        </w:numPr>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获取地址</w:t>
      </w:r>
      <w:r>
        <w:rPr>
          <w:rFonts w:hint="eastAsia" w:cs="Arial" w:asciiTheme="minorEastAsia" w:hAnsiTheme="minorEastAsia" w:eastAsiaTheme="minorEastAsia"/>
          <w:color w:val="auto"/>
          <w:sz w:val="24"/>
          <w:highlight w:val="none"/>
        </w:rPr>
        <w:t>：玉环市玉城街道泰安路312号财富中心5号楼1002室</w:t>
      </w:r>
      <w:r>
        <w:rPr>
          <w:rFonts w:hint="eastAsia" w:cs="Arial" w:asciiTheme="minorEastAsia" w:hAnsiTheme="minorEastAsia" w:eastAsiaTheme="minorEastAsia"/>
          <w:color w:val="auto"/>
          <w:sz w:val="24"/>
          <w:highlight w:val="none"/>
          <w:lang w:eastAsia="zh-CN"/>
        </w:rPr>
        <w:t>（台州恒信工程造价咨询有限公司）</w:t>
      </w:r>
      <w:r>
        <w:rPr>
          <w:rFonts w:hint="eastAsia" w:cs="Arial" w:asciiTheme="minorEastAsia" w:hAnsiTheme="minorEastAsia" w:eastAsiaTheme="minorEastAsia"/>
          <w:color w:val="auto"/>
          <w:sz w:val="24"/>
          <w:highlight w:val="none"/>
        </w:rPr>
        <w:t>。</w:t>
      </w:r>
    </w:p>
    <w:p>
      <w:pPr>
        <w:numPr>
          <w:ilvl w:val="0"/>
          <w:numId w:val="3"/>
        </w:numPr>
        <w:spacing w:line="360" w:lineRule="auto"/>
        <w:ind w:firstLine="480" w:firstLineChars="200"/>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lang w:eastAsia="zh-CN"/>
        </w:rPr>
        <w:t>获取招标文件时应提交的资料：①采购报名申请表（可现场填写）；②营业执照（携原件备查）；③相关资质、职称证书复印件；④法定代表人授权委托书原件及被授权人身份证复印件；⑤若为联合体投标，提供联合体协议书原件。以上资料的复印件加盖单位公章按顺序装订成册提交。</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五、招标答疑会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六、</w:t>
      </w:r>
      <w:r>
        <w:rPr>
          <w:rFonts w:hint="eastAsia" w:asciiTheme="minorEastAsia" w:hAnsiTheme="minorEastAsia" w:eastAsiaTheme="minorEastAsia"/>
          <w:b/>
          <w:color w:val="auto"/>
          <w:kern w:val="0"/>
          <w:sz w:val="24"/>
          <w:highlight w:val="none"/>
        </w:rPr>
        <w:t>投标截止及开标时间、地点：</w:t>
      </w:r>
    </w:p>
    <w:p>
      <w:pPr>
        <w:snapToGrid w:val="0"/>
        <w:spacing w:line="360" w:lineRule="auto"/>
        <w:ind w:firstLine="480" w:firstLineChars="200"/>
        <w:rPr>
          <w:rFonts w:ascii="仿宋_GB2312" w:hAnsi="仿宋_GB2312" w:eastAsia="仿宋_GB2312" w:cs="仿宋_GB2312"/>
          <w:bCs/>
          <w:color w:val="auto"/>
          <w:kern w:val="0"/>
          <w:sz w:val="24"/>
          <w:highlight w:val="none"/>
        </w:rPr>
      </w:pPr>
      <w:r>
        <w:rPr>
          <w:rFonts w:hint="eastAsia" w:cs="Arial" w:asciiTheme="minorEastAsia" w:hAnsiTheme="minorEastAsia" w:eastAsiaTheme="minorEastAsia"/>
          <w:color w:val="auto"/>
          <w:sz w:val="24"/>
          <w:highlight w:val="none"/>
        </w:rPr>
        <w:t>本次招标将于</w:t>
      </w:r>
      <w:r>
        <w:rPr>
          <w:rFonts w:hint="eastAsia" w:cs="Arial" w:asciiTheme="minorEastAsia" w:hAnsiTheme="minorEastAsia" w:eastAsiaTheme="minorEastAsia"/>
          <w:color w:val="auto"/>
          <w:sz w:val="24"/>
          <w:highlight w:val="none"/>
          <w:lang w:val="en-US" w:eastAsia="zh-CN"/>
        </w:rPr>
        <w:t>2019</w:t>
      </w:r>
      <w:r>
        <w:rPr>
          <w:rFonts w:hint="eastAsia" w:cs="Arial" w:asciiTheme="minorEastAsia" w:hAnsiTheme="minorEastAsia" w:eastAsiaTheme="minorEastAsia"/>
          <w:color w:val="auto"/>
          <w:sz w:val="24"/>
          <w:highlight w:val="none"/>
        </w:rPr>
        <w:t>年</w:t>
      </w:r>
      <w:r>
        <w:rPr>
          <w:rFonts w:hint="eastAsia" w:cs="Arial" w:asciiTheme="minorEastAsia" w:hAnsiTheme="minorEastAsia" w:eastAsiaTheme="minorEastAsia"/>
          <w:color w:val="auto"/>
          <w:sz w:val="24"/>
          <w:highlight w:val="none"/>
          <w:lang w:val="en-US" w:eastAsia="zh-CN"/>
        </w:rPr>
        <w:t>11</w:t>
      </w:r>
      <w:r>
        <w:rPr>
          <w:rFonts w:hint="eastAsia" w:cs="Arial" w:asciiTheme="minorEastAsia" w:hAnsiTheme="minorEastAsia" w:eastAsiaTheme="minorEastAsia"/>
          <w:color w:val="auto"/>
          <w:sz w:val="24"/>
          <w:highlight w:val="none"/>
        </w:rPr>
        <w:t>月</w:t>
      </w:r>
      <w:r>
        <w:rPr>
          <w:rFonts w:hint="eastAsia" w:cs="Arial" w:asciiTheme="minorEastAsia" w:hAnsiTheme="minorEastAsia" w:eastAsiaTheme="minorEastAsia"/>
          <w:color w:val="auto"/>
          <w:sz w:val="24"/>
          <w:highlight w:val="none"/>
          <w:lang w:val="en-US" w:eastAsia="zh-CN"/>
        </w:rPr>
        <w:t>07</w:t>
      </w:r>
      <w:r>
        <w:rPr>
          <w:rFonts w:hint="eastAsia" w:cs="Arial" w:asciiTheme="minorEastAsia" w:hAnsiTheme="minorEastAsia" w:eastAsiaTheme="minorEastAsia"/>
          <w:color w:val="auto"/>
          <w:sz w:val="24"/>
          <w:highlight w:val="none"/>
        </w:rPr>
        <w:t>日星期</w:t>
      </w:r>
      <w:r>
        <w:rPr>
          <w:rFonts w:hint="eastAsia" w:cs="Arial" w:asciiTheme="minorEastAsia" w:hAnsiTheme="minorEastAsia" w:eastAsiaTheme="minorEastAsia"/>
          <w:color w:val="auto"/>
          <w:sz w:val="24"/>
          <w:highlight w:val="none"/>
          <w:lang w:eastAsia="zh-CN"/>
        </w:rPr>
        <w:t>四上</w:t>
      </w:r>
      <w:r>
        <w:rPr>
          <w:rFonts w:hint="eastAsia" w:cs="Arial" w:asciiTheme="minorEastAsia" w:hAnsiTheme="minorEastAsia" w:eastAsiaTheme="minorEastAsia"/>
          <w:color w:val="auto"/>
          <w:sz w:val="24"/>
          <w:highlight w:val="none"/>
        </w:rPr>
        <w:t>午</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时</w:t>
      </w:r>
      <w:r>
        <w:rPr>
          <w:rFonts w:hint="eastAsia" w:cs="Arial" w:asciiTheme="minorEastAsia" w:hAnsiTheme="minorEastAsia" w:eastAsiaTheme="minorEastAsia"/>
          <w:color w:val="auto"/>
          <w:sz w:val="24"/>
          <w:highlight w:val="none"/>
          <w:lang w:val="en-US" w:eastAsia="zh-CN"/>
        </w:rPr>
        <w:t>30分</w:t>
      </w:r>
      <w:r>
        <w:rPr>
          <w:rFonts w:hint="eastAsia" w:cs="Arial" w:asciiTheme="minorEastAsia" w:hAnsiTheme="minorEastAsia" w:eastAsiaTheme="minorEastAsia"/>
          <w:color w:val="auto"/>
          <w:sz w:val="24"/>
          <w:highlight w:val="none"/>
        </w:rPr>
        <w:t>在</w:t>
      </w:r>
      <w:r>
        <w:rPr>
          <w:rFonts w:hint="eastAsia" w:cs="Arial" w:asciiTheme="minorEastAsia" w:hAnsiTheme="minorEastAsia" w:eastAsiaTheme="minorEastAsia"/>
          <w:color w:val="auto"/>
          <w:sz w:val="24"/>
          <w:highlight w:val="none"/>
          <w:lang w:val="en-US" w:eastAsia="zh-CN"/>
        </w:rPr>
        <w:t>玉环市公共资源交易中心二楼开标室（3）（玉环市新城中路与长治路（南一路）交叉路口）开标</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请在开标当日</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val="en-US" w:eastAsia="zh-CN"/>
        </w:rPr>
        <w:t>00</w:t>
      </w:r>
      <w:r>
        <w:rPr>
          <w:rFonts w:hint="eastAsia" w:asciiTheme="minorEastAsia" w:hAnsiTheme="minorEastAsia" w:eastAsiaTheme="minorEastAsia"/>
          <w:color w:val="auto"/>
          <w:kern w:val="0"/>
          <w:sz w:val="24"/>
          <w:highlight w:val="none"/>
        </w:rPr>
        <w:t>至</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val="en-US" w:eastAsia="zh-CN"/>
        </w:rPr>
        <w:t>3</w:t>
      </w:r>
      <w:r>
        <w:rPr>
          <w:rFonts w:hint="eastAsia" w:cs="Arial" w:asciiTheme="minorEastAsia" w:hAnsiTheme="minorEastAsia" w:eastAsiaTheme="minorEastAsia"/>
          <w:color w:val="auto"/>
          <w:sz w:val="24"/>
          <w:highlight w:val="none"/>
        </w:rPr>
        <w:t>0</w:t>
      </w:r>
      <w:r>
        <w:rPr>
          <w:rFonts w:hint="eastAsia" w:asciiTheme="minorEastAsia" w:hAnsiTheme="minorEastAsia" w:eastAsiaTheme="minorEastAsia"/>
          <w:color w:val="auto"/>
          <w:kern w:val="0"/>
          <w:sz w:val="24"/>
          <w:highlight w:val="none"/>
        </w:rPr>
        <w:t>将投标文件送达开标地点，逾期或不符合规定的投标文件恕不接受。</w:t>
      </w:r>
    </w:p>
    <w:p>
      <w:pPr>
        <w:snapToGrid w:val="0"/>
        <w:spacing w:line="360" w:lineRule="auto"/>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七</w:t>
      </w:r>
      <w:r>
        <w:rPr>
          <w:rFonts w:cs="Arial" w:asciiTheme="minorEastAsia" w:hAnsiTheme="minorEastAsia" w:eastAsiaTheme="minorEastAsia"/>
          <w:b/>
          <w:color w:val="auto"/>
          <w:sz w:val="24"/>
          <w:highlight w:val="none"/>
        </w:rPr>
        <w:t>、投标人信用信息查询渠道及截止时点、信用信息查询记录和证据留存的具体方式、信用信息的使用规则</w:t>
      </w:r>
      <w:r>
        <w:rPr>
          <w:rFonts w:hint="eastAsia" w:cs="Arial"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1、查询渠道：国家企业信用信息公示系统（http://www.gsxt.gov.cn/index.html）。</w:t>
      </w:r>
    </w:p>
    <w:p>
      <w:pPr>
        <w:snapToGrid w:val="0"/>
        <w:spacing w:line="360" w:lineRule="auto"/>
        <w:ind w:firstLine="480" w:firstLineChars="200"/>
        <w:rPr>
          <w:rFonts w:cs="Arial" w:asciiTheme="minorEastAsia" w:hAnsiTheme="minorEastAsia" w:eastAsiaTheme="minorEastAsia"/>
          <w:b/>
          <w:bCs/>
          <w:color w:val="auto"/>
          <w:sz w:val="24"/>
          <w:highlight w:val="none"/>
          <w:shd w:val="clear" w:color="FFFFFF" w:fill="D9D9D9"/>
        </w:rPr>
      </w:pPr>
      <w:r>
        <w:rPr>
          <w:rFonts w:hint="eastAsia" w:cs="Arial" w:asciiTheme="minorEastAsia" w:hAnsiTheme="minorEastAsia" w:eastAsiaTheme="minorEastAsia"/>
          <w:color w:val="auto"/>
          <w:sz w:val="24"/>
          <w:highlight w:val="none"/>
        </w:rPr>
        <w:t>2、截止时点：开标后评标前。</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cs="Arial" w:asciiTheme="minorEastAsia" w:hAnsiTheme="minorEastAsia" w:eastAsiaTheme="minorEastAsia"/>
          <w:color w:val="auto"/>
          <w:sz w:val="24"/>
          <w:highlight w:val="none"/>
        </w:rPr>
        <w:t>信用信息查询记录和证据留存的具体方式</w:t>
      </w:r>
      <w:r>
        <w:rPr>
          <w:rFonts w:hint="eastAsia" w:cs="Arial" w:asciiTheme="minorEastAsia" w:hAnsiTheme="minorEastAsia" w:eastAsiaTheme="minorEastAsia"/>
          <w:color w:val="auto"/>
          <w:sz w:val="24"/>
          <w:highlight w:val="none"/>
        </w:rPr>
        <w:t>：由采购组织机构在规定查询时间内打印信用信息查询记录并归入项目档案。</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highlight w:val="none"/>
        </w:rPr>
        <w:t>将被</w:t>
      </w:r>
      <w:r>
        <w:rPr>
          <w:rFonts w:hint="eastAsia" w:cs="Arial" w:asciiTheme="minorEastAsia" w:hAnsiTheme="minorEastAsia" w:eastAsiaTheme="minorEastAsia"/>
          <w:color w:val="auto"/>
          <w:sz w:val="24"/>
          <w:highlight w:val="none"/>
        </w:rPr>
        <w:t>拒绝其参与政府采购活动。</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2、根据《浙江省政府采购供应商注册及诚信管理暂行办法》浙财采监【2009】28号文件，请各投标供应商及时办理浙江政府采购网“政府采购供应商注册”手续。</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3、参与政府采购项目的供应商，应当先在浙江政府采购网上申请注册，注册终审通过后可从网上直接下载。</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4、本项目所有公告发布网站：“浙江省政府采购网”（http:// www.zjzfcg.gov.cn）和“玉环市公共资源交易中心”（ https://www.yhjyzx.com/News/zcfg/zfcg）。</w:t>
      </w:r>
    </w:p>
    <w:p>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pacing w:line="360" w:lineRule="auto"/>
        <w:ind w:firstLine="600" w:firstLineChars="25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项目联系人：</w:t>
      </w:r>
      <w:r>
        <w:rPr>
          <w:rFonts w:hint="eastAsia" w:asciiTheme="minorEastAsia" w:hAnsiTheme="minorEastAsia" w:eastAsiaTheme="minorEastAsia"/>
          <w:color w:val="auto"/>
          <w:kern w:val="0"/>
          <w:sz w:val="24"/>
          <w:highlight w:val="none"/>
          <w:lang w:eastAsia="zh-CN"/>
        </w:rPr>
        <w:t>张先生</w:t>
      </w:r>
    </w:p>
    <w:p>
      <w:pPr>
        <w:spacing w:line="360" w:lineRule="auto"/>
        <w:ind w:firstLine="600" w:firstLineChars="25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r>
        <w:rPr>
          <w:rFonts w:hint="eastAsia" w:asciiTheme="minorEastAsia" w:hAnsiTheme="minorEastAsia" w:eastAsiaTheme="minorEastAsia"/>
          <w:color w:val="auto"/>
          <w:kern w:val="0"/>
          <w:sz w:val="24"/>
          <w:highlight w:val="none"/>
          <w:lang w:val="en-US" w:eastAsia="zh-CN"/>
        </w:rPr>
        <w:t>0576-87229474</w:t>
      </w:r>
      <w:r>
        <w:rPr>
          <w:rFonts w:hint="eastAsia" w:asciiTheme="minorEastAsia" w:hAnsiTheme="minorEastAsia" w:eastAsiaTheme="minorEastAsia"/>
          <w:color w:val="auto"/>
          <w:kern w:val="0"/>
          <w:sz w:val="24"/>
          <w:highlight w:val="none"/>
        </w:rPr>
        <w:t xml:space="preserve"> </w:t>
      </w:r>
    </w:p>
    <w:p>
      <w:pPr>
        <w:spacing w:line="360" w:lineRule="auto"/>
        <w:ind w:firstLine="600" w:firstLineChars="25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地址：</w:t>
      </w:r>
      <w:r>
        <w:rPr>
          <w:rFonts w:hint="eastAsia" w:asciiTheme="minorEastAsia" w:hAnsiTheme="minorEastAsia" w:eastAsiaTheme="minorEastAsia"/>
          <w:color w:val="auto"/>
          <w:kern w:val="0"/>
          <w:sz w:val="24"/>
          <w:highlight w:val="none"/>
          <w:lang w:eastAsia="zh-CN"/>
        </w:rPr>
        <w:t>玉环市玉城街道泰安路</w:t>
      </w:r>
      <w:r>
        <w:rPr>
          <w:rFonts w:hint="eastAsia" w:asciiTheme="minorEastAsia" w:hAnsiTheme="minorEastAsia" w:eastAsiaTheme="minorEastAsia"/>
          <w:color w:val="auto"/>
          <w:kern w:val="0"/>
          <w:sz w:val="24"/>
          <w:highlight w:val="none"/>
          <w:lang w:val="en-US" w:eastAsia="zh-CN"/>
        </w:rPr>
        <w:t>312号财富中心5号楼1002</w:t>
      </w:r>
      <w:r>
        <w:rPr>
          <w:rFonts w:hint="eastAsia" w:asciiTheme="minorEastAsia" w:hAnsiTheme="minorEastAsia" w:eastAsiaTheme="minorEastAsia"/>
          <w:color w:val="auto"/>
          <w:kern w:val="0"/>
          <w:sz w:val="24"/>
          <w:highlight w:val="none"/>
        </w:rPr>
        <w:t xml:space="preserve"> </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lang w:eastAsia="zh-CN"/>
        </w:rPr>
        <w:t>玉环市农业农村和水利局</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w:t>
      </w:r>
      <w:r>
        <w:rPr>
          <w:rFonts w:hint="eastAsia" w:cs="Arial" w:asciiTheme="minorEastAsia" w:hAnsiTheme="minorEastAsia" w:eastAsiaTheme="minorEastAsia"/>
          <w:color w:val="auto"/>
          <w:sz w:val="24"/>
          <w:highlight w:val="none"/>
          <w:lang w:eastAsia="zh-CN"/>
        </w:rPr>
        <w:t>玉环市玉城街道城中路56号</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吴女士</w:t>
      </w:r>
    </w:p>
    <w:p>
      <w:pPr>
        <w:snapToGrid w:val="0"/>
        <w:spacing w:line="360" w:lineRule="auto"/>
        <w:ind w:firstLine="600" w:firstLineChars="250"/>
        <w:rPr>
          <w:rFonts w:hint="default"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eastAsia="zh-CN"/>
        </w:rPr>
        <w:t>联系电话：</w:t>
      </w:r>
      <w:r>
        <w:rPr>
          <w:rFonts w:hint="eastAsia" w:cs="Arial" w:asciiTheme="minorEastAsia" w:hAnsiTheme="minorEastAsia" w:eastAsiaTheme="minorEastAsia"/>
          <w:color w:val="auto"/>
          <w:sz w:val="24"/>
          <w:highlight w:val="none"/>
          <w:lang w:val="en-US" w:eastAsia="zh-CN"/>
        </w:rPr>
        <w:t>0576-87222762</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谢主任</w:t>
      </w:r>
      <w:r>
        <w:rPr>
          <w:rFonts w:hint="eastAsia" w:cs="Arial" w:asciiTheme="minorEastAsia" w:hAnsiTheme="minorEastAsia" w:eastAsiaTheme="minorEastAsia"/>
          <w:color w:val="auto"/>
          <w:sz w:val="24"/>
          <w:highlight w:val="none"/>
        </w:rPr>
        <w:t xml:space="preserve">   监督投诉电话：0576-87250185   传真：0576-8725018</w:t>
      </w:r>
      <w:r>
        <w:rPr>
          <w:rFonts w:hint="eastAsia" w:cs="Arial" w:asciiTheme="minorEastAsia" w:hAnsiTheme="minorEastAsia" w:eastAsiaTheme="minorEastAsia"/>
          <w:color w:val="auto"/>
          <w:sz w:val="24"/>
          <w:highlight w:val="none"/>
          <w:lang w:val="en-US" w:eastAsia="zh-CN"/>
        </w:rPr>
        <w:t>5</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Theme="minorEastAsia" w:hAnsiTheme="minorEastAsia" w:eastAsiaTheme="minorEastAsia" w:cstheme="minorEastAsia"/>
          <w:color w:val="auto"/>
          <w:sz w:val="24"/>
          <w:highlight w:val="none"/>
        </w:rPr>
      </w:pPr>
      <w:r>
        <w:rPr>
          <w:rFonts w:hint="eastAsia" w:cs="Arial" w:asciiTheme="minorEastAsia" w:hAnsiTheme="minorEastAsia" w:eastAsiaTheme="minorEastAsia"/>
          <w:color w:val="auto"/>
          <w:sz w:val="24"/>
          <w:highlight w:val="none"/>
        </w:rPr>
        <w:t>台州</w:t>
      </w:r>
      <w:r>
        <w:rPr>
          <w:rFonts w:hint="eastAsia" w:asciiTheme="minorEastAsia" w:hAnsiTheme="minorEastAsia" w:eastAsiaTheme="minorEastAsia" w:cstheme="minorEastAsia"/>
          <w:color w:val="auto"/>
          <w:sz w:val="24"/>
          <w:highlight w:val="none"/>
        </w:rPr>
        <w:t>恒信工程造价咨询有限公司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2019年10月</w:t>
      </w:r>
    </w:p>
    <w:p>
      <w:pPr>
        <w:rPr>
          <w:color w:val="auto"/>
          <w:highlight w:val="none"/>
        </w:rPr>
      </w:pPr>
      <w:r>
        <w:rPr>
          <w:color w:val="auto"/>
          <w:highlight w:val="none"/>
        </w:rPr>
        <w:br w:type="page"/>
      </w:r>
    </w:p>
    <w:p>
      <w:pPr>
        <w:widowControl/>
        <w:jc w:val="center"/>
        <w:rPr>
          <w:b/>
          <w:bCs/>
          <w:color w:val="auto"/>
          <w:kern w:val="0"/>
          <w:sz w:val="44"/>
          <w:szCs w:val="44"/>
          <w:highlight w:val="none"/>
        </w:rPr>
      </w:pPr>
      <w:r>
        <w:rPr>
          <w:rFonts w:ascii="方正魏碑简体" w:hAnsi="方正魏碑简体"/>
          <w:b/>
          <w:bCs/>
          <w:color w:val="auto"/>
          <w:kern w:val="0"/>
          <w:sz w:val="44"/>
          <w:szCs w:val="44"/>
          <w:highlight w:val="none"/>
        </w:rPr>
        <w:t>采购报名申请表</w:t>
      </w:r>
    </w:p>
    <w:tbl>
      <w:tblPr>
        <w:tblStyle w:val="20"/>
        <w:tblW w:w="9205" w:type="dxa"/>
        <w:tblInd w:w="-91"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招标编号</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 xml:space="preserve">                                     （盖章）</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bCs/>
                <w:color w:val="auto"/>
                <w:sz w:val="22"/>
                <w:szCs w:val="22"/>
                <w:highlight w:val="none"/>
              </w:rPr>
            </w:pPr>
            <w:r>
              <w:rPr>
                <w:rFonts w:hint="eastAsia" w:ascii="宋体"/>
                <w:bCs/>
                <w:color w:val="auto"/>
                <w:sz w:val="22"/>
                <w:szCs w:val="22"/>
                <w:highlight w:val="none"/>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b/>
                <w:bCs/>
                <w:color w:val="auto"/>
                <w:kern w:val="0"/>
                <w:sz w:val="22"/>
                <w:szCs w:val="22"/>
                <w:highlight w:val="none"/>
                <w:lang w:eastAsia="zh-CN"/>
              </w:rPr>
            </w:pPr>
            <w:r>
              <w:rPr>
                <w:rFonts w:hint="eastAsia" w:ascii="宋体" w:hAnsi="宋体"/>
                <w:b/>
                <w:bCs/>
                <w:color w:val="auto"/>
                <w:kern w:val="0"/>
                <w:sz w:val="22"/>
                <w:szCs w:val="22"/>
                <w:highlight w:val="none"/>
              </w:rPr>
              <w:t>提交的报名资料清单</w:t>
            </w:r>
            <w:r>
              <w:rPr>
                <w:rFonts w:hint="eastAsia" w:ascii="宋体" w:hAnsi="宋体"/>
                <w:b/>
                <w:bCs/>
                <w:color w:val="auto"/>
                <w:kern w:val="0"/>
                <w:sz w:val="22"/>
                <w:szCs w:val="22"/>
                <w:highlight w:val="none"/>
                <w:lang w:eastAsia="zh-CN"/>
              </w:rPr>
              <w:t>（原件备查）</w:t>
            </w: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备  注</w:t>
            </w: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auto"/>
                <w:sz w:val="22"/>
                <w:highlight w:val="none"/>
              </w:rPr>
            </w:pPr>
            <w:r>
              <w:rPr>
                <w:rFonts w:hint="eastAsia" w:ascii="宋体"/>
                <w:color w:val="auto"/>
                <w:sz w:val="22"/>
                <w:highlight w:val="none"/>
              </w:rPr>
              <w:t>营业执照副本（</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color w:val="auto"/>
                <w:sz w:val="22"/>
                <w:highlight w:val="none"/>
                <w:lang w:eastAsia="zh-CN"/>
              </w:rPr>
            </w:pPr>
            <w:r>
              <w:rPr>
                <w:rFonts w:hint="eastAsia" w:ascii="宋体"/>
                <w:color w:val="auto"/>
                <w:sz w:val="22"/>
                <w:highlight w:val="none"/>
                <w:lang w:eastAsia="zh-CN"/>
              </w:rPr>
              <w:t>相关资质证书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color w:val="auto"/>
                <w:sz w:val="22"/>
                <w:highlight w:val="none"/>
              </w:rPr>
            </w:pPr>
            <w:r>
              <w:rPr>
                <w:rFonts w:hint="eastAsia" w:ascii="宋体"/>
                <w:color w:val="auto"/>
                <w:sz w:val="22"/>
                <w:highlight w:val="none"/>
                <w:lang w:val="en-US" w:eastAsia="zh-CN"/>
              </w:rPr>
              <w:t>项目负责人职称证书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4</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法定代表人授权委托书</w:t>
            </w:r>
            <w:r>
              <w:rPr>
                <w:rFonts w:hint="eastAsia" w:ascii="宋体" w:hAnsi="宋体"/>
                <w:color w:val="auto"/>
                <w:kern w:val="0"/>
                <w:sz w:val="22"/>
                <w:szCs w:val="22"/>
                <w:highlight w:val="none"/>
              </w:rPr>
              <w:t>原件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5</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被授权人的有效身份证件</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eastAsia="zh-CN"/>
              </w:rPr>
              <w:t>复印件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73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6</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eastAsia="zh-CN"/>
              </w:rPr>
              <w:t>联合体协议书原件（若有）</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bl>
    <w:p>
      <w:pPr>
        <w:rPr>
          <w:color w:val="auto"/>
          <w:highlight w:val="none"/>
        </w:rPr>
      </w:pPr>
      <w:r>
        <w:rPr>
          <w:rFonts w:hint="eastAsia" w:ascii="楷体_GB2312" w:eastAsia="楷体_GB2312"/>
          <w:b/>
          <w:bCs/>
          <w:color w:val="auto"/>
          <w:kern w:val="0"/>
          <w:sz w:val="24"/>
          <w:highlight w:val="none"/>
        </w:rPr>
        <w:t>以上报名资料请</w:t>
      </w:r>
      <w:r>
        <w:rPr>
          <w:rFonts w:hint="eastAsia" w:ascii="楷体_GB2312" w:eastAsia="楷体_GB2312"/>
          <w:b/>
          <w:bCs/>
          <w:color w:val="auto"/>
          <w:kern w:val="0"/>
          <w:sz w:val="24"/>
          <w:highlight w:val="none"/>
          <w:lang w:eastAsia="zh-CN"/>
        </w:rPr>
        <w:t>按顺序</w:t>
      </w:r>
      <w:r>
        <w:rPr>
          <w:rFonts w:hint="eastAsia" w:ascii="楷体_GB2312" w:eastAsia="楷体_GB2312"/>
          <w:b/>
          <w:bCs/>
          <w:color w:val="auto"/>
          <w:kern w:val="0"/>
          <w:sz w:val="24"/>
          <w:highlight w:val="none"/>
        </w:rPr>
        <w:t>装订成册。</w:t>
      </w:r>
    </w:p>
    <w:p>
      <w:pPr>
        <w:rPr>
          <w:color w:val="auto"/>
          <w:highlight w:val="none"/>
        </w:rPr>
      </w:pPr>
    </w:p>
    <w:p>
      <w:pPr>
        <w:rPr>
          <w:color w:val="auto"/>
          <w:sz w:val="30"/>
          <w:szCs w:val="30"/>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0"/>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符合招标公告资格要求的供应商</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各供应商请自行踏勘</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投标文件包装要求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投标文件中的报价文件必须与其他文件分开各自密封包装。</w:t>
            </w:r>
          </w:p>
          <w:p>
            <w:pPr>
              <w:spacing w:line="360" w:lineRule="auto"/>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资格证明文件、商务与技术文件正本1份、副本4份，报价文件正本1份、副本4份。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截止时间：北京时间20</w:t>
            </w:r>
            <w:r>
              <w:rPr>
                <w:rFonts w:hint="eastAsia" w:ascii="宋体" w:hAnsi="宋体" w:cs="Arial" w:eastAsiaTheme="majorEastAsia"/>
                <w:color w:val="auto"/>
                <w:sz w:val="24"/>
                <w:highlight w:val="none"/>
                <w:lang w:val="en-US" w:eastAsia="zh-CN"/>
              </w:rPr>
              <w:t>19</w:t>
            </w:r>
            <w:r>
              <w:rPr>
                <w:rFonts w:hint="eastAsia" w:ascii="宋体" w:hAnsi="宋体" w:cs="宋体"/>
                <w:color w:val="auto"/>
                <w:sz w:val="24"/>
                <w:highlight w:val="none"/>
              </w:rPr>
              <w:t>年</w:t>
            </w:r>
            <w:r>
              <w:rPr>
                <w:rFonts w:hint="eastAsia" w:ascii="宋体" w:hAnsi="宋体" w:cs="Arial"/>
                <w:color w:val="auto"/>
                <w:sz w:val="24"/>
                <w:highlight w:val="none"/>
                <w:lang w:val="en-US" w:eastAsia="zh-CN"/>
              </w:rPr>
              <w:t>11</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07</w:t>
            </w:r>
            <w:r>
              <w:rPr>
                <w:rFonts w:hint="eastAsia" w:ascii="宋体" w:hAnsi="宋体" w:cs="Arial"/>
                <w:color w:val="auto"/>
                <w:sz w:val="24"/>
                <w:highlight w:val="none"/>
              </w:rPr>
              <w:t>日</w:t>
            </w:r>
            <w:r>
              <w:rPr>
                <w:rFonts w:hint="eastAsia" w:ascii="宋体" w:hAnsi="宋体" w:cs="Arial"/>
                <w:color w:val="auto"/>
                <w:sz w:val="24"/>
                <w:highlight w:val="none"/>
                <w:lang w:val="en-US" w:eastAsia="zh-CN"/>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递交地点：玉环市公共资源交易中心二楼开标室（</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时间：北京时间20</w:t>
            </w:r>
            <w:r>
              <w:rPr>
                <w:rFonts w:hint="eastAsia" w:ascii="宋体" w:hAnsi="宋体" w:cs="Arial" w:eastAsiaTheme="majorEastAsia"/>
                <w:color w:val="auto"/>
                <w:sz w:val="24"/>
                <w:highlight w:val="none"/>
                <w:lang w:val="en-US" w:eastAsia="zh-CN"/>
              </w:rPr>
              <w:t>19</w:t>
            </w:r>
            <w:r>
              <w:rPr>
                <w:rFonts w:hint="eastAsia" w:ascii="宋体" w:hAnsi="宋体" w:cs="宋体"/>
                <w:color w:val="auto"/>
                <w:sz w:val="24"/>
                <w:highlight w:val="none"/>
              </w:rPr>
              <w:t>年</w:t>
            </w:r>
            <w:r>
              <w:rPr>
                <w:rFonts w:hint="eastAsia" w:ascii="宋体" w:hAnsi="宋体" w:cs="Arial"/>
                <w:color w:val="auto"/>
                <w:sz w:val="24"/>
                <w:highlight w:val="none"/>
                <w:lang w:val="en-US" w:eastAsia="zh-CN"/>
              </w:rPr>
              <w:t>11</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07</w:t>
            </w:r>
            <w:r>
              <w:rPr>
                <w:rFonts w:hint="eastAsia" w:ascii="宋体" w:hAnsi="宋体" w:cs="Arial"/>
                <w:color w:val="auto"/>
                <w:sz w:val="24"/>
                <w:highlight w:val="none"/>
              </w:rPr>
              <w:t>日</w:t>
            </w:r>
            <w:r>
              <w:rPr>
                <w:rFonts w:hint="eastAsia" w:ascii="宋体" w:hAnsi="宋体" w:cs="Arial"/>
                <w:color w:val="auto"/>
                <w:sz w:val="24"/>
                <w:highlight w:val="none"/>
                <w:lang w:val="en-US" w:eastAsia="zh-CN"/>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地点：玉环市公共资源交易中心二楼开标室（</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38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hint="eastAsia" w:eastAsia="宋体" w:asciiTheme="majorEastAsia" w:hAnsiTheme="majorEastAsia" w:cstheme="majorEastAsia"/>
                <w:color w:val="auto"/>
                <w:sz w:val="24"/>
                <w:szCs w:val="24"/>
                <w:highlight w:val="none"/>
                <w:lang w:eastAsia="zh-CN"/>
              </w:rPr>
            </w:pPr>
            <w:r>
              <w:rPr>
                <w:rFonts w:hint="eastAsia" w:ascii="宋体" w:hAnsi="宋体" w:eastAsia="宋体" w:cs="宋体"/>
                <w:color w:val="auto"/>
                <w:sz w:val="24"/>
                <w:szCs w:val="24"/>
                <w:highlight w:val="none"/>
              </w:rPr>
              <w:t>供应商在签订合同前须交纳本项目履约保证金为合同金额的</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（履约保证金应采用银行保函保证方式）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w:t>
            </w:r>
            <w:r>
              <w:rPr>
                <w:rFonts w:hint="eastAsia" w:asciiTheme="majorEastAsia" w:hAnsiTheme="majorEastAsia" w:eastAsiaTheme="majorEastAsia" w:cstheme="majorEastAsia"/>
                <w:color w:val="auto"/>
                <w:kern w:val="0"/>
                <w:sz w:val="24"/>
                <w:highlight w:val="none"/>
                <w:lang w:val="zh-CN"/>
              </w:rPr>
              <w:t>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Theme="majorEastAsia" w:hAnsiTheme="majorEastAsia" w:eastAsiaTheme="min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r>
              <w:rPr>
                <w:rFonts w:hint="eastAsia" w:cs="Arial" w:asciiTheme="minorEastAsia" w:hAnsiTheme="minorEastAsia" w:eastAsiaTheme="minorEastAsia"/>
                <w:color w:val="auto"/>
                <w:sz w:val="24"/>
                <w:highlight w:val="none"/>
                <w:lang w:eastAsia="zh-CN"/>
              </w:rPr>
              <w:t>。</w:t>
            </w:r>
          </w:p>
        </w:tc>
      </w:tr>
    </w:tbl>
    <w:p>
      <w:pPr>
        <w:pStyle w:val="11"/>
        <w:snapToGrid w:val="0"/>
        <w:spacing w:before="120" w:after="120" w:line="360" w:lineRule="auto"/>
        <w:rPr>
          <w:rFonts w:asciiTheme="minorEastAsia" w:hAnsiTheme="minorEastAsia" w:eastAsiaTheme="minorEastAsia"/>
          <w:b/>
          <w:color w:val="auto"/>
          <w:sz w:val="24"/>
          <w:highlight w:val="none"/>
        </w:rPr>
      </w:pPr>
    </w:p>
    <w:p>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34"/>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投标人接到招标文件后，按照采购组织机构的要求提供：资格证明文件、商务与技术文件和报价文件。</w:t>
      </w:r>
      <w:r>
        <w:rPr>
          <w:rFonts w:hint="eastAsia" w:asciiTheme="minorEastAsia" w:hAnsiTheme="minorEastAsia" w:eastAsiaTheme="minorEastAsia"/>
          <w:color w:val="auto"/>
          <w:kern w:val="0"/>
          <w:sz w:val="24"/>
          <w:highlight w:val="none"/>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w:t>
      </w:r>
      <w:r>
        <w:rPr>
          <w:rFonts w:hint="eastAsia" w:ascii="宋体" w:hAnsi="宋体" w:cs="宋体"/>
          <w:color w:val="auto"/>
          <w:sz w:val="24"/>
          <w:highlight w:val="none"/>
          <w:lang w:eastAsia="zh-CN"/>
        </w:rPr>
        <w:t>相关</w:t>
      </w:r>
      <w:r>
        <w:rPr>
          <w:rFonts w:hint="eastAsia" w:ascii="宋体" w:hAnsi="宋体" w:cs="宋体"/>
          <w:color w:val="auto"/>
          <w:sz w:val="24"/>
          <w:highlight w:val="none"/>
        </w:rPr>
        <w:t>证书复印件（投标供应商特定条件中有要求的必须提供），以及</w:t>
      </w:r>
      <w:r>
        <w:rPr>
          <w:rFonts w:hint="eastAsia" w:ascii="宋体" w:hAnsi="宋体" w:cs="宋体"/>
          <w:color w:val="auto"/>
          <w:sz w:val="24"/>
          <w:highlight w:val="none"/>
          <w:lang w:eastAsia="zh-CN"/>
        </w:rPr>
        <w:t>评标时</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7"/>
        <w:widowControl/>
        <w:adjustRightInd w:val="0"/>
        <w:snapToGrid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按照</w:t>
      </w:r>
      <w:r>
        <w:rPr>
          <w:rFonts w:hint="eastAsia" w:ascii="宋体"/>
          <w:color w:val="auto"/>
          <w:sz w:val="24"/>
          <w:highlight w:val="none"/>
          <w:lang w:val="zh-CN"/>
        </w:rPr>
        <w:t>商务与技术评分细则要求制作。</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pPr>
        <w:numPr>
          <w:ilvl w:val="0"/>
          <w:numId w:val="6"/>
        </w:numPr>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color w:val="auto"/>
          <w:sz w:val="24"/>
          <w:highlight w:val="none"/>
        </w:rPr>
        <w:t>投标人</w:t>
      </w:r>
      <w:r>
        <w:rPr>
          <w:rFonts w:hint="eastAsia" w:asciiTheme="minorEastAsia" w:hAnsiTheme="minorEastAsia"/>
          <w:color w:val="auto"/>
          <w:sz w:val="24"/>
          <w:highlight w:val="none"/>
        </w:rPr>
        <w:t>应</w:t>
      </w:r>
      <w:r>
        <w:rPr>
          <w:rFonts w:hint="eastAsia" w:asciiTheme="minorEastAsia" w:hAnsiTheme="minorEastAsia" w:eastAsiaTheme="minorEastAsia"/>
          <w:color w:val="auto"/>
          <w:sz w:val="24"/>
          <w:highlight w:val="none"/>
        </w:rPr>
        <w:t>按照</w:t>
      </w:r>
      <w:r>
        <w:rPr>
          <w:rFonts w:hint="eastAsia" w:asciiTheme="minorEastAsia" w:hAnsiTheme="minorEastAsia"/>
          <w:color w:val="auto"/>
          <w:sz w:val="24"/>
          <w:highlight w:val="none"/>
        </w:rPr>
        <w:t>投标文件组成内容</w:t>
      </w:r>
      <w:r>
        <w:rPr>
          <w:rFonts w:hint="eastAsia" w:asciiTheme="minorEastAsia" w:hAnsiTheme="minorEastAsia" w:eastAsiaTheme="minorEastAsia"/>
          <w:color w:val="auto"/>
          <w:sz w:val="24"/>
          <w:highlight w:val="none"/>
        </w:rPr>
        <w:t>及项目招标需求制作投标文件，</w:t>
      </w:r>
      <w:r>
        <w:rPr>
          <w:rFonts w:hint="eastAsia" w:asciiTheme="minorEastAsia" w:hAnsiTheme="minorEastAsia" w:eastAsiaTheme="minorEastAsia"/>
          <w:color w:val="auto"/>
          <w:kern w:val="0"/>
          <w:sz w:val="24"/>
          <w:highlight w:val="none"/>
        </w:rPr>
        <w:t>不按招标文件要求制作投标文件的将视情</w:t>
      </w:r>
      <w:r>
        <w:rPr>
          <w:rFonts w:hint="eastAsia" w:asciiTheme="minorEastAsia" w:hAnsiTheme="minorEastAsia"/>
          <w:color w:val="auto"/>
          <w:kern w:val="0"/>
          <w:sz w:val="24"/>
          <w:highlight w:val="none"/>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宋体" w:hAnsi="宋体"/>
          <w:color w:val="auto"/>
          <w:sz w:val="24"/>
          <w:highlight w:val="none"/>
        </w:rPr>
        <w:t>（2）投标人应对所提供的全部资料的真实性承担法律责任，</w:t>
      </w:r>
      <w:r>
        <w:rPr>
          <w:rFonts w:hint="eastAsia" w:asciiTheme="minorEastAsia" w:hAnsiTheme="minorEastAsia"/>
          <w:color w:val="auto"/>
          <w:kern w:val="0"/>
          <w:sz w:val="24"/>
          <w:highlight w:val="none"/>
          <w:lang w:val="zh-CN"/>
        </w:rPr>
        <w:t>投标文件</w:t>
      </w:r>
      <w:r>
        <w:rPr>
          <w:rFonts w:hint="eastAsia" w:asciiTheme="minorEastAsia" w:hAnsiTheme="minorEastAsia" w:eastAsiaTheme="minorEastAsia"/>
          <w:color w:val="auto"/>
          <w:kern w:val="0"/>
          <w:sz w:val="24"/>
          <w:highlight w:val="none"/>
          <w:lang w:val="zh-CN"/>
        </w:rPr>
        <w:t>内</w:t>
      </w:r>
      <w:r>
        <w:rPr>
          <w:rFonts w:hint="eastAsia" w:asciiTheme="minorEastAsia" w:hAnsiTheme="minorEastAsia"/>
          <w:color w:val="auto"/>
          <w:kern w:val="0"/>
          <w:sz w:val="24"/>
          <w:highlight w:val="none"/>
          <w:lang w:val="zh-CN"/>
        </w:rPr>
        <w:t>容中</w:t>
      </w:r>
      <w:r>
        <w:rPr>
          <w:rFonts w:hint="eastAsia" w:asciiTheme="minorEastAsia" w:hAnsiTheme="minorEastAsia" w:eastAsiaTheme="minorEastAsia"/>
          <w:color w:val="auto"/>
          <w:kern w:val="0"/>
          <w:sz w:val="24"/>
          <w:highlight w:val="none"/>
          <w:lang w:val="zh-CN"/>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lang w:val="zh-CN"/>
        </w:rPr>
        <w:t>（</w:t>
      </w:r>
      <w:r>
        <w:rPr>
          <w:rFonts w:hint="eastAsia" w:asciiTheme="minorEastAsia" w:hAnsiTheme="minorEastAsia"/>
          <w:color w:val="auto"/>
          <w:kern w:val="0"/>
          <w:sz w:val="24"/>
          <w:highlight w:val="none"/>
        </w:rPr>
        <w:t>3</w:t>
      </w:r>
      <w:r>
        <w:rPr>
          <w:rFonts w:hint="eastAsia" w:asciiTheme="minorEastAsia" w:hAnsiTheme="minorEastAsia"/>
          <w:color w:val="auto"/>
          <w:kern w:val="0"/>
          <w:sz w:val="24"/>
          <w:highlight w:val="none"/>
          <w:lang w:val="zh-CN"/>
        </w:rPr>
        <w:t>）</w:t>
      </w:r>
      <w:r>
        <w:rPr>
          <w:rFonts w:asciiTheme="minorEastAsia" w:hAnsiTheme="minorEastAsia" w:eastAsiaTheme="minorEastAsia"/>
          <w:color w:val="auto"/>
          <w:sz w:val="24"/>
          <w:highlight w:val="none"/>
        </w:rPr>
        <w:t>投标文件以及投标人与</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就有关投标事宜的所有来往函电，均应以中文汉语书写。除</w:t>
      </w:r>
      <w:r>
        <w:rPr>
          <w:rFonts w:hint="eastAsia" w:asciiTheme="minorEastAsia" w:hAnsiTheme="minorEastAsia" w:eastAsiaTheme="minorEastAsia"/>
          <w:color w:val="auto"/>
          <w:sz w:val="24"/>
          <w:highlight w:val="none"/>
        </w:rPr>
        <w:t>签字</w:t>
      </w:r>
      <w:r>
        <w:rPr>
          <w:rFonts w:asciiTheme="minorEastAsia" w:hAnsiTheme="minorEastAsia" w:eastAsiaTheme="minorEastAsia"/>
          <w:color w:val="auto"/>
          <w:sz w:val="24"/>
          <w:highlight w:val="none"/>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（4）</w:t>
      </w:r>
      <w:r>
        <w:rPr>
          <w:rFonts w:asciiTheme="minorEastAsia" w:hAnsiTheme="minorEastAsia" w:eastAsiaTheme="minorEastAsia"/>
          <w:color w:val="auto"/>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（5）</w:t>
      </w:r>
      <w:r>
        <w:rPr>
          <w:rFonts w:asciiTheme="minorEastAsia" w:hAnsiTheme="minorEastAsia" w:eastAsiaTheme="minorEastAsia"/>
          <w:color w:val="auto"/>
          <w:sz w:val="24"/>
          <w:highlight w:val="none"/>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rPr>
        <w:t>（6）</w:t>
      </w:r>
      <w:r>
        <w:rPr>
          <w:rFonts w:hint="eastAsia" w:asciiTheme="minorEastAsia" w:hAnsiTheme="minorEastAsia" w:eastAsiaTheme="minorEastAsia"/>
          <w:color w:val="auto"/>
          <w:sz w:val="24"/>
          <w:highlight w:val="none"/>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2、投标文件的封装要求</w:t>
      </w:r>
    </w:p>
    <w:p>
      <w:pPr>
        <w:autoSpaceDE w:val="0"/>
        <w:autoSpaceDN w:val="0"/>
        <w:adjustRightInd w:val="0"/>
        <w:spacing w:line="360" w:lineRule="auto"/>
        <w:ind w:firstLine="475" w:firstLineChars="198"/>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（1）投标文件份数：</w:t>
      </w:r>
      <w:r>
        <w:rPr>
          <w:rFonts w:hint="eastAsia" w:ascii="宋体" w:hAnsi="宋体"/>
          <w:bCs/>
          <w:color w:val="auto"/>
          <w:sz w:val="24"/>
          <w:highlight w:val="none"/>
          <w:lang w:val="zh-CN"/>
        </w:rPr>
        <w:t>资格证明文件、商务与技术文件、报价文件必须分别编制并分开单独装订成册：</w:t>
      </w:r>
      <w:r>
        <w:rPr>
          <w:rFonts w:hint="eastAsia" w:ascii="宋体"/>
          <w:bCs/>
          <w:color w:val="auto"/>
          <w:sz w:val="24"/>
          <w:highlight w:val="none"/>
          <w:lang w:val="zh-CN"/>
        </w:rPr>
        <w:t>资格证明文件共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，商务与技术文件共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，报价文件共</w:t>
      </w:r>
      <w:r>
        <w:rPr>
          <w:rFonts w:hint="eastAsia" w:ascii="宋体" w:hAnsi="宋体"/>
          <w:bCs/>
          <w:color w:val="auto"/>
          <w:sz w:val="24"/>
          <w:highlight w:val="none"/>
          <w:u w:val="single"/>
        </w:rPr>
        <w:t xml:space="preserve"> 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。投标文件的正本封面必须注明“正本”字样，副本可以采用正本的复印件。</w:t>
      </w:r>
      <w:r>
        <w:rPr>
          <w:rFonts w:hint="eastAsia" w:asciiTheme="minorEastAsia" w:hAnsiTheme="minorEastAsia" w:eastAsiaTheme="minorEastAsia"/>
          <w:color w:val="auto"/>
          <w:sz w:val="24"/>
          <w:highlight w:val="none"/>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（2）所有投标资料按投标文件的组成所列内容及顺序装订成册，</w:t>
      </w:r>
      <w:r>
        <w:rPr>
          <w:rFonts w:hint="eastAsia" w:asciiTheme="minorEastAsia" w:hAnsiTheme="minorEastAsia" w:eastAsiaTheme="minorEastAsia"/>
          <w:color w:val="auto"/>
          <w:sz w:val="24"/>
          <w:highlight w:val="none"/>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（3）请在密封袋的封口处应有投标单位公章或投标全权代表签字。封皮上写明项目编号、标段、招标项目名称、投标人名称，并注明“投标文件名称（资格证明文件、</w:t>
      </w:r>
      <w:r>
        <w:rPr>
          <w:rFonts w:hint="eastAsia" w:ascii="宋体" w:hAnsi="宋体"/>
          <w:bCs/>
          <w:color w:val="auto"/>
          <w:sz w:val="24"/>
          <w:highlight w:val="none"/>
          <w:lang w:val="zh-CN"/>
        </w:rPr>
        <w:t>商务与技术文件</w:t>
      </w:r>
      <w:r>
        <w:rPr>
          <w:rFonts w:hint="eastAsia" w:asciiTheme="minorEastAsia" w:hAnsiTheme="minorEastAsia" w:eastAsiaTheme="minorEastAsia"/>
          <w:color w:val="auto"/>
          <w:kern w:val="0"/>
          <w:sz w:val="24"/>
          <w:highlight w:val="none"/>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3、</w:t>
      </w:r>
      <w:r>
        <w:rPr>
          <w:rFonts w:hint="eastAsia" w:asciiTheme="minorEastAsia" w:hAnsiTheme="minorEastAsia"/>
          <w:color w:val="auto"/>
          <w:sz w:val="24"/>
          <w:highlight w:val="none"/>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截止时间</w:t>
      </w:r>
      <w:r>
        <w:rPr>
          <w:rFonts w:hint="eastAsia" w:ascii="宋体"/>
          <w:color w:val="auto"/>
          <w:kern w:val="0"/>
          <w:sz w:val="24"/>
          <w:highlight w:val="none"/>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中标人的投标文件自开标之日起至合同履行完毕均应保持有效。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采购组织机构在“招标公告”规定的时间和地点公开开标，投标人的法定代表人或其授权代表应参加开标会并签到。</w:t>
      </w:r>
      <w:r>
        <w:rPr>
          <w:rFonts w:asciiTheme="minorEastAsia" w:hAnsiTheme="minorEastAsia" w:eastAsiaTheme="minorEastAsia"/>
          <w:bCs/>
          <w:color w:val="auto"/>
          <w:sz w:val="24"/>
          <w:highlight w:val="none"/>
        </w:rPr>
        <w:t>投标人的法定代表人或其授权代表未按时签到的，视同放弃开标监督权利、认可开标结果。</w:t>
      </w:r>
      <w:r>
        <w:rPr>
          <w:rFonts w:hint="eastAsia" w:asciiTheme="minorEastAsia" w:hAnsiTheme="minorEastAsia" w:eastAsiaTheme="minorEastAsia"/>
          <w:bCs/>
          <w:color w:val="auto"/>
          <w:sz w:val="24"/>
          <w:highlight w:val="none"/>
        </w:rPr>
        <w:t>采购组织机构</w:t>
      </w:r>
      <w:r>
        <w:rPr>
          <w:rFonts w:asciiTheme="minorEastAsia" w:hAnsiTheme="minorEastAsia" w:eastAsiaTheme="minorEastAsia"/>
          <w:bCs/>
          <w:color w:val="auto"/>
          <w:sz w:val="24"/>
          <w:highlight w:val="none"/>
        </w:rPr>
        <w:t>工作人员接收投标文件并登记，并由供应商代表对递交记录情况进行</w:t>
      </w:r>
      <w:r>
        <w:rPr>
          <w:rFonts w:hint="eastAsia" w:asciiTheme="minorEastAsia" w:hAnsiTheme="minorEastAsia" w:eastAsiaTheme="minorEastAsia"/>
          <w:bCs/>
          <w:color w:val="auto"/>
          <w:sz w:val="24"/>
          <w:highlight w:val="none"/>
        </w:rPr>
        <w:t>签字</w:t>
      </w:r>
      <w:r>
        <w:rPr>
          <w:rFonts w:asciiTheme="minorEastAsia" w:hAnsiTheme="minorEastAsia" w:eastAsiaTheme="minorEastAsia"/>
          <w:bCs/>
          <w:color w:val="auto"/>
          <w:sz w:val="24"/>
          <w:highlight w:val="none"/>
        </w:rPr>
        <w:t>确认。</w:t>
      </w:r>
      <w:r>
        <w:rPr>
          <w:rFonts w:hint="eastAsia" w:asciiTheme="minorEastAsia" w:hAnsiTheme="minorEastAsia" w:eastAsiaTheme="minorEastAsia"/>
          <w:bCs/>
          <w:color w:val="auto"/>
          <w:sz w:val="24"/>
          <w:highlight w:val="none"/>
        </w:rPr>
        <w:t>评标委员会成员不得参加开标活动。</w:t>
      </w:r>
      <w:r>
        <w:rPr>
          <w:rFonts w:hint="eastAsia" w:asciiTheme="minorEastAsia" w:hAnsiTheme="minorEastAsia" w:eastAsiaTheme="minorEastAsia"/>
          <w:color w:val="auto"/>
          <w:kern w:val="0"/>
          <w:sz w:val="24"/>
          <w:highlight w:val="none"/>
        </w:rPr>
        <w:t>（本次招标</w:t>
      </w:r>
      <w:r>
        <w:rPr>
          <w:rFonts w:cs="Arial" w:asciiTheme="minorEastAsia" w:hAnsiTheme="minorEastAsia" w:eastAsiaTheme="minorEastAsia"/>
          <w:color w:val="auto"/>
          <w:sz w:val="24"/>
          <w:highlight w:val="none"/>
        </w:rPr>
        <w:t>采用先评审商务资格</w:t>
      </w:r>
      <w:r>
        <w:rPr>
          <w:rFonts w:hint="eastAsia" w:cs="Arial" w:asciiTheme="minorEastAsia" w:hAnsiTheme="minorEastAsia" w:eastAsiaTheme="minorEastAsia"/>
          <w:color w:val="auto"/>
          <w:sz w:val="24"/>
          <w:highlight w:val="none"/>
        </w:rPr>
        <w:t>和</w:t>
      </w:r>
      <w:r>
        <w:rPr>
          <w:rFonts w:cs="Arial" w:asciiTheme="minorEastAsia" w:hAnsiTheme="minorEastAsia" w:eastAsiaTheme="minorEastAsia"/>
          <w:color w:val="auto"/>
          <w:sz w:val="24"/>
          <w:highlight w:val="none"/>
        </w:rPr>
        <w:t>技术服务方案</w:t>
      </w: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后公开并评审商务报价的办法</w:t>
      </w:r>
      <w:r>
        <w:rPr>
          <w:rFonts w:hint="eastAsia" w:asciiTheme="minorEastAsia" w:hAnsiTheme="minorEastAsia" w:eastAsiaTheme="minorEastAsia"/>
          <w:color w:val="auto"/>
          <w:kern w:val="0"/>
          <w:sz w:val="24"/>
          <w:highlight w:val="none"/>
        </w:rPr>
        <w:t>实施）。</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（二） 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1、开标会由招标项目负责人主持，主持人宣布开标会议开始；</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2、主持人介绍参加开标会的人员名单； </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3、主持人宣布评标期间的有关事项，告知应当回避的情形,提请有关人员回避；</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4、投标人或其当场推荐的代表，检查投标文件密封的完整性；</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5、按投标文件递交的先后顺序当场拆封</w:t>
      </w:r>
      <w:r>
        <w:rPr>
          <w:rFonts w:hint="eastAsia" w:asciiTheme="minorEastAsia" w:hAnsiTheme="minorEastAsia" w:eastAsiaTheme="minorEastAsia"/>
          <w:color w:val="auto"/>
          <w:kern w:val="0"/>
          <w:sz w:val="24"/>
          <w:highlight w:val="none"/>
        </w:rPr>
        <w:t>资格证明文件、</w:t>
      </w:r>
      <w:r>
        <w:rPr>
          <w:rFonts w:hint="eastAsia" w:hAnsi="宋体"/>
          <w:bCs/>
          <w:color w:val="auto"/>
          <w:sz w:val="24"/>
          <w:highlight w:val="none"/>
          <w:lang w:val="zh-CN"/>
        </w:rPr>
        <w:t>商务与技术文件</w:t>
      </w:r>
      <w:r>
        <w:rPr>
          <w:rFonts w:hint="eastAsia" w:asciiTheme="minorEastAsia" w:hAnsiTheme="minorEastAsia" w:eastAsiaTheme="minorEastAsia"/>
          <w:color w:val="auto"/>
          <w:sz w:val="24"/>
          <w:highlight w:val="none"/>
        </w:rPr>
        <w:t>后，进入资格审查及符合性审查环节；</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6、完成</w:t>
      </w:r>
      <w:r>
        <w:rPr>
          <w:rFonts w:ascii="Arial" w:hAnsi="Arial" w:cs="Arial"/>
          <w:color w:val="auto"/>
          <w:sz w:val="24"/>
          <w:highlight w:val="none"/>
        </w:rPr>
        <w:t>综合比较与评价</w:t>
      </w:r>
      <w:r>
        <w:rPr>
          <w:rFonts w:hint="eastAsia" w:ascii="Arial" w:hAnsi="Arial" w:cs="Arial"/>
          <w:color w:val="auto"/>
          <w:sz w:val="24"/>
          <w:highlight w:val="none"/>
        </w:rPr>
        <w:t>后，</w:t>
      </w:r>
      <w:r>
        <w:rPr>
          <w:rFonts w:hint="eastAsia" w:asciiTheme="minorEastAsia" w:hAnsiTheme="minorEastAsia" w:eastAsiaTheme="minorEastAsia"/>
          <w:color w:val="auto"/>
          <w:sz w:val="24"/>
          <w:highlight w:val="none"/>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8、在完成评标后，宣布评标结果，开标会议结束。</w:t>
      </w:r>
    </w:p>
    <w:p>
      <w:pPr>
        <w:pStyle w:val="11"/>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asciiTheme="minorEastAsia" w:hAnsiTheme="minorEastAsia" w:eastAsiaTheme="minorEastAsia"/>
          <w:color w:val="auto"/>
          <w:sz w:val="24"/>
          <w:highlight w:val="none"/>
        </w:rPr>
        <w:t>组成。</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1"/>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16"/>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pStyle w:val="11"/>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pStyle w:val="11"/>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hint="eastAsia" w:asciiTheme="minorEastAsia" w:hAnsiTheme="minorEastAsia" w:eastAsiaTheme="minorEastAsia"/>
          <w:b/>
          <w:color w:val="auto"/>
          <w:highlight w:val="none"/>
          <w:lang w:eastAsia="zh-CN"/>
        </w:rPr>
        <w:t>六</w:t>
      </w:r>
      <w:r>
        <w:rPr>
          <w:rFonts w:asciiTheme="minorEastAsia" w:hAnsiTheme="minorEastAsia" w:eastAsiaTheme="minorEastAsia"/>
          <w:b/>
          <w:color w:val="auto"/>
          <w:highlight w:val="none"/>
        </w:rPr>
        <w:t>、定标</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lang w:eastAsia="zh-CN"/>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6"/>
        <w:spacing w:before="0" w:beforeAutospacing="0" w:after="0" w:afterAutospacing="0" w:line="360" w:lineRule="auto"/>
        <w:ind w:firstLine="424" w:firstLineChars="177"/>
        <w:jc w:val="both"/>
        <w:rPr>
          <w:rFonts w:hint="default"/>
          <w:color w:val="auto"/>
          <w:highlight w:val="none"/>
        </w:rPr>
      </w:pPr>
      <w:r>
        <w:rPr>
          <w:color w:val="auto"/>
          <w:highlight w:val="none"/>
        </w:rPr>
        <w:t>1、采购人应当自中标通知书发出之日起</w:t>
      </w:r>
      <w:r>
        <w:rPr>
          <w:rFonts w:hint="eastAsia"/>
          <w:color w:val="auto"/>
          <w:highlight w:val="none"/>
          <w:lang w:val="en-US" w:eastAsia="zh-CN"/>
        </w:rPr>
        <w:t>30</w:t>
      </w:r>
      <w:r>
        <w:rPr>
          <w:color w:val="auto"/>
          <w:highlight w:val="none"/>
        </w:rPr>
        <w:t>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pPr>
        <w:pStyle w:val="16"/>
        <w:spacing w:before="0" w:beforeAutospacing="0" w:after="0" w:afterAutospacing="0" w:line="360" w:lineRule="auto"/>
        <w:ind w:firstLine="480" w:firstLineChars="200"/>
        <w:jc w:val="both"/>
        <w:rPr>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hint="default"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（二）合同公告及备案</w:t>
      </w:r>
    </w:p>
    <w:p>
      <w:pPr>
        <w:pStyle w:val="3"/>
        <w:spacing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3"/>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pStyle w:val="11"/>
        <w:snapToGrid w:val="0"/>
        <w:spacing w:line="360" w:lineRule="auto"/>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八、采购代理费</w:t>
      </w:r>
    </w:p>
    <w:p>
      <w:pPr>
        <w:autoSpaceDE w:val="0"/>
        <w:autoSpaceDN w:val="0"/>
        <w:adjustRightInd w:val="0"/>
        <w:spacing w:line="45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采购代理费</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9000元整</w:t>
      </w:r>
      <w:r>
        <w:rPr>
          <w:rFonts w:hint="eastAsia" w:ascii="宋体" w:hAnsi="宋体"/>
          <w:color w:val="auto"/>
          <w:sz w:val="24"/>
          <w:highlight w:val="none"/>
          <w:lang w:eastAsia="zh-CN"/>
        </w:rPr>
        <w:t>，</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s="Arial"/>
          <w:color w:val="auto"/>
          <w:sz w:val="24"/>
          <w:highlight w:val="none"/>
          <w:lang w:eastAsia="zh-CN"/>
        </w:rPr>
        <w:t>（</w:t>
      </w:r>
      <w:r>
        <w:rPr>
          <w:rFonts w:hint="eastAsia" w:ascii="宋体" w:hAnsi="宋体"/>
          <w:color w:val="auto"/>
          <w:sz w:val="24"/>
          <w:highlight w:val="none"/>
        </w:rPr>
        <w:t>招标代理服务费</w:t>
      </w:r>
      <w:r>
        <w:rPr>
          <w:rFonts w:hint="eastAsia" w:ascii="宋体" w:hAnsi="宋体" w:cs="Arial"/>
          <w:color w:val="auto"/>
          <w:sz w:val="24"/>
          <w:highlight w:val="none"/>
          <w:lang w:eastAsia="zh-CN"/>
        </w:rPr>
        <w:t>）</w:t>
      </w:r>
      <w:r>
        <w:rPr>
          <w:rFonts w:hint="eastAsia" w:ascii="宋体" w:hAnsi="宋体"/>
          <w:color w:val="auto"/>
          <w:sz w:val="24"/>
          <w:highlight w:val="none"/>
        </w:rPr>
        <w:t>汇入以下账户：</w:t>
      </w:r>
    </w:p>
    <w:p>
      <w:pPr>
        <w:adjustRightInd w:val="0"/>
        <w:snapToGrid w:val="0"/>
        <w:spacing w:line="4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开户银行：中国工商银行玉环市支行</w:t>
      </w:r>
    </w:p>
    <w:p>
      <w:pPr>
        <w:adjustRightInd w:val="0"/>
        <w:snapToGrid w:val="0"/>
        <w:spacing w:line="42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开户名称：台州恒信工程造价咨询有限公司</w:t>
      </w:r>
    </w:p>
    <w:p>
      <w:pPr>
        <w:adjustRightInd w:val="0"/>
        <w:snapToGrid w:val="0"/>
        <w:spacing w:line="420" w:lineRule="exact"/>
        <w:ind w:firstLine="480" w:firstLineChars="200"/>
        <w:rPr>
          <w:rFonts w:asciiTheme="minorEastAsia" w:hAnsiTheme="minorEastAsia" w:eastAsiaTheme="minorEastAsia"/>
          <w:b/>
          <w:color w:val="auto"/>
          <w:sz w:val="28"/>
          <w:szCs w:val="28"/>
          <w:highlight w:val="none"/>
        </w:rPr>
      </w:pPr>
      <w:r>
        <w:rPr>
          <w:rFonts w:hint="eastAsia" w:ascii="宋体" w:hAnsi="宋体"/>
          <w:color w:val="auto"/>
          <w:kern w:val="0"/>
          <w:sz w:val="24"/>
          <w:highlight w:val="none"/>
        </w:rPr>
        <w:t>开户帐号：1207 0811 0904 5089 355</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bookmarkStart w:id="8" w:name="_GoBack"/>
      <w:bookmarkEnd w:id="8"/>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pPr>
        <w:autoSpaceDE w:val="0"/>
        <w:autoSpaceDN w:val="0"/>
        <w:adjustRightInd w:val="0"/>
        <w:spacing w:line="360" w:lineRule="auto"/>
        <w:ind w:left="19" w:leftChars="9" w:firstLine="458" w:firstLineChars="191"/>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w:t>
      </w:r>
      <w:r>
        <w:rPr>
          <w:rFonts w:hint="eastAsia" w:ascii="宋体" w:hAnsi="宋体"/>
          <w:color w:val="auto"/>
          <w:kern w:val="0"/>
          <w:sz w:val="24"/>
          <w:highlight w:val="none"/>
        </w:rPr>
        <w:t>总计100分。报价评分</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0分，商务与技术评分</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0分</w:t>
      </w:r>
      <w:r>
        <w:rPr>
          <w:rFonts w:hint="eastAsia" w:asciiTheme="minorEastAsia" w:hAnsiTheme="minorEastAsia" w:eastAsiaTheme="minorEastAsia"/>
          <w:color w:val="auto"/>
          <w:kern w:val="0"/>
          <w:sz w:val="24"/>
          <w:highlight w:val="none"/>
        </w:rPr>
        <w:t>。合格投标人的评标得分为各项目汇总得分，</w:t>
      </w:r>
      <w:r>
        <w:rPr>
          <w:rFonts w:hint="eastAsia" w:asciiTheme="minorEastAsia" w:hAnsiTheme="minorEastAsia" w:eastAsiaTheme="minorEastAsia"/>
          <w:color w:val="auto"/>
          <w:kern w:val="0"/>
          <w:sz w:val="24"/>
          <w:highlight w:val="none"/>
          <w:u w:val="single"/>
          <w:lang w:val="zh-CN"/>
        </w:rPr>
        <w:t>总得分=商务与技术得分＋报价得分</w:t>
      </w:r>
      <w:r>
        <w:rPr>
          <w:rFonts w:hint="eastAsia" w:asciiTheme="minorEastAsia" w:hAnsiTheme="minorEastAsia" w:eastAsiaTheme="minorEastAsia"/>
          <w:color w:val="auto"/>
          <w:kern w:val="0"/>
          <w:sz w:val="24"/>
          <w:highlight w:val="none"/>
          <w:lang w:eastAsia="zh-CN"/>
        </w:rPr>
        <w:t>。中标候选资格按评标</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得分由高到低顺序排列，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得分相同的，按投标报价由低到高顺序排列；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得分且投标报价相同的，按</w:t>
      </w:r>
      <w:r>
        <w:rPr>
          <w:rFonts w:hint="eastAsia" w:asciiTheme="minorEastAsia" w:hAnsiTheme="minorEastAsia" w:eastAsiaTheme="minorEastAsia"/>
          <w:color w:val="auto"/>
          <w:kern w:val="0"/>
          <w:sz w:val="24"/>
          <w:highlight w:val="none"/>
          <w:lang w:val="zh-CN"/>
        </w:rPr>
        <w:t>商务与技术得分</w:t>
      </w:r>
      <w:r>
        <w:rPr>
          <w:rFonts w:hint="eastAsia" w:asciiTheme="minorEastAsia" w:hAnsiTheme="minorEastAsia" w:eastAsiaTheme="minorEastAsia"/>
          <w:color w:val="auto"/>
          <w:kern w:val="0"/>
          <w:sz w:val="24"/>
          <w:highlight w:val="none"/>
          <w:lang w:eastAsia="zh-CN"/>
        </w:rPr>
        <w:t>由高到低顺序排列</w:t>
      </w:r>
      <w:r>
        <w:rPr>
          <w:rFonts w:hint="eastAsia" w:asciiTheme="minorEastAsia" w:hAnsiTheme="minorEastAsia" w:eastAsiaTheme="minorEastAsia"/>
          <w:color w:val="auto"/>
          <w:kern w:val="0"/>
          <w:sz w:val="24"/>
          <w:highlight w:val="none"/>
        </w:rPr>
        <w:t>。排名第一的投标人为中标候选人。评分过程中采用四舍五入法，并保留小数2位。</w:t>
      </w:r>
    </w:p>
    <w:p>
      <w:pPr>
        <w:autoSpaceDE w:val="0"/>
        <w:autoSpaceDN w:val="0"/>
        <w:adjustRightInd w:val="0"/>
        <w:spacing w:line="360" w:lineRule="auto"/>
        <w:ind w:right="84" w:firstLine="472"/>
        <w:rPr>
          <w:rFonts w:ascii="宋体"/>
          <w:bCs/>
          <w:color w:val="auto"/>
          <w:sz w:val="24"/>
          <w:highlight w:val="none"/>
          <w:lang w:val="zh-CN"/>
        </w:rPr>
      </w:pPr>
      <w:r>
        <w:rPr>
          <w:rFonts w:hint="eastAsia" w:ascii="宋体"/>
          <w:bCs/>
          <w:color w:val="auto"/>
          <w:sz w:val="24"/>
          <w:highlight w:val="none"/>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bCs/>
          <w:color w:val="auto"/>
          <w:sz w:val="24"/>
          <w:highlight w:val="none"/>
          <w:lang w:val="zh-CN"/>
        </w:rPr>
        <w:t>（二）各投标人商务与技术文件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hAnsi="宋体"/>
          <w:color w:val="auto"/>
          <w:sz w:val="24"/>
          <w:highlight w:val="none"/>
        </w:rPr>
        <w:t>商务与技术文件得分</w:t>
      </w:r>
      <w:r>
        <w:rPr>
          <w:rFonts w:hint="eastAsia" w:ascii="宋体"/>
          <w:bCs/>
          <w:color w:val="auto"/>
          <w:sz w:val="24"/>
          <w:highlight w:val="none"/>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auto"/>
          <w:sz w:val="24"/>
          <w:highlight w:val="none"/>
          <w:u w:val="single"/>
        </w:rPr>
      </w:pPr>
      <w:r>
        <w:rPr>
          <w:rFonts w:hint="eastAsia"/>
          <w:color w:val="auto"/>
          <w:sz w:val="24"/>
          <w:highlight w:val="none"/>
          <w:u w:val="single"/>
        </w:rPr>
        <w:t>报价</w:t>
      </w:r>
      <w:r>
        <w:rPr>
          <w:rFonts w:hint="eastAsia"/>
          <w:color w:val="auto"/>
          <w:sz w:val="24"/>
          <w:highlight w:val="none"/>
          <w:u w:val="single"/>
          <w:lang w:eastAsia="zh-CN"/>
        </w:rPr>
        <w:t>得分</w:t>
      </w:r>
      <w:r>
        <w:rPr>
          <w:color w:val="auto"/>
          <w:sz w:val="24"/>
          <w:highlight w:val="none"/>
          <w:u w:val="single"/>
        </w:rPr>
        <w:t>=</w:t>
      </w:r>
      <w:r>
        <w:rPr>
          <w:rFonts w:hint="eastAsia"/>
          <w:color w:val="auto"/>
          <w:sz w:val="24"/>
          <w:highlight w:val="none"/>
          <w:u w:val="single"/>
          <w:lang w:eastAsia="zh-CN"/>
        </w:rPr>
        <w:t>（</w:t>
      </w:r>
      <w:r>
        <w:rPr>
          <w:color w:val="auto"/>
          <w:sz w:val="24"/>
          <w:highlight w:val="none"/>
          <w:u w:val="single"/>
        </w:rPr>
        <w:t>评标基准价／投</w:t>
      </w:r>
      <w:r>
        <w:rPr>
          <w:rFonts w:ascii="宋体" w:hAnsi="宋体"/>
          <w:color w:val="auto"/>
          <w:sz w:val="24"/>
          <w:highlight w:val="none"/>
          <w:u w:val="single"/>
        </w:rPr>
        <w:t>标报价</w:t>
      </w:r>
      <w:r>
        <w:rPr>
          <w:rFonts w:hint="eastAsia" w:ascii="宋体" w:hAnsi="宋体"/>
          <w:color w:val="auto"/>
          <w:sz w:val="24"/>
          <w:highlight w:val="none"/>
          <w:u w:val="single"/>
          <w:lang w:eastAsia="zh-CN"/>
        </w:rPr>
        <w:t>）</w:t>
      </w:r>
      <w:r>
        <w:rPr>
          <w:rFonts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×100</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color w:val="auto"/>
          <w:sz w:val="24"/>
          <w:highlight w:val="none"/>
          <w:lang w:val="zh-CN"/>
        </w:rPr>
        <w:t>注：得分以系统计算为准，保留2位小数。</w:t>
      </w:r>
    </w:p>
    <w:p>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（四）商务与技术评分细则（</w:t>
      </w:r>
      <w:r>
        <w:rPr>
          <w:rFonts w:hint="eastAsia" w:ascii="宋体"/>
          <w:color w:val="auto"/>
          <w:sz w:val="24"/>
          <w:highlight w:val="none"/>
          <w:lang w:val="en-US" w:eastAsia="zh-CN"/>
        </w:rPr>
        <w:t>7</w:t>
      </w:r>
      <w:r>
        <w:rPr>
          <w:rFonts w:hint="eastAsia" w:ascii="宋体"/>
          <w:color w:val="auto"/>
          <w:sz w:val="24"/>
          <w:highlight w:val="none"/>
          <w:lang w:val="zh-CN"/>
        </w:rPr>
        <w:t>0分）</w:t>
      </w:r>
    </w:p>
    <w:tbl>
      <w:tblPr>
        <w:tblStyle w:val="20"/>
        <w:tblpPr w:leftFromText="180" w:rightFromText="180" w:vertAnchor="text" w:horzAnchor="margin" w:tblpY="307"/>
        <w:tblW w:w="89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701"/>
        <w:gridCol w:w="5642"/>
        <w:gridCol w:w="1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72"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评议内容</w:t>
            </w:r>
          </w:p>
        </w:tc>
        <w:tc>
          <w:tcPr>
            <w:tcW w:w="5642"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评议标准</w:t>
            </w:r>
          </w:p>
        </w:tc>
        <w:tc>
          <w:tcPr>
            <w:tcW w:w="1026"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76"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企业资信（3分）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同时具备</w:t>
            </w:r>
            <w:r>
              <w:rPr>
                <w:rFonts w:hint="eastAsia" w:asciiTheme="minorEastAsia" w:hAnsiTheme="minorEastAsia" w:eastAsiaTheme="minorEastAsia" w:cstheme="minorEastAsia"/>
                <w:color w:val="auto"/>
                <w:kern w:val="0"/>
                <w:sz w:val="21"/>
                <w:szCs w:val="21"/>
                <w:highlight w:val="none"/>
              </w:rPr>
              <w:t>水利水电专业工程</w:t>
            </w:r>
            <w:r>
              <w:rPr>
                <w:rFonts w:hint="eastAsia" w:asciiTheme="minorEastAsia" w:hAnsiTheme="minorEastAsia" w:eastAsiaTheme="minorEastAsia" w:cstheme="minorEastAsia"/>
                <w:color w:val="auto"/>
                <w:kern w:val="0"/>
                <w:sz w:val="21"/>
                <w:szCs w:val="21"/>
                <w:highlight w:val="none"/>
                <w:lang w:val="en-US" w:eastAsia="zh-CN"/>
              </w:rPr>
              <w:t>咨询资质</w:t>
            </w:r>
            <w:r>
              <w:rPr>
                <w:rFonts w:hint="eastAsia" w:asciiTheme="minorEastAsia" w:hAnsiTheme="minorEastAsia" w:eastAsiaTheme="minorEastAsia" w:cstheme="minorEastAsia"/>
                <w:color w:val="auto"/>
                <w:kern w:val="0"/>
                <w:sz w:val="21"/>
                <w:szCs w:val="21"/>
                <w:highlight w:val="none"/>
                <w:lang w:eastAsia="zh-CN"/>
              </w:rPr>
              <w:t>和</w:t>
            </w:r>
            <w:r>
              <w:rPr>
                <w:rFonts w:hint="eastAsia" w:asciiTheme="minorEastAsia" w:hAnsiTheme="minorEastAsia" w:eastAsiaTheme="minorEastAsia" w:cstheme="minorEastAsia"/>
                <w:color w:val="auto"/>
                <w:kern w:val="0"/>
                <w:sz w:val="21"/>
                <w:szCs w:val="21"/>
                <w:highlight w:val="none"/>
                <w:lang w:val="en-US" w:eastAsia="zh-CN"/>
              </w:rPr>
              <w:t>农业农村专业工程咨询资质且</w:t>
            </w:r>
            <w:r>
              <w:rPr>
                <w:rFonts w:hint="eastAsia" w:asciiTheme="minorEastAsia" w:hAnsiTheme="minorEastAsia" w:eastAsiaTheme="minorEastAsia" w:cstheme="minorEastAsia"/>
                <w:color w:val="auto"/>
                <w:kern w:val="0"/>
                <w:sz w:val="21"/>
                <w:szCs w:val="21"/>
                <w:highlight w:val="none"/>
              </w:rPr>
              <w:t>评价等级为甲级的每项得1.5分，乙级的每项得0.5分，最高得3分。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说明：提供资信评价资质证书或电子证书打印件。</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996"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企业科研项目获奖情况</w:t>
            </w:r>
            <w:r>
              <w:rPr>
                <w:rFonts w:hint="eastAsia" w:asciiTheme="minorEastAsia" w:hAnsiTheme="minorEastAsia" w:eastAsiaTheme="minorEastAsia" w:cstheme="minorEastAsia"/>
                <w:color w:val="auto"/>
                <w:kern w:val="0"/>
                <w:sz w:val="21"/>
                <w:szCs w:val="21"/>
                <w:highlight w:val="none"/>
              </w:rPr>
              <w:t>（10分）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Theme="minorEastAsia" w:hAnsiTheme="minorEastAsia" w:eastAsiaTheme="minorEastAsia" w:cstheme="minorEastAsia"/>
                <w:color w:val="auto"/>
                <w:kern w:val="0"/>
                <w:sz w:val="21"/>
                <w:szCs w:val="21"/>
                <w:highlight w:val="none"/>
              </w:rPr>
              <w:t>2013年1月1日以来投标单位获得国家级水利类、农业类科技奖项或咨询奖项每项得2分，最高得6分；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Theme="minorEastAsia" w:hAnsiTheme="minorEastAsia" w:eastAsiaTheme="minorEastAsia" w:cstheme="minorEastAsia"/>
                <w:color w:val="auto"/>
                <w:kern w:val="0"/>
                <w:sz w:val="21"/>
                <w:szCs w:val="21"/>
                <w:highlight w:val="none"/>
              </w:rPr>
              <w:t>2013年1月1日以来投标单位获得省（部）级水利类、农业类科技奖或咨询奖项每项得1分，最高得4分。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说明：提供证书或奖牌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加盖公章，时间以证书上的</w:t>
            </w:r>
            <w:r>
              <w:rPr>
                <w:rFonts w:hint="eastAsia" w:asciiTheme="minorEastAsia" w:hAnsiTheme="minorEastAsia" w:eastAsiaTheme="minorEastAsia" w:cstheme="minorEastAsia"/>
                <w:color w:val="auto"/>
                <w:kern w:val="0"/>
                <w:sz w:val="21"/>
                <w:szCs w:val="21"/>
                <w:highlight w:val="none"/>
                <w:lang w:eastAsia="zh-CN"/>
              </w:rPr>
              <w:t>日期</w:t>
            </w:r>
            <w:r>
              <w:rPr>
                <w:rFonts w:hint="eastAsia" w:asciiTheme="minorEastAsia" w:hAnsiTheme="minorEastAsia" w:eastAsiaTheme="minorEastAsia" w:cstheme="minorEastAsia"/>
                <w:color w:val="auto"/>
                <w:kern w:val="0"/>
                <w:sz w:val="21"/>
                <w:szCs w:val="21"/>
                <w:highlight w:val="none"/>
              </w:rPr>
              <w:t>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业绩</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2013年1月1日以来投标单位承担过水利类、农业类国家级科研项目，每提供一项业绩的得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分；承担过水利类、农业类省级重点科研项目的，每提供一项业绩的得</w:t>
            </w:r>
            <w:r>
              <w:rPr>
                <w:rFonts w:hint="eastAsia" w:ascii="宋体" w:hAnsi="宋体" w:cs="宋体"/>
                <w:snapToGrid w:val="0"/>
                <w:color w:val="auto"/>
                <w:highlight w:val="none"/>
                <w:lang w:val="en-US" w:eastAsia="zh-CN"/>
              </w:rPr>
              <w:t>1</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2013年1月1日以来投标单位承担过水利规划、农业发展规划、</w:t>
            </w:r>
            <w:r>
              <w:rPr>
                <w:rFonts w:hint="eastAsia" w:ascii="宋体" w:hAnsi="宋体" w:cs="宋体"/>
                <w:snapToGrid w:val="0"/>
                <w:color w:val="auto"/>
                <w:highlight w:val="none"/>
                <w:lang w:eastAsia="zh-CN"/>
              </w:rPr>
              <w:t>美丽乡村</w:t>
            </w:r>
            <w:r>
              <w:rPr>
                <w:rFonts w:hint="eastAsia" w:ascii="宋体" w:hAnsi="宋体" w:cs="宋体"/>
                <w:snapToGrid w:val="0"/>
                <w:color w:val="auto"/>
                <w:highlight w:val="none"/>
              </w:rPr>
              <w:t>规划</w:t>
            </w:r>
            <w:r>
              <w:rPr>
                <w:rFonts w:hint="eastAsia" w:ascii="宋体" w:hAnsi="宋体" w:cs="宋体"/>
                <w:snapToGrid w:val="0"/>
                <w:color w:val="auto"/>
                <w:highlight w:val="none"/>
                <w:lang w:eastAsia="zh-CN"/>
              </w:rPr>
              <w:t>或乡村振兴规划、</w:t>
            </w:r>
            <w:r>
              <w:rPr>
                <w:rFonts w:hint="eastAsia" w:ascii="宋体" w:hAnsi="宋体" w:cs="宋体"/>
                <w:snapToGrid w:val="0"/>
                <w:color w:val="auto"/>
                <w:highlight w:val="none"/>
              </w:rPr>
              <w:t>农业园区规划等</w:t>
            </w:r>
            <w:r>
              <w:rPr>
                <w:rFonts w:hint="eastAsia" w:ascii="宋体" w:hAnsi="宋体" w:cs="宋体"/>
                <w:snapToGrid w:val="0"/>
                <w:color w:val="auto"/>
                <w:highlight w:val="none"/>
                <w:lang w:eastAsia="zh-CN"/>
              </w:rPr>
              <w:t>规划类</w:t>
            </w:r>
            <w:r>
              <w:rPr>
                <w:rFonts w:hint="eastAsia" w:ascii="宋体" w:hAnsi="宋体" w:cs="宋体"/>
                <w:snapToGrid w:val="0"/>
                <w:color w:val="auto"/>
                <w:highlight w:val="none"/>
              </w:rPr>
              <w:t>工作业绩的，每提供一项得1分，最高得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说明：1、提供中标通知书或合同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加盖公章；2、时间以</w:t>
            </w:r>
            <w:r>
              <w:rPr>
                <w:rFonts w:hint="eastAsia" w:asciiTheme="minorEastAsia" w:hAnsiTheme="minorEastAsia" w:eastAsiaTheme="minorEastAsia" w:cstheme="minorEastAsia"/>
                <w:color w:val="auto"/>
                <w:kern w:val="0"/>
                <w:sz w:val="21"/>
                <w:szCs w:val="21"/>
                <w:highlight w:val="none"/>
                <w:lang w:eastAsia="zh-CN"/>
              </w:rPr>
              <w:t>中标通知书或</w:t>
            </w:r>
            <w:r>
              <w:rPr>
                <w:rFonts w:hint="eastAsia" w:asciiTheme="minorEastAsia" w:hAnsiTheme="minorEastAsia" w:eastAsiaTheme="minorEastAsia" w:cstheme="minorEastAsia"/>
                <w:color w:val="auto"/>
                <w:kern w:val="0"/>
                <w:sz w:val="21"/>
                <w:szCs w:val="21"/>
                <w:highlight w:val="none"/>
              </w:rPr>
              <w:t>合同签订时间为准。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47"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单位承担本项目的能力（</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1、投标单位具有水利相关的专利、软件著作权、作品著作权的，每提供一项得1分，最高得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2、投标单位具有农业和农村发展相关的专利、软件著作权、作品著作权的，每提供一项得1分，最高得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宋体" w:hAnsi="宋体" w:cs="宋体"/>
                <w:snapToGrid w:val="0"/>
                <w:color w:val="auto"/>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宋体" w:hAnsi="宋体" w:cs="宋体"/>
                <w:snapToGrid w:val="0"/>
                <w:color w:val="auto"/>
                <w:highlight w:val="none"/>
              </w:rPr>
              <w:t>加盖公章，时间以证书上的时间为准。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51"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项目负责人实力</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项目负责人具有教授级职称的得3分，具有高级职称的得2分。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项目负责人具备注册咨询工程师资格证书得1分。</w:t>
            </w:r>
          </w:p>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Theme="minorEastAsia" w:hAnsiTheme="minorEastAsia" w:eastAsiaTheme="minorEastAsia" w:cstheme="minorEastAsia"/>
                <w:color w:val="auto"/>
                <w:kern w:val="0"/>
                <w:sz w:val="21"/>
                <w:szCs w:val="21"/>
                <w:highlight w:val="none"/>
                <w:lang w:val="zh-CN"/>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lang w:val="zh-CN"/>
              </w:rPr>
              <w:t>复印件并加盖公章。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宋体" w:hAnsi="宋体" w:cs="宋体"/>
                <w:snapToGrid w:val="0"/>
                <w:color w:val="auto"/>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316"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团队组成（</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lang w:val="zh-CN"/>
              </w:rPr>
            </w:pPr>
            <w:r>
              <w:rPr>
                <w:rFonts w:hint="eastAsia" w:ascii="宋体" w:hAnsi="宋体" w:cs="宋体"/>
                <w:snapToGrid w:val="0"/>
                <w:color w:val="auto"/>
                <w:highlight w:val="none"/>
              </w:rPr>
              <w:t>人员配备合理</w:t>
            </w:r>
            <w:r>
              <w:rPr>
                <w:rFonts w:hint="eastAsia" w:ascii="宋体" w:hAnsi="宋体" w:cs="宋体"/>
                <w:snapToGrid w:val="0"/>
                <w:color w:val="auto"/>
                <w:highlight w:val="none"/>
                <w:lang w:eastAsia="zh-CN"/>
              </w:rPr>
              <w:t>（除项目负责人外），</w:t>
            </w:r>
            <w:r>
              <w:rPr>
                <w:rFonts w:hint="eastAsia" w:ascii="宋体" w:hAnsi="宋体" w:cs="宋体"/>
                <w:snapToGrid w:val="0"/>
                <w:color w:val="auto"/>
                <w:highlight w:val="none"/>
              </w:rPr>
              <w:t>专业齐全</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rPr>
              <w:t>包括水利</w:t>
            </w:r>
            <w:r>
              <w:rPr>
                <w:rFonts w:hint="eastAsia" w:ascii="宋体" w:hAnsi="宋体" w:cs="宋体"/>
                <w:snapToGrid w:val="0"/>
                <w:color w:val="auto"/>
                <w:highlight w:val="none"/>
                <w:lang w:eastAsia="zh-CN"/>
              </w:rPr>
              <w:t>相关</w:t>
            </w:r>
            <w:r>
              <w:rPr>
                <w:rFonts w:hint="eastAsia" w:ascii="宋体" w:hAnsi="宋体" w:cs="宋体"/>
                <w:snapToGrid w:val="0"/>
                <w:color w:val="auto"/>
                <w:highlight w:val="none"/>
              </w:rPr>
              <w:t>专业</w:t>
            </w:r>
            <w:r>
              <w:rPr>
                <w:rFonts w:hint="eastAsia" w:ascii="宋体" w:hAnsi="宋体" w:cs="宋体"/>
                <w:snapToGrid w:val="0"/>
                <w:color w:val="auto"/>
                <w:highlight w:val="none"/>
                <w:lang w:eastAsia="zh-CN"/>
              </w:rPr>
              <w:t>和农业农村相关</w:t>
            </w:r>
            <w:r>
              <w:rPr>
                <w:rFonts w:hint="eastAsia" w:ascii="宋体" w:hAnsi="宋体" w:cs="宋体"/>
                <w:snapToGrid w:val="0"/>
                <w:color w:val="auto"/>
                <w:highlight w:val="none"/>
              </w:rPr>
              <w:t>专业</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rPr>
              <w:t>每个专业</w:t>
            </w:r>
            <w:r>
              <w:rPr>
                <w:rFonts w:hint="eastAsia" w:ascii="宋体" w:hAnsi="宋体" w:cs="宋体"/>
                <w:snapToGrid w:val="0"/>
                <w:color w:val="auto"/>
                <w:highlight w:val="none"/>
                <w:lang w:val="zh-CN"/>
              </w:rPr>
              <w:t>每有一名教授级职称得</w:t>
            </w:r>
            <w:r>
              <w:rPr>
                <w:rFonts w:hint="eastAsia" w:ascii="宋体" w:hAnsi="宋体" w:cs="宋体"/>
                <w:snapToGrid w:val="0"/>
                <w:color w:val="auto"/>
                <w:highlight w:val="none"/>
              </w:rPr>
              <w:t>2分，每个专业</w:t>
            </w:r>
            <w:r>
              <w:rPr>
                <w:rFonts w:hint="eastAsia" w:ascii="宋体" w:hAnsi="宋体" w:cs="宋体"/>
                <w:snapToGrid w:val="0"/>
                <w:color w:val="auto"/>
                <w:highlight w:val="none"/>
                <w:lang w:val="zh-CN"/>
              </w:rPr>
              <w:t>每有一名高级职称得</w:t>
            </w:r>
            <w:r>
              <w:rPr>
                <w:rFonts w:hint="eastAsia" w:ascii="宋体" w:hAnsi="宋体" w:cs="宋体"/>
                <w:snapToGrid w:val="0"/>
                <w:color w:val="auto"/>
                <w:highlight w:val="none"/>
              </w:rPr>
              <w:t>1分，每个专业最多得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分，最高得8分。</w:t>
            </w:r>
            <w:r>
              <w:rPr>
                <w:rFonts w:hint="eastAsia" w:ascii="宋体" w:hAnsi="宋体" w:cs="宋体"/>
                <w:snapToGrid w:val="0"/>
                <w:color w:val="auto"/>
                <w:highlight w:val="none"/>
                <w:lang w:val="zh-CN"/>
              </w:rPr>
              <w:t>专业以</w:t>
            </w:r>
            <w:bookmarkStart w:id="0" w:name="OLE_LINK6"/>
            <w:bookmarkStart w:id="1" w:name="OLE_LINK7"/>
            <w:r>
              <w:rPr>
                <w:rFonts w:hint="eastAsia" w:ascii="宋体" w:hAnsi="宋体" w:cs="宋体"/>
                <w:snapToGrid w:val="0"/>
                <w:color w:val="auto"/>
                <w:highlight w:val="none"/>
                <w:lang w:val="zh-CN"/>
              </w:rPr>
              <w:t>注册证或毕业证或职称证书</w:t>
            </w:r>
            <w:bookmarkEnd w:id="0"/>
            <w:bookmarkEnd w:id="1"/>
            <w:r>
              <w:rPr>
                <w:rFonts w:hint="eastAsia" w:ascii="宋体" w:hAnsi="宋体" w:cs="宋体"/>
                <w:snapToGrid w:val="0"/>
                <w:color w:val="auto"/>
                <w:highlight w:val="none"/>
                <w:lang w:val="zh-CN"/>
              </w:rPr>
              <w:t>上注明的专业为准。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说明：提供</w:t>
            </w:r>
            <w:r>
              <w:rPr>
                <w:rFonts w:hint="eastAsia" w:asciiTheme="minorEastAsia" w:hAnsiTheme="minorEastAsia" w:eastAsiaTheme="minorEastAsia" w:cstheme="minorEastAsia"/>
                <w:color w:val="auto"/>
                <w:kern w:val="0"/>
                <w:sz w:val="21"/>
                <w:szCs w:val="21"/>
                <w:highlight w:val="none"/>
                <w:lang w:val="zh-CN"/>
              </w:rPr>
              <w:t>注册证或毕业证或职称证书</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清晰</w:t>
            </w:r>
            <w:r>
              <w:rPr>
                <w:rFonts w:hint="eastAsia" w:asciiTheme="minorEastAsia" w:hAnsiTheme="minorEastAsia" w:eastAsiaTheme="minorEastAsia" w:cstheme="minorEastAsia"/>
                <w:color w:val="auto"/>
                <w:kern w:val="0"/>
                <w:sz w:val="21"/>
                <w:szCs w:val="21"/>
                <w:highlight w:val="none"/>
              </w:rPr>
              <w:t>复印件加盖公章。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restart"/>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1701" w:type="dxa"/>
            <w:vMerge w:val="restart"/>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技</w:t>
            </w:r>
            <w:r>
              <w:rPr>
                <w:rFonts w:hint="eastAsia" w:asciiTheme="minorEastAsia" w:hAnsiTheme="minorEastAsia" w:eastAsiaTheme="minorEastAsia" w:cstheme="minorEastAsia"/>
                <w:color w:val="auto"/>
                <w:kern w:val="0"/>
                <w:sz w:val="21"/>
                <w:szCs w:val="21"/>
                <w:highlight w:val="none"/>
              </w:rPr>
              <w:t>术方案（25分）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对项目背景、资源现状掌握熟悉程度。</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总体方案科学合理，可操作性强。</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方案涉及内容齐全，根据采购需求中的工作内容能充分展开具体实施方案。</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highlight w:val="none"/>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000000"/>
              </w:rPr>
            </w:pPr>
            <w:r>
              <w:rPr>
                <w:rFonts w:hint="eastAsia" w:ascii="宋体" w:hAnsi="宋体" w:cs="宋体"/>
                <w:snapToGrid w:val="0"/>
                <w:color w:val="000000"/>
              </w:rPr>
              <w:t>对该项目重点难点分析到位，解决应对措施科学合理。</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000000"/>
              </w:rPr>
            </w:pPr>
            <w:r>
              <w:rPr>
                <w:rFonts w:hint="eastAsia" w:ascii="宋体" w:hAnsi="宋体" w:cs="宋体"/>
                <w:snapToGrid w:val="0"/>
                <w:color w:val="000000"/>
              </w:rPr>
              <w:t>投标人提供的项目工作思路清晰、技术路线合理、可操作性强。</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rPr>
              <w:t>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tcBorders>
              <w:tl2br w:val="nil"/>
              <w:tr2bl w:val="nil"/>
            </w:tcBorders>
            <w:vAlign w:val="center"/>
          </w:tcPr>
          <w:p>
            <w:pPr>
              <w:adjustRightInd w:val="0"/>
              <w:snapToGrid w:val="0"/>
              <w:ind w:firstLine="0" w:firstLineChars="0"/>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进度控制（</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进度控制科学合理、关键时间节点把握科学准确。</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lang w:val="en-US" w:eastAsia="zh-CN"/>
              </w:rPr>
              <w:t>1</w:t>
            </w:r>
            <w:r>
              <w:rPr>
                <w:rFonts w:hint="eastAsia" w:ascii="宋体" w:hAnsi="宋体" w:cs="宋体"/>
                <w:snapToGrid w:val="0"/>
                <w:color w:val="000000"/>
              </w:rPr>
              <w:t>-</w:t>
            </w:r>
            <w:r>
              <w:rPr>
                <w:rFonts w:hint="eastAsia" w:ascii="宋体" w:hAnsi="宋体" w:cs="宋体"/>
                <w:snapToGrid w:val="0"/>
                <w:color w:val="000000"/>
                <w:lang w:val="en-US" w:eastAsia="zh-CN"/>
              </w:rPr>
              <w:t>3</w:t>
            </w:r>
            <w:r>
              <w:rPr>
                <w:rFonts w:hint="eastAsia" w:ascii="宋体" w:hAnsi="宋体" w:cs="宋体"/>
                <w:snapToGrid w:val="0"/>
                <w:color w:val="000000"/>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trPr>
        <w:tc>
          <w:tcPr>
            <w:tcW w:w="582" w:type="dxa"/>
            <w:tcBorders>
              <w:tl2br w:val="nil"/>
              <w:tr2bl w:val="nil"/>
            </w:tcBorders>
            <w:vAlign w:val="center"/>
          </w:tcPr>
          <w:p>
            <w:pPr>
              <w:adjustRightInd w:val="0"/>
              <w:snapToGrid w:val="0"/>
              <w:ind w:firstLine="0" w:firstLineChars="0"/>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质量保证（</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分）</w:t>
            </w:r>
          </w:p>
        </w:tc>
        <w:tc>
          <w:tcPr>
            <w:tcW w:w="5642"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内部校审制度齐全、有针对性地建立了项目质量保障工作机制。</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宋体" w:hAnsi="宋体" w:cs="宋体"/>
                <w:snapToGrid w:val="0"/>
                <w:color w:val="000000"/>
                <w:lang w:val="en-US" w:eastAsia="zh-CN"/>
              </w:rPr>
              <w:t>1</w:t>
            </w:r>
            <w:r>
              <w:rPr>
                <w:rFonts w:hint="eastAsia" w:ascii="宋体" w:hAnsi="宋体" w:cs="宋体"/>
                <w:snapToGrid w:val="0"/>
                <w:color w:val="000000"/>
              </w:rPr>
              <w:t>-</w:t>
            </w:r>
            <w:r>
              <w:rPr>
                <w:rFonts w:hint="eastAsia" w:ascii="宋体" w:hAnsi="宋体" w:cs="宋体"/>
                <w:snapToGrid w:val="0"/>
                <w:color w:val="000000"/>
                <w:lang w:val="en-US" w:eastAsia="zh-CN"/>
              </w:rPr>
              <w:t>3</w:t>
            </w:r>
            <w:r>
              <w:rPr>
                <w:rFonts w:hint="eastAsia" w:ascii="宋体" w:hAnsi="宋体" w:cs="宋体"/>
                <w:snapToGrid w:val="0"/>
                <w:color w:val="000000"/>
              </w:rPr>
              <w:t>分</w:t>
            </w:r>
          </w:p>
        </w:tc>
      </w:tr>
    </w:tbl>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71"/>
        <w:textAlignment w:val="auto"/>
        <w:rPr>
          <w:rFonts w:hint="eastAsia" w:ascii="宋体"/>
          <w:b/>
          <w:bCs w:val="0"/>
          <w:color w:val="auto"/>
          <w:sz w:val="24"/>
          <w:highlight w:val="yellow"/>
          <w:lang w:val="zh-CN"/>
        </w:rPr>
      </w:pPr>
      <w:r>
        <w:rPr>
          <w:rFonts w:hint="eastAsia" w:ascii="宋体"/>
          <w:b/>
          <w:bCs w:val="0"/>
          <w:color w:val="auto"/>
          <w:sz w:val="24"/>
          <w:highlight w:val="yellow"/>
          <w:lang w:val="zh-CN"/>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lang w:val="en-US" w:eastAsia="zh-CN"/>
        </w:rPr>
        <w:t xml:space="preserve"> </w:t>
      </w:r>
      <w:r>
        <w:rPr>
          <w:rFonts w:hint="eastAsia" w:asciiTheme="minorEastAsia" w:hAnsiTheme="minorEastAsia" w:eastAsiaTheme="minorEastAsia"/>
          <w:b/>
          <w:color w:val="auto"/>
          <w:sz w:val="36"/>
          <w:szCs w:val="36"/>
          <w:highlight w:val="none"/>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一、项目</w:t>
      </w:r>
      <w:r>
        <w:rPr>
          <w:rFonts w:hint="eastAsia" w:asciiTheme="minorEastAsia" w:hAnsiTheme="minorEastAsia" w:eastAsiaTheme="minorEastAsia"/>
          <w:b/>
          <w:color w:val="auto"/>
          <w:sz w:val="24"/>
          <w:highlight w:val="none"/>
          <w:lang w:eastAsia="zh-CN"/>
        </w:rPr>
        <w:t>背景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玉环市位于浙江省东南沿海黄金海岸线中段，东濒东海，南连洞头洋，西嵌乐清湾，北与温岭市接壤，由玉环本岛、楚门半岛和135个岛屿组成，总面积2279 k</w:t>
      </w:r>
      <w:r>
        <w:rPr>
          <w:rFonts w:hint="eastAsia" w:asciiTheme="minorEastAsia" w:hAnsiTheme="minorEastAsia" w:eastAsiaTheme="minorEastAsia"/>
          <w:bCs/>
          <w:color w:val="auto"/>
          <w:sz w:val="24"/>
          <w:highlight w:val="none"/>
        </w:rPr>
        <w:t>m</w:t>
      </w:r>
      <w:r>
        <w:rPr>
          <w:rFonts w:hint="eastAsia" w:asciiTheme="minorEastAsia" w:hAnsiTheme="minorEastAsia" w:eastAsiaTheme="minorEastAsia"/>
          <w:bCs/>
          <w:color w:val="auto"/>
          <w:sz w:val="24"/>
          <w:highlight w:val="none"/>
          <w:vertAlign w:val="superscript"/>
        </w:rPr>
        <w:t>2</w:t>
      </w:r>
      <w:r>
        <w:rPr>
          <w:rFonts w:hint="eastAsia" w:asciiTheme="minorEastAsia" w:hAnsiTheme="minorEastAsia" w:eastAsiaTheme="minorEastAsia"/>
          <w:b w:val="0"/>
          <w:bCs/>
          <w:color w:val="auto"/>
          <w:sz w:val="24"/>
          <w:highlight w:val="none"/>
        </w:rPr>
        <w:t>，其中陆域面积378 k</w:t>
      </w:r>
      <w:r>
        <w:rPr>
          <w:rFonts w:hint="eastAsia" w:asciiTheme="minorEastAsia" w:hAnsiTheme="minorEastAsia" w:eastAsiaTheme="minorEastAsia"/>
          <w:bCs/>
          <w:color w:val="auto"/>
          <w:sz w:val="24"/>
          <w:highlight w:val="none"/>
        </w:rPr>
        <w:t>m</w:t>
      </w:r>
      <w:r>
        <w:rPr>
          <w:rFonts w:hint="eastAsia" w:asciiTheme="minorEastAsia" w:hAnsiTheme="minorEastAsia" w:eastAsiaTheme="minorEastAsia"/>
          <w:bCs/>
          <w:color w:val="auto"/>
          <w:sz w:val="24"/>
          <w:highlight w:val="none"/>
          <w:vertAlign w:val="superscript"/>
        </w:rPr>
        <w:t>2</w:t>
      </w:r>
      <w:r>
        <w:rPr>
          <w:rFonts w:hint="eastAsia" w:asciiTheme="minorEastAsia" w:hAnsiTheme="minorEastAsia" w:eastAsiaTheme="minorEastAsia"/>
          <w:b w:val="0"/>
          <w:bCs/>
          <w:color w:val="auto"/>
          <w:sz w:val="24"/>
          <w:highlight w:val="none"/>
        </w:rPr>
        <w:t>，下辖玉成、坎门等3街道6镇2乡。</w:t>
      </w:r>
      <w:r>
        <w:rPr>
          <w:rFonts w:hint="eastAsia" w:asciiTheme="minorEastAsia" w:hAnsiTheme="minorEastAsia" w:eastAsiaTheme="minorEastAsia"/>
          <w:bCs/>
          <w:color w:val="auto"/>
          <w:sz w:val="24"/>
          <w:highlight w:val="none"/>
        </w:rPr>
        <w:t>2017年撤县设市，玉环迎来了全新的发展机遇，也面对更多的挑战</w:t>
      </w:r>
      <w:r>
        <w:rPr>
          <w:rFonts w:hint="eastAsia" w:asciiTheme="minorEastAsia" w:hAnsiTheme="minorEastAsia" w:eastAsiaTheme="minorEastAsia"/>
          <w:b w:val="0"/>
          <w:bCs/>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asciiTheme="minorEastAsia" w:hAnsiTheme="minorEastAsia" w:eastAsiaTheme="minorEastAsia"/>
          <w:b w:val="0"/>
          <w:bCs/>
          <w:color w:val="auto"/>
          <w:sz w:val="24"/>
          <w:highlight w:val="none"/>
        </w:rPr>
      </w:pPr>
      <w:r>
        <w:rPr>
          <w:rFonts w:hint="eastAsia" w:asciiTheme="minorEastAsia" w:hAnsiTheme="minorEastAsia" w:eastAsiaTheme="minorEastAsia"/>
          <w:bCs/>
          <w:color w:val="auto"/>
          <w:sz w:val="24"/>
          <w:highlight w:val="none"/>
        </w:rPr>
        <w:t>即将进入的“十四五”时期，是玉环市围绕全省</w:t>
      </w:r>
      <w:r>
        <w:rPr>
          <w:rFonts w:asciiTheme="minorEastAsia" w:hAnsiTheme="minorEastAsia" w:eastAsiaTheme="minorEastAsia"/>
          <w:bCs/>
          <w:color w:val="auto"/>
          <w:sz w:val="24"/>
          <w:highlight w:val="none"/>
        </w:rPr>
        <w:t>大湾区、大花园</w:t>
      </w:r>
      <w:r>
        <w:rPr>
          <w:rFonts w:hint="eastAsia" w:asciiTheme="minorEastAsia" w:hAnsiTheme="minorEastAsia" w:eastAsiaTheme="minorEastAsia"/>
          <w:bCs/>
          <w:color w:val="auto"/>
          <w:sz w:val="24"/>
          <w:highlight w:val="none"/>
        </w:rPr>
        <w:t>战略</w:t>
      </w: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全力</w:t>
      </w:r>
      <w:r>
        <w:rPr>
          <w:rFonts w:asciiTheme="minorEastAsia" w:hAnsiTheme="minorEastAsia" w:eastAsiaTheme="minorEastAsia"/>
          <w:bCs/>
          <w:color w:val="auto"/>
          <w:sz w:val="24"/>
          <w:highlight w:val="none"/>
        </w:rPr>
        <w:t>推进</w:t>
      </w:r>
      <w:r>
        <w:rPr>
          <w:rFonts w:hint="eastAsia" w:asciiTheme="minorEastAsia" w:hAnsiTheme="minorEastAsia" w:eastAsiaTheme="minorEastAsia"/>
          <w:bCs/>
          <w:color w:val="auto"/>
          <w:sz w:val="24"/>
          <w:highlight w:val="none"/>
        </w:rPr>
        <w:t>台州南部湾区建设和全岛新型城市化发展，推动玉环市</w:t>
      </w:r>
      <w:r>
        <w:rPr>
          <w:rFonts w:asciiTheme="minorEastAsia" w:hAnsiTheme="minorEastAsia" w:eastAsiaTheme="minorEastAsia"/>
          <w:bCs/>
          <w:color w:val="auto"/>
          <w:sz w:val="24"/>
          <w:highlight w:val="none"/>
        </w:rPr>
        <w:t>高质量</w:t>
      </w:r>
      <w:r>
        <w:rPr>
          <w:rFonts w:hint="eastAsia" w:asciiTheme="minorEastAsia" w:hAnsiTheme="minorEastAsia" w:eastAsiaTheme="minorEastAsia"/>
          <w:bCs/>
          <w:color w:val="auto"/>
          <w:sz w:val="24"/>
          <w:highlight w:val="none"/>
        </w:rPr>
        <w:t>发展，实施乡村振兴战略、加快推进乡村振兴现代化的关键时期，谋划好这一阶段的农业、农村和水利改革发展、安排好农业、农村和水利重大项目布局和建设，健全农业、农村和水利管理政策制度，对提高全市农业、农村和水利综合保障能力，支撑经济社会高质量发展具有重要意义。</w:t>
      </w:r>
      <w:r>
        <w:rPr>
          <w:rFonts w:asciiTheme="minorEastAsia" w:hAnsiTheme="minorEastAsia" w:eastAsiaTheme="minorEastAsia"/>
          <w:bCs/>
          <w:color w:val="auto"/>
          <w:sz w:val="24"/>
          <w:highlight w:val="none"/>
        </w:rPr>
        <w:t>因此</w:t>
      </w:r>
      <w:r>
        <w:rPr>
          <w:rFonts w:hint="eastAsia" w:asciiTheme="minorEastAsia" w:hAnsiTheme="minorEastAsia" w:eastAsiaTheme="minorEastAsia"/>
          <w:bCs/>
          <w:color w:val="auto"/>
          <w:sz w:val="24"/>
          <w:highlight w:val="none"/>
        </w:rPr>
        <w:t>玉环市按照国家、省、市“十四五”规划部署和要求，决定组织开展 乡村振兴“十四五”“三农”和水利高质量发展规划研究和编制工作，确定“十四五”期间玉环市乡村振兴和水利发展与改革的指导思想、规划目标、建设任务和保障措施</w:t>
      </w:r>
      <w:r>
        <w:rPr>
          <w:rFonts w:hint="eastAsia" w:asciiTheme="minorEastAsia" w:hAnsiTheme="minorEastAsia" w:eastAsiaTheme="minorEastAsia"/>
          <w:b w:val="0"/>
          <w:bCs/>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b/>
          <w:color w:val="auto"/>
          <w:sz w:val="24"/>
          <w:highlight w:val="none"/>
          <w:lang w:eastAsia="zh-CN"/>
        </w:rPr>
        <w:t>工作</w:t>
      </w:r>
      <w:r>
        <w:rPr>
          <w:rFonts w:hint="eastAsia" w:asciiTheme="minorEastAsia" w:hAnsiTheme="minorEastAsia" w:eastAsiaTheme="minorEastAsia"/>
          <w:b/>
          <w:color w:val="auto"/>
          <w:sz w:val="24"/>
          <w:highlight w:val="none"/>
        </w:rPr>
        <w:t>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eastAsia="zh-CN"/>
        </w:rPr>
        <w:t>一</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szCs w:val="24"/>
          <w:highlight w:val="none"/>
        </w:rPr>
        <w:t>编制</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思路研究报告</w:t>
      </w:r>
      <w:r>
        <w:rPr>
          <w:rFonts w:hint="eastAsia" w:asciiTheme="minorEastAsia" w:hAnsiTheme="minorEastAsia" w:eastAsiaTheme="minorEastAsia"/>
          <w:b/>
          <w:bCs/>
          <w:color w:val="auto"/>
          <w:sz w:val="24"/>
          <w:szCs w:val="24"/>
          <w:highlight w:val="none"/>
          <w:lang w:val="en-US" w:eastAsia="zh-CN"/>
        </w:rPr>
        <w:t>和</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1、</w:t>
      </w:r>
      <w:r>
        <w:rPr>
          <w:rFonts w:hint="eastAsia" w:asciiTheme="minorEastAsia" w:hAnsiTheme="minorEastAsia" w:eastAsiaTheme="minorEastAsia"/>
          <w:b/>
          <w:bCs/>
          <w:color w:val="auto"/>
          <w:sz w:val="24"/>
          <w:highlight w:val="none"/>
          <w:u w:val="single"/>
          <w:lang w:eastAsia="zh-CN"/>
        </w:rPr>
        <w:t>编制</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思路研究报告</w:t>
      </w:r>
      <w:r>
        <w:rPr>
          <w:rFonts w:hint="eastAsia" w:asciiTheme="minorEastAsia" w:hAnsiTheme="minorEastAsia" w:eastAsiaTheme="minorEastAsia"/>
          <w:b/>
          <w:bCs/>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u w:val="single"/>
        </w:rPr>
        <w:t>评估玉环市水利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玉环市乡村振兴“十三五”建设情况及成效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u w:val="single"/>
        </w:rPr>
        <w:t>评估玉环市水利“十三五”建设情况及成效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现状调研基础上，详细梳理玉环市“十三五”期间的水利工程建设、水利管理制度、机制建设工作，围绕防汛抗旱、水资源保障、农村水利、水环境与水生态治理和保护、水利管理和改革等方面，系统总结十三五期间水利投入、工程建设和水利管理方面取得的成果，分析水利十三五建设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评估玉环市乡村振兴“十三五”建设情况及成效</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现状调研基础上，详细梳理玉环市“十三五”期间的农业“两区”建设、产业发展、农业基础设施建设、农业技术基础服务、农产品质量安全、新型农业经营体系建设工作、美丽乡村建设等相关内容，对照目标任务要求，系统总结“十三五”期间农业发展、新农村和美丽乡村建设经验，评价“十三五”建设成效。</w:t>
      </w:r>
    </w:p>
    <w:p>
      <w:pPr>
        <w:pStyle w:val="2"/>
        <w:ind w:left="0" w:leftChars="0" w:firstLine="0" w:firstLineChars="0"/>
        <w:rPr>
          <w:rFonts w:hint="eastAsia"/>
          <w:color w:val="auto"/>
          <w:highlight w:val="none"/>
        </w:rPr>
      </w:pPr>
      <w:r>
        <w:rPr>
          <w:rFonts w:hint="eastAsia" w:asciiTheme="minorEastAsia" w:hAnsiTheme="minorEastAsia" w:eastAsiaTheme="minorEastAsia"/>
          <w:color w:val="auto"/>
          <w:sz w:val="24"/>
          <w:highlight w:val="none"/>
          <w:u w:val="none"/>
          <w:lang w:val="en-US" w:eastAsia="zh-CN"/>
        </w:rPr>
        <w:t>　　</w:t>
      </w:r>
      <w:r>
        <w:rPr>
          <w:rFonts w:hint="eastAsia" w:asciiTheme="minorEastAsia" w:hAnsiTheme="minorEastAsia" w:eastAsiaTheme="minorEastAsia"/>
          <w:color w:val="auto"/>
          <w:sz w:val="24"/>
          <w:highlight w:val="none"/>
          <w:u w:val="single"/>
          <w:lang w:val="en-US" w:eastAsia="zh-CN"/>
        </w:rPr>
        <w:t>1.2</w:t>
      </w:r>
      <w:r>
        <w:rPr>
          <w:rFonts w:hint="eastAsia" w:asciiTheme="minorEastAsia" w:hAnsiTheme="minorEastAsia" w:eastAsiaTheme="minorEastAsia"/>
          <w:color w:val="auto"/>
          <w:sz w:val="24"/>
          <w:highlight w:val="none"/>
          <w:u w:val="single"/>
        </w:rPr>
        <w:t>分析玉环市水利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玉环市乡村振兴发展“十四五”发展形势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分析玉环市水利“十四五”发展形势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习近平新时代中国特色社会主义思想为指引，积极践行“节水优先、空间均衡、系统治理、两手发力”的新时代水利工作方针，紧紧围绕“水利工程补短板、水利行业强监管”治水新思路，以“补短板强监管”为主线，重视节水型社会建设和水资源保护，强化水利行业监管，以现代水利、可持续发展水利的治水思路和理念，分析提出指引玉环市今后水利发展的总体需求和新形势、新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分析玉环市乡村振兴“十四五”发展形势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以习近平新时代中国特色社会主义思想为指导，全面贯彻中央农村工作会议和中央一号文件精神，紧紧围绕乡村振兴战略实施，立足玉环市“三农”实情， 对标产业攻坚、粮食和重要农产品供给保障、乡村振兴绿色发展等硬任务，确定乡村振兴“十四五”发展的总体需求、认清新时代乡村振兴工作的新特点，分析玉环乡村振兴工作的新形势。</w:t>
      </w:r>
    </w:p>
    <w:p>
      <w:pPr>
        <w:pStyle w:val="2"/>
        <w:ind w:left="0" w:leftChars="0" w:firstLine="0" w:firstLineChars="0"/>
        <w:rPr>
          <w:rFonts w:hint="default" w:eastAsia="宋体"/>
          <w:color w:val="auto"/>
          <w:highlight w:val="none"/>
          <w:lang w:val="en-US" w:eastAsia="zh-CN"/>
        </w:rPr>
      </w:pPr>
      <w:r>
        <w:rPr>
          <w:rFonts w:hint="eastAsia"/>
          <w:color w:val="auto"/>
          <w:highlight w:val="none"/>
          <w:lang w:eastAsia="zh-CN"/>
        </w:rPr>
        <w:t>　　</w:t>
      </w:r>
      <w:r>
        <w:rPr>
          <w:rFonts w:hint="eastAsia"/>
          <w:color w:val="auto"/>
          <w:highlight w:val="none"/>
          <w:lang w:val="en-US" w:eastAsia="zh-CN"/>
        </w:rPr>
        <w:t>1.3</w:t>
      </w:r>
      <w:r>
        <w:rPr>
          <w:rFonts w:hint="eastAsia" w:asciiTheme="minorEastAsia" w:hAnsiTheme="minorEastAsia" w:eastAsiaTheme="minorEastAsia"/>
          <w:color w:val="auto"/>
          <w:sz w:val="24"/>
          <w:highlight w:val="none"/>
          <w:u w:val="single"/>
        </w:rPr>
        <w:t>剖析玉环市水利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玉环市乡村振兴发展存在的主要问题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剖析玉环市水利发展存在的主要问题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过深入调研经济社会发展、水利发展的现状情况，对“十三五”水利发展情况进行综合评述，对照玉环市高质量发展的要求，分析问题，找出水利发展在各个领域存在的差距和需要解决的主要问题，分析经济社会发展对水利发展的各项需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剖析玉环市乡村振兴发展存在的主要问题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过深入调研农业、农村发展的现状，对“十三五”农业和农村经济社会发展阶段出现的问题进行综合评述，对照“发展特色鲜明、产出高效、产品安全、资源节约、环境友好、功能多元的现代农业”总体要求，找出差距和需要解决的主要问题，分析影响农业和农村经济发展的制约因素。</w:t>
      </w:r>
    </w:p>
    <w:p>
      <w:pPr>
        <w:pStyle w:val="2"/>
        <w:ind w:left="0" w:leftChars="0" w:firstLine="0" w:firstLineChars="0"/>
        <w:rPr>
          <w:rFonts w:hint="default" w:eastAsia="宋体"/>
          <w:color w:val="auto"/>
          <w:highlight w:val="none"/>
          <w:lang w:val="en-US" w:eastAsia="zh-CN"/>
        </w:rPr>
      </w:pPr>
      <w:r>
        <w:rPr>
          <w:rFonts w:hint="eastAsia"/>
          <w:color w:val="auto"/>
          <w:highlight w:val="none"/>
          <w:lang w:val="en-US" w:eastAsia="zh-CN"/>
        </w:rPr>
        <w:t>　　1.4</w:t>
      </w:r>
      <w:r>
        <w:rPr>
          <w:rFonts w:hint="eastAsia" w:asciiTheme="minorEastAsia" w:hAnsiTheme="minorEastAsia" w:eastAsiaTheme="minorEastAsia"/>
          <w:color w:val="auto"/>
          <w:sz w:val="24"/>
          <w:highlight w:val="none"/>
          <w:u w:val="single"/>
        </w:rPr>
        <w:t>研究水利</w:t>
      </w:r>
      <w:r>
        <w:rPr>
          <w:rFonts w:hint="eastAsia" w:asciiTheme="minorEastAsia" w:hAnsiTheme="minorEastAsia" w:eastAsiaTheme="minorEastAsia"/>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乡村振兴发展的思路、规划目标、主要任务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研究水利发展的思路、规划目标、主要任务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党中央全面建成小康社会总体目标，以“绿水青山就是金山银山”绿色发展理念为导向，贯彻落实省委、省政府“两个高水平”、“六个浙江”等重大战略部署，针对玉环市水利发展面临的问题及需求，以工程措施与非工程措施相结合为手段，研究提出玉环市规划年水利发展思路、目标及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研究乡村振兴发展的思路、规划目标、主要任务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以加快推进乡村振兴现代化为导向，按照产业攻坚、粮食等重要农产品供给保障、乡村振兴绿色发展新需求，研究提出玉环市未来五年乡村振兴发展思路、目标及主要任务：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①针对农村产业发展模式及经营管理模式，研究农、林、渔、牧业产业的产业链、价值链及农产品市场竞争力，提出相关思路；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②针对玉环的美丽乡村建设的成效与问题，研究玉环村庄生态恢复和环境整治的典型经验，谋划特色村布局与建设思路；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针对玉环未来5-10年农村城镇化及市域城市化的趋势和特征，评价新农村建设过程中人口集中策略、公共基础设施建设、新型农业产业建设内容与标准、以及“十三五”期间年度任务的完成情况，论证玉环城乡一体化的发育阶段，确定“十四五”期间玉环市推进城乡一体化的主要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u w:val="single"/>
        </w:rPr>
        <w:t>编制</w:t>
      </w:r>
      <w:r>
        <w:rPr>
          <w:rFonts w:hint="eastAsia" w:asciiTheme="minorEastAsia" w:hAnsiTheme="minorEastAsia" w:eastAsiaTheme="minorEastAsia"/>
          <w:color w:val="auto"/>
          <w:sz w:val="24"/>
          <w:szCs w:val="24"/>
          <w:highlight w:val="none"/>
          <w:lang w:eastAsia="zh-CN"/>
        </w:rPr>
        <w:t>玉环市“十四五”“三农”和水利高质量发展规划</w:t>
      </w:r>
      <w:r>
        <w:rPr>
          <w:rFonts w:hint="eastAsia" w:asciiTheme="minorEastAsia" w:hAnsiTheme="minorEastAsia" w:eastAsiaTheme="minorEastAsia"/>
          <w:color w:val="auto"/>
          <w:sz w:val="24"/>
          <w:szCs w:val="24"/>
          <w:highlight w:val="none"/>
        </w:rPr>
        <w:t>报告</w:t>
      </w:r>
      <w:r>
        <w:rPr>
          <w:rFonts w:hint="eastAsia" w:asciiTheme="minorEastAsia" w:hAnsiTheme="minorEastAsia" w:eastAsiaTheme="minorEastAsia"/>
          <w:b/>
          <w:bCs/>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2.1</w:t>
      </w:r>
      <w:r>
        <w:rPr>
          <w:rFonts w:hint="eastAsia" w:asciiTheme="minorEastAsia" w:hAnsiTheme="minorEastAsia" w:eastAsiaTheme="minorEastAsia"/>
          <w:b w:val="0"/>
          <w:bCs w:val="0"/>
          <w:color w:val="auto"/>
          <w:sz w:val="24"/>
          <w:highlight w:val="none"/>
          <w:u w:val="single"/>
        </w:rPr>
        <w:t>水利</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w:t>
      </w:r>
      <w:r>
        <w:rPr>
          <w:rFonts w:hint="eastAsia" w:asciiTheme="minorEastAsia" w:hAnsiTheme="minorEastAsia" w:eastAsiaTheme="minorEastAsia"/>
          <w:b w:val="0"/>
          <w:bCs w:val="0"/>
          <w:color w:val="auto"/>
          <w:sz w:val="24"/>
          <w:highlight w:val="none"/>
          <w:u w:val="single"/>
        </w:rPr>
        <w:t>发展现状及面临形势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（1）</w:t>
      </w:r>
      <w:r>
        <w:rPr>
          <w:rFonts w:hint="eastAsia" w:asciiTheme="minorEastAsia" w:hAnsiTheme="minorEastAsia" w:eastAsiaTheme="minorEastAsia"/>
          <w:b w:val="0"/>
          <w:bCs w:val="0"/>
          <w:color w:val="auto"/>
          <w:sz w:val="24"/>
          <w:highlight w:val="none"/>
          <w:u w:val="single"/>
        </w:rPr>
        <w:t>水利发展现状及面临形势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深入调研玉环市水利发展现状，综合评述玉环市水利发展“十三五”情况，综合研判国家、省、市宏观形势和要求，分析提出指引玉环市今后水利发展的总需求和新要求，分析经济社会发展对水利发展的需求，找出玉环市水利发展存在的差距和需要解决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乡村振兴发展现状及面临形势</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深入调研玉环市乡村振兴发展现状，综合评述玉环市乡村振兴发展“十三五”情况，综合研判国家、省、市宏观形势和要求，分析提出指引玉环市今后乡村振兴发展的总需求和新要求，分析乡村振兴、高质量发展对农村工作的需求，找出玉环市乡村振兴发展存在的差距和需要解决的主要问题。</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2.2</w:t>
      </w:r>
      <w:r>
        <w:rPr>
          <w:rFonts w:hint="eastAsia" w:asciiTheme="minorEastAsia" w:hAnsiTheme="minorEastAsia" w:eastAsiaTheme="minorEastAsia"/>
          <w:b w:val="0"/>
          <w:bCs w:val="0"/>
          <w:color w:val="auto"/>
          <w:sz w:val="24"/>
          <w:highlight w:val="none"/>
          <w:u w:val="single"/>
        </w:rPr>
        <w:t>提出水利</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w:t>
      </w:r>
      <w:r>
        <w:rPr>
          <w:rFonts w:hint="eastAsia" w:asciiTheme="minorEastAsia" w:hAnsiTheme="minorEastAsia" w:eastAsiaTheme="minorEastAsia"/>
          <w:b w:val="0"/>
          <w:bCs w:val="0"/>
          <w:color w:val="auto"/>
          <w:sz w:val="24"/>
          <w:highlight w:val="none"/>
          <w:u w:val="single"/>
        </w:rPr>
        <w:t>发展的指导思想、目标及规划思路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u w:val="single"/>
        </w:rPr>
        <w:t>提出水利发展的指导思想、目标及规划思路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在玉环市水利发展规划思路研究基础上，针对玉环市水资源特点、水利发展现状及存在的主要问题，结合新形势拟定玉环市水利发展“十四五”规划的指导思想和基本原则，提出“十四五”末玉环市水利发展应达到的总体目标及可量化的具体目标，系统谋划水利发展总体布局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提出乡村振兴发展的指导思想、目标及规划思路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玉环市乡村振兴发展规划思路研究基础上，针对玉环市农业“两区”建设、产业发展、农业基础设施建设、农业技术基础服务、农产品质量安全、新型农业经营体系现状及美丽乡村建设等存在的主要问题，结合新形势，拟定玉环市乡村振兴发展“十四五”规划的指导思想和基本原则，提出“十四五”末玉环市乡村振兴发展应达到的总体目标及可量化的具体目标，系统谋划乡村振兴发展总体布局及规划思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2.3</w:t>
      </w:r>
      <w:r>
        <w:rPr>
          <w:rFonts w:hint="eastAsia" w:asciiTheme="minorEastAsia" w:hAnsiTheme="minorEastAsia" w:eastAsiaTheme="minorEastAsia"/>
          <w:b w:val="0"/>
          <w:bCs w:val="0"/>
          <w:color w:val="auto"/>
          <w:sz w:val="24"/>
          <w:highlight w:val="none"/>
          <w:u w:val="single"/>
        </w:rPr>
        <w:t>制定水利</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w:t>
      </w:r>
      <w:r>
        <w:rPr>
          <w:rFonts w:hint="eastAsia" w:asciiTheme="minorEastAsia" w:hAnsiTheme="minorEastAsia" w:eastAsiaTheme="minorEastAsia"/>
          <w:b w:val="0"/>
          <w:bCs w:val="0"/>
          <w:color w:val="auto"/>
          <w:sz w:val="24"/>
          <w:highlight w:val="none"/>
          <w:u w:val="single"/>
        </w:rPr>
        <w:t>发展主要建设任务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u w:val="single"/>
        </w:rPr>
        <w:t>制定水利发展主要建设任务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紧紧围绕“水利工程补短板、水利行业强监管”为治水新思路，重点围绕新时期下的防洪减灾、水资源保障、节水行动、水生态保护、水利行业管理、水利科技及信息化等方面，提出“十四五”水利建设的主要任务，谋划建设一批服务于高质量发展的骨干水利工程、建立健全一整套完善的水利行业管理制度和监管机制，全面增强水利保障能力。</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制定乡村振兴发展主要建设任务</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结合浙江省“十四五”乡村振兴发展的总体部署，把未来五年全市的乡村振兴工作放在社会主义现代化建设全过程中进行统筹谋划，全面研究玉环市“十四五”新农村建设战略，以及农村产业转型升级、生态与环境保护、美丽乡村建设等问题，为未来5-10年玉环市新农村建设提供重要参考：</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①结合玉环市农村产业模式及经营管理模式，确定主导产业多元化，深层次，全方位的发展的实现路径，提出产业高质量发展的目标、任务，以及产业结构调整和转型升级具体举措；</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②结合在玉环市“十三五”期间村庄生态恢复和环境整治的典型经验，谋划特色村布局建设，确定以点带面，连点成片的美丽乡村建设路径和举措；</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③在评价新农村建设过程中人口集中策略、公共基础设施建设、新型农业产业建设内容与标准、以及“十三五”期间年度任务完成的情况下，确定“十四五”期间玉环市推进城乡一体化的主要任务和实现路径。</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u w:val="single"/>
          <w:lang w:val="en-US" w:eastAsia="zh-CN"/>
        </w:rPr>
        <w:t>2.4</w:t>
      </w:r>
      <w:r>
        <w:rPr>
          <w:rFonts w:hint="eastAsia" w:asciiTheme="minorEastAsia" w:hAnsiTheme="minorEastAsia" w:eastAsiaTheme="minorEastAsia"/>
          <w:b w:val="0"/>
          <w:bCs w:val="0"/>
          <w:color w:val="auto"/>
          <w:sz w:val="24"/>
          <w:highlight w:val="none"/>
          <w:u w:val="single"/>
        </w:rPr>
        <w:t>投资测算和年度计划安排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u w:val="single"/>
        </w:rPr>
        <w:t>投资测算和年度计划安排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参照已有的工程概算投资、已建工程投资，测算十四五期间水利工程建设和强化监管所需资金投入。根据水利发展主要任务，按照轻重缓急、有序实施的原则，提出年度实施计划。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u w:val="single"/>
        </w:rPr>
        <w:t>投资测算和年度计划安排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以往农业“两区”建设、新农村及美丽乡村建设项目投资概算，测算十四五期间乡村振兴建设项目和强化监管所需资金投入。根据乡村振兴发展主要任务，按照轻重缓急、有序实施的原则，提出年度实施计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lang w:val="en-US" w:eastAsia="zh-CN"/>
        </w:rPr>
        <w:t>2.5</w:t>
      </w:r>
      <w:r>
        <w:rPr>
          <w:rFonts w:hint="eastAsia" w:asciiTheme="minorEastAsia" w:hAnsiTheme="minorEastAsia" w:eastAsiaTheme="minorEastAsia"/>
          <w:b w:val="0"/>
          <w:bCs w:val="0"/>
          <w:color w:val="auto"/>
          <w:sz w:val="24"/>
          <w:highlight w:val="none"/>
        </w:rPr>
        <w:t>水利发展</w:t>
      </w:r>
      <w:r>
        <w:rPr>
          <w:rFonts w:hint="eastAsia" w:asciiTheme="minorEastAsia" w:hAnsiTheme="minorEastAsia" w:eastAsiaTheme="minorEastAsia"/>
          <w:b w:val="0"/>
          <w:bCs w:val="0"/>
          <w:color w:val="auto"/>
          <w:sz w:val="24"/>
          <w:highlight w:val="none"/>
          <w:u w:val="single"/>
        </w:rPr>
        <w:t>提出保障措施</w:t>
      </w:r>
      <w:r>
        <w:rPr>
          <w:rFonts w:hint="eastAsia" w:asciiTheme="minorEastAsia" w:hAnsiTheme="minorEastAsia" w:eastAsiaTheme="minorEastAsia"/>
          <w:b w:val="0"/>
          <w:bCs w:val="0"/>
          <w:color w:val="auto"/>
          <w:sz w:val="24"/>
          <w:highlight w:val="none"/>
          <w:u w:val="single"/>
          <w:lang w:eastAsia="zh-CN"/>
        </w:rPr>
        <w:t>和</w:t>
      </w:r>
      <w:r>
        <w:rPr>
          <w:rFonts w:hint="eastAsia" w:asciiTheme="minorEastAsia" w:hAnsiTheme="minorEastAsia" w:eastAsiaTheme="minorEastAsia"/>
          <w:color w:val="auto"/>
          <w:sz w:val="24"/>
          <w:highlight w:val="none"/>
          <w:u w:val="single"/>
        </w:rPr>
        <w:t>乡村振兴的体制机制建设</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1</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color w:val="auto"/>
          <w:sz w:val="24"/>
          <w:highlight w:val="none"/>
          <w:u w:val="single"/>
        </w:rPr>
        <w:t>水利发展提出保障措施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为保障水利发展“十四五”规划目标和建设任务顺利完成，从组织领导、水利投资、资源要素保障、公众参与等方面提出保障机制和保障措施。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乡村振兴的体制机制建设</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①分析评价玉环农村基层政权组织、集体经济组织、农民合作社、等基层组织运行模式，在此基础上，分类提出基层政权组织和经济组织的制度建设优化措施。 </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调研分析农民专业合作社联合会，农业行业协会，农民专业合作社、农业龙头企业、专业大户、家庭农场、合作农场等农业经营主体对于强化生产服务能力的诉求，评价玉环市农合联整合农业技术服务资源体制机制，提出强化生产服务能力的具体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③结合“十四五”期间玉环市新农村建设任务目标，提出系统措施，保障总体规划的落地实施。</w:t>
      </w:r>
    </w:p>
    <w:p>
      <w:pPr>
        <w:pStyle w:val="2"/>
        <w:ind w:left="0" w:leftChars="0" w:firstLine="0" w:firstLineChars="0"/>
        <w:rPr>
          <w:rFonts w:hint="eastAsia" w:eastAsiaTheme="minorEastAsia"/>
          <w:color w:val="auto"/>
          <w:highlight w:val="none"/>
          <w:lang w:val="en-US" w:eastAsia="zh-CN"/>
        </w:rPr>
      </w:pPr>
      <w:r>
        <w:rPr>
          <w:rFonts w:hint="eastAsia" w:asciiTheme="minorEastAsia" w:hAnsiTheme="minorEastAsia" w:eastAsiaTheme="minorEastAsia"/>
          <w:color w:val="auto"/>
          <w:sz w:val="24"/>
          <w:highlight w:val="none"/>
          <w:lang w:val="en-US" w:eastAsia="zh-CN"/>
        </w:rPr>
        <w:t>　　3以上所编制的</w:t>
      </w:r>
      <w:r>
        <w:rPr>
          <w:rFonts w:hint="eastAsia" w:asciiTheme="minorEastAsia" w:hAnsiTheme="minorEastAsia" w:eastAsiaTheme="minorEastAsia"/>
          <w:color w:val="auto"/>
          <w:sz w:val="24"/>
          <w:szCs w:val="24"/>
          <w:highlight w:val="none"/>
          <w:lang w:eastAsia="zh-CN"/>
        </w:rPr>
        <w:t>规划</w:t>
      </w:r>
      <w:r>
        <w:rPr>
          <w:rFonts w:hint="eastAsia" w:asciiTheme="minorEastAsia" w:hAnsiTheme="minorEastAsia" w:eastAsiaTheme="minorEastAsia"/>
          <w:color w:val="auto"/>
          <w:sz w:val="24"/>
          <w:szCs w:val="24"/>
          <w:highlight w:val="none"/>
        </w:rPr>
        <w:t>思路研究报告</w:t>
      </w:r>
      <w:r>
        <w:rPr>
          <w:rFonts w:hint="eastAsia" w:asciiTheme="minorEastAsia" w:hAnsiTheme="minorEastAsia" w:eastAsiaTheme="minorEastAsia"/>
          <w:color w:val="auto"/>
          <w:sz w:val="24"/>
          <w:szCs w:val="24"/>
          <w:highlight w:val="none"/>
          <w:lang w:eastAsia="zh-CN"/>
        </w:rPr>
        <w:t>和规划</w:t>
      </w:r>
      <w:r>
        <w:rPr>
          <w:rFonts w:hint="eastAsia" w:asciiTheme="minorEastAsia" w:hAnsiTheme="minorEastAsia" w:eastAsiaTheme="minorEastAsia"/>
          <w:color w:val="auto"/>
          <w:sz w:val="24"/>
          <w:szCs w:val="24"/>
          <w:highlight w:val="none"/>
        </w:rPr>
        <w:t>报告</w:t>
      </w:r>
      <w:r>
        <w:rPr>
          <w:rFonts w:hint="eastAsia" w:asciiTheme="minorEastAsia" w:hAnsiTheme="minorEastAsia" w:eastAsiaTheme="minorEastAsia"/>
          <w:color w:val="auto"/>
          <w:sz w:val="24"/>
          <w:highlight w:val="none"/>
          <w:lang w:val="en-US" w:eastAsia="zh-CN"/>
        </w:rPr>
        <w:t>应符合</w:t>
      </w:r>
      <w:r>
        <w:rPr>
          <w:rFonts w:hint="eastAsia" w:asciiTheme="minorEastAsia" w:hAnsiTheme="minorEastAsia" w:eastAsiaTheme="minorEastAsia" w:cstheme="minorEastAsia"/>
          <w:b w:val="0"/>
          <w:bCs/>
          <w:color w:val="auto"/>
          <w:sz w:val="24"/>
          <w:szCs w:val="24"/>
          <w:highlight w:val="none"/>
        </w:rPr>
        <w:t>省水利厅</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省农</w:t>
      </w:r>
      <w:r>
        <w:rPr>
          <w:rFonts w:hint="eastAsia" w:asciiTheme="minorEastAsia" w:hAnsiTheme="minorEastAsia" w:eastAsiaTheme="minorEastAsia" w:cstheme="minorEastAsia"/>
          <w:b w:val="0"/>
          <w:bCs/>
          <w:color w:val="auto"/>
          <w:sz w:val="24"/>
          <w:szCs w:val="24"/>
          <w:highlight w:val="none"/>
          <w:lang w:eastAsia="zh-CN"/>
        </w:rPr>
        <w:t>业</w:t>
      </w:r>
      <w:r>
        <w:rPr>
          <w:rFonts w:hint="eastAsia" w:asciiTheme="minorEastAsia" w:hAnsiTheme="minorEastAsia" w:eastAsiaTheme="minorEastAsia" w:cstheme="minorEastAsia"/>
          <w:b w:val="0"/>
          <w:bCs/>
          <w:color w:val="auto"/>
          <w:sz w:val="24"/>
          <w:szCs w:val="24"/>
          <w:highlight w:val="none"/>
        </w:rPr>
        <w:t>农村厅</w:t>
      </w:r>
      <w:r>
        <w:rPr>
          <w:rFonts w:hint="eastAsia" w:asciiTheme="minorEastAsia" w:hAnsiTheme="minorEastAsia" w:eastAsiaTheme="minorEastAsia" w:cstheme="minorEastAsia"/>
          <w:b w:val="0"/>
          <w:bCs/>
          <w:color w:val="auto"/>
          <w:sz w:val="24"/>
          <w:szCs w:val="24"/>
          <w:highlight w:val="none"/>
          <w:lang w:eastAsia="zh-CN"/>
        </w:rPr>
        <w:t>、玉环市发展和改革局的要求。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三、提交成果及进度安排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（一）</w:t>
      </w:r>
      <w:r>
        <w:rPr>
          <w:rFonts w:hint="eastAsia" w:asciiTheme="minorEastAsia" w:hAnsiTheme="minorEastAsia" w:eastAsiaTheme="minorEastAsia" w:cstheme="minorEastAsia"/>
          <w:b/>
          <w:bCs w:val="0"/>
          <w:color w:val="auto"/>
          <w:sz w:val="24"/>
          <w:szCs w:val="24"/>
          <w:highlight w:val="none"/>
          <w:u w:val="single"/>
        </w:rPr>
        <w:t>提交成果</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提交《玉环市“十四五”“三农”和水利高质量发展规划思路研究报告》；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提交《玉环市“十四五”</w:t>
      </w:r>
      <w:r>
        <w:rPr>
          <w:rFonts w:hint="eastAsia" w:asciiTheme="minorEastAsia" w:hAnsiTheme="minorEastAsia" w:eastAsiaTheme="minorEastAsia" w:cstheme="minorEastAsia"/>
          <w:b w:val="0"/>
          <w:bCs/>
          <w:color w:val="auto"/>
          <w:sz w:val="24"/>
          <w:szCs w:val="24"/>
          <w:highlight w:val="none"/>
          <w:lang w:eastAsia="zh-CN"/>
        </w:rPr>
        <w:t>“三农”和水利高质量发展</w:t>
      </w:r>
      <w:r>
        <w:rPr>
          <w:rFonts w:hint="eastAsia" w:asciiTheme="minorEastAsia" w:hAnsiTheme="minorEastAsia" w:eastAsiaTheme="minorEastAsia" w:cstheme="minorEastAsia"/>
          <w:b w:val="0"/>
          <w:bCs/>
          <w:color w:val="auto"/>
          <w:sz w:val="24"/>
          <w:szCs w:val="24"/>
          <w:highlight w:val="none"/>
        </w:rPr>
        <w:t>规划报告》。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（二）</w:t>
      </w:r>
      <w:r>
        <w:rPr>
          <w:rFonts w:hint="eastAsia" w:asciiTheme="minorEastAsia" w:hAnsiTheme="minorEastAsia" w:eastAsiaTheme="minorEastAsia" w:cstheme="minorEastAsia"/>
          <w:b/>
          <w:bCs w:val="0"/>
          <w:color w:val="auto"/>
          <w:sz w:val="24"/>
          <w:szCs w:val="24"/>
          <w:highlight w:val="none"/>
          <w:u w:val="single"/>
        </w:rPr>
        <w:t>进度安排</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1、2019年1</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月底</w:t>
      </w:r>
      <w:r>
        <w:rPr>
          <w:rFonts w:hint="eastAsia" w:asciiTheme="minorEastAsia" w:hAnsiTheme="minorEastAsia" w:eastAsiaTheme="minorEastAsia" w:cstheme="minorEastAsia"/>
          <w:b w:val="0"/>
          <w:bCs/>
          <w:color w:val="auto"/>
          <w:sz w:val="24"/>
          <w:szCs w:val="24"/>
          <w:highlight w:val="none"/>
          <w:lang w:eastAsia="zh-CN"/>
        </w:rPr>
        <w:t>前完成“十四五”课题研究报告。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2019年1</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月底</w:t>
      </w:r>
      <w:r>
        <w:rPr>
          <w:rFonts w:hint="eastAsia" w:asciiTheme="minorEastAsia" w:hAnsiTheme="minorEastAsia" w:eastAsiaTheme="minorEastAsia" w:cstheme="minorEastAsia"/>
          <w:b w:val="0"/>
          <w:bCs/>
          <w:color w:val="auto"/>
          <w:sz w:val="24"/>
          <w:szCs w:val="24"/>
          <w:highlight w:val="none"/>
          <w:lang w:eastAsia="zh-CN"/>
        </w:rPr>
        <w:t>前</w:t>
      </w:r>
      <w:r>
        <w:rPr>
          <w:rFonts w:hint="eastAsia" w:asciiTheme="minorEastAsia" w:hAnsiTheme="minorEastAsia" w:eastAsiaTheme="minorEastAsia" w:cstheme="minorEastAsia"/>
          <w:b w:val="0"/>
          <w:bCs/>
          <w:color w:val="auto"/>
          <w:sz w:val="24"/>
          <w:szCs w:val="24"/>
          <w:highlight w:val="none"/>
        </w:rPr>
        <w:t>提交玉环市“十四五”规划思路研究报告。</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、2020年9月底前提交玉环市“十四五”规划报告送审稿，审查结束后一个月内提交报批稿，实际提交时间以省水利厅</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省农</w:t>
      </w:r>
      <w:r>
        <w:rPr>
          <w:rFonts w:hint="eastAsia" w:asciiTheme="minorEastAsia" w:hAnsiTheme="minorEastAsia" w:eastAsiaTheme="minorEastAsia" w:cstheme="minorEastAsia"/>
          <w:b w:val="0"/>
          <w:bCs/>
          <w:color w:val="auto"/>
          <w:sz w:val="24"/>
          <w:szCs w:val="24"/>
          <w:highlight w:val="none"/>
          <w:lang w:eastAsia="zh-CN"/>
        </w:rPr>
        <w:t>业</w:t>
      </w:r>
      <w:r>
        <w:rPr>
          <w:rFonts w:hint="eastAsia" w:asciiTheme="minorEastAsia" w:hAnsiTheme="minorEastAsia" w:eastAsiaTheme="minorEastAsia" w:cstheme="minorEastAsia"/>
          <w:b w:val="0"/>
          <w:bCs/>
          <w:color w:val="auto"/>
          <w:sz w:val="24"/>
          <w:szCs w:val="24"/>
          <w:highlight w:val="none"/>
        </w:rPr>
        <w:t>农村厅</w:t>
      </w:r>
      <w:r>
        <w:rPr>
          <w:rFonts w:hint="eastAsia" w:asciiTheme="minorEastAsia" w:hAnsiTheme="minorEastAsia" w:eastAsiaTheme="minorEastAsia" w:cstheme="minorEastAsia"/>
          <w:b w:val="0"/>
          <w:bCs/>
          <w:color w:val="auto"/>
          <w:sz w:val="24"/>
          <w:szCs w:val="24"/>
          <w:highlight w:val="none"/>
          <w:lang w:eastAsia="zh-CN"/>
        </w:rPr>
        <w:t>、玉环市发展和改革局</w:t>
      </w:r>
      <w:r>
        <w:rPr>
          <w:rFonts w:hint="eastAsia" w:asciiTheme="minorEastAsia" w:hAnsiTheme="minorEastAsia" w:eastAsiaTheme="minorEastAsia" w:cstheme="minorEastAsia"/>
          <w:b w:val="0"/>
          <w:bCs/>
          <w:color w:val="auto"/>
          <w:sz w:val="24"/>
          <w:szCs w:val="24"/>
          <w:highlight w:val="none"/>
        </w:rPr>
        <w:t>具体要求为准。</w:t>
      </w:r>
      <w:r>
        <w:rPr>
          <w:rFonts w:hint="eastAsia" w:asciiTheme="minorEastAsia" w:hAnsiTheme="minorEastAsia" w:eastAsiaTheme="minorEastAsia" w:cstheme="minorEastAsia"/>
          <w:b w:val="0"/>
          <w:bCs/>
          <w:color w:val="auto"/>
          <w:sz w:val="24"/>
          <w:szCs w:val="24"/>
          <w:highlight w:val="none"/>
        </w:rPr>
        <w:br w:type="page"/>
      </w:r>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rPr>
          <w:rFonts w:hint="eastAsia" w:ascii="Calibri" w:hAnsi="Calibri" w:eastAsia="宋体"/>
          <w:b/>
          <w:color w:val="auto"/>
          <w:sz w:val="28"/>
          <w:szCs w:val="22"/>
          <w:highlight w:val="none"/>
        </w:rPr>
      </w:pPr>
      <w:r>
        <w:rPr>
          <w:rFonts w:hint="eastAsia" w:ascii="Calibri" w:hAnsi="Calibri" w:eastAsia="宋体"/>
          <w:b/>
          <w:color w:val="auto"/>
          <w:sz w:val="30"/>
          <w:szCs w:val="22"/>
          <w:highlight w:val="none"/>
        </w:rPr>
        <w:t>合同登记编号</w:t>
      </w:r>
      <w:r>
        <w:rPr>
          <w:rFonts w:hint="eastAsia" w:ascii="Calibri" w:hAnsi="Calibri" w:eastAsia="宋体"/>
          <w:b/>
          <w:color w:val="auto"/>
          <w:sz w:val="28"/>
          <w:szCs w:val="22"/>
          <w:highlight w:val="none"/>
        </w:rPr>
        <w:t>：</w:t>
      </w:r>
    </w:p>
    <w:p>
      <w:pPr>
        <w:tabs>
          <w:tab w:val="left" w:pos="1200"/>
        </w:tabs>
        <w:rPr>
          <w:rFonts w:hint="eastAsia" w:ascii="Calibri" w:hAnsi="Calibri" w:eastAsia="宋体"/>
          <w:b/>
          <w:color w:val="auto"/>
          <w:sz w:val="28"/>
          <w:szCs w:val="22"/>
          <w:highlight w:val="none"/>
        </w:rPr>
      </w:pPr>
    </w:p>
    <w:p>
      <w:pPr>
        <w:tabs>
          <w:tab w:val="left" w:pos="1200"/>
        </w:tabs>
        <w:rPr>
          <w:rFonts w:ascii="Calibri" w:hAnsi="Calibri" w:eastAsia="宋体"/>
          <w:color w:val="auto"/>
          <w:sz w:val="10"/>
          <w:szCs w:val="22"/>
          <w:highlight w:val="none"/>
        </w:rPr>
      </w:pPr>
    </w:p>
    <w:tbl>
      <w:tblPr>
        <w:tblStyle w:val="20"/>
        <w:tblW w:w="590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r>
    </w:tbl>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100"/>
        </w:tabs>
        <w:jc w:val="center"/>
        <w:rPr>
          <w:rFonts w:ascii="Calibri" w:hAnsi="Calibri" w:eastAsia="宋体"/>
          <w:b/>
          <w:color w:val="auto"/>
          <w:sz w:val="44"/>
          <w:szCs w:val="22"/>
          <w:highlight w:val="none"/>
        </w:rPr>
      </w:pPr>
      <w:r>
        <w:rPr>
          <w:rFonts w:hint="eastAsia" w:ascii="Calibri" w:hAnsi="Calibri" w:eastAsia="宋体"/>
          <w:b/>
          <w:color w:val="auto"/>
          <w:sz w:val="44"/>
          <w:szCs w:val="22"/>
          <w:highlight w:val="none"/>
        </w:rPr>
        <w:t>技  术  咨  询  合  同  书</w:t>
      </w:r>
    </w:p>
    <w:p>
      <w:pPr>
        <w:tabs>
          <w:tab w:val="left" w:pos="1100"/>
        </w:tabs>
        <w:rPr>
          <w:rFonts w:ascii="Calibri" w:hAnsi="Calibri" w:eastAsia="宋体"/>
          <w:b/>
          <w:color w:val="auto"/>
          <w:sz w:val="10"/>
          <w:szCs w:val="22"/>
          <w:highlight w:val="none"/>
        </w:rPr>
      </w:pPr>
      <w:r>
        <w:rPr>
          <w:rFonts w:ascii="Calibri" w:hAnsi="Calibri" w:eastAsia="宋体"/>
          <w:b/>
          <w:color w:val="auto"/>
          <w:sz w:val="44"/>
          <w:szCs w:val="22"/>
          <w:highlight w:val="none"/>
        </w:rPr>
        <w:t xml:space="preserve">                         </w:t>
      </w:r>
    </w:p>
    <w:p>
      <w:pPr>
        <w:tabs>
          <w:tab w:val="left" w:pos="1100"/>
        </w:tabs>
        <w:rPr>
          <w:rFonts w:ascii="Calibri" w:hAnsi="Calibri" w:eastAsia="宋体"/>
          <w:color w:val="auto"/>
          <w:sz w:val="18"/>
          <w:szCs w:val="22"/>
          <w:highlight w:val="none"/>
        </w:rPr>
      </w:pPr>
      <w:r>
        <w:rPr>
          <w:rFonts w:ascii="Calibri" w:hAnsi="Calibri" w:eastAsia="宋体"/>
          <w:b/>
          <w:color w:val="auto"/>
          <w:sz w:val="28"/>
          <w:szCs w:val="22"/>
          <w:highlight w:val="none"/>
        </w:rPr>
        <w:t xml:space="preserve">                                      </w:t>
      </w:r>
      <w:r>
        <w:rPr>
          <w:rFonts w:ascii="Calibri" w:hAnsi="Calibri" w:eastAsia="宋体"/>
          <w:color w:val="auto"/>
          <w:sz w:val="24"/>
          <w:szCs w:val="22"/>
          <w:highlight w:val="none"/>
        </w:rPr>
        <w:t xml:space="preserve">                                   </w:t>
      </w:r>
    </w:p>
    <w:p>
      <w:pPr>
        <w:tabs>
          <w:tab w:val="left" w:pos="1100"/>
        </w:tabs>
        <w:spacing w:line="560" w:lineRule="exact"/>
        <w:rPr>
          <w:rFonts w:ascii="Calibri" w:hAnsi="Calibri" w:eastAsia="宋体"/>
          <w:color w:val="auto"/>
          <w:sz w:val="30"/>
          <w:szCs w:val="22"/>
          <w:highlight w:val="none"/>
        </w:rPr>
      </w:pPr>
    </w:p>
    <w:p>
      <w:pPr>
        <w:tabs>
          <w:tab w:val="left" w:pos="1100"/>
        </w:tabs>
        <w:spacing w:line="560" w:lineRule="exact"/>
        <w:ind w:firstLine="980" w:firstLineChars="350"/>
        <w:rPr>
          <w:rFonts w:hint="eastAsia" w:ascii="宋体" w:hAnsi="宋体" w:cs="宋体"/>
          <w:color w:val="auto"/>
          <w:sz w:val="28"/>
          <w:szCs w:val="28"/>
          <w:highlight w:val="none"/>
          <w:u w:val="none"/>
          <w:lang w:val="en-US" w:eastAsia="zh-CN"/>
        </w:rPr>
      </w:pPr>
      <w:r>
        <w:rPr>
          <w:rFonts w:hint="eastAsia" w:ascii="宋体" w:hAnsi="宋体" w:eastAsia="宋体" w:cs="宋体"/>
          <w:color w:val="auto"/>
          <w:sz w:val="28"/>
          <w:szCs w:val="28"/>
          <w:highlight w:val="none"/>
        </w:rPr>
        <w:t>项 目 名 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 xml:space="preserve">. </w:t>
      </w:r>
    </w:p>
    <w:p>
      <w:pPr>
        <w:pStyle w:val="2"/>
        <w:rPr>
          <w:rFonts w:hint="default"/>
          <w:color w:val="auto"/>
          <w:highlight w:val="none"/>
          <w:lang w:val="en-US"/>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项 目 </w:t>
      </w:r>
      <w:r>
        <w:rPr>
          <w:rFonts w:hint="eastAsia" w:ascii="宋体" w:hAnsi="宋体" w:eastAsia="宋体" w:cs="宋体"/>
          <w:color w:val="auto"/>
          <w:sz w:val="28"/>
          <w:szCs w:val="28"/>
          <w:highlight w:val="none"/>
          <w:lang w:eastAsia="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委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托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顾</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30"/>
          <w:szCs w:val="22"/>
          <w:highlight w:val="none"/>
        </w:rPr>
      </w:pPr>
      <w:r>
        <w:rPr>
          <w:rFonts w:hint="eastAsia" w:ascii="宋体" w:hAnsi="宋体" w:eastAsia="宋体" w:cs="宋体"/>
          <w:color w:val="auto"/>
          <w:sz w:val="28"/>
          <w:szCs w:val="28"/>
          <w:highlight w:val="none"/>
        </w:rPr>
        <w:t>有效期限：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rPr>
          <w:rFonts w:hint="eastAsia" w:ascii="黑体" w:eastAsia="黑体"/>
          <w:b/>
          <w:color w:val="auto"/>
          <w:sz w:val="36"/>
          <w:szCs w:val="36"/>
          <w:highlight w:val="none"/>
        </w:rPr>
      </w:pPr>
      <w:bookmarkStart w:id="2" w:name="_Toc144974834"/>
      <w:bookmarkStart w:id="3" w:name="_Toc179632789"/>
      <w:bookmarkStart w:id="4" w:name="_Toc152042554"/>
      <w:bookmarkStart w:id="5" w:name="_Toc152045772"/>
      <w:bookmarkStart w:id="6" w:name="_Toc228163250"/>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723" w:firstLineChars="200"/>
        <w:jc w:val="center"/>
        <w:textAlignment w:val="auto"/>
        <w:outlineLvl w:val="9"/>
        <w:rPr>
          <w:rFonts w:ascii="黑体" w:eastAsia="黑体"/>
          <w:b/>
          <w:color w:val="auto"/>
          <w:sz w:val="44"/>
          <w:szCs w:val="44"/>
          <w:highlight w:val="none"/>
        </w:rPr>
      </w:pPr>
      <w:r>
        <w:rPr>
          <w:rFonts w:hint="eastAsia" w:ascii="黑体" w:eastAsia="黑体"/>
          <w:b/>
          <w:color w:val="auto"/>
          <w:sz w:val="36"/>
          <w:szCs w:val="36"/>
          <w:highlight w:val="none"/>
        </w:rPr>
        <w:t>协议</w:t>
      </w:r>
      <w:r>
        <w:rPr>
          <w:rFonts w:hint="eastAsia" w:ascii="黑体" w:eastAsia="黑体"/>
          <w:b/>
          <w:color w:val="auto"/>
          <w:sz w:val="36"/>
          <w:szCs w:val="36"/>
          <w:highlight w:val="none"/>
          <w:lang w:eastAsia="zh-CN"/>
        </w:rPr>
        <w:t>书</w:t>
      </w:r>
    </w:p>
    <w:bookmarkEnd w:id="2"/>
    <w:bookmarkEnd w:id="3"/>
    <w:bookmarkEnd w:id="4"/>
    <w:bookmarkEnd w:id="5"/>
    <w:bookmarkEnd w:id="6"/>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rPr>
        <w:t>委托方：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eastAsia="zh-CN"/>
        </w:rPr>
        <w:t>顾问</w:t>
      </w:r>
      <w:r>
        <w:rPr>
          <w:rFonts w:hint="eastAsia" w:ascii="宋体" w:hAnsi="宋体" w:eastAsia="宋体" w:cs="宋体"/>
          <w:b/>
          <w:bCs/>
          <w:color w:val="auto"/>
          <w:sz w:val="24"/>
          <w:szCs w:val="24"/>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bookmarkStart w:id="7" w:name="12"/>
      <w:bookmarkEnd w:id="7"/>
      <w:r>
        <w:rPr>
          <w:rFonts w:hint="eastAsia" w:ascii="宋体" w:hAnsi="宋体" w:eastAsia="宋体" w:cs="宋体"/>
          <w:color w:val="auto"/>
          <w:sz w:val="24"/>
          <w:szCs w:val="24"/>
          <w:highlight w:val="none"/>
        </w:rPr>
        <w:t>玉环市</w:t>
      </w:r>
      <w:r>
        <w:rPr>
          <w:rFonts w:hint="eastAsia" w:ascii="宋体" w:hAnsi="宋体" w:cs="宋体"/>
          <w:color w:val="auto"/>
          <w:sz w:val="24"/>
          <w:szCs w:val="24"/>
          <w:highlight w:val="none"/>
          <w:lang w:eastAsia="zh-CN"/>
        </w:rPr>
        <w:t>农业农村和</w:t>
      </w:r>
      <w:r>
        <w:rPr>
          <w:rFonts w:hint="eastAsia" w:ascii="宋体" w:hAnsi="宋体" w:eastAsia="宋体" w:cs="宋体"/>
          <w:color w:val="auto"/>
          <w:sz w:val="24"/>
          <w:szCs w:val="24"/>
          <w:highlight w:val="none"/>
        </w:rPr>
        <w:t>水利局以公开招标方式采购所需（采购编号：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)，经评标委员会决标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为中标供应商。双方同意按照下面条款和条件，签署本合同。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分项报价表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技术规格、商务条款偏离表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合同补充条款或说明（如有的话）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承诺书（含询标记录和优惠条件）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2．合同范围和条件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本合同范围和条件应与上述合同文件规定的内容相一致。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3．工作范围及工作量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本合同提供的工作范围及工作量（详见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4．合同总价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5．付款方式及项目工期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本合同的付款方式及项目工期在合同主要条款中已规定。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6．合同生效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本合同经双方授权代表签署，买卖双方加盖印章后生效。</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eastAsia="zh-CN"/>
        </w:rPr>
        <w:t>六</w:t>
      </w:r>
      <w:r>
        <w:rPr>
          <w:rFonts w:hint="eastAsia" w:ascii="宋体" w:hAnsi="宋体" w:eastAsia="宋体" w:cs="宋体"/>
          <w:color w:val="auto"/>
          <w:sz w:val="24"/>
          <w:szCs w:val="24"/>
          <w:highlight w:val="none"/>
        </w:rPr>
        <w:t>]份。其中正本[</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eastAsia="zh-CN"/>
        </w:rPr>
        <w:t>四</w:t>
      </w:r>
      <w:r>
        <w:rPr>
          <w:rFonts w:hint="eastAsia" w:ascii="宋体" w:hAnsi="宋体" w:eastAsia="宋体" w:cs="宋体"/>
          <w:color w:val="auto"/>
          <w:sz w:val="24"/>
          <w:szCs w:val="24"/>
          <w:highlight w:val="none"/>
        </w:rPr>
        <w:t>]份，委托方执[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]份，顾问方执[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政府采购管理部门备案执[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未尽事宜，经双方协商一致，签订补充协议，补充协议与本合同具有同等效力。</w:t>
      </w:r>
    </w:p>
    <w:p>
      <w:pPr>
        <w:rPr>
          <w:rFonts w:hint="eastAsia" w:ascii="黑体" w:eastAsia="黑体"/>
          <w:b/>
          <w:color w:val="auto"/>
          <w:sz w:val="36"/>
          <w:szCs w:val="36"/>
          <w:highlight w:val="none"/>
        </w:rPr>
      </w:pPr>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line="40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黑体" w:eastAsia="黑体"/>
          <w:b/>
          <w:color w:val="auto"/>
          <w:sz w:val="36"/>
          <w:szCs w:val="36"/>
          <w:highlight w:val="none"/>
        </w:rPr>
        <w:t>合同主要条款</w:t>
      </w:r>
    </w:p>
    <w:p>
      <w:pPr>
        <w:keepNext w:val="0"/>
        <w:keepLines w:val="0"/>
        <w:pageBreakBefore w:val="0"/>
        <w:widowControl w:val="0"/>
        <w:kinsoku/>
        <w:wordWrap/>
        <w:overflowPunct/>
        <w:topLinePunct w:val="0"/>
        <w:autoSpaceDE/>
        <w:autoSpaceDN/>
        <w:bidi w:val="0"/>
        <w:adjustRightInd/>
        <w:snapToGrid/>
        <w:spacing w:before="156" w:beforeLines="50" w:line="400" w:lineRule="exact"/>
        <w:ind w:left="17" w:leftChars="8" w:right="0" w:rightChars="0" w:firstLine="45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依据《中华人民共和国合同法》的规定，合同双方就项目的编制，经协商一致，签订本合同。</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一、编制的内容、形式和要求：</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511" w:firstLineChars="21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主要工作内容包括：水域调查主要工作内容</w:t>
      </w:r>
      <w:r>
        <w:rPr>
          <w:rFonts w:hint="eastAsia" w:ascii="宋体" w:hAnsi="宋体" w:cs="宋体"/>
          <w:color w:val="auto"/>
          <w:sz w:val="24"/>
          <w:szCs w:val="24"/>
          <w:highlight w:val="none"/>
          <w:lang w:eastAsia="zh-CN"/>
        </w:rPr>
        <w:t>和水域保护规划编制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二、履行期限、地点和方式：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本合同履行时间：自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本项目规划编制完成并得到政府部门或行业主管部门审核批准通过</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进度要求：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1、2019年1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月底</w:t>
      </w:r>
      <w:r>
        <w:rPr>
          <w:rFonts w:hint="eastAsia" w:ascii="宋体" w:hAnsi="宋体" w:eastAsia="宋体" w:cs="宋体"/>
          <w:color w:val="auto"/>
          <w:sz w:val="24"/>
          <w:szCs w:val="24"/>
          <w:highlight w:val="none"/>
          <w:lang w:eastAsia="zh-CN"/>
        </w:rPr>
        <w:t>前完成“十四五”课题研究报告</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2019年1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月底</w:t>
      </w:r>
      <w:r>
        <w:rPr>
          <w:rFonts w:hint="eastAsia" w:ascii="宋体" w:hAnsi="宋体" w:eastAsia="宋体" w:cs="宋体"/>
          <w:color w:val="auto"/>
          <w:sz w:val="24"/>
          <w:szCs w:val="24"/>
          <w:highlight w:val="none"/>
          <w:lang w:eastAsia="zh-CN"/>
        </w:rPr>
        <w:t>前</w:t>
      </w:r>
      <w:r>
        <w:rPr>
          <w:rFonts w:hint="eastAsia" w:ascii="宋体" w:hAnsi="宋体" w:eastAsia="宋体" w:cs="宋体"/>
          <w:color w:val="auto"/>
          <w:sz w:val="24"/>
          <w:szCs w:val="24"/>
          <w:highlight w:val="none"/>
        </w:rPr>
        <w:t>提交玉环市“十四五”规划思路研究报告。</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、2020年9月底前提交玉环市“十四五”规划报告送审稿，审查结束后一个月内提交报批稿，实际提交时间以省水利厅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省农</w:t>
      </w:r>
      <w:r>
        <w:rPr>
          <w:rFonts w:hint="eastAsia" w:ascii="宋体" w:hAnsi="宋体" w:eastAsia="宋体" w:cs="宋体"/>
          <w:color w:val="auto"/>
          <w:sz w:val="24"/>
          <w:szCs w:val="24"/>
          <w:highlight w:val="none"/>
          <w:lang w:eastAsia="zh-CN"/>
        </w:rPr>
        <w:t>业</w:t>
      </w:r>
      <w:r>
        <w:rPr>
          <w:rFonts w:hint="eastAsia" w:ascii="宋体" w:hAnsi="宋体" w:eastAsia="宋体" w:cs="宋体"/>
          <w:color w:val="auto"/>
          <w:sz w:val="24"/>
          <w:szCs w:val="24"/>
          <w:highlight w:val="none"/>
        </w:rPr>
        <w:t>农村厅</w:t>
      </w:r>
      <w:r>
        <w:rPr>
          <w:rFonts w:hint="eastAsia" w:ascii="宋体" w:hAnsi="宋体" w:eastAsia="宋体" w:cs="宋体"/>
          <w:color w:val="auto"/>
          <w:sz w:val="24"/>
          <w:szCs w:val="24"/>
          <w:highlight w:val="none"/>
          <w:lang w:eastAsia="zh-CN"/>
        </w:rPr>
        <w:t>、玉环市发展和改革局</w:t>
      </w:r>
      <w:r>
        <w:rPr>
          <w:rFonts w:hint="eastAsia" w:ascii="宋体" w:hAnsi="宋体" w:eastAsia="宋体" w:cs="宋体"/>
          <w:color w:val="auto"/>
          <w:sz w:val="24"/>
          <w:szCs w:val="24"/>
          <w:highlight w:val="none"/>
        </w:rPr>
        <w:t>具体要求为准。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参考计划进度：</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（1）玉环市“十四五”规划</w:t>
      </w:r>
      <w:r>
        <w:rPr>
          <w:rFonts w:hint="eastAsia" w:ascii="宋体" w:hAnsi="宋体" w:cs="宋体"/>
          <w:color w:val="auto"/>
          <w:sz w:val="24"/>
          <w:szCs w:val="24"/>
          <w:highlight w:val="none"/>
          <w:lang w:eastAsia="zh-CN"/>
        </w:rPr>
        <w:t>思路</w:t>
      </w:r>
      <w:r>
        <w:rPr>
          <w:rFonts w:hint="eastAsia" w:ascii="宋体" w:hAnsi="宋体" w:eastAsia="宋体" w:cs="宋体"/>
          <w:color w:val="auto"/>
          <w:sz w:val="24"/>
          <w:szCs w:val="24"/>
          <w:highlight w:val="none"/>
        </w:rPr>
        <w:t>或规划大纲，递交时间：</w:t>
      </w:r>
      <w:r>
        <w:rPr>
          <w:rFonts w:hint="eastAsia" w:ascii="宋体" w:hAnsi="宋体" w:eastAsia="宋体" w:cs="宋体"/>
          <w:color w:val="auto"/>
          <w:sz w:val="24"/>
          <w:szCs w:val="24"/>
          <w:highlight w:val="none"/>
          <w:u w:val="single"/>
        </w:rPr>
        <w:t>合同签订后15天内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（2）玉环市“十四五”规划（初稿）递交时间：</w:t>
      </w:r>
      <w:r>
        <w:rPr>
          <w:rFonts w:hint="eastAsia" w:ascii="宋体" w:hAnsi="宋体" w:eastAsia="宋体" w:cs="宋体"/>
          <w:color w:val="auto"/>
          <w:sz w:val="24"/>
          <w:szCs w:val="24"/>
          <w:highlight w:val="none"/>
          <w:u w:val="single"/>
        </w:rPr>
        <w:t>规划</w:t>
      </w:r>
      <w:r>
        <w:rPr>
          <w:rFonts w:hint="eastAsia" w:ascii="宋体" w:hAnsi="宋体" w:eastAsia="宋体" w:cs="宋体"/>
          <w:color w:val="auto"/>
          <w:sz w:val="24"/>
          <w:szCs w:val="24"/>
          <w:highlight w:val="none"/>
          <w:u w:val="single"/>
          <w:lang w:eastAsia="zh-CN"/>
        </w:rPr>
        <w:t>思路</w:t>
      </w:r>
      <w:r>
        <w:rPr>
          <w:rFonts w:hint="eastAsia" w:ascii="宋体" w:hAnsi="宋体" w:eastAsia="宋体" w:cs="宋体"/>
          <w:color w:val="auto"/>
          <w:sz w:val="24"/>
          <w:szCs w:val="24"/>
          <w:highlight w:val="none"/>
          <w:u w:val="single"/>
        </w:rPr>
        <w:t>内审后</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个月内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）玉环市“十四五”规划（送审稿）递交时间：</w:t>
      </w:r>
      <w:r>
        <w:rPr>
          <w:rFonts w:hint="eastAsia" w:ascii="宋体" w:hAnsi="宋体" w:eastAsia="宋体" w:cs="宋体"/>
          <w:color w:val="auto"/>
          <w:sz w:val="24"/>
          <w:szCs w:val="24"/>
          <w:highlight w:val="none"/>
          <w:u w:val="single"/>
        </w:rPr>
        <w:t>初稿内审后</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个月内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）玉环市“十四五”规划（报批稿）递交时间：</w:t>
      </w:r>
      <w:r>
        <w:rPr>
          <w:rFonts w:hint="eastAsia" w:ascii="宋体" w:hAnsi="宋体" w:cs="宋体"/>
          <w:color w:val="auto"/>
          <w:sz w:val="24"/>
          <w:szCs w:val="24"/>
          <w:highlight w:val="none"/>
          <w:u w:val="single"/>
          <w:lang w:eastAsia="zh-CN"/>
        </w:rPr>
        <w:t>送审稿</w:t>
      </w:r>
      <w:r>
        <w:rPr>
          <w:rFonts w:hint="eastAsia" w:ascii="宋体" w:hAnsi="宋体" w:eastAsia="宋体" w:cs="宋体"/>
          <w:color w:val="auto"/>
          <w:sz w:val="24"/>
          <w:szCs w:val="24"/>
          <w:highlight w:val="none"/>
          <w:u w:val="single"/>
        </w:rPr>
        <w:t>经评审后1个月内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）后续服务：</w:t>
      </w:r>
      <w:r>
        <w:rPr>
          <w:rFonts w:hint="eastAsia" w:ascii="宋体" w:hAnsi="宋体" w:eastAsia="宋体" w:cs="宋体"/>
          <w:color w:val="auto"/>
          <w:sz w:val="24"/>
          <w:szCs w:val="24"/>
          <w:highlight w:val="none"/>
          <w:u w:val="single"/>
        </w:rPr>
        <w:t>配合业主单位做好规划报批各项工作</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本合同的履行方式：经审核通过的规划编制成果。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最终成果报告按如下要求提供：</w:t>
      </w:r>
    </w:p>
    <w:tbl>
      <w:tblPr>
        <w:tblStyle w:val="20"/>
        <w:tblW w:w="9520" w:type="dxa"/>
        <w:tblInd w:w="113" w:type="dxa"/>
        <w:tblLayout w:type="fixed"/>
        <w:tblCellMar>
          <w:top w:w="0" w:type="dxa"/>
          <w:left w:w="108" w:type="dxa"/>
          <w:bottom w:w="0" w:type="dxa"/>
          <w:right w:w="108" w:type="dxa"/>
        </w:tblCellMar>
      </w:tblPr>
      <w:tblGrid>
        <w:gridCol w:w="803"/>
        <w:gridCol w:w="5724"/>
        <w:gridCol w:w="795"/>
        <w:gridCol w:w="2198"/>
      </w:tblGrid>
      <w:tr>
        <w:tblPrEx>
          <w:tblLayout w:type="fixed"/>
          <w:tblCellMar>
            <w:top w:w="0" w:type="dxa"/>
            <w:left w:w="108" w:type="dxa"/>
            <w:bottom w:w="0" w:type="dxa"/>
            <w:right w:w="108" w:type="dxa"/>
          </w:tblCellMar>
        </w:tblPrEx>
        <w:trPr>
          <w:trHeight w:val="540"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资料成果名称</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Layout w:type="fixed"/>
          <w:tblCellMar>
            <w:top w:w="0" w:type="dxa"/>
            <w:left w:w="108" w:type="dxa"/>
            <w:bottom w:w="0" w:type="dxa"/>
            <w:right w:w="108" w:type="dxa"/>
          </w:tblCellMar>
        </w:tblPrEx>
        <w:trPr>
          <w:trHeight w:val="887"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《玉环市水利发展“十四五”规划思路研究报告》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7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《玉环市水利发展“十四五”规划报告》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7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《玉环市乡村振兴发展“十四五”规划思路研究报告》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8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《玉环市</w:t>
            </w:r>
            <w:r>
              <w:rPr>
                <w:rFonts w:hint="eastAsia" w:ascii="宋体" w:hAnsi="宋体" w:eastAsia="宋体" w:cs="宋体"/>
                <w:color w:val="auto"/>
                <w:sz w:val="24"/>
                <w:szCs w:val="24"/>
                <w:highlight w:val="none"/>
              </w:rPr>
              <w:t>乡村振兴</w:t>
            </w:r>
            <w:r>
              <w:rPr>
                <w:rFonts w:hint="default" w:ascii="宋体" w:hAnsi="宋体" w:eastAsia="宋体" w:cs="宋体"/>
                <w:color w:val="auto"/>
                <w:sz w:val="24"/>
                <w:szCs w:val="24"/>
                <w:highlight w:val="none"/>
                <w:lang w:val="en-US"/>
              </w:rPr>
              <w:t>发展“十四五”规划报告》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8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《玉环市“十四五”“三农”和水利高质量发展规划思路研究报告》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85"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《玉环市“十四五”</w:t>
            </w:r>
            <w:r>
              <w:rPr>
                <w:rFonts w:hint="default" w:ascii="宋体" w:hAnsi="宋体" w:eastAsia="宋体" w:cs="宋体"/>
                <w:color w:val="auto"/>
                <w:sz w:val="24"/>
                <w:szCs w:val="24"/>
                <w:highlight w:val="none"/>
                <w:lang w:val="en-US" w:eastAsia="zh-CN"/>
              </w:rPr>
              <w:t>“三农”和水利高质量发展</w:t>
            </w:r>
            <w:r>
              <w:rPr>
                <w:rFonts w:hint="default" w:ascii="宋体" w:hAnsi="宋体" w:eastAsia="宋体" w:cs="宋体"/>
                <w:color w:val="auto"/>
                <w:sz w:val="24"/>
                <w:szCs w:val="24"/>
                <w:highlight w:val="none"/>
                <w:lang w:val="en-US"/>
              </w:rPr>
              <w:t>规划报告》</w:t>
            </w:r>
          </w:p>
        </w:tc>
        <w:tc>
          <w:tcPr>
            <w:tcW w:w="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份</w:t>
            </w:r>
          </w:p>
        </w:tc>
        <w:tc>
          <w:tcPr>
            <w:tcW w:w="219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bl>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三、委托方的权利、义务和责任：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检查规划编制方项目组的组成和人员到位情况、人员稳定情况，考核主要专业负责人的工作能力，如因人力、能力不足致使编制工作不能按计划完成时，业主有权要求其增加或调整相应的技术人员。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阶段审查或工作检查中，有权对顾问方不胜任研究工作的人员发出撤换的指令，对不能胜任合同职责的，业主有权给予处罚，直至解除合同，由此造成的费用增加和进度延期，委托方不承担任何责任。委托方有权根据工作需要将此不胜任的部分另行指定其它研究单位完成，费用从原合同价中开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检查顾问方的研究工作是否采取有力的措施对分包方的研究工作质量进行控制和管理，未达到要求的，委托方有权要求顾问方健全完善，顾问方整改后仍未达到要求的，委托方有权给予处罚。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检查顾问方是否按进度计划及要求开展规划，是否落实了进度控制的各项措施，未达到要求的，委托方有权要求顾问方进行整改，整改后仍未达到要求的，委托方有权给予处罚。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根据研究工作需要，委托方有权提出本合同范围以外的工作内容，顾问方应予以执行，所发生费用，经双方协商解决。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在合同有效期内，委托方应当履行合同约定的义务，如有违反，则应当承担违约责任。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按合同规定支付合同费用。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委托方对编制过程中的决策、控制、实施等环节实行全面管理，协调和监督研究工作开展，进行中间检查，组织成果评审。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审查顾问方编制的管理文件及技术文件。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委托方负责组织评审和确认成果及重大技术方案，委托方接到可行性研究报告编制人交付的相关研究工作文件后，应及时组织评审，并将评审意见以书面方式通知顾问方。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在合同履行期间，如因委托方原因提出解除合同的，委托方应根据顾问方已完成的实际工作量支付相应的费用。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四、顾问方的权利、义务和责任：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有权按合同规定提出本项目支付申请。</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根据研究工作需要，在合同规定的由委托方提供的资料范围内，顾问方有权要求委托方提供相关资料。</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有义务配合委托方完成各项审批和各阶段成果审查工作。</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有义务提供相关技术咨询服务。</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有义务满足委托方提出的合理的工作要求。</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顾问方须建立完善的组织，建立研究人员日常工作程序,配备足够的人员并保持基本稳定。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顾问方应建立各项管理制度，形成相应的管理文件。顾问方制定的管理制度必须与委托方有关管理制度相适应，确保顾问方工作与委托方管理的协调一致。</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顾问方必须积极响应各种必要的程序性审查，以及在技术上的调整。整个工作贯穿编制和评审全过程。</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顾问方有技术保密的责任和义务，对于编制的过程文件、科研专题、成果文件等，未经委托方同意不得泄露或转让给第三方，如发生此类问题，顾问方承担相应的经济赔偿及法律责任。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负责建立技术管理的有关规章制度，按照档案、资料管理的有关规定，制定相关规定。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成果提交时间与方式</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参考计划进度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五、技术情报和资料保密：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顾问方所提供的编制成果所有权归委托方所有。如若发生侵权事件，其侵权责任与委托方无关，由顾问方承担全部责任。侵权造成的所有相关费用，均由顾问方支付，保证不伤害委托方的利益。</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顾问方所提供的编制成果未经委托方同意，不能擅自提供给第三方。</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本合同变更，解除及终止，本条款均有效。</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六、验收、评价方法：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1、编制成果论证评审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编制成果阶段性论证评审：在编制过程中，委托方将组织一次阶段性成果论证评审会，顾问方根据论证评审会上的意见和建议进行修改和完善；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编制成果送审论证评审：顾问方在合同约定的时间内完成的编制成果送交委托方，委托方组织送审论证会进行论证评审，顾问方根据论证评审会上的意见和建议进行修改和完善；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论证评审会地点由双方协商确定；</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论证评审工作产生的费用，由顾问方承担。</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在编制过程中，招标人将面向各级相关部门和单位征求意见和建议。顾问方须予以配合，并根据意见征求情况进行修改和完善。</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七、报酬及支付方式：</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本项目报酬为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支付方式：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分期支付</w:t>
      </w:r>
      <w:r>
        <w:rPr>
          <w:rFonts w:hint="eastAsia" w:ascii="宋体" w:hAnsi="宋体" w:eastAsia="宋体" w:cs="宋体"/>
          <w:b/>
          <w:bCs/>
          <w:color w:val="auto"/>
          <w:sz w:val="24"/>
          <w:szCs w:val="24"/>
          <w:highlight w:val="none"/>
          <w:lang w:eastAsia="zh-CN"/>
        </w:rPr>
        <w:t>）</w:t>
      </w:r>
    </w:p>
    <w:p>
      <w:pPr>
        <w:keepNext w:val="0"/>
        <w:keepLines w:val="0"/>
        <w:pageBreakBefore w:val="0"/>
        <w:widowControl w:val="0"/>
        <w:tabs>
          <w:tab w:val="left" w:pos="831"/>
        </w:tabs>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1）合同签订后的三十天内，委托方支付20%合同款。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2）顾问方提交规划成果并经审查通过后15天内，委托方支付40%合同款；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）规划成果得到批复后，委托方支付剩余</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0%合同款。</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八、违约金或者损失赔偿额的计算方式</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委托方违约</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1.1委托方未按约定及时提供基础资料，或受客观原因的制约未能履行合同约定职责的，有责任采取措施，消除影响。</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合同履行期间，因委托方自身原因，委托方要求中止或解除合同，如果顾问方尚未开始研究工作，不退还委托方己付的合同款；如顾问方实际己完成工作量价款大于己付的合同款时，不足部分应由委托方补齐。</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顾问方违约</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2.1顾问方未按合同约定提供组织保证方面服务，影响履行职责的，应按委托方要求继续履行职责，并接受委托方处罚。如给委托方造成损失的，顾问方应减收或免收研究工作费用，并给予相应损失的赔偿。</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2.2若因顾问方原因导致提交的编制成果文件无法通过委托方组织的评审，委托方有权发出如下任一指令，顾问方必须遵照执行。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(1)对不合格部分重新进行编制，由此引起的费用增加和工期延误由顾问方自行负责；</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(2)解除该不合格部分的合同，委托方将该不合格部分指定分包给其他研究单位，并扣除顾问方合同总价中此部分的研究费用；</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2.3顾问方在合同有效期内，应当履行合同约定的义务，如因非委托方的原因而产生质量事故、工期延误，造成委托方实际损失或虽未发生实际损失但存有风险，顾问方应承担相应赔偿责任。</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2.4顾问方未按合同约定及时提交相关技术文件、研究报告，影响委托方开展下一步工作的，顾问方应承担相应赔偿责任。</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2.5顾问方未按合同约定提交各阶段研究报告，每延迟一天，按3000元/天的标准赔偿，最高赔偿额度为合同总价的4%。</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2.6合同生效后，顾问方如要求中止或解除合同，顾问方应双倍返还委托方已支付的合同款。</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合同生效后，顾问方无正当理由而又未完全履行合同规定的义务时，委托方可向顾问方发出指明其未履行义务的通知。若委托方发出通知后14日内未收到满意的书面答复，委托方将有权视情形在发出通知后28日内或委托方认为合理的时间内向顾问方发出解除本合同的通知，该通知到达顾问方时合同即行终止。双方按有效的研究工作量结算费用。若由此而造成委托方重大损失时，顾问方应赔偿损失，并承担由此而产生的法律责任。</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九、合同生效、变更、中止、解除和终止</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本合同生效的时间以双方签署的合同上注明的时间为准。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当任何一方提出申请并经双方书面同意后，可对本合同进行变更。要求变更的申请及变更协议必须采用书面形式，变更合同未达成之前，原合同仍然有效。</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对本合同条款的任何变更、修改或增减，须经双方协商同意后由法定代表人或委托代理人签署书面文件，作为本合同的组成部分。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顾问方有故意或恶意违约行为，委托方可单方面解除合同并要求顾问方双倍返还委托方已支付合同款作为惩罚。</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双方协商一致，可以解除合同。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双方因不可抗力致使合同无法履行，可以解除合同。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合同解除后， 双方在合同中约定的结算和清理条款、损失赔偿条款及争议解决条款继续有效。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十、风险与保险</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不可抗力参照中华人民共和国保险监督管理委员会关于不可抗力的解释。</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因合同一方延迟履行合同后发生不可抗力的，不能免除履行方的相应责任。</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十一、争议及解决</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委托方与顾问方在履行合同时发生争议，可以和解或者要求有关部门调解。如不愿和解、调解或者和解、调解不成的，双方约定向台州仲裁委员会申请仲裁解决争议。</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十二、合同生效及其它</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1、委托方委托顾问方承担本合同内容以外的工作服务，另行签订协议并支付费用。</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2、由于不可抗拒因素致使合同无法履行时，双方应及时协商解决。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3、本合同生效后，按规定应到政府采购监管备案。双方履行完合同规定的义务后，本合同即行终止。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4、双方来往传真、电报、会议纪要等，经双方认可后均为合同的组成部分，与本合同具有同等法律效力。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5、未尽事宜，经双方协商一致，签订补充协议，补充协议与本合同具有同等法律效力。</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083"/>
        <w:gridCol w:w="2902"/>
        <w:gridCol w:w="19"/>
        <w:gridCol w:w="59"/>
        <w:gridCol w:w="1131"/>
        <w:gridCol w:w="72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restart"/>
            <w:tcBorders>
              <w:top w:val="single" w:color="auto" w:sz="8"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委托方</w:t>
            </w:r>
            <w:r>
              <w:rPr>
                <w:rFonts w:ascii="Calibri" w:hAnsi="Calibri" w:eastAsia="宋体"/>
                <w:color w:val="auto"/>
                <w:sz w:val="24"/>
                <w:szCs w:val="24"/>
                <w:highlight w:val="none"/>
              </w:rPr>
              <mc:AlternateContent>
                <mc:Choice Requires="wps">
                  <w:drawing>
                    <wp:anchor distT="0" distB="0" distL="114300" distR="114300" simplePos="0" relativeHeight="251658240" behindDoc="0" locked="0" layoutInCell="0" allowOverlap="1">
                      <wp:simplePos x="0" y="0"/>
                      <wp:positionH relativeFrom="column">
                        <wp:posOffset>-1143000</wp:posOffset>
                      </wp:positionH>
                      <wp:positionV relativeFrom="paragraph">
                        <wp:posOffset>516255</wp:posOffset>
                      </wp:positionV>
                      <wp:extent cx="76200" cy="172085"/>
                      <wp:effectExtent l="4445" t="4445" r="14605" b="13970"/>
                      <wp:wrapNone/>
                      <wp:docPr id="1" name="左中括号 1"/>
                      <wp:cNvGraphicFramePr/>
                      <a:graphic xmlns:a="http://schemas.openxmlformats.org/drawingml/2006/main">
                        <a:graphicData uri="http://schemas.microsoft.com/office/word/2010/wordprocessingShape">
                          <wps:wsp>
                            <wps:cNvSpPr/>
                            <wps:spPr>
                              <a:xfrm>
                                <a:off x="0" y="0"/>
                                <a:ext cx="76200" cy="172085"/>
                              </a:xfrm>
                              <a:prstGeom prst="leftBracket">
                                <a:avLst>
                                  <a:gd name="adj" fmla="val 1881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90pt;margin-top:40.65pt;height:13.55pt;width:6pt;z-index:251658240;mso-width-relative:page;mso-height-relative:page;" filled="f" stroked="t" coordsize="21600,21600" o:allowincell="f" o:gfxdata="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SyWl1wAAAAwBAAAPAAAAAAAAAAEAIAAAACIAAABkcnMvZG93bnJldi54bWxQ&#10;SwECFAAUAAAACACHTuJAgORfivgBAADUAwAADgAAAAAAAAABACAAAAAmAQAAZHJzL2Uyb0RvYy54&#10;bWxQSwUGAAAAAAYABgBZAQAAkAUAAAAA&#10;" adj="1799">
                      <v:fill on="f" focussize="0,0"/>
                      <v:stroke color="#000000" joinstyle="round"/>
                      <v:imagedata o:title=""/>
                      <o:lock v:ext="edit" aspectratio="f"/>
                    </v:shape>
                  </w:pict>
                </mc:Fallback>
              </mc:AlternateContent>
            </w:r>
          </w:p>
        </w:tc>
        <w:tc>
          <w:tcPr>
            <w:tcW w:w="2083" w:type="dxa"/>
            <w:tcBorders>
              <w:top w:val="single" w:color="auto" w:sz="8"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8"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玉环市农业农村和水利</w:t>
            </w:r>
            <w:r>
              <w:rPr>
                <w:rFonts w:hint="eastAsia" w:ascii="宋体" w:hAnsi="宋体"/>
                <w:color w:val="auto"/>
                <w:sz w:val="24"/>
                <w:szCs w:val="24"/>
                <w:highlight w:val="none"/>
                <w:lang w:eastAsia="zh-CN"/>
              </w:rPr>
              <w:t>局</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85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ind w:right="420"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restart"/>
            <w:tcBorders>
              <w:top w:val="single" w:color="auto" w:sz="4"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顾问方</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160" w:firstLineChars="9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1080" w:firstLineChars="4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jc w:val="center"/>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360" w:firstLineChars="1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bl>
    <w:p>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pPr>
        <w:pStyle w:val="17"/>
        <w:rPr>
          <w:rFonts w:hint="eastAsia" w:eastAsia="仿宋_GB2312"/>
          <w:color w:val="auto"/>
          <w:highlight w:val="none"/>
          <w:lang w:eastAsia="zh-CN"/>
        </w:rPr>
      </w:pPr>
      <w:r>
        <w:rPr>
          <w:rFonts w:hint="eastAsia" w:ascii="宋体" w:hAnsi="宋体"/>
          <w:b/>
          <w:bCs/>
          <w:color w:val="auto"/>
          <w:sz w:val="36"/>
          <w:szCs w:val="36"/>
          <w:highlight w:val="none"/>
          <w:lang w:eastAsia="zh-CN"/>
        </w:rPr>
        <w:t>（仅供参考）</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8"/>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8"/>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8"/>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color w:val="auto"/>
          <w:sz w:val="28"/>
          <w:szCs w:val="28"/>
          <w:highlight w:val="none"/>
        </w:rPr>
        <w:t>具备履行合同所必需的设备和专业技术能力的证明材料</w:t>
      </w:r>
    </w:p>
    <w:p>
      <w:pPr>
        <w:snapToGrid w:val="0"/>
        <w:spacing w:line="360" w:lineRule="auto"/>
        <w:ind w:firstLine="548" w:firstLineChars="196"/>
        <w:rPr>
          <w:rFonts w:hint="eastAsia" w:ascii="宋体" w:hAnsi="宋体" w:eastAsia="宋体"/>
          <w:color w:val="auto"/>
          <w:kern w:val="0"/>
          <w:sz w:val="28"/>
          <w:szCs w:val="28"/>
          <w:highlight w:val="none"/>
          <w:lang w:eastAsia="zh-CN"/>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w:t>
      </w:r>
      <w:r>
        <w:rPr>
          <w:rFonts w:hint="eastAsia" w:ascii="宋体" w:hAnsi="宋体"/>
          <w:color w:val="auto"/>
          <w:kern w:val="0"/>
          <w:sz w:val="28"/>
          <w:szCs w:val="28"/>
          <w:highlight w:val="none"/>
          <w:lang w:eastAsia="zh-CN"/>
        </w:rPr>
        <w:t>（或评标时所需的证书材料）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theme="minorBidi"/>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keepNext w:val="0"/>
        <w:keepLines w:val="0"/>
        <w:pageBreakBefore w:val="0"/>
        <w:widowControl w:val="0"/>
        <w:numPr>
          <w:ilvl w:val="255"/>
          <w:numId w:val="0"/>
        </w:numPr>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cs="仿宋_GB2312"/>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ascii="宋体" w:hAnsi="宋体"/>
          <w:b/>
          <w:color w:val="auto"/>
          <w:sz w:val="28"/>
          <w:highlight w:val="none"/>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auto"/>
        <w:ind w:firstLine="480" w:firstLineChars="2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pStyle w:val="11"/>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附件4：</w:t>
      </w:r>
    </w:p>
    <w:p>
      <w:pPr>
        <w:snapToGrid w:val="0"/>
        <w:spacing w:before="156" w:beforeLines="50" w:after="50" w:line="360" w:lineRule="auto"/>
        <w:jc w:val="right"/>
        <w:rPr>
          <w:rFonts w:ascii="仿宋_GB2312" w:hAnsi="宋体" w:eastAsia="仿宋_GB2312"/>
          <w:bCs/>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pStyle w:val="17"/>
        <w:rPr>
          <w:color w:val="auto"/>
          <w:highlight w:val="none"/>
        </w:rPr>
      </w:pPr>
      <w:r>
        <w:rPr>
          <w:rFonts w:hint="eastAsia" w:ascii="宋体" w:hAnsi="宋体"/>
          <w:b/>
          <w:bCs/>
          <w:color w:val="auto"/>
          <w:sz w:val="36"/>
          <w:szCs w:val="36"/>
          <w:highlight w:val="none"/>
          <w:lang w:eastAsia="zh-CN"/>
        </w:rPr>
        <w:t>（</w:t>
      </w:r>
      <w:r>
        <w:rPr>
          <w:rFonts w:hint="eastAsia" w:ascii="宋体" w:hAnsi="宋体"/>
          <w:b/>
          <w:bCs/>
          <w:color w:val="auto"/>
          <w:sz w:val="36"/>
          <w:szCs w:val="36"/>
          <w:highlight w:val="none"/>
          <w:u w:val="single"/>
          <w:lang w:eastAsia="zh-CN"/>
        </w:rPr>
        <w:t>仅供参考</w:t>
      </w:r>
      <w:r>
        <w:rPr>
          <w:rFonts w:hint="eastAsia" w:ascii="宋体" w:hAnsi="宋体"/>
          <w:b/>
          <w:bCs/>
          <w:color w:val="auto"/>
          <w:sz w:val="36"/>
          <w:szCs w:val="36"/>
          <w:highlight w:val="none"/>
          <w:lang w:eastAsia="zh-CN"/>
        </w:rPr>
        <w:t>）</w:t>
      </w:r>
    </w:p>
    <w:p>
      <w:pPr>
        <w:snapToGrid w:val="0"/>
        <w:spacing w:line="360" w:lineRule="auto"/>
        <w:ind w:firstLine="562" w:firstLineChars="200"/>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eastAsia="zh-CN"/>
        </w:rPr>
        <w:t>▲得分自查表（</w:t>
      </w:r>
      <w:r>
        <w:rPr>
          <w:rFonts w:hint="eastAsia" w:ascii="宋体" w:hAnsi="宋体"/>
          <w:b/>
          <w:bCs/>
          <w:color w:val="auto"/>
          <w:sz w:val="28"/>
          <w:szCs w:val="28"/>
          <w:highlight w:val="none"/>
          <w:u w:val="single"/>
          <w:lang w:eastAsia="zh-CN"/>
        </w:rPr>
        <w:t>附件</w:t>
      </w:r>
      <w:r>
        <w:rPr>
          <w:rFonts w:hint="eastAsia" w:ascii="宋体" w:hAnsi="宋体"/>
          <w:b/>
          <w:bCs/>
          <w:color w:val="auto"/>
          <w:sz w:val="28"/>
          <w:szCs w:val="28"/>
          <w:highlight w:val="none"/>
          <w:u w:val="single"/>
          <w:lang w:val="en-US" w:eastAsia="zh-CN"/>
        </w:rPr>
        <w:t>18</w:t>
      </w:r>
      <w:r>
        <w:rPr>
          <w:rFonts w:hint="eastAsia" w:ascii="宋体" w:hAnsi="宋体"/>
          <w:b/>
          <w:bCs/>
          <w:color w:val="auto"/>
          <w:sz w:val="28"/>
          <w:szCs w:val="28"/>
          <w:highlight w:val="none"/>
          <w:lang w:eastAsia="zh-CN"/>
        </w:rPr>
        <w:t>）</w:t>
      </w:r>
    </w:p>
    <w:p>
      <w:pP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第一部分  总体方案描述部分</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s="宋体"/>
          <w:color w:val="auto"/>
          <w:sz w:val="28"/>
          <w:szCs w:val="28"/>
          <w:highlight w:val="none"/>
        </w:rPr>
        <w:t>投标人情况介绍</w:t>
      </w:r>
      <w:r>
        <w:rPr>
          <w:rFonts w:hint="eastAsia" w:ascii="宋体" w:hAnsi="宋体"/>
          <w:color w:val="auto"/>
          <w:sz w:val="28"/>
          <w:szCs w:val="28"/>
          <w:highlight w:val="none"/>
        </w:rPr>
        <w:t>（附件5）；</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2、总体方案描述；</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s="宋体"/>
          <w:color w:val="auto"/>
          <w:sz w:val="28"/>
          <w:szCs w:val="28"/>
          <w:highlight w:val="none"/>
        </w:rPr>
        <w:t>项目实施方案</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附件6、附件7</w:t>
      </w:r>
      <w:r>
        <w:rPr>
          <w:rFonts w:hint="eastAsia" w:ascii="宋体" w:hAnsi="宋体" w:cs="宋体"/>
          <w:color w:val="auto"/>
          <w:sz w:val="28"/>
          <w:szCs w:val="28"/>
          <w:highlight w:val="none"/>
          <w:lang w:eastAsia="zh-CN"/>
        </w:rPr>
        <w:t>）</w:t>
      </w:r>
      <w:r>
        <w:rPr>
          <w:rFonts w:ascii="宋体" w:hAnsi="宋体"/>
          <w:color w:val="auto"/>
          <w:sz w:val="28"/>
          <w:szCs w:val="28"/>
          <w:highlight w:val="none"/>
        </w:rPr>
        <w:t xml:space="preserve">； </w:t>
      </w:r>
    </w:p>
    <w:p>
      <w:pPr>
        <w:snapToGrid w:val="0"/>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第二部分  投标产品描述部分</w:t>
      </w:r>
    </w:p>
    <w:p>
      <w:pPr>
        <w:snapToGrid w:val="0"/>
        <w:spacing w:line="360" w:lineRule="auto"/>
        <w:ind w:firstLine="548" w:firstLineChars="196"/>
        <w:rPr>
          <w:rFonts w:hint="eastAsia" w:ascii="宋体" w:hAnsi="宋体"/>
          <w:color w:val="auto"/>
          <w:kern w:val="0"/>
          <w:sz w:val="28"/>
          <w:szCs w:val="28"/>
          <w:highlight w:val="none"/>
        </w:rPr>
      </w:pPr>
      <w:r>
        <w:rPr>
          <w:rFonts w:hint="eastAsia" w:ascii="宋体" w:hAnsi="宋体"/>
          <w:color w:val="auto"/>
          <w:sz w:val="28"/>
          <w:szCs w:val="28"/>
          <w:highlight w:val="none"/>
        </w:rPr>
        <w:t>1、</w:t>
      </w:r>
      <w:r>
        <w:rPr>
          <w:rFonts w:hint="eastAsia" w:ascii="宋体" w:hAnsi="宋体"/>
          <w:color w:val="auto"/>
          <w:kern w:val="0"/>
          <w:sz w:val="28"/>
          <w:szCs w:val="28"/>
          <w:highlight w:val="none"/>
        </w:rPr>
        <w:t>投标产品描述及相关资料（</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附件8、附件9</w:t>
      </w:r>
      <w:r>
        <w:rPr>
          <w:rFonts w:hint="eastAsia" w:ascii="宋体" w:hAnsi="宋体"/>
          <w:color w:val="auto"/>
          <w:kern w:val="0"/>
          <w:sz w:val="28"/>
          <w:szCs w:val="28"/>
          <w:highlight w:val="none"/>
        </w:rPr>
        <w:t>）；</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s="Times New Roman"/>
          <w:color w:val="auto"/>
          <w:sz w:val="28"/>
          <w:szCs w:val="28"/>
          <w:highlight w:val="none"/>
          <w:lang w:val="en-US" w:eastAsia="zh-CN"/>
        </w:rPr>
        <w:t>2、</w:t>
      </w:r>
      <w:r>
        <w:rPr>
          <w:rFonts w:hint="eastAsia" w:ascii="宋体" w:hAnsi="宋体"/>
          <w:color w:val="auto"/>
          <w:sz w:val="28"/>
          <w:szCs w:val="28"/>
          <w:highlight w:val="none"/>
        </w:rPr>
        <w:t>投标人</w:t>
      </w:r>
      <w:r>
        <w:rPr>
          <w:rFonts w:ascii="宋体" w:hAnsi="宋体"/>
          <w:color w:val="auto"/>
          <w:sz w:val="28"/>
          <w:szCs w:val="28"/>
          <w:highlight w:val="none"/>
        </w:rPr>
        <w:t>需要说明的其他</w:t>
      </w:r>
      <w:r>
        <w:rPr>
          <w:rFonts w:hint="eastAsia" w:ascii="宋体" w:hAnsi="宋体"/>
          <w:color w:val="auto"/>
          <w:sz w:val="28"/>
          <w:szCs w:val="28"/>
          <w:highlight w:val="none"/>
        </w:rPr>
        <w:t>内容；（</w:t>
      </w:r>
      <w:r>
        <w:rPr>
          <w:rFonts w:hint="eastAsia" w:ascii="宋体" w:hAnsi="宋体" w:cs="宋体"/>
          <w:color w:val="auto"/>
          <w:sz w:val="28"/>
          <w:szCs w:val="28"/>
          <w:highlight w:val="none"/>
        </w:rPr>
        <w:t>包括可能影响投标人技术性能评分项的各类证明材料）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第三部分  商务响应部分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1、证书一览表（附件10）；</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2、类似服务业绩（附件11）</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3、售后服务描述及承诺（</w:t>
      </w:r>
      <w:r>
        <w:rPr>
          <w:rFonts w:hint="eastAsia" w:ascii="宋体" w:hAnsi="宋体"/>
          <w:color w:val="auto"/>
          <w:kern w:val="0"/>
          <w:sz w:val="28"/>
          <w:szCs w:val="28"/>
          <w:highlight w:val="none"/>
          <w:u w:val="single"/>
        </w:rPr>
        <w:t>可视情选用</w:t>
      </w:r>
      <w:r>
        <w:rPr>
          <w:rFonts w:hint="eastAsia" w:ascii="宋体" w:hAnsi="宋体"/>
          <w:color w:val="auto"/>
          <w:kern w:val="0"/>
          <w:sz w:val="28"/>
          <w:szCs w:val="28"/>
          <w:highlight w:val="none"/>
        </w:rPr>
        <w:t>附件12，附件13）；</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rPr>
        <w:t>4、投标人需要说明的其他内容。（包括可能影响投标人企业实力及信誉评分项以及售后服务评分项的各类证明材料）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lang w:eastAsia="zh-CN"/>
        </w:rPr>
        <w:t>四</w:t>
      </w:r>
      <w:r>
        <w:rPr>
          <w:rFonts w:hint="eastAsia" w:ascii="宋体" w:hAnsi="宋体"/>
          <w:b/>
          <w:bCs/>
          <w:color w:val="auto"/>
          <w:kern w:val="0"/>
          <w:sz w:val="28"/>
          <w:szCs w:val="28"/>
          <w:highlight w:val="none"/>
        </w:rPr>
        <w:t xml:space="preserve">部分  </w:t>
      </w:r>
      <w:r>
        <w:rPr>
          <w:rFonts w:hint="eastAsia" w:ascii="宋体" w:hAnsi="宋体"/>
          <w:b/>
          <w:bCs/>
          <w:color w:val="auto"/>
          <w:kern w:val="0"/>
          <w:sz w:val="28"/>
          <w:szCs w:val="28"/>
          <w:highlight w:val="none"/>
          <w:lang w:eastAsia="zh-CN"/>
        </w:rPr>
        <w:t>技术</w:t>
      </w:r>
      <w:r>
        <w:rPr>
          <w:rFonts w:hint="eastAsia" w:ascii="宋体" w:hAnsi="宋体"/>
          <w:b/>
          <w:bCs/>
          <w:color w:val="auto"/>
          <w:kern w:val="0"/>
          <w:sz w:val="28"/>
          <w:szCs w:val="28"/>
          <w:highlight w:val="none"/>
        </w:rPr>
        <w:t>方案</w:t>
      </w:r>
    </w:p>
    <w:p>
      <w:pPr>
        <w:snapToGrid w:val="0"/>
        <w:spacing w:line="360" w:lineRule="auto"/>
        <w:ind w:left="837" w:leftChars="260" w:hanging="291" w:hangingChars="104"/>
        <w:rPr>
          <w:rFonts w:ascii="宋体" w:hAnsi="宋体"/>
          <w:color w:val="auto"/>
          <w:kern w:val="0"/>
          <w:sz w:val="28"/>
          <w:szCs w:val="28"/>
          <w:highlight w:val="none"/>
        </w:rPr>
      </w:pPr>
    </w:p>
    <w:p>
      <w:pPr>
        <w:pStyle w:val="38"/>
        <w:shd w:val="clear" w:color="auto" w:fill="FFFFFF"/>
        <w:spacing w:before="0" w:beforeAutospacing="0" w:after="0" w:afterAutospacing="0" w:line="360" w:lineRule="auto"/>
        <w:rPr>
          <w:b/>
          <w:color w:val="auto"/>
          <w:sz w:val="28"/>
          <w:highlight w:val="none"/>
        </w:rPr>
      </w:pPr>
    </w:p>
    <w:p>
      <w:pPr>
        <w:rPr>
          <w:rFonts w:hint="eastAsia"/>
          <w:b/>
          <w:color w:val="auto"/>
          <w:sz w:val="28"/>
          <w:highlight w:val="none"/>
        </w:rPr>
      </w:pPr>
      <w:r>
        <w:rPr>
          <w:rFonts w:hint="eastAsia"/>
          <w:b/>
          <w:color w:val="auto"/>
          <w:sz w:val="28"/>
          <w:highlight w:val="none"/>
        </w:rPr>
        <w:br w:type="page"/>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b/>
          <w:color w:val="auto"/>
          <w:sz w:val="28"/>
          <w:highlight w:val="none"/>
        </w:rPr>
      </w:pPr>
      <w:r>
        <w:rPr>
          <w:rFonts w:hint="eastAsia"/>
          <w:b/>
          <w:color w:val="auto"/>
          <w:sz w:val="28"/>
          <w:highlight w:val="none"/>
        </w:rPr>
        <w:t>附件5</w:t>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b/>
          <w:bCs/>
          <w:color w:val="auto"/>
          <w:spacing w:val="21"/>
          <w:sz w:val="32"/>
          <w:szCs w:val="32"/>
          <w:highlight w:val="none"/>
        </w:rPr>
      </w:pPr>
      <w:r>
        <w:rPr>
          <w:rFonts w:hint="eastAsia"/>
          <w:b/>
          <w:color w:val="auto"/>
          <w:sz w:val="32"/>
          <w:szCs w:val="32"/>
          <w:highlight w:val="none"/>
        </w:rPr>
        <w:t xml:space="preserve">  投标</w:t>
      </w:r>
      <w:r>
        <w:rPr>
          <w:rFonts w:hint="eastAsia"/>
          <w:b/>
          <w:bCs/>
          <w:color w:val="auto"/>
          <w:spacing w:val="21"/>
          <w:sz w:val="32"/>
          <w:szCs w:val="32"/>
          <w:highlight w:val="none"/>
        </w:rPr>
        <w:t>人基本情况表</w:t>
      </w: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682" w:type="dxa"/>
          </w:tcPr>
          <w:p>
            <w:pPr>
              <w:pStyle w:val="38"/>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38"/>
              <w:shd w:val="clear" w:color="auto" w:fill="FFFFFF"/>
              <w:spacing w:line="360" w:lineRule="auto"/>
              <w:rPr>
                <w:bCs/>
                <w:color w:val="auto"/>
                <w:highlight w:val="none"/>
              </w:rPr>
            </w:pP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2" w:type="dxa"/>
          </w:tcPr>
          <w:p>
            <w:pPr>
              <w:pStyle w:val="38"/>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38"/>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38"/>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38"/>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8"/>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38"/>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vMerge w:val="continue"/>
          </w:tcPr>
          <w:p>
            <w:pPr>
              <w:pStyle w:val="38"/>
              <w:shd w:val="clear" w:color="auto" w:fill="FFFFFF"/>
              <w:spacing w:line="360" w:lineRule="auto"/>
              <w:rPr>
                <w:bCs/>
                <w:color w:val="auto"/>
                <w:spacing w:val="16"/>
                <w:highlight w:val="none"/>
              </w:rPr>
            </w:pPr>
          </w:p>
        </w:tc>
        <w:tc>
          <w:tcPr>
            <w:tcW w:w="2151" w:type="dxa"/>
            <w:gridSpan w:val="2"/>
            <w:vMerge w:val="continue"/>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38"/>
              <w:shd w:val="clear" w:color="auto" w:fill="FFFFFF"/>
              <w:spacing w:line="360" w:lineRule="auto"/>
              <w:ind w:left="107"/>
              <w:rPr>
                <w:bCs/>
                <w:color w:val="auto"/>
                <w:highlight w:val="none"/>
              </w:rPr>
            </w:pPr>
            <w:r>
              <w:rPr>
                <w:rFonts w:hint="eastAsia"/>
                <w:bCs/>
                <w:color w:val="auto"/>
                <w:highlight w:val="none"/>
              </w:rPr>
              <w:t>企</w:t>
            </w:r>
          </w:p>
          <w:p>
            <w:pPr>
              <w:pStyle w:val="38"/>
              <w:shd w:val="clear" w:color="auto" w:fill="FFFFFF"/>
              <w:spacing w:line="360" w:lineRule="auto"/>
              <w:ind w:left="107"/>
              <w:rPr>
                <w:bCs/>
                <w:color w:val="auto"/>
                <w:highlight w:val="none"/>
              </w:rPr>
            </w:pPr>
            <w:r>
              <w:rPr>
                <w:rFonts w:hint="eastAsia"/>
                <w:bCs/>
                <w:color w:val="auto"/>
                <w:highlight w:val="none"/>
              </w:rPr>
              <w:t>业</w:t>
            </w:r>
          </w:p>
          <w:p>
            <w:pPr>
              <w:pStyle w:val="38"/>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38"/>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38"/>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38"/>
              <w:shd w:val="clear" w:color="auto" w:fill="FFFFFF"/>
              <w:spacing w:line="360" w:lineRule="auto"/>
              <w:rPr>
                <w:bCs/>
                <w:color w:val="auto"/>
                <w:spacing w:val="16"/>
                <w:highlight w:val="none"/>
              </w:rPr>
            </w:pPr>
          </w:p>
        </w:tc>
        <w:tc>
          <w:tcPr>
            <w:tcW w:w="1163" w:type="dxa"/>
            <w:tcBorders>
              <w:top w:val="nil"/>
            </w:tcBorders>
          </w:tcPr>
          <w:p>
            <w:pPr>
              <w:pStyle w:val="38"/>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38"/>
              <w:shd w:val="clear" w:color="auto" w:fill="FFFFFF"/>
              <w:spacing w:line="360" w:lineRule="auto"/>
              <w:rPr>
                <w:bCs/>
                <w:color w:val="auto"/>
                <w:highlight w:val="none"/>
              </w:rPr>
            </w:pPr>
          </w:p>
        </w:tc>
        <w:tc>
          <w:tcPr>
            <w:tcW w:w="1163" w:type="dxa"/>
          </w:tcPr>
          <w:p>
            <w:pPr>
              <w:pStyle w:val="38"/>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38"/>
              <w:shd w:val="clear" w:color="auto" w:fill="FFFFFF"/>
              <w:spacing w:line="360" w:lineRule="auto"/>
              <w:ind w:firstLine="240" w:firstLineChars="100"/>
              <w:rPr>
                <w:bCs/>
                <w:color w:val="auto"/>
                <w:highlight w:val="none"/>
              </w:rPr>
            </w:pPr>
            <w:r>
              <w:rPr>
                <w:rFonts w:hint="eastAsia"/>
                <w:bCs/>
                <w:color w:val="auto"/>
                <w:highlight w:val="none"/>
              </w:rPr>
              <w:t>平方米</w:t>
            </w:r>
          </w:p>
          <w:p>
            <w:pPr>
              <w:pStyle w:val="38"/>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38"/>
              <w:shd w:val="clear" w:color="auto" w:fill="FFFFFF"/>
              <w:spacing w:line="360" w:lineRule="auto"/>
              <w:ind w:left="2"/>
              <w:rPr>
                <w:bCs/>
                <w:color w:val="auto"/>
                <w:highlight w:val="none"/>
              </w:rPr>
            </w:pPr>
          </w:p>
        </w:tc>
        <w:tc>
          <w:tcPr>
            <w:tcW w:w="1163" w:type="dxa"/>
          </w:tcPr>
          <w:p>
            <w:pPr>
              <w:pStyle w:val="38"/>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38"/>
              <w:shd w:val="clear" w:color="auto" w:fill="FFFFFF"/>
              <w:spacing w:line="360" w:lineRule="auto"/>
              <w:ind w:left="107"/>
              <w:rPr>
                <w:bCs/>
                <w:color w:val="auto"/>
                <w:highlight w:val="none"/>
              </w:rPr>
            </w:pPr>
          </w:p>
        </w:tc>
        <w:tc>
          <w:tcPr>
            <w:tcW w:w="1218" w:type="dxa"/>
          </w:tcPr>
          <w:p>
            <w:pPr>
              <w:pStyle w:val="38"/>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auto"/>
                <w:highlight w:val="none"/>
              </w:rPr>
            </w:pPr>
          </w:p>
        </w:tc>
        <w:tc>
          <w:tcPr>
            <w:tcW w:w="8131" w:type="dxa"/>
            <w:gridSpan w:val="11"/>
          </w:tcPr>
          <w:p>
            <w:pPr>
              <w:pStyle w:val="38"/>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38"/>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38"/>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38"/>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38"/>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38"/>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38"/>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auto"/>
                <w:highlight w:val="none"/>
              </w:rPr>
            </w:pPr>
          </w:p>
        </w:tc>
        <w:tc>
          <w:tcPr>
            <w:tcW w:w="1553" w:type="dxa"/>
            <w:gridSpan w:val="2"/>
            <w:vMerge w:val="continue"/>
          </w:tcPr>
          <w:p>
            <w:pPr>
              <w:pStyle w:val="38"/>
              <w:shd w:val="clear" w:color="auto" w:fill="FFFFFF"/>
              <w:spacing w:line="360" w:lineRule="auto"/>
              <w:rPr>
                <w:bCs/>
                <w:color w:val="auto"/>
                <w:highlight w:val="none"/>
              </w:rPr>
            </w:pPr>
          </w:p>
        </w:tc>
        <w:tc>
          <w:tcPr>
            <w:tcW w:w="1333" w:type="dxa"/>
            <w:gridSpan w:val="3"/>
          </w:tcPr>
          <w:p>
            <w:pPr>
              <w:pStyle w:val="38"/>
              <w:shd w:val="clear" w:color="auto" w:fill="FFFFFF"/>
              <w:spacing w:line="360" w:lineRule="auto"/>
              <w:rPr>
                <w:bCs/>
                <w:color w:val="auto"/>
                <w:highlight w:val="none"/>
              </w:rPr>
            </w:pPr>
          </w:p>
        </w:tc>
        <w:tc>
          <w:tcPr>
            <w:tcW w:w="1418" w:type="dxa"/>
            <w:gridSpan w:val="2"/>
          </w:tcPr>
          <w:p>
            <w:pPr>
              <w:pStyle w:val="38"/>
              <w:shd w:val="clear" w:color="auto" w:fill="FFFFFF"/>
              <w:spacing w:line="360" w:lineRule="auto"/>
              <w:rPr>
                <w:bCs/>
                <w:color w:val="auto"/>
                <w:highlight w:val="none"/>
              </w:rPr>
            </w:pPr>
          </w:p>
        </w:tc>
        <w:tc>
          <w:tcPr>
            <w:tcW w:w="1276" w:type="dxa"/>
          </w:tcPr>
          <w:p>
            <w:pPr>
              <w:pStyle w:val="38"/>
              <w:shd w:val="clear" w:color="auto" w:fill="FFFFFF"/>
              <w:spacing w:line="360" w:lineRule="auto"/>
              <w:rPr>
                <w:bCs/>
                <w:color w:val="auto"/>
                <w:highlight w:val="none"/>
              </w:rPr>
            </w:pPr>
          </w:p>
        </w:tc>
        <w:tc>
          <w:tcPr>
            <w:tcW w:w="2551" w:type="dxa"/>
            <w:gridSpan w:val="3"/>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auto"/>
                <w:spacing w:val="16"/>
                <w:highlight w:val="none"/>
              </w:rPr>
            </w:pPr>
          </w:p>
        </w:tc>
        <w:tc>
          <w:tcPr>
            <w:tcW w:w="1553" w:type="dxa"/>
            <w:gridSpan w:val="2"/>
          </w:tcPr>
          <w:p>
            <w:pPr>
              <w:pStyle w:val="38"/>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auto"/>
                <w:spacing w:val="27"/>
                <w:highlight w:val="none"/>
              </w:rPr>
            </w:pPr>
          </w:p>
        </w:tc>
        <w:tc>
          <w:tcPr>
            <w:tcW w:w="1553" w:type="dxa"/>
            <w:gridSpan w:val="2"/>
          </w:tcPr>
          <w:p>
            <w:pPr>
              <w:pStyle w:val="38"/>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38"/>
              <w:shd w:val="clear" w:color="auto" w:fill="FFFFFF"/>
              <w:spacing w:line="360" w:lineRule="auto"/>
              <w:rPr>
                <w:bCs/>
                <w:color w:val="auto"/>
                <w:spacing w:val="16"/>
                <w:highlight w:val="none"/>
              </w:rPr>
            </w:pPr>
          </w:p>
        </w:tc>
      </w:tr>
    </w:tbl>
    <w:p>
      <w:pPr>
        <w:pStyle w:val="38"/>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8"/>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color w:val="auto"/>
          <w:sz w:val="24"/>
          <w:highlight w:val="none"/>
        </w:rPr>
      </w:pPr>
      <w:r>
        <w:rPr>
          <w:rFonts w:hint="eastAsia" w:ascii="宋体" w:hAnsi="宋体"/>
          <w:b/>
          <w:color w:val="auto"/>
          <w:sz w:val="28"/>
          <w:highlight w:val="none"/>
        </w:rPr>
        <w:t>附件6</w:t>
      </w:r>
    </w:p>
    <w:p>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项目实施人员一览表（第 标）</w:t>
      </w:r>
    </w:p>
    <w:p>
      <w:pPr>
        <w:snapToGrid w:val="0"/>
        <w:spacing w:before="156" w:beforeLines="50" w:after="50" w:line="360" w:lineRule="auto"/>
        <w:jc w:val="center"/>
        <w:rPr>
          <w:rFonts w:ascii="宋体" w:hAnsi="宋体"/>
          <w:b/>
          <w:color w:val="auto"/>
          <w:sz w:val="36"/>
          <w:szCs w:val="36"/>
          <w:highlight w:val="none"/>
        </w:rPr>
      </w:pPr>
    </w:p>
    <w:p>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558"/>
        <w:gridCol w:w="1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val="0"/>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39"/>
        <w:spacing w:line="360" w:lineRule="auto"/>
        <w:ind w:left="424" w:leftChars="202"/>
        <w:rPr>
          <w:rFonts w:hint="eastAsia" w:ascii="宋体" w:hAnsi="宋体" w:eastAsia="宋体"/>
          <w:color w:val="auto"/>
          <w:szCs w:val="21"/>
          <w:highlight w:val="none"/>
          <w:lang w:eastAsia="zh-CN"/>
        </w:rPr>
      </w:pPr>
      <w:r>
        <w:rPr>
          <w:rFonts w:hint="eastAsia" w:ascii="宋体" w:hAnsi="宋体"/>
          <w:color w:val="auto"/>
          <w:szCs w:val="21"/>
          <w:highlight w:val="none"/>
        </w:rPr>
        <w:t>2.附人员证书复印件</w:t>
      </w:r>
      <w:r>
        <w:rPr>
          <w:rFonts w:hint="eastAsia" w:ascii="宋体" w:hAnsi="宋体"/>
          <w:color w:val="auto"/>
          <w:szCs w:val="21"/>
          <w:highlight w:val="none"/>
          <w:lang w:eastAsia="zh-CN"/>
        </w:rPr>
        <w:t>。</w:t>
      </w:r>
    </w:p>
    <w:p>
      <w:pPr>
        <w:pStyle w:val="39"/>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3.出具上述人员在本单位服务的外部证明，如：</w:t>
      </w:r>
      <w:r>
        <w:rPr>
          <w:rFonts w:ascii="宋体" w:hAnsi="宋体"/>
          <w:color w:val="auto"/>
          <w:szCs w:val="21"/>
          <w:highlight w:val="none"/>
        </w:rPr>
        <w:t>投标截止日之前</w:t>
      </w:r>
      <w:r>
        <w:rPr>
          <w:rFonts w:hint="eastAsia" w:ascii="宋体" w:hAnsi="宋体"/>
          <w:color w:val="auto"/>
          <w:szCs w:val="21"/>
          <w:highlight w:val="none"/>
          <w:lang w:val="en-US" w:eastAsia="zh-CN"/>
        </w:rPr>
        <w:t>3</w:t>
      </w:r>
      <w:r>
        <w:rPr>
          <w:rFonts w:ascii="宋体" w:hAnsi="宋体"/>
          <w:color w:val="auto"/>
          <w:szCs w:val="21"/>
          <w:highlight w:val="none"/>
        </w:rPr>
        <w:t>个月以内的</w:t>
      </w:r>
      <w:r>
        <w:rPr>
          <w:rFonts w:hint="eastAsia" w:ascii="宋体" w:hAnsi="宋体"/>
          <w:color w:val="auto"/>
          <w:szCs w:val="21"/>
          <w:highlight w:val="none"/>
        </w:rPr>
        <w:t>代缴个税税单、参加社会保险的《投保单》或《社会保险参保人员证明》等。</w:t>
      </w:r>
    </w:p>
    <w:p>
      <w:pPr>
        <w:spacing w:line="360" w:lineRule="auto"/>
        <w:ind w:left="420"/>
        <w:rPr>
          <w:rFonts w:hint="eastAsia"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b/>
          <w:color w:val="auto"/>
          <w:sz w:val="28"/>
          <w:highlight w:val="none"/>
        </w:rPr>
      </w:pPr>
    </w:p>
    <w:p>
      <w:pPr>
        <w:spacing w:line="360" w:lineRule="auto"/>
        <w:rPr>
          <w:rFonts w:ascii="宋体" w:hAnsi="宋体"/>
          <w:color w:val="auto"/>
          <w:highlight w:val="none"/>
        </w:rPr>
      </w:pPr>
      <w:r>
        <w:rPr>
          <w:rFonts w:hint="eastAsia" w:ascii="宋体" w:hAnsi="宋体"/>
          <w:b/>
          <w:color w:val="auto"/>
          <w:sz w:val="28"/>
          <w:highlight w:val="none"/>
        </w:rPr>
        <w:t>附件7</w:t>
      </w:r>
    </w:p>
    <w:p>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573"/>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357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left"/>
              <w:rPr>
                <w:rFonts w:ascii="宋体" w:hAnsi="宋体"/>
                <w:color w:val="auto"/>
                <w:highlight w:val="none"/>
                <w:lang w:val="zh-CN"/>
              </w:rPr>
            </w:pPr>
            <w:r>
              <w:rPr>
                <w:rFonts w:hint="eastAsia" w:ascii="宋体" w:hAnsi="宋体"/>
                <w:color w:val="auto"/>
                <w:highlight w:val="none"/>
              </w:rPr>
              <w:t>注：业绩证明应提供合同复印件</w:t>
            </w:r>
            <w:r>
              <w:rPr>
                <w:rFonts w:hint="eastAsia" w:ascii="宋体" w:hAnsi="宋体"/>
                <w:color w:val="auto"/>
                <w:highlight w:val="none"/>
                <w:lang w:eastAsia="zh-CN"/>
              </w:rPr>
              <w:t>（</w:t>
            </w:r>
            <w:r>
              <w:rPr>
                <w:rFonts w:hint="eastAsia" w:ascii="Times New Roman" w:hAnsi="Times New Roman" w:cs="Times New Roman"/>
                <w:color w:val="000000"/>
                <w:kern w:val="0"/>
                <w:sz w:val="21"/>
                <w:szCs w:val="21"/>
              </w:rPr>
              <w:t>原件现场备查</w:t>
            </w:r>
            <w:r>
              <w:rPr>
                <w:rFonts w:hint="eastAsia" w:ascii="宋体" w:hAnsi="宋体"/>
                <w:color w:val="auto"/>
                <w:highlight w:val="none"/>
                <w:lang w:eastAsia="zh-CN"/>
              </w:rPr>
              <w:t>）</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供货</w:t>
      </w:r>
      <w:r>
        <w:rPr>
          <w:rFonts w:ascii="宋体" w:hAnsi="宋体"/>
          <w:b/>
          <w:color w:val="auto"/>
          <w:sz w:val="32"/>
          <w:szCs w:val="32"/>
          <w:highlight w:val="none"/>
        </w:rPr>
        <w:t>清单</w:t>
      </w:r>
      <w:r>
        <w:rPr>
          <w:rFonts w:hint="eastAsia" w:ascii="宋体" w:hAnsi="宋体"/>
          <w:b/>
          <w:color w:val="auto"/>
          <w:sz w:val="32"/>
          <w:szCs w:val="32"/>
          <w:highlight w:val="none"/>
        </w:rPr>
        <w:t xml:space="preserve"> (第 标)</w:t>
      </w:r>
    </w:p>
    <w:p>
      <w:pPr>
        <w:spacing w:line="360" w:lineRule="auto"/>
        <w:ind w:left="480"/>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p>
    <w:p>
      <w:pPr>
        <w:spacing w:line="360" w:lineRule="auto"/>
        <w:ind w:left="420"/>
        <w:rPr>
          <w:rFonts w:ascii="宋体" w:hAnsi="宋体"/>
          <w:color w:val="auto"/>
          <w:sz w:val="24"/>
          <w:highlight w:val="none"/>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04"/>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90"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904" w:type="dxa"/>
            <w:vAlign w:val="center"/>
          </w:tcPr>
          <w:p>
            <w:pPr>
              <w:tabs>
                <w:tab w:val="left" w:pos="8280"/>
              </w:tabs>
              <w:autoSpaceDE w:val="0"/>
              <w:autoSpaceDN w:val="0"/>
              <w:adjustRightInd w:val="0"/>
              <w:spacing w:line="360" w:lineRule="auto"/>
              <w:ind w:right="25" w:firstLine="361" w:firstLineChars="150"/>
              <w:jc w:val="both"/>
              <w:rPr>
                <w:rFonts w:ascii="宋体" w:hAnsi="宋体"/>
                <w:b/>
                <w:color w:val="auto"/>
                <w:sz w:val="24"/>
                <w:highlight w:val="none"/>
              </w:rPr>
            </w:pPr>
            <w:r>
              <w:rPr>
                <w:rFonts w:hint="eastAsia" w:ascii="宋体" w:hAnsi="宋体"/>
                <w:b/>
                <w:color w:val="auto"/>
                <w:sz w:val="24"/>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单位</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993"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lang w:eastAsia="zh-CN"/>
              </w:rPr>
              <w:t>时间</w:t>
            </w:r>
          </w:p>
        </w:tc>
        <w:tc>
          <w:tcPr>
            <w:tcW w:w="1559" w:type="dxa"/>
            <w:vAlign w:val="center"/>
          </w:tcPr>
          <w:p>
            <w:pPr>
              <w:spacing w:line="360" w:lineRule="auto"/>
              <w:ind w:left="152"/>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bl>
    <w:p>
      <w:pPr>
        <w:spacing w:line="360" w:lineRule="auto"/>
        <w:ind w:left="420"/>
        <w:rPr>
          <w:rFonts w:ascii="宋体" w:hAnsi="宋体"/>
          <w:color w:val="auto"/>
          <w:sz w:val="24"/>
          <w:highlight w:val="none"/>
        </w:rPr>
      </w:pPr>
    </w:p>
    <w:p>
      <w:pPr>
        <w:spacing w:line="360" w:lineRule="auto"/>
        <w:ind w:left="435"/>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firstLine="559" w:firstLineChars="265"/>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本表中的名称、数量应与报价明细表中相对应的报价名称、数量一致</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firstLine="571" w:firstLineChars="238"/>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color w:val="auto"/>
          <w:sz w:val="32"/>
          <w:szCs w:val="32"/>
          <w:highlight w:val="none"/>
        </w:rPr>
      </w:pPr>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r>
        <w:rPr>
          <w:rFonts w:hint="eastAsia" w:ascii="宋体" w:hAnsi="宋体"/>
          <w:b/>
          <w:color w:val="auto"/>
          <w:sz w:val="32"/>
          <w:szCs w:val="32"/>
          <w:highlight w:val="none"/>
        </w:rPr>
        <w:t>(第 标)</w:t>
      </w:r>
    </w:p>
    <w:p>
      <w:pPr>
        <w:spacing w:line="360" w:lineRule="auto"/>
        <w:rPr>
          <w:rFonts w:ascii="宋体" w:hAnsi="宋体"/>
          <w:color w:val="auto"/>
          <w:sz w:val="24"/>
          <w:highlight w:val="none"/>
        </w:rPr>
      </w:pPr>
    </w:p>
    <w:tbl>
      <w:tblPr>
        <w:tblStyle w:val="20"/>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190"/>
        <w:gridCol w:w="1914"/>
        <w:gridCol w:w="17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902"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90" w:type="dxa"/>
            <w:vAlign w:val="center"/>
          </w:tcPr>
          <w:p>
            <w:pPr>
              <w:spacing w:line="360" w:lineRule="auto"/>
              <w:ind w:left="13" w:leftChars="6" w:firstLine="482" w:firstLineChars="200"/>
              <w:rPr>
                <w:rFonts w:ascii="宋体" w:hAnsi="宋体"/>
                <w:b/>
                <w:color w:val="auto"/>
                <w:sz w:val="24"/>
                <w:highlight w:val="none"/>
              </w:rPr>
            </w:pPr>
            <w:r>
              <w:rPr>
                <w:rFonts w:hint="eastAsia" w:ascii="宋体" w:hAnsi="宋体"/>
                <w:b/>
                <w:color w:val="auto"/>
                <w:sz w:val="24"/>
                <w:highlight w:val="none"/>
              </w:rPr>
              <w:t>名称</w:t>
            </w:r>
          </w:p>
        </w:tc>
        <w:tc>
          <w:tcPr>
            <w:tcW w:w="1914" w:type="dxa"/>
            <w:vAlign w:val="center"/>
          </w:tcPr>
          <w:p>
            <w:pPr>
              <w:spacing w:line="360" w:lineRule="auto"/>
              <w:ind w:left="152"/>
              <w:rPr>
                <w:rFonts w:ascii="宋体" w:hAnsi="宋体"/>
                <w:b/>
                <w:color w:val="auto"/>
                <w:sz w:val="24"/>
                <w:highlight w:val="none"/>
              </w:rPr>
            </w:pPr>
            <w:r>
              <w:rPr>
                <w:rFonts w:hint="eastAsia" w:ascii="宋体" w:hAnsi="宋体"/>
                <w:b/>
                <w:color w:val="auto"/>
                <w:sz w:val="24"/>
                <w:highlight w:val="none"/>
              </w:rPr>
              <w:t>招标参数</w:t>
            </w:r>
          </w:p>
        </w:tc>
        <w:tc>
          <w:tcPr>
            <w:tcW w:w="1719"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投标参数</w:t>
            </w:r>
          </w:p>
        </w:tc>
        <w:tc>
          <w:tcPr>
            <w:tcW w:w="16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bl>
    <w:p>
      <w:pPr>
        <w:pStyle w:val="40"/>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40"/>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41"/>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2"/>
        <w:spacing w:line="360" w:lineRule="auto"/>
        <w:jc w:val="center"/>
        <w:rPr>
          <w:rFonts w:ascii="宋体" w:hAnsi="宋体" w:cs="Arial"/>
          <w:color w:val="auto"/>
          <w:sz w:val="28"/>
          <w:szCs w:val="28"/>
          <w:highlight w:val="none"/>
        </w:rPr>
      </w:pPr>
    </w:p>
    <w:tbl>
      <w:tblPr>
        <w:tblStyle w:val="20"/>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bl>
    <w:p>
      <w:pPr>
        <w:pStyle w:val="42"/>
        <w:tabs>
          <w:tab w:val="left" w:pos="1050"/>
        </w:tabs>
        <w:spacing w:line="360" w:lineRule="auto"/>
        <w:rPr>
          <w:rFonts w:ascii="仿宋_GB2312" w:hAnsi="宋体" w:eastAsia="仿宋_GB2312"/>
          <w:color w:val="auto"/>
          <w:sz w:val="24"/>
          <w:highlight w:val="none"/>
        </w:rPr>
      </w:pPr>
    </w:p>
    <w:p>
      <w:pPr>
        <w:pStyle w:val="4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pStyle w:val="4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41"/>
        <w:spacing w:line="360" w:lineRule="auto"/>
        <w:jc w:val="center"/>
        <w:rPr>
          <w:rFonts w:ascii="仿宋_GB2312" w:eastAsia="仿宋_GB2312"/>
          <w:b/>
          <w:color w:val="auto"/>
          <w:sz w:val="28"/>
          <w:szCs w:val="28"/>
          <w:highlight w:val="none"/>
        </w:rPr>
      </w:pPr>
    </w:p>
    <w:tbl>
      <w:tblPr>
        <w:tblStyle w:val="20"/>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w:t>
      </w:r>
      <w:r>
        <w:rPr>
          <w:rFonts w:hint="eastAsia" w:ascii="宋体" w:hAnsi="宋体" w:cs="Arial"/>
          <w:color w:val="auto"/>
          <w:szCs w:val="21"/>
          <w:highlight w:val="none"/>
        </w:rPr>
        <w:t>提供合同复印件（如合同等不能说明业绩要求的，另须提供业主证明等证明资料）、报告封面和扉页。原件现场备查，否则不得分。</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pStyle w:val="42"/>
        <w:tabs>
          <w:tab w:val="left" w:pos="1050"/>
        </w:tabs>
        <w:spacing w:line="360" w:lineRule="auto"/>
        <w:rPr>
          <w:rFonts w:ascii="仿宋_GB2312" w:hAnsi="宋体" w:eastAsia="仿宋_GB2312"/>
          <w:color w:val="auto"/>
          <w:sz w:val="24"/>
          <w:highlight w:val="none"/>
        </w:rPr>
      </w:pPr>
      <w:r>
        <w:rPr>
          <w:rFonts w:hint="eastAsia" w:ascii="宋体" w:hAnsi="宋体"/>
          <w:b/>
          <w:color w:val="auto"/>
          <w:sz w:val="28"/>
          <w:highlight w:val="none"/>
        </w:rPr>
        <w:t>附件12</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资信及商务需求响应表(第 标)</w:t>
      </w:r>
    </w:p>
    <w:p>
      <w:pPr>
        <w:spacing w:line="360" w:lineRule="auto"/>
        <w:ind w:left="481" w:leftChars="229" w:firstLine="813" w:firstLineChars="450"/>
        <w:rPr>
          <w:rFonts w:ascii="宋体" w:hAnsi="宋体"/>
          <w:b/>
          <w:color w:val="auto"/>
          <w:sz w:val="18"/>
          <w:szCs w:val="18"/>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hint="eastAsia" w:ascii="宋体" w:hAns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hint="eastAsia" w:ascii="宋体" w:hAnsi="宋体" w:eastAsia="宋体"/>
                <w:color w:val="auto"/>
                <w:sz w:val="24"/>
                <w:highlight w:val="none"/>
                <w:lang w:eastAsia="zh-CN"/>
              </w:rPr>
            </w:pPr>
            <w:r>
              <w:rPr>
                <w:rFonts w:hint="eastAsia" w:ascii="宋体" w:hAnsi="宋体"/>
                <w:color w:val="auto"/>
                <w:sz w:val="24"/>
                <w:highlight w:val="none"/>
                <w:lang w:eastAsia="zh-CN"/>
              </w:rPr>
              <w:t>项目进度要求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rPr>
          <w:rFonts w:hint="eastAsia" w:ascii="宋体" w:hAnsi="宋体"/>
          <w:b/>
          <w:color w:val="auto"/>
          <w:sz w:val="28"/>
          <w:highlight w:val="none"/>
        </w:rPr>
      </w:pPr>
      <w:r>
        <w:rPr>
          <w:rFonts w:hint="eastAsia" w:ascii="宋体" w:hAnsi="宋体"/>
          <w:b/>
          <w:color w:val="auto"/>
          <w:sz w:val="28"/>
          <w:highlight w:val="none"/>
        </w:rPr>
        <w:br w:type="page"/>
      </w:r>
    </w:p>
    <w:p>
      <w:pPr>
        <w:tabs>
          <w:tab w:val="left" w:pos="2460"/>
        </w:tabs>
        <w:spacing w:line="360" w:lineRule="auto"/>
        <w:ind w:firstLine="435"/>
        <w:rPr>
          <w:rFonts w:ascii="宋体" w:hAnsi="宋体"/>
          <w:b/>
          <w:color w:val="auto"/>
          <w:sz w:val="28"/>
          <w:highlight w:val="none"/>
        </w:rPr>
      </w:pPr>
      <w:r>
        <w:rPr>
          <w:rFonts w:hint="eastAsia" w:ascii="宋体" w:hAnsi="宋体"/>
          <w:b/>
          <w:color w:val="auto"/>
          <w:sz w:val="28"/>
          <w:highlight w:val="none"/>
        </w:rPr>
        <w:t>附件13</w:t>
      </w:r>
      <w:r>
        <w:rPr>
          <w:rFonts w:ascii="宋体" w:hAns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20"/>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投标人情况</w:t>
            </w:r>
          </w:p>
        </w:tc>
        <w:tc>
          <w:tcPr>
            <w:tcW w:w="1373"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服务</w:t>
            </w:r>
            <w:r>
              <w:rPr>
                <w:rFonts w:hint="eastAsia" w:ascii="宋体" w:hAnsi="宋体" w:cs="Arial"/>
                <w:bCs/>
                <w:color w:val="auto"/>
                <w:sz w:val="24"/>
                <w:highlight w:val="none"/>
              </w:rPr>
              <w:t>方式、服务网点</w:t>
            </w:r>
            <w:r>
              <w:rPr>
                <w:rFonts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3"/>
              <w:widowControl/>
              <w:spacing w:line="360" w:lineRule="auto"/>
              <w:jc w:val="left"/>
              <w:rPr>
                <w:rFonts w:ascii="宋体" w:hAnsi="宋体" w:cs="Arial"/>
                <w:bCs/>
                <w:color w:val="auto"/>
                <w:sz w:val="24"/>
                <w:highlight w:val="none"/>
              </w:rPr>
            </w:pPr>
          </w:p>
        </w:tc>
        <w:tc>
          <w:tcPr>
            <w:tcW w:w="2355" w:type="dxa"/>
            <w:vMerge w:val="continue"/>
            <w:vAlign w:val="center"/>
          </w:tcPr>
          <w:p>
            <w:pPr>
              <w:pStyle w:val="43"/>
              <w:widowControl/>
              <w:spacing w:line="360" w:lineRule="auto"/>
              <w:jc w:val="left"/>
              <w:rPr>
                <w:rFonts w:ascii="宋体" w:hAnsi="宋体" w:cs="Arial"/>
                <w:bCs/>
                <w:color w:val="auto"/>
                <w:sz w:val="24"/>
                <w:highlight w:val="none"/>
              </w:rPr>
            </w:pP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43"/>
              <w:spacing w:line="360" w:lineRule="auto"/>
              <w:jc w:val="left"/>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c>
          <w:tcPr>
            <w:tcW w:w="1373"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2355"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4061" w:type="dxa"/>
          </w:tcPr>
          <w:p>
            <w:pPr>
              <w:pStyle w:val="43"/>
              <w:widowControl/>
              <w:spacing w:line="360" w:lineRule="auto"/>
              <w:jc w:val="left"/>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tc>
      </w:tr>
    </w:tbl>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u w:val="singl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right="-110"/>
        <w:jc w:val="left"/>
        <w:rPr>
          <w:rFonts w:hint="eastAsia" w:ascii="宋体" w:hAnsi="宋体" w:eastAsia="宋体"/>
          <w:color w:val="auto"/>
          <w:spacing w:val="40"/>
          <w:sz w:val="52"/>
          <w:szCs w:val="52"/>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仿宋_GB2312" w:hAnsi="宋体" w:eastAsia="仿宋_GB2312"/>
          <w:b/>
          <w:color w:val="auto"/>
          <w:sz w:val="36"/>
          <w:szCs w:val="36"/>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1、开标一览表（附件1</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2、报价明细表（附件1</w:t>
      </w:r>
      <w:r>
        <w:rPr>
          <w:rFonts w:hint="eastAsia" w:ascii="宋体" w:hAnsi="宋体"/>
          <w:color w:val="auto"/>
          <w:sz w:val="24"/>
          <w:highlight w:val="none"/>
          <w:lang w:val="en-US" w:eastAsia="zh-CN"/>
        </w:rPr>
        <w:t>6</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3、针对报价投标人认为其他需要说明的；</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 (第 标)</w:t>
      </w:r>
    </w:p>
    <w:p>
      <w:pPr>
        <w:spacing w:line="360" w:lineRule="auto"/>
        <w:ind w:left="-2" w:hanging="2"/>
        <w:jc w:val="center"/>
        <w:rPr>
          <w:rFonts w:ascii="宋体" w:hAnsi="宋体"/>
          <w:b/>
          <w:color w:val="auto"/>
          <w:sz w:val="32"/>
          <w:szCs w:val="32"/>
          <w:highlight w:val="none"/>
        </w:rPr>
      </w:pPr>
    </w:p>
    <w:p>
      <w:pPr>
        <w:pStyle w:val="11"/>
        <w:spacing w:line="320" w:lineRule="exact"/>
        <w:rPr>
          <w:rFonts w:hAnsi="宋体"/>
          <w:b/>
          <w:color w:val="auto"/>
          <w:sz w:val="24"/>
          <w:highlight w:val="none"/>
        </w:rPr>
      </w:pPr>
      <w:r>
        <w:rPr>
          <w:rFonts w:hAnsi="宋体"/>
          <w:b/>
          <w:color w:val="auto"/>
          <w:sz w:val="24"/>
          <w:highlight w:val="none"/>
        </w:rPr>
        <w:t>项目编号：</w:t>
      </w:r>
    </w:p>
    <w:p>
      <w:pPr>
        <w:pStyle w:val="47"/>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0"/>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7"/>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 (第 标)</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228"/>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8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4228"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firstLine="420" w:firstLineChars="200"/>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firstLine="420" w:firstLineChars="200"/>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hint="eastAsia"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hint="eastAsia" w:ascii="宋体" w:hAnsi="宋体"/>
          <w:color w:val="auto"/>
          <w:sz w:val="24"/>
          <w:highlight w:val="none"/>
        </w:rPr>
      </w:pPr>
    </w:p>
    <w:p>
      <w:pPr>
        <w:spacing w:line="360" w:lineRule="auto"/>
        <w:ind w:firstLine="435"/>
        <w:rPr>
          <w:rFonts w:hint="eastAsia" w:ascii="宋体" w:hAnsi="宋体"/>
          <w:color w:val="auto"/>
          <w:sz w:val="24"/>
          <w:highlight w:val="none"/>
          <w:lang w:eastAsia="zh-CN"/>
        </w:rPr>
      </w:pPr>
      <w:r>
        <w:rPr>
          <w:rFonts w:hint="eastAsia" w:ascii="宋体" w:hAnsi="宋体"/>
          <w:color w:val="auto"/>
          <w:sz w:val="24"/>
          <w:highlight w:val="none"/>
        </w:rPr>
        <w:t>日        期</w:t>
      </w:r>
      <w:r>
        <w:rPr>
          <w:rFonts w:hint="eastAsia" w:ascii="宋体" w:hAnsi="宋体"/>
          <w:color w:val="auto"/>
          <w:sz w:val="24"/>
          <w:highlight w:val="none"/>
          <w:lang w:eastAsia="zh-CN"/>
        </w:rPr>
        <w:t>：</w:t>
      </w:r>
    </w:p>
    <w:p>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7</w:t>
      </w:r>
    </w:p>
    <w:p>
      <w:pPr>
        <w:pStyle w:val="4"/>
        <w:jc w:val="center"/>
        <w:rPr>
          <w:rFonts w:ascii="黑体"/>
          <w:sz w:val="24"/>
        </w:rPr>
      </w:pPr>
      <w:r>
        <w:rPr>
          <w:rFonts w:hint="eastAsia" w:ascii="黑体"/>
          <w:sz w:val="44"/>
        </w:rPr>
        <w:t>联合体协议书</w:t>
      </w:r>
    </w:p>
    <w:p>
      <w:pPr>
        <w:autoSpaceDE w:val="0"/>
        <w:autoSpaceDN w:val="0"/>
        <w:adjustRightInd w:val="0"/>
        <w:spacing w:line="500" w:lineRule="exact"/>
        <w:jc w:val="left"/>
        <w:rPr>
          <w:rFonts w:ascii="宋体" w:hAnsi="宋体"/>
          <w:sz w:val="28"/>
          <w:szCs w:val="28"/>
        </w:rPr>
      </w:pPr>
      <w:r>
        <w:rPr>
          <w:rFonts w:hint="eastAsia"/>
          <w:sz w:val="28"/>
          <w:u w:val="single"/>
        </w:rPr>
        <w:tab/>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rPr>
        <w:tab/>
      </w:r>
      <w:r>
        <w:rPr>
          <w:rFonts w:hint="eastAsia"/>
          <w:sz w:val="28"/>
          <w:u w:val="single"/>
        </w:rPr>
        <w:tab/>
      </w:r>
      <w:r>
        <w:rPr>
          <w:rFonts w:hint="eastAsia" w:ascii="宋体" w:hAnsi="宋体"/>
          <w:sz w:val="28"/>
          <w:szCs w:val="28"/>
        </w:rPr>
        <w:t>（所有成员单位名称）自愿组成</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ascii="宋体" w:hAnsi="宋体"/>
          <w:sz w:val="28"/>
          <w:szCs w:val="28"/>
          <w:u w:val="single"/>
        </w:rPr>
        <w:t>的</w:t>
      </w:r>
      <w:r>
        <w:rPr>
          <w:rFonts w:hint="eastAsia" w:ascii="宋体" w:hAnsi="宋体"/>
          <w:sz w:val="28"/>
          <w:szCs w:val="28"/>
        </w:rPr>
        <w:t>联合体，共同参加</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lang w:eastAsia="zh-CN"/>
        </w:rPr>
        <w:t>（项目名称）</w:t>
      </w:r>
      <w:r>
        <w:rPr>
          <w:rFonts w:hint="eastAsia" w:ascii="宋体" w:hAnsi="宋体"/>
          <w:sz w:val="28"/>
          <w:szCs w:val="28"/>
        </w:rPr>
        <w:t>投标。现就联合体投标事宜订立如下协议。</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（某成员单位名称）为</w:t>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rPr>
        <w:tab/>
      </w:r>
      <w:r>
        <w:rPr>
          <w:rFonts w:hint="eastAsia" w:ascii="宋体" w:hAnsi="宋体"/>
          <w:sz w:val="28"/>
          <w:szCs w:val="28"/>
          <w:u w:val="single"/>
        </w:rPr>
        <w:t>的</w:t>
      </w:r>
      <w:r>
        <w:rPr>
          <w:rFonts w:hint="eastAsia" w:ascii="宋体" w:hAnsi="宋体"/>
          <w:sz w:val="28"/>
          <w:szCs w:val="28"/>
        </w:rPr>
        <w:t>主体单位。</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、联合体将严格按照招标文件的各项要求，递交投标文件，履行合同，并对外承担连带责任。</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、联合体各成员单位内部的职责分工如下：</w:t>
      </w:r>
      <w:r>
        <w:rPr>
          <w:rFonts w:ascii="宋体" w:hAnsi="宋体"/>
          <w:sz w:val="28"/>
          <w:szCs w:val="28"/>
        </w:rPr>
        <w:t>联合体</w:t>
      </w:r>
      <w:r>
        <w:rPr>
          <w:rFonts w:hint="eastAsia" w:ascii="宋体" w:hAnsi="宋体"/>
          <w:sz w:val="28"/>
          <w:szCs w:val="28"/>
        </w:rPr>
        <w:t>主体单位</w:t>
      </w:r>
      <w:r>
        <w:rPr>
          <w:rFonts w:ascii="宋体" w:hAnsi="宋体"/>
          <w:sz w:val="28"/>
          <w:szCs w:val="28"/>
        </w:rPr>
        <w:t>承担</w:t>
      </w:r>
      <w:r>
        <w:rPr>
          <w:rFonts w:hint="eastAsia"/>
          <w:sz w:val="28"/>
          <w:u w:val="single"/>
        </w:rPr>
        <w:tab/>
      </w:r>
      <w:r>
        <w:rPr>
          <w:rFonts w:hint="eastAsia"/>
          <w:sz w:val="28"/>
          <w:u w:val="single"/>
        </w:rPr>
        <w:tab/>
      </w:r>
      <w:r>
        <w:rPr>
          <w:rFonts w:hint="eastAsia"/>
          <w:sz w:val="28"/>
          <w:u w:val="single"/>
        </w:rPr>
        <w:tab/>
      </w:r>
      <w:r>
        <w:rPr>
          <w:rFonts w:hint="eastAsia"/>
          <w:sz w:val="28"/>
          <w:u w:val="single"/>
          <w:lang w:val="en-US" w:eastAsia="zh-CN"/>
        </w:rPr>
        <w:t xml:space="preserve">          </w:t>
      </w:r>
      <w:r>
        <w:rPr>
          <w:rFonts w:hint="eastAsia"/>
          <w:sz w:val="28"/>
          <w:u w:val="single"/>
        </w:rPr>
        <w:tab/>
      </w:r>
      <w:r>
        <w:rPr>
          <w:rFonts w:hint="eastAsia"/>
          <w:sz w:val="28"/>
          <w:u w:val="single"/>
          <w:lang w:eastAsia="zh-CN"/>
        </w:rPr>
        <w:t>（项目名称）</w:t>
      </w:r>
      <w:r>
        <w:rPr>
          <w:rFonts w:ascii="宋体" w:hAnsi="宋体"/>
          <w:sz w:val="28"/>
          <w:szCs w:val="28"/>
        </w:rPr>
        <w:t>的</w:t>
      </w:r>
      <w:r>
        <w:rPr>
          <w:rFonts w:hint="eastAsia" w:ascii="宋体" w:hAnsi="宋体"/>
          <w:sz w:val="28"/>
          <w:szCs w:val="28"/>
          <w:u w:val="single"/>
          <w:lang w:val="en-US" w:eastAsia="zh-CN"/>
        </w:rPr>
        <w:t xml:space="preserve">          </w:t>
      </w:r>
      <w:r>
        <w:rPr>
          <w:rFonts w:ascii="宋体" w:hAnsi="宋体"/>
          <w:sz w:val="28"/>
          <w:szCs w:val="28"/>
        </w:rPr>
        <w:t>工作，联合体成员承担</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ascii="宋体" w:hAnsi="宋体"/>
          <w:sz w:val="28"/>
          <w:szCs w:val="28"/>
        </w:rPr>
        <w:t>工作</w:t>
      </w:r>
      <w:r>
        <w:rPr>
          <w:rFonts w:hint="eastAsia" w:ascii="宋体" w:hAnsi="宋体"/>
          <w:sz w:val="28"/>
          <w:szCs w:val="28"/>
        </w:rPr>
        <w:t>。</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、本协议书自签署之日起生效，合同履行完毕后自动失效。</w:t>
      </w:r>
    </w:p>
    <w:p>
      <w:pPr>
        <w:autoSpaceDE w:val="0"/>
        <w:autoSpaceDN w:val="0"/>
        <w:adjustRightInd w:val="0"/>
        <w:spacing w:line="5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、本协议书一式四份，联合体</w:t>
      </w:r>
      <w:r>
        <w:rPr>
          <w:rFonts w:hint="eastAsia" w:ascii="宋体" w:hAnsi="宋体"/>
          <w:sz w:val="28"/>
          <w:szCs w:val="28"/>
          <w:lang w:eastAsia="zh-CN"/>
        </w:rPr>
        <w:t>各</w:t>
      </w:r>
      <w:r>
        <w:rPr>
          <w:rFonts w:hint="eastAsia" w:ascii="宋体" w:hAnsi="宋体"/>
          <w:sz w:val="28"/>
          <w:szCs w:val="28"/>
        </w:rPr>
        <w:t>成员</w:t>
      </w:r>
      <w:r>
        <w:rPr>
          <w:rFonts w:hint="eastAsia" w:ascii="宋体" w:hAnsi="宋体"/>
          <w:sz w:val="28"/>
          <w:szCs w:val="28"/>
          <w:lang w:eastAsia="zh-CN"/>
        </w:rPr>
        <w:t>、</w:t>
      </w:r>
      <w:r>
        <w:rPr>
          <w:rFonts w:hint="eastAsia" w:ascii="宋体" w:hAnsi="宋体"/>
          <w:sz w:val="28"/>
          <w:szCs w:val="28"/>
        </w:rPr>
        <w:t>招标人和</w:t>
      </w:r>
      <w:r>
        <w:rPr>
          <w:rFonts w:hint="eastAsia" w:ascii="宋体" w:hAnsi="宋体"/>
          <w:sz w:val="28"/>
          <w:szCs w:val="28"/>
          <w:lang w:eastAsia="zh-CN"/>
        </w:rPr>
        <w:t>招标代理机构</w:t>
      </w:r>
      <w:r>
        <w:rPr>
          <w:rFonts w:hint="eastAsia" w:ascii="宋体" w:hAnsi="宋体"/>
          <w:sz w:val="28"/>
          <w:szCs w:val="28"/>
        </w:rPr>
        <w:t>各执一份。</w:t>
      </w:r>
    </w:p>
    <w:p>
      <w:pPr>
        <w:autoSpaceDE w:val="0"/>
        <w:autoSpaceDN w:val="0"/>
        <w:adjustRightInd w:val="0"/>
        <w:spacing w:line="500" w:lineRule="exact"/>
        <w:jc w:val="left"/>
        <w:rPr>
          <w:rFonts w:ascii="宋体" w:hAnsi="宋体"/>
          <w:sz w:val="28"/>
          <w:szCs w:val="28"/>
        </w:rPr>
      </w:pPr>
      <w:r>
        <w:rPr>
          <w:rFonts w:hint="eastAsia" w:ascii="宋体" w:hAnsi="宋体"/>
          <w:sz w:val="28"/>
          <w:szCs w:val="28"/>
        </w:rPr>
        <w:t>注：本协议书由委托代理人签字的，应附法定代表人签字的授权委托书。</w:t>
      </w:r>
    </w:p>
    <w:p>
      <w:pPr>
        <w:autoSpaceDE w:val="0"/>
        <w:autoSpaceDN w:val="0"/>
        <w:adjustRightInd w:val="0"/>
        <w:spacing w:line="500" w:lineRule="exact"/>
        <w:ind w:firstLine="560" w:firstLineChars="200"/>
        <w:jc w:val="left"/>
        <w:rPr>
          <w:rFonts w:ascii="宋体" w:hAnsi="宋体"/>
          <w:sz w:val="28"/>
          <w:szCs w:val="28"/>
        </w:rPr>
      </w:pPr>
      <w:r>
        <w:rPr>
          <w:rFonts w:hint="eastAsia" w:ascii="宋体" w:hAnsi="宋体"/>
          <w:sz w:val="28"/>
          <w:szCs w:val="28"/>
        </w:rPr>
        <w:t>主体单位名称：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（盖单位章）</w:t>
      </w:r>
    </w:p>
    <w:p>
      <w:pPr>
        <w:autoSpaceDE w:val="0"/>
        <w:autoSpaceDN w:val="0"/>
        <w:adjustRightInd w:val="0"/>
        <w:spacing w:line="500" w:lineRule="exact"/>
        <w:ind w:firstLine="560" w:firstLineChars="200"/>
        <w:jc w:val="left"/>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（签字）</w:t>
      </w:r>
    </w:p>
    <w:p>
      <w:pPr>
        <w:autoSpaceDE w:val="0"/>
        <w:autoSpaceDN w:val="0"/>
        <w:adjustRightInd w:val="0"/>
        <w:spacing w:line="500" w:lineRule="exact"/>
        <w:ind w:firstLine="560" w:firstLineChars="200"/>
        <w:jc w:val="left"/>
        <w:rPr>
          <w:rFonts w:ascii="宋体" w:hAnsi="宋体"/>
          <w:sz w:val="28"/>
          <w:szCs w:val="28"/>
        </w:rPr>
      </w:pPr>
      <w:r>
        <w:rPr>
          <w:rFonts w:hint="eastAsia" w:ascii="宋体" w:hAnsi="宋体"/>
          <w:sz w:val="28"/>
          <w:szCs w:val="28"/>
        </w:rPr>
        <w:t>成员单位名称：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（盖单位章）</w:t>
      </w:r>
    </w:p>
    <w:p>
      <w:pPr>
        <w:autoSpaceDE w:val="0"/>
        <w:autoSpaceDN w:val="0"/>
        <w:adjustRightInd w:val="0"/>
        <w:spacing w:line="500" w:lineRule="exact"/>
        <w:ind w:firstLine="560" w:firstLineChars="200"/>
        <w:jc w:val="left"/>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（签字）</w:t>
      </w:r>
    </w:p>
    <w:p>
      <w:pPr>
        <w:pStyle w:val="2"/>
        <w:rPr>
          <w:rFonts w:hint="eastAsia" w:ascii="宋体" w:hAnsi="宋体"/>
          <w:sz w:val="28"/>
          <w:szCs w:val="28"/>
        </w:rPr>
      </w:pPr>
    </w:p>
    <w:p>
      <w:pPr>
        <w:pStyle w:val="2"/>
        <w:rPr>
          <w:rFonts w:hint="eastAsia" w:ascii="宋体" w:hAnsi="宋体"/>
          <w:sz w:val="28"/>
          <w:szCs w:val="28"/>
        </w:rPr>
      </w:pP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rPr>
          <w:rFonts w:hint="eastAsia" w:ascii="宋体" w:hAnsi="宋体"/>
          <w:sz w:val="28"/>
          <w:szCs w:val="28"/>
        </w:rPr>
      </w:pPr>
      <w:r>
        <w:rPr>
          <w:rFonts w:hint="eastAsia" w:ascii="宋体" w:hAnsi="宋体"/>
          <w:sz w:val="28"/>
          <w:szCs w:val="28"/>
        </w:rPr>
        <w:br w:type="page"/>
      </w:r>
    </w:p>
    <w:p>
      <w:pPr>
        <w:pStyle w:val="2"/>
        <w:tabs>
          <w:tab w:val="left" w:pos="2489"/>
        </w:tabs>
        <w:ind w:left="0" w:leftChars="0" w:firstLine="0" w:firstLineChars="0"/>
        <w:rPr>
          <w:rFonts w:hint="eastAsia"/>
          <w:lang w:val="en-US" w:eastAsia="zh-CN"/>
        </w:rPr>
      </w:pPr>
      <w:r>
        <w:rPr>
          <w:rFonts w:hint="eastAsia" w:ascii="宋体" w:hAnsi="宋体"/>
          <w:b/>
          <w:bCs/>
          <w:color w:val="auto"/>
          <w:sz w:val="28"/>
          <w:szCs w:val="28"/>
          <w:highlight w:val="none"/>
          <w:u w:val="none"/>
        </w:rPr>
        <w:t>附件</w:t>
      </w:r>
      <w:r>
        <w:rPr>
          <w:rFonts w:hint="eastAsia" w:ascii="宋体" w:hAnsi="宋体"/>
          <w:b/>
          <w:bCs/>
          <w:color w:val="auto"/>
          <w:sz w:val="28"/>
          <w:szCs w:val="28"/>
          <w:highlight w:val="none"/>
          <w:u w:val="none"/>
          <w:lang w:val="en-US" w:eastAsia="zh-CN"/>
        </w:rPr>
        <w:t>18</w:t>
      </w:r>
      <w:r>
        <w:rPr>
          <w:rFonts w:hint="eastAsia" w:ascii="宋体" w:hAnsi="宋体"/>
          <w:b/>
          <w:bCs/>
          <w:color w:val="auto"/>
          <w:sz w:val="28"/>
          <w:szCs w:val="28"/>
          <w:highlight w:val="none"/>
          <w:u w:val="none"/>
          <w:lang w:val="en-US" w:eastAsia="zh-CN"/>
        </w:rPr>
        <w:tab/>
      </w:r>
      <w:r>
        <w:rPr>
          <w:rFonts w:hint="eastAsia" w:ascii="宋体" w:hAnsi="宋体"/>
          <w:b/>
          <w:bCs/>
          <w:color w:val="auto"/>
          <w:sz w:val="28"/>
          <w:szCs w:val="28"/>
          <w:highlight w:val="none"/>
          <w:u w:val="none"/>
          <w:lang w:val="en-US" w:eastAsia="zh-CN"/>
        </w:rPr>
        <w:t xml:space="preserve">          </w:t>
      </w:r>
      <w:r>
        <w:rPr>
          <w:rFonts w:hint="eastAsia" w:ascii="宋体" w:hAnsi="宋体"/>
          <w:b/>
          <w:bCs/>
          <w:color w:val="auto"/>
          <w:sz w:val="28"/>
          <w:szCs w:val="28"/>
          <w:highlight w:val="none"/>
          <w:lang w:eastAsia="zh-CN"/>
        </w:rPr>
        <w:t>得分自查表</w:t>
      </w:r>
    </w:p>
    <w:tbl>
      <w:tblPr>
        <w:tblStyle w:val="20"/>
        <w:tblpPr w:leftFromText="180" w:rightFromText="180" w:vertAnchor="text" w:horzAnchor="margin" w:tblpY="307"/>
        <w:tblW w:w="89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157"/>
        <w:gridCol w:w="6186"/>
        <w:gridCol w:w="1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72"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序号</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评议内容</w:t>
            </w:r>
          </w:p>
        </w:tc>
        <w:tc>
          <w:tcPr>
            <w:tcW w:w="6186"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评议标准</w:t>
            </w:r>
          </w:p>
        </w:tc>
        <w:tc>
          <w:tcPr>
            <w:tcW w:w="1026"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eastAsia="zh-CN"/>
              </w:rPr>
              <w:t>自查得分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14"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157"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企业资信</w:t>
            </w:r>
          </w:p>
          <w:p>
            <w:pPr>
              <w:adjustRightInd w:val="0"/>
              <w:snapToGrid w:val="0"/>
              <w:ind w:left="315" w:hanging="315" w:hangingChars="15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lang w:eastAsia="zh-CN"/>
              </w:rPr>
              <w:t>同时具备</w:t>
            </w:r>
            <w:r>
              <w:rPr>
                <w:rFonts w:hint="eastAsia" w:asciiTheme="minorEastAsia" w:hAnsiTheme="minorEastAsia" w:eastAsiaTheme="minorEastAsia" w:cstheme="minorEastAsia"/>
                <w:color w:val="000000"/>
                <w:kern w:val="0"/>
                <w:sz w:val="21"/>
                <w:szCs w:val="21"/>
              </w:rPr>
              <w:t>水利水电专业工</w:t>
            </w:r>
            <w:r>
              <w:rPr>
                <w:rFonts w:hint="eastAsia" w:asciiTheme="minorEastAsia" w:hAnsiTheme="minorEastAsia" w:eastAsiaTheme="minorEastAsia" w:cstheme="minorEastAsia"/>
                <w:color w:val="000000"/>
                <w:kern w:val="0"/>
                <w:sz w:val="21"/>
                <w:szCs w:val="21"/>
                <w:highlight w:val="none"/>
              </w:rPr>
              <w:t>程</w:t>
            </w:r>
            <w:r>
              <w:rPr>
                <w:rFonts w:hint="eastAsia" w:asciiTheme="minorEastAsia" w:hAnsiTheme="minorEastAsia" w:eastAsiaTheme="minorEastAsia" w:cstheme="minorEastAsia"/>
                <w:color w:val="000000"/>
                <w:kern w:val="0"/>
                <w:sz w:val="21"/>
                <w:szCs w:val="21"/>
                <w:highlight w:val="none"/>
                <w:lang w:val="en-US" w:eastAsia="zh-CN"/>
              </w:rPr>
              <w:t>咨询资质</w:t>
            </w:r>
            <w:r>
              <w:rPr>
                <w:rFonts w:hint="eastAsia" w:asciiTheme="minorEastAsia" w:hAnsiTheme="minorEastAsia" w:eastAsiaTheme="minorEastAsia" w:cstheme="minorEastAsia"/>
                <w:color w:val="000000"/>
                <w:kern w:val="0"/>
                <w:sz w:val="21"/>
                <w:szCs w:val="21"/>
                <w:highlight w:val="none"/>
                <w:lang w:eastAsia="zh-CN"/>
              </w:rPr>
              <w:t>和</w:t>
            </w:r>
            <w:r>
              <w:rPr>
                <w:rFonts w:hint="eastAsia" w:asciiTheme="minorEastAsia" w:hAnsiTheme="minorEastAsia" w:eastAsiaTheme="minorEastAsia" w:cstheme="minorEastAsia"/>
                <w:color w:val="000000"/>
                <w:kern w:val="0"/>
                <w:sz w:val="21"/>
                <w:szCs w:val="21"/>
                <w:highlight w:val="none"/>
                <w:lang w:val="en-US" w:eastAsia="zh-CN"/>
              </w:rPr>
              <w:t>农业农村专业工程咨询资质且</w:t>
            </w:r>
            <w:r>
              <w:rPr>
                <w:rFonts w:hint="eastAsia" w:asciiTheme="minorEastAsia" w:hAnsiTheme="minorEastAsia" w:eastAsiaTheme="minorEastAsia" w:cstheme="minorEastAsia"/>
                <w:color w:val="000000"/>
                <w:kern w:val="0"/>
                <w:sz w:val="21"/>
                <w:szCs w:val="21"/>
                <w:highlight w:val="none"/>
              </w:rPr>
              <w:t>评价等级为甲级的每项得1.5分，乙级的每项得0.5分，最高得3分。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说明：提供资信评价资质证书或电子证书打印件。</w:t>
            </w:r>
          </w:p>
        </w:tc>
        <w:tc>
          <w:tcPr>
            <w:tcW w:w="1026" w:type="dxa"/>
            <w:tcBorders>
              <w:tl2br w:val="nil"/>
              <w:tr2bl w:val="nil"/>
            </w:tcBorders>
            <w:tcMar>
              <w:top w:w="15" w:type="dxa"/>
              <w:left w:w="15" w:type="dxa"/>
              <w:bottom w:w="0" w:type="dxa"/>
              <w:right w:w="15" w:type="dxa"/>
            </w:tcMar>
            <w:vAlign w:val="center"/>
          </w:tcPr>
          <w:p>
            <w:pPr>
              <w:tabs>
                <w:tab w:val="left" w:pos="4200"/>
              </w:tabs>
              <w:spacing w:line="240" w:lineRule="auto"/>
              <w:ind w:firstLine="0" w:firstLineChars="0"/>
              <w:jc w:val="center"/>
              <w:rPr>
                <w:rFonts w:hint="eastAsia" w:asciiTheme="minorEastAsia" w:hAnsiTheme="minorEastAsia" w:eastAsiaTheme="minorEastAsia" w:cstheme="minorEastAsia"/>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09"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zh-CN"/>
              </w:rPr>
              <w:t>企业科研项目获奖情况</w:t>
            </w:r>
            <w:r>
              <w:rPr>
                <w:rFonts w:hint="eastAsia" w:asciiTheme="minorEastAsia" w:hAnsiTheme="minorEastAsia" w:eastAsiaTheme="minorEastAsia" w:cstheme="minorEastAsia"/>
                <w:color w:val="000000"/>
                <w:kern w:val="0"/>
                <w:sz w:val="21"/>
                <w:szCs w:val="21"/>
              </w:rPr>
              <w:t>（10分）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w:t>
            </w:r>
            <w:r>
              <w:rPr>
                <w:rFonts w:hint="eastAsia" w:asciiTheme="minorEastAsia" w:hAnsiTheme="minorEastAsia" w:eastAsiaTheme="minorEastAsia" w:cstheme="minorEastAsia"/>
                <w:color w:val="000000"/>
                <w:kern w:val="0"/>
                <w:sz w:val="21"/>
                <w:szCs w:val="21"/>
                <w:highlight w:val="none"/>
                <w:lang w:eastAsia="zh-CN"/>
              </w:rPr>
              <w:t>自</w:t>
            </w:r>
            <w:r>
              <w:rPr>
                <w:rFonts w:hint="eastAsia" w:asciiTheme="minorEastAsia" w:hAnsiTheme="minorEastAsia" w:eastAsiaTheme="minorEastAsia" w:cstheme="minorEastAsia"/>
                <w:color w:val="000000"/>
                <w:kern w:val="0"/>
                <w:sz w:val="21"/>
                <w:szCs w:val="21"/>
                <w:highlight w:val="none"/>
              </w:rPr>
              <w:t>2013年1月1日以来投标单位获得国家级水利类、农业类科技奖项或咨询奖项每项得2分，最高得6分；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w:t>
            </w:r>
            <w:r>
              <w:rPr>
                <w:rFonts w:hint="eastAsia" w:asciiTheme="minorEastAsia" w:hAnsiTheme="minorEastAsia" w:eastAsiaTheme="minorEastAsia" w:cstheme="minorEastAsia"/>
                <w:color w:val="000000"/>
                <w:kern w:val="0"/>
                <w:sz w:val="21"/>
                <w:szCs w:val="21"/>
                <w:highlight w:val="none"/>
                <w:lang w:eastAsia="zh-CN"/>
              </w:rPr>
              <w:t>自</w:t>
            </w:r>
            <w:r>
              <w:rPr>
                <w:rFonts w:hint="eastAsia" w:asciiTheme="minorEastAsia" w:hAnsiTheme="minorEastAsia" w:eastAsiaTheme="minorEastAsia" w:cstheme="minorEastAsia"/>
                <w:color w:val="000000"/>
                <w:kern w:val="0"/>
                <w:sz w:val="21"/>
                <w:szCs w:val="21"/>
                <w:highlight w:val="none"/>
              </w:rPr>
              <w:t>2013年1月1日以来投标单位获得省（部）级水利类、农业类科技奖或咨询奖项每项得1分，最高得4分。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highlight w:val="none"/>
              </w:rPr>
              <w:t>说明：提供证书或奖牌</w:t>
            </w:r>
            <w:r>
              <w:rPr>
                <w:rFonts w:hint="eastAsia" w:asciiTheme="minorEastAsia" w:hAnsiTheme="minorEastAsia" w:eastAsiaTheme="minorEastAsia" w:cstheme="minorEastAsia"/>
                <w:color w:val="000000"/>
                <w:kern w:val="0"/>
                <w:sz w:val="21"/>
                <w:szCs w:val="21"/>
                <w:highlight w:val="none"/>
                <w:lang w:eastAsia="zh-CN"/>
              </w:rPr>
              <w:t>的清晰</w:t>
            </w:r>
            <w:r>
              <w:rPr>
                <w:rFonts w:hint="eastAsia" w:asciiTheme="minorEastAsia" w:hAnsiTheme="minorEastAsia" w:eastAsiaTheme="minorEastAsia" w:cstheme="minorEastAsia"/>
                <w:color w:val="000000"/>
                <w:kern w:val="0"/>
                <w:sz w:val="21"/>
                <w:szCs w:val="21"/>
                <w:highlight w:val="none"/>
              </w:rPr>
              <w:t>复印件</w:t>
            </w:r>
            <w:r>
              <w:rPr>
                <w:rFonts w:hint="eastAsia" w:asciiTheme="minorEastAsia" w:hAnsiTheme="minorEastAsia" w:eastAsiaTheme="minorEastAsia" w:cstheme="minorEastAsia"/>
                <w:color w:val="000000"/>
                <w:kern w:val="0"/>
                <w:sz w:val="21"/>
                <w:szCs w:val="21"/>
                <w:highlight w:val="none"/>
                <w:lang w:eastAsia="zh-CN"/>
              </w:rPr>
              <w:t>并</w:t>
            </w:r>
            <w:r>
              <w:rPr>
                <w:rFonts w:hint="eastAsia" w:asciiTheme="minorEastAsia" w:hAnsiTheme="minorEastAsia" w:eastAsiaTheme="minorEastAsia" w:cstheme="minorEastAsia"/>
                <w:color w:val="000000"/>
                <w:kern w:val="0"/>
                <w:sz w:val="21"/>
                <w:szCs w:val="21"/>
                <w:highlight w:val="none"/>
              </w:rPr>
              <w:t>加盖公章，时间以证书上的</w:t>
            </w:r>
            <w:r>
              <w:rPr>
                <w:rFonts w:hint="eastAsia" w:asciiTheme="minorEastAsia" w:hAnsiTheme="minorEastAsia" w:eastAsiaTheme="minorEastAsia" w:cstheme="minorEastAsia"/>
                <w:color w:val="000000"/>
                <w:kern w:val="0"/>
                <w:sz w:val="21"/>
                <w:szCs w:val="21"/>
                <w:highlight w:val="none"/>
                <w:lang w:eastAsia="zh-CN"/>
              </w:rPr>
              <w:t>日期</w:t>
            </w:r>
            <w:r>
              <w:rPr>
                <w:rFonts w:hint="eastAsia" w:asciiTheme="minorEastAsia" w:hAnsiTheme="minorEastAsia" w:eastAsiaTheme="minorEastAsia" w:cstheme="minorEastAsia"/>
                <w:color w:val="000000"/>
                <w:kern w:val="0"/>
                <w:sz w:val="21"/>
                <w:szCs w:val="21"/>
                <w:highlight w:val="none"/>
              </w:rPr>
              <w:t>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3</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业绩</w:t>
            </w:r>
          </w:p>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0</w:t>
            </w:r>
            <w:r>
              <w:rPr>
                <w:rFonts w:hint="eastAsia" w:asciiTheme="minorEastAsia" w:hAnsiTheme="minorEastAsia" w:eastAsiaTheme="minorEastAsia" w:cstheme="minorEastAsia"/>
                <w:color w:val="000000"/>
                <w:kern w:val="0"/>
                <w:sz w:val="21"/>
                <w:szCs w:val="21"/>
              </w:rPr>
              <w:t>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2013年1月1日以来投标单位承担过水利类、农业类国家级科研项目，每提供一项业绩的得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分；承担过水利类、农业类省级重点科研项目的，每提供一项业绩的得</w:t>
            </w:r>
            <w:r>
              <w:rPr>
                <w:rFonts w:hint="eastAsia" w:ascii="宋体" w:hAnsi="宋体" w:cs="宋体"/>
                <w:snapToGrid w:val="0"/>
                <w:color w:val="auto"/>
                <w:highlight w:val="none"/>
                <w:lang w:val="en-US" w:eastAsia="zh-CN"/>
              </w:rPr>
              <w:t>1</w:t>
            </w:r>
            <w:r>
              <w:rPr>
                <w:rFonts w:hint="eastAsia" w:ascii="宋体" w:hAnsi="宋体" w:cs="宋体"/>
                <w:snapToGrid w:val="0"/>
                <w:color w:val="auto"/>
                <w:highlight w:val="none"/>
              </w:rPr>
              <w:t>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自</w:t>
            </w:r>
            <w:r>
              <w:rPr>
                <w:rFonts w:hint="eastAsia" w:ascii="宋体" w:hAnsi="宋体" w:cs="宋体"/>
                <w:snapToGrid w:val="0"/>
                <w:color w:val="auto"/>
                <w:highlight w:val="none"/>
              </w:rPr>
              <w:t>2013年1月1日以来投标单位承担过水利规划、农业发展规划、</w:t>
            </w:r>
            <w:r>
              <w:rPr>
                <w:rFonts w:hint="eastAsia" w:ascii="宋体" w:hAnsi="宋体" w:cs="宋体"/>
                <w:snapToGrid w:val="0"/>
                <w:color w:val="auto"/>
                <w:highlight w:val="none"/>
                <w:lang w:eastAsia="zh-CN"/>
              </w:rPr>
              <w:t>美丽乡村</w:t>
            </w:r>
            <w:r>
              <w:rPr>
                <w:rFonts w:hint="eastAsia" w:ascii="宋体" w:hAnsi="宋体" w:cs="宋体"/>
                <w:snapToGrid w:val="0"/>
                <w:color w:val="auto"/>
                <w:highlight w:val="none"/>
              </w:rPr>
              <w:t>规划</w:t>
            </w:r>
            <w:r>
              <w:rPr>
                <w:rFonts w:hint="eastAsia" w:ascii="宋体" w:hAnsi="宋体" w:cs="宋体"/>
                <w:snapToGrid w:val="0"/>
                <w:color w:val="auto"/>
                <w:highlight w:val="none"/>
                <w:lang w:eastAsia="zh-CN"/>
              </w:rPr>
              <w:t>或乡村振兴规划、</w:t>
            </w:r>
            <w:r>
              <w:rPr>
                <w:rFonts w:hint="eastAsia" w:ascii="宋体" w:hAnsi="宋体" w:cs="宋体"/>
                <w:snapToGrid w:val="0"/>
                <w:color w:val="auto"/>
                <w:highlight w:val="none"/>
              </w:rPr>
              <w:t>农业园区规划等</w:t>
            </w:r>
            <w:r>
              <w:rPr>
                <w:rFonts w:hint="eastAsia" w:ascii="宋体" w:hAnsi="宋体" w:cs="宋体"/>
                <w:snapToGrid w:val="0"/>
                <w:color w:val="auto"/>
                <w:highlight w:val="none"/>
                <w:lang w:eastAsia="zh-CN"/>
              </w:rPr>
              <w:t>规划类</w:t>
            </w:r>
            <w:r>
              <w:rPr>
                <w:rFonts w:hint="eastAsia" w:ascii="宋体" w:hAnsi="宋体" w:cs="宋体"/>
                <w:snapToGrid w:val="0"/>
                <w:color w:val="auto"/>
                <w:highlight w:val="none"/>
              </w:rPr>
              <w:t>工作业绩的，每提供一项得1分，最高得</w:t>
            </w:r>
            <w:r>
              <w:rPr>
                <w:rFonts w:hint="eastAsia" w:ascii="宋体" w:hAnsi="宋体" w:cs="宋体"/>
                <w:snapToGrid w:val="0"/>
                <w:color w:val="auto"/>
                <w:highlight w:val="none"/>
                <w:lang w:val="en-US" w:eastAsia="zh-CN"/>
              </w:rPr>
              <w:t>4</w:t>
            </w:r>
            <w:r>
              <w:rPr>
                <w:rFonts w:hint="eastAsia" w:ascii="宋体" w:hAnsi="宋体" w:cs="宋体"/>
                <w:snapToGrid w:val="0"/>
                <w:color w:val="auto"/>
                <w:highlight w:val="none"/>
              </w:rPr>
              <w:t>分</w:t>
            </w:r>
            <w:r>
              <w:rPr>
                <w:rFonts w:hint="eastAsia" w:asciiTheme="minorEastAsia" w:hAnsiTheme="minorEastAsia" w:eastAsiaTheme="minorEastAsia" w:cstheme="minorEastAsia"/>
                <w:color w:val="auto"/>
                <w:kern w:val="0"/>
                <w:sz w:val="21"/>
                <w:szCs w:val="21"/>
                <w:highlight w:val="none"/>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auto"/>
                <w:kern w:val="0"/>
                <w:sz w:val="21"/>
                <w:szCs w:val="21"/>
                <w:highlight w:val="none"/>
              </w:rPr>
              <w:t>说明：1、提供中标通知书或合同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加盖公章；2、时间以</w:t>
            </w:r>
            <w:r>
              <w:rPr>
                <w:rFonts w:hint="eastAsia" w:asciiTheme="minorEastAsia" w:hAnsiTheme="minorEastAsia" w:eastAsiaTheme="minorEastAsia" w:cstheme="minorEastAsia"/>
                <w:color w:val="auto"/>
                <w:kern w:val="0"/>
                <w:sz w:val="21"/>
                <w:szCs w:val="21"/>
                <w:highlight w:val="none"/>
                <w:lang w:eastAsia="zh-CN"/>
              </w:rPr>
              <w:t>中标通知书或</w:t>
            </w:r>
            <w:r>
              <w:rPr>
                <w:rFonts w:hint="eastAsia" w:asciiTheme="minorEastAsia" w:hAnsiTheme="minorEastAsia" w:eastAsiaTheme="minorEastAsia" w:cstheme="minorEastAsia"/>
                <w:color w:val="auto"/>
                <w:kern w:val="0"/>
                <w:sz w:val="21"/>
                <w:szCs w:val="21"/>
                <w:highlight w:val="none"/>
              </w:rPr>
              <w:t>合同签订时间为准。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47"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单位承担本项目的能力（</w:t>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1、投标单位具有水利相关的专利、软件著作权、作品著作权的，每提供一项得1分，最高得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宋体" w:hAnsi="宋体" w:cs="宋体"/>
                <w:snapToGrid w:val="0"/>
                <w:color w:val="auto"/>
                <w:highlight w:val="none"/>
              </w:rPr>
            </w:pPr>
            <w:r>
              <w:rPr>
                <w:rFonts w:hint="eastAsia" w:ascii="宋体" w:hAnsi="宋体" w:cs="宋体"/>
                <w:snapToGrid w:val="0"/>
                <w:color w:val="auto"/>
                <w:highlight w:val="none"/>
              </w:rPr>
              <w:t>2、投标单位具有农业和农村发展相关的专利、软件著作权、作品著作权的，每提供一项得1分，最高得</w:t>
            </w:r>
            <w:r>
              <w:rPr>
                <w:rFonts w:hint="eastAsia" w:ascii="宋体" w:hAnsi="宋体" w:cs="宋体"/>
                <w:snapToGrid w:val="0"/>
                <w:color w:val="auto"/>
                <w:highlight w:val="none"/>
                <w:lang w:val="en-US" w:eastAsia="zh-CN"/>
              </w:rPr>
              <w:t>2</w:t>
            </w:r>
            <w:r>
              <w:rPr>
                <w:rFonts w:hint="eastAsia" w:ascii="宋体" w:hAnsi="宋体" w:cs="宋体"/>
                <w:snapToGrid w:val="0"/>
                <w:color w:val="auto"/>
                <w:highlight w:val="none"/>
              </w:rPr>
              <w:t>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宋体" w:hAnsi="宋体" w:cs="宋体"/>
                <w:snapToGrid w:val="0"/>
                <w:color w:val="auto"/>
                <w:highlight w:val="none"/>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宋体" w:hAnsi="宋体" w:cs="宋体"/>
                <w:snapToGrid w:val="0"/>
                <w:color w:val="auto"/>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宋体" w:hAnsi="宋体" w:cs="宋体"/>
                <w:snapToGrid w:val="0"/>
                <w:color w:val="auto"/>
                <w:highlight w:val="none"/>
              </w:rPr>
              <w:t>加盖公章，时间以证书上的时间为准。</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000000"/>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51"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项目负责人实力</w:t>
            </w:r>
          </w:p>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项目负责人具有教授级职称的得3分，具有高级职称的得2分。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项目负责人具备注册咨询工程师资格证书得1分。</w:t>
            </w:r>
          </w:p>
          <w:p>
            <w:pPr>
              <w:adjustRightInd w:val="0"/>
              <w:snapToGrid w:val="0"/>
              <w:spacing w:line="240" w:lineRule="auto"/>
              <w:ind w:left="127" w:leftChars="60" w:right="94" w:rightChars="45" w:hanging="1" w:firstLineChars="0"/>
              <w:jc w:val="both"/>
              <w:rPr>
                <w:rFonts w:hint="eastAsia" w:ascii="宋体" w:hAnsi="宋体" w:cs="宋体"/>
                <w:snapToGrid w:val="0"/>
                <w:color w:val="000000"/>
                <w:highlight w:val="none"/>
              </w:rPr>
            </w:pPr>
            <w:r>
              <w:rPr>
                <w:rFonts w:hint="eastAsia" w:asciiTheme="minorEastAsia" w:hAnsiTheme="minorEastAsia" w:eastAsiaTheme="minorEastAsia" w:cstheme="minorEastAsia"/>
                <w:color w:val="auto"/>
                <w:kern w:val="0"/>
                <w:sz w:val="21"/>
                <w:szCs w:val="21"/>
                <w:highlight w:val="none"/>
                <w:lang w:val="zh-CN"/>
              </w:rPr>
              <w:t>说明：提供证书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lang w:val="zh-CN"/>
              </w:rPr>
              <w:t>复印件并加盖公章。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宋体" w:hAnsi="宋体" w:cs="宋体"/>
                <w:snapToGrid w:val="0"/>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556"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1157"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团队组成</w:t>
            </w:r>
          </w:p>
          <w:p>
            <w:pPr>
              <w:adjustRightInd w:val="0"/>
              <w:snapToGrid w:val="0"/>
              <w:ind w:firstLine="0" w:firstLineChars="0"/>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8</w:t>
            </w:r>
            <w:r>
              <w:rPr>
                <w:rFonts w:hint="eastAsia" w:asciiTheme="minorEastAsia" w:hAnsiTheme="minorEastAsia" w:eastAsiaTheme="minorEastAsia" w:cstheme="minorEastAsia"/>
                <w:color w:val="000000"/>
                <w:kern w:val="0"/>
                <w:sz w:val="21"/>
                <w:szCs w:val="21"/>
                <w:highlight w:val="none"/>
              </w:rPr>
              <w:t>分）</w:t>
            </w:r>
          </w:p>
        </w:tc>
        <w:tc>
          <w:tcPr>
            <w:tcW w:w="6186"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lang w:val="zh-CN"/>
              </w:rPr>
            </w:pPr>
            <w:r>
              <w:rPr>
                <w:rFonts w:hint="eastAsia" w:ascii="宋体" w:hAnsi="宋体" w:cs="宋体"/>
                <w:snapToGrid w:val="0"/>
                <w:color w:val="000000"/>
                <w:highlight w:val="none"/>
              </w:rPr>
              <w:t>人员配备合理</w:t>
            </w:r>
            <w:r>
              <w:rPr>
                <w:rFonts w:hint="eastAsia" w:ascii="宋体" w:hAnsi="宋体" w:cs="宋体"/>
                <w:snapToGrid w:val="0"/>
                <w:color w:val="000000"/>
                <w:highlight w:val="none"/>
                <w:lang w:eastAsia="zh-CN"/>
              </w:rPr>
              <w:t>（除项目负责人外），</w:t>
            </w:r>
            <w:r>
              <w:rPr>
                <w:rFonts w:hint="eastAsia" w:ascii="宋体" w:hAnsi="宋体" w:cs="宋体"/>
                <w:snapToGrid w:val="0"/>
                <w:color w:val="000000"/>
                <w:highlight w:val="none"/>
              </w:rPr>
              <w:t>专业齐全</w:t>
            </w:r>
            <w:r>
              <w:rPr>
                <w:rFonts w:hint="eastAsia" w:ascii="宋体" w:hAnsi="宋体" w:cs="宋体"/>
                <w:snapToGrid w:val="0"/>
                <w:color w:val="000000"/>
                <w:highlight w:val="none"/>
                <w:lang w:eastAsia="zh-CN"/>
              </w:rPr>
              <w:t>，</w:t>
            </w:r>
            <w:r>
              <w:rPr>
                <w:rFonts w:hint="eastAsia" w:ascii="宋体" w:hAnsi="宋体" w:cs="宋体"/>
                <w:snapToGrid w:val="0"/>
                <w:color w:val="000000"/>
                <w:highlight w:val="none"/>
              </w:rPr>
              <w:t>包括水利</w:t>
            </w:r>
            <w:r>
              <w:rPr>
                <w:rFonts w:hint="eastAsia" w:ascii="宋体" w:hAnsi="宋体" w:cs="宋体"/>
                <w:snapToGrid w:val="0"/>
                <w:color w:val="000000"/>
                <w:highlight w:val="none"/>
                <w:lang w:eastAsia="zh-CN"/>
              </w:rPr>
              <w:t>相关</w:t>
            </w:r>
            <w:r>
              <w:rPr>
                <w:rFonts w:hint="eastAsia" w:ascii="宋体" w:hAnsi="宋体" w:cs="宋体"/>
                <w:snapToGrid w:val="0"/>
                <w:color w:val="000000"/>
                <w:highlight w:val="none"/>
              </w:rPr>
              <w:t>专业</w:t>
            </w:r>
            <w:r>
              <w:rPr>
                <w:rFonts w:hint="eastAsia" w:ascii="宋体" w:hAnsi="宋体" w:cs="宋体"/>
                <w:snapToGrid w:val="0"/>
                <w:color w:val="000000"/>
                <w:highlight w:val="none"/>
                <w:lang w:eastAsia="zh-CN"/>
              </w:rPr>
              <w:t>和农业农村相关</w:t>
            </w:r>
            <w:r>
              <w:rPr>
                <w:rFonts w:hint="eastAsia" w:ascii="宋体" w:hAnsi="宋体" w:cs="宋体"/>
                <w:snapToGrid w:val="0"/>
                <w:color w:val="000000"/>
                <w:highlight w:val="none"/>
              </w:rPr>
              <w:t>专业</w:t>
            </w:r>
            <w:r>
              <w:rPr>
                <w:rFonts w:hint="eastAsia" w:ascii="宋体" w:hAnsi="宋体" w:cs="宋体"/>
                <w:snapToGrid w:val="0"/>
                <w:color w:val="000000"/>
                <w:highlight w:val="none"/>
                <w:lang w:eastAsia="zh-CN"/>
              </w:rPr>
              <w:t>。</w:t>
            </w:r>
            <w:r>
              <w:rPr>
                <w:rFonts w:hint="eastAsia" w:ascii="宋体" w:hAnsi="宋体" w:cs="宋体"/>
                <w:snapToGrid w:val="0"/>
                <w:color w:val="000000"/>
                <w:highlight w:val="none"/>
              </w:rPr>
              <w:t>每个专业</w:t>
            </w:r>
            <w:r>
              <w:rPr>
                <w:rFonts w:hint="eastAsia" w:ascii="宋体" w:hAnsi="宋体" w:cs="宋体"/>
                <w:snapToGrid w:val="0"/>
                <w:color w:val="000000"/>
                <w:highlight w:val="none"/>
                <w:lang w:val="zh-CN"/>
              </w:rPr>
              <w:t>每有一名教授级职称得</w:t>
            </w:r>
            <w:r>
              <w:rPr>
                <w:rFonts w:hint="eastAsia" w:ascii="宋体" w:hAnsi="宋体" w:cs="宋体"/>
                <w:snapToGrid w:val="0"/>
                <w:color w:val="000000"/>
                <w:highlight w:val="none"/>
              </w:rPr>
              <w:t>2分，每个专业</w:t>
            </w:r>
            <w:r>
              <w:rPr>
                <w:rFonts w:hint="eastAsia" w:ascii="宋体" w:hAnsi="宋体" w:cs="宋体"/>
                <w:snapToGrid w:val="0"/>
                <w:color w:val="000000"/>
                <w:highlight w:val="none"/>
                <w:lang w:val="zh-CN"/>
              </w:rPr>
              <w:t>每有一名高级职称得</w:t>
            </w:r>
            <w:r>
              <w:rPr>
                <w:rFonts w:hint="eastAsia" w:ascii="宋体" w:hAnsi="宋体" w:cs="宋体"/>
                <w:snapToGrid w:val="0"/>
                <w:color w:val="000000"/>
                <w:highlight w:val="none"/>
              </w:rPr>
              <w:t>1分，每个专业最多得</w:t>
            </w:r>
            <w:r>
              <w:rPr>
                <w:rFonts w:hint="eastAsia" w:ascii="宋体" w:hAnsi="宋体" w:cs="宋体"/>
                <w:snapToGrid w:val="0"/>
                <w:color w:val="000000"/>
                <w:highlight w:val="none"/>
                <w:lang w:val="en-US" w:eastAsia="zh-CN"/>
              </w:rPr>
              <w:t>4</w:t>
            </w:r>
            <w:r>
              <w:rPr>
                <w:rFonts w:hint="eastAsia" w:ascii="宋体" w:hAnsi="宋体" w:cs="宋体"/>
                <w:snapToGrid w:val="0"/>
                <w:color w:val="000000"/>
                <w:highlight w:val="none"/>
              </w:rPr>
              <w:t>分，最高得8分。</w:t>
            </w:r>
            <w:r>
              <w:rPr>
                <w:rFonts w:hint="eastAsia" w:ascii="宋体" w:hAnsi="宋体" w:cs="宋体"/>
                <w:snapToGrid w:val="0"/>
                <w:color w:val="000000"/>
                <w:highlight w:val="none"/>
                <w:lang w:val="zh-CN"/>
              </w:rPr>
              <w:t>专业以注册证或毕业证或职称证书上注明的专业为准。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说明：提供</w:t>
            </w:r>
            <w:r>
              <w:rPr>
                <w:rFonts w:hint="eastAsia" w:asciiTheme="minorEastAsia" w:hAnsiTheme="minorEastAsia" w:eastAsiaTheme="minorEastAsia" w:cstheme="minorEastAsia"/>
                <w:color w:val="000000"/>
                <w:kern w:val="0"/>
                <w:sz w:val="21"/>
                <w:szCs w:val="21"/>
                <w:highlight w:val="none"/>
                <w:lang w:val="zh-CN"/>
              </w:rPr>
              <w:t>注册证或毕业证或职称证书</w:t>
            </w:r>
            <w:r>
              <w:rPr>
                <w:rFonts w:hint="eastAsia" w:asciiTheme="minorEastAsia" w:hAnsiTheme="minorEastAsia" w:eastAsiaTheme="minorEastAsia" w:cstheme="minorEastAsia"/>
                <w:color w:val="000000"/>
                <w:kern w:val="0"/>
                <w:sz w:val="21"/>
                <w:szCs w:val="21"/>
                <w:highlight w:val="none"/>
              </w:rPr>
              <w:t>的</w:t>
            </w:r>
            <w:r>
              <w:rPr>
                <w:rFonts w:hint="eastAsia" w:asciiTheme="minorEastAsia" w:hAnsiTheme="minorEastAsia" w:eastAsiaTheme="minorEastAsia" w:cstheme="minorEastAsia"/>
                <w:color w:val="000000"/>
                <w:kern w:val="0"/>
                <w:sz w:val="21"/>
                <w:szCs w:val="21"/>
                <w:highlight w:val="none"/>
                <w:lang w:eastAsia="zh-CN"/>
              </w:rPr>
              <w:t>清晰</w:t>
            </w:r>
            <w:r>
              <w:rPr>
                <w:rFonts w:hint="eastAsia" w:asciiTheme="minorEastAsia" w:hAnsiTheme="minorEastAsia" w:eastAsiaTheme="minorEastAsia" w:cstheme="minorEastAsia"/>
                <w:color w:val="000000"/>
                <w:kern w:val="0"/>
                <w:sz w:val="21"/>
                <w:szCs w:val="21"/>
                <w:highlight w:val="none"/>
              </w:rPr>
              <w:t>复印件加盖公章。</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83" w:hRule="atLeast"/>
        </w:trPr>
        <w:tc>
          <w:tcPr>
            <w:tcW w:w="7925" w:type="dxa"/>
            <w:gridSpan w:val="3"/>
            <w:tcBorders>
              <w:tl2br w:val="nil"/>
              <w:tr2bl w:val="nil"/>
            </w:tcBorders>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b/>
                <w:bCs/>
                <w:color w:val="000000"/>
                <w:kern w:val="0"/>
                <w:sz w:val="21"/>
                <w:szCs w:val="21"/>
                <w:highlight w:val="none"/>
                <w:lang w:eastAsia="zh-CN"/>
              </w:rPr>
              <w:t>合计</w:t>
            </w:r>
          </w:p>
        </w:tc>
        <w:tc>
          <w:tcPr>
            <w:tcW w:w="1026"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1"/>
                <w:szCs w:val="21"/>
                <w:highlight w:val="none"/>
              </w:rPr>
            </w:pPr>
          </w:p>
        </w:tc>
      </w:tr>
    </w:tbl>
    <w:p>
      <w:pPr>
        <w:pStyle w:val="2"/>
        <w:rPr>
          <w:rFonts w:hint="eastAsia" w:ascii="宋体" w:hAnsi="宋体"/>
          <w:sz w:val="28"/>
          <w:szCs w:val="28"/>
          <w:lang w:eastAsia="zh-CN"/>
        </w:rPr>
      </w:pPr>
    </w:p>
    <w:sectPr>
      <w:headerReference r:id="rId3" w:type="default"/>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Arial Unicode MS"/>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Theme="minorEastAsia" w:hAnsiTheme="minorEastAsia" w:eastAsiaTheme="minorEastAsia" w:cstheme="minorEastAsia"/>
        <w:b w:val="0"/>
        <w:bCs/>
        <w:i w:val="0"/>
        <w:iCs/>
        <w:color w:val="000000" w:themeColor="text1"/>
        <w:sz w:val="18"/>
        <w:szCs w:val="18"/>
        <w:u w:val="single"/>
        <w14:textFill>
          <w14:solidFill>
            <w14:schemeClr w14:val="tx1"/>
          </w14:solidFill>
        </w14:textFill>
      </w:rPr>
    </w:pP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玉环市政府采购招标文件                                                            </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第</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34</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页共</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68</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w:t>
    </w:r>
  </w:p>
  <w:p>
    <w:pPr>
      <w:pStyle w:val="15"/>
      <w:rPr>
        <w:rFonts w:hint="eastAsia" w:asciiTheme="minorEastAsia" w:hAnsiTheme="minorEastAsia" w:eastAsiaTheme="minorEastAsia" w:cstheme="minorEastAsia"/>
        <w:b w:val="0"/>
        <w:bCs/>
        <w:i w:val="0"/>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EA1E0DFD"/>
    <w:multiLevelType w:val="singleLevel"/>
    <w:tmpl w:val="EA1E0DFD"/>
    <w:lvl w:ilvl="0" w:tentative="0">
      <w:start w:val="3"/>
      <w:numFmt w:val="decimal"/>
      <w:suff w:val="nothing"/>
      <w:lvlText w:val="%1、"/>
      <w:lvlJc w:val="left"/>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A1FBCB5"/>
    <w:multiLevelType w:val="singleLevel"/>
    <w:tmpl w:val="5A1FBCB5"/>
    <w:lvl w:ilvl="0" w:tentative="0">
      <w:start w:val="7"/>
      <w:numFmt w:val="decimal"/>
      <w:suff w:val="space"/>
      <w:lvlText w:val="%1."/>
      <w:lvlJc w:val="left"/>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formatting="1" w:enforcement="1" w:cryptProviderType="rsaFull" w:cryptAlgorithmClass="hash" w:cryptAlgorithmType="typeAny" w:cryptAlgorithmSid="4" w:cryptSpinCount="0" w:hash="aZAcujnl+rEljpHxJT+dONaawWo=" w:salt="Q+P9oDmDhegLsFTvq8Nk+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206BD"/>
    <w:rsid w:val="0006294D"/>
    <w:rsid w:val="00062AB3"/>
    <w:rsid w:val="00073AAD"/>
    <w:rsid w:val="00095A8F"/>
    <w:rsid w:val="00107BF6"/>
    <w:rsid w:val="00165F2A"/>
    <w:rsid w:val="00174CCD"/>
    <w:rsid w:val="00201D62"/>
    <w:rsid w:val="0021318F"/>
    <w:rsid w:val="00216850"/>
    <w:rsid w:val="002A1620"/>
    <w:rsid w:val="003102FB"/>
    <w:rsid w:val="00332E30"/>
    <w:rsid w:val="003C04D2"/>
    <w:rsid w:val="003C5E00"/>
    <w:rsid w:val="003F595C"/>
    <w:rsid w:val="003F78E0"/>
    <w:rsid w:val="00441FAE"/>
    <w:rsid w:val="00446CEF"/>
    <w:rsid w:val="0046392C"/>
    <w:rsid w:val="00491BDF"/>
    <w:rsid w:val="004B4165"/>
    <w:rsid w:val="005144EF"/>
    <w:rsid w:val="00573613"/>
    <w:rsid w:val="00616E31"/>
    <w:rsid w:val="00655E3C"/>
    <w:rsid w:val="00674C42"/>
    <w:rsid w:val="006960CA"/>
    <w:rsid w:val="006C78FA"/>
    <w:rsid w:val="006F4DFE"/>
    <w:rsid w:val="006F6B57"/>
    <w:rsid w:val="007A2629"/>
    <w:rsid w:val="007B4D13"/>
    <w:rsid w:val="007C1005"/>
    <w:rsid w:val="007D4118"/>
    <w:rsid w:val="007D73C7"/>
    <w:rsid w:val="007F303F"/>
    <w:rsid w:val="00802325"/>
    <w:rsid w:val="0082291E"/>
    <w:rsid w:val="00847BE5"/>
    <w:rsid w:val="0088066B"/>
    <w:rsid w:val="00886E4A"/>
    <w:rsid w:val="008D0714"/>
    <w:rsid w:val="00902653"/>
    <w:rsid w:val="00912983"/>
    <w:rsid w:val="00921F0A"/>
    <w:rsid w:val="00953816"/>
    <w:rsid w:val="00985E3B"/>
    <w:rsid w:val="009B3E22"/>
    <w:rsid w:val="009F3459"/>
    <w:rsid w:val="00A128BC"/>
    <w:rsid w:val="00A30B75"/>
    <w:rsid w:val="00A67321"/>
    <w:rsid w:val="00A730CA"/>
    <w:rsid w:val="00AD086F"/>
    <w:rsid w:val="00AF082F"/>
    <w:rsid w:val="00B84BB5"/>
    <w:rsid w:val="00C141DE"/>
    <w:rsid w:val="00C52E14"/>
    <w:rsid w:val="00C54F22"/>
    <w:rsid w:val="00C767D4"/>
    <w:rsid w:val="00CC232E"/>
    <w:rsid w:val="00CC29B4"/>
    <w:rsid w:val="00CD1804"/>
    <w:rsid w:val="00CD3D80"/>
    <w:rsid w:val="00CF2B51"/>
    <w:rsid w:val="00E25A81"/>
    <w:rsid w:val="00E319E7"/>
    <w:rsid w:val="00E41A5E"/>
    <w:rsid w:val="00E94954"/>
    <w:rsid w:val="00EA1958"/>
    <w:rsid w:val="00EF2797"/>
    <w:rsid w:val="00F127FF"/>
    <w:rsid w:val="00F25E81"/>
    <w:rsid w:val="01464B61"/>
    <w:rsid w:val="01935887"/>
    <w:rsid w:val="01962C9F"/>
    <w:rsid w:val="027E26E5"/>
    <w:rsid w:val="03D16390"/>
    <w:rsid w:val="04CC341D"/>
    <w:rsid w:val="05137CD7"/>
    <w:rsid w:val="05C340C1"/>
    <w:rsid w:val="060B26E0"/>
    <w:rsid w:val="065A7E98"/>
    <w:rsid w:val="073C2287"/>
    <w:rsid w:val="07424EE0"/>
    <w:rsid w:val="07504E39"/>
    <w:rsid w:val="07B42829"/>
    <w:rsid w:val="088B0BF4"/>
    <w:rsid w:val="095204DA"/>
    <w:rsid w:val="0A5C7382"/>
    <w:rsid w:val="0B964B78"/>
    <w:rsid w:val="0BC1228B"/>
    <w:rsid w:val="0C1E2BA0"/>
    <w:rsid w:val="0C2415D3"/>
    <w:rsid w:val="0C765CB2"/>
    <w:rsid w:val="0CF4479D"/>
    <w:rsid w:val="0D4B6EEB"/>
    <w:rsid w:val="0D8E1831"/>
    <w:rsid w:val="0DB37DA9"/>
    <w:rsid w:val="0DC4358A"/>
    <w:rsid w:val="0DE55F05"/>
    <w:rsid w:val="0E635713"/>
    <w:rsid w:val="0E970358"/>
    <w:rsid w:val="0EE63629"/>
    <w:rsid w:val="0F0B0D44"/>
    <w:rsid w:val="0F530A77"/>
    <w:rsid w:val="100E024A"/>
    <w:rsid w:val="10392EAE"/>
    <w:rsid w:val="10706EC2"/>
    <w:rsid w:val="12807280"/>
    <w:rsid w:val="13781EA1"/>
    <w:rsid w:val="148463E6"/>
    <w:rsid w:val="1499656E"/>
    <w:rsid w:val="14D20D9B"/>
    <w:rsid w:val="15287094"/>
    <w:rsid w:val="15A72BED"/>
    <w:rsid w:val="1621170E"/>
    <w:rsid w:val="16E713AE"/>
    <w:rsid w:val="172D620A"/>
    <w:rsid w:val="18B91D2B"/>
    <w:rsid w:val="18C40414"/>
    <w:rsid w:val="19D016DA"/>
    <w:rsid w:val="1A3B20D5"/>
    <w:rsid w:val="1A6A6D44"/>
    <w:rsid w:val="1A817123"/>
    <w:rsid w:val="1B936A5D"/>
    <w:rsid w:val="1BDEBEAC"/>
    <w:rsid w:val="1BE23DA9"/>
    <w:rsid w:val="1C093ECB"/>
    <w:rsid w:val="1CE4433A"/>
    <w:rsid w:val="1E0A2076"/>
    <w:rsid w:val="1EAF32E2"/>
    <w:rsid w:val="1EE84AA8"/>
    <w:rsid w:val="1EFFF4B3"/>
    <w:rsid w:val="1F77199B"/>
    <w:rsid w:val="211A582E"/>
    <w:rsid w:val="21B603B0"/>
    <w:rsid w:val="228447E5"/>
    <w:rsid w:val="23424F53"/>
    <w:rsid w:val="236E14E2"/>
    <w:rsid w:val="23ED67F6"/>
    <w:rsid w:val="242F739C"/>
    <w:rsid w:val="24C05495"/>
    <w:rsid w:val="250224DD"/>
    <w:rsid w:val="25485D1E"/>
    <w:rsid w:val="25E93BCF"/>
    <w:rsid w:val="26115EDF"/>
    <w:rsid w:val="265A0151"/>
    <w:rsid w:val="27F76B28"/>
    <w:rsid w:val="28655363"/>
    <w:rsid w:val="29D148D0"/>
    <w:rsid w:val="29E60F26"/>
    <w:rsid w:val="2A7D70A8"/>
    <w:rsid w:val="2A8628A1"/>
    <w:rsid w:val="2AC803DC"/>
    <w:rsid w:val="2B99658A"/>
    <w:rsid w:val="2C6911C0"/>
    <w:rsid w:val="2C8C1715"/>
    <w:rsid w:val="2D7A4B45"/>
    <w:rsid w:val="2DBF2AD5"/>
    <w:rsid w:val="2DC74409"/>
    <w:rsid w:val="2EA40BAA"/>
    <w:rsid w:val="2EAB0B7A"/>
    <w:rsid w:val="2F223892"/>
    <w:rsid w:val="2F5A0DD9"/>
    <w:rsid w:val="2F6B2D40"/>
    <w:rsid w:val="2FAB2A22"/>
    <w:rsid w:val="30143D85"/>
    <w:rsid w:val="31752B09"/>
    <w:rsid w:val="32684247"/>
    <w:rsid w:val="341548E3"/>
    <w:rsid w:val="358B07BE"/>
    <w:rsid w:val="37712A39"/>
    <w:rsid w:val="37C271D1"/>
    <w:rsid w:val="37D029A4"/>
    <w:rsid w:val="380672F9"/>
    <w:rsid w:val="39573B6C"/>
    <w:rsid w:val="39C53CD8"/>
    <w:rsid w:val="3A1D2170"/>
    <w:rsid w:val="3AE50133"/>
    <w:rsid w:val="3B345EA5"/>
    <w:rsid w:val="3B7D477A"/>
    <w:rsid w:val="3C0F7C63"/>
    <w:rsid w:val="3C535292"/>
    <w:rsid w:val="3CB435C9"/>
    <w:rsid w:val="3D817FE1"/>
    <w:rsid w:val="3DB531EC"/>
    <w:rsid w:val="3DE86C6B"/>
    <w:rsid w:val="3EEC6F56"/>
    <w:rsid w:val="3EFD547E"/>
    <w:rsid w:val="3F3C60EE"/>
    <w:rsid w:val="3F433240"/>
    <w:rsid w:val="3F9E713A"/>
    <w:rsid w:val="3FB933B6"/>
    <w:rsid w:val="3FF39BA0"/>
    <w:rsid w:val="3FFD8D37"/>
    <w:rsid w:val="408C0053"/>
    <w:rsid w:val="413B08D3"/>
    <w:rsid w:val="420A29EE"/>
    <w:rsid w:val="423A6905"/>
    <w:rsid w:val="42E82B6F"/>
    <w:rsid w:val="43036342"/>
    <w:rsid w:val="43A57ABB"/>
    <w:rsid w:val="446E79B8"/>
    <w:rsid w:val="44EC29B1"/>
    <w:rsid w:val="4563730C"/>
    <w:rsid w:val="458A1444"/>
    <w:rsid w:val="45CB53CC"/>
    <w:rsid w:val="46822259"/>
    <w:rsid w:val="46FAF615"/>
    <w:rsid w:val="47360A56"/>
    <w:rsid w:val="477E2C88"/>
    <w:rsid w:val="478333D8"/>
    <w:rsid w:val="480B693A"/>
    <w:rsid w:val="485C107E"/>
    <w:rsid w:val="48694FA0"/>
    <w:rsid w:val="488E768B"/>
    <w:rsid w:val="4991008C"/>
    <w:rsid w:val="49F41D5E"/>
    <w:rsid w:val="4A137E28"/>
    <w:rsid w:val="4B1E31F7"/>
    <w:rsid w:val="4B812F58"/>
    <w:rsid w:val="4BA0420E"/>
    <w:rsid w:val="4BB03363"/>
    <w:rsid w:val="4BCB3573"/>
    <w:rsid w:val="4CE75373"/>
    <w:rsid w:val="4E4B081F"/>
    <w:rsid w:val="4F687EAB"/>
    <w:rsid w:val="5242055C"/>
    <w:rsid w:val="52E6D006"/>
    <w:rsid w:val="532E2916"/>
    <w:rsid w:val="53B464D9"/>
    <w:rsid w:val="546C2376"/>
    <w:rsid w:val="566D4B95"/>
    <w:rsid w:val="572656D4"/>
    <w:rsid w:val="57A32411"/>
    <w:rsid w:val="58337D80"/>
    <w:rsid w:val="590509E3"/>
    <w:rsid w:val="596D0701"/>
    <w:rsid w:val="59AD06A4"/>
    <w:rsid w:val="5A4D586D"/>
    <w:rsid w:val="5A6249B0"/>
    <w:rsid w:val="5AF93F3D"/>
    <w:rsid w:val="5B3F3E55"/>
    <w:rsid w:val="5B552733"/>
    <w:rsid w:val="5CF650A8"/>
    <w:rsid w:val="5E7C626E"/>
    <w:rsid w:val="5E866809"/>
    <w:rsid w:val="5EE84C68"/>
    <w:rsid w:val="5EEBC73C"/>
    <w:rsid w:val="5EF764CF"/>
    <w:rsid w:val="5F1D1414"/>
    <w:rsid w:val="5F66E909"/>
    <w:rsid w:val="5FE42EC2"/>
    <w:rsid w:val="607E0A12"/>
    <w:rsid w:val="615C17E5"/>
    <w:rsid w:val="621D5BA4"/>
    <w:rsid w:val="62C00B68"/>
    <w:rsid w:val="635B6748"/>
    <w:rsid w:val="637161CE"/>
    <w:rsid w:val="63947A95"/>
    <w:rsid w:val="64CA4280"/>
    <w:rsid w:val="64E05610"/>
    <w:rsid w:val="64E73B37"/>
    <w:rsid w:val="67B167D1"/>
    <w:rsid w:val="67EB394F"/>
    <w:rsid w:val="681F6955"/>
    <w:rsid w:val="685F1C50"/>
    <w:rsid w:val="699022E9"/>
    <w:rsid w:val="69E15C1B"/>
    <w:rsid w:val="6A714498"/>
    <w:rsid w:val="6C44124A"/>
    <w:rsid w:val="6D02011C"/>
    <w:rsid w:val="6DDD645C"/>
    <w:rsid w:val="6F7FEEA3"/>
    <w:rsid w:val="6FDE4F78"/>
    <w:rsid w:val="6FEFC4EC"/>
    <w:rsid w:val="712D2AFE"/>
    <w:rsid w:val="734E63E1"/>
    <w:rsid w:val="745919C6"/>
    <w:rsid w:val="74702A9A"/>
    <w:rsid w:val="74ED10B4"/>
    <w:rsid w:val="74FFE614"/>
    <w:rsid w:val="750E495B"/>
    <w:rsid w:val="75EB3B35"/>
    <w:rsid w:val="761C2BBB"/>
    <w:rsid w:val="765F4246"/>
    <w:rsid w:val="76F72695"/>
    <w:rsid w:val="76FA25F3"/>
    <w:rsid w:val="776A1DE8"/>
    <w:rsid w:val="77B6F360"/>
    <w:rsid w:val="77D7EC4F"/>
    <w:rsid w:val="785D00CA"/>
    <w:rsid w:val="78762826"/>
    <w:rsid w:val="78A57D93"/>
    <w:rsid w:val="78B437F6"/>
    <w:rsid w:val="79DE32E4"/>
    <w:rsid w:val="7B5F9255"/>
    <w:rsid w:val="7BE64654"/>
    <w:rsid w:val="7C89B142"/>
    <w:rsid w:val="7CAB59E6"/>
    <w:rsid w:val="7D095886"/>
    <w:rsid w:val="7DB506D7"/>
    <w:rsid w:val="7DDD6CEA"/>
    <w:rsid w:val="7DFF81C2"/>
    <w:rsid w:val="7E0D7EF2"/>
    <w:rsid w:val="7E2F7CAD"/>
    <w:rsid w:val="7E4E9CF6"/>
    <w:rsid w:val="7E636E14"/>
    <w:rsid w:val="7E93651E"/>
    <w:rsid w:val="7F402124"/>
    <w:rsid w:val="7F47442A"/>
    <w:rsid w:val="7F8399F7"/>
    <w:rsid w:val="7FC60CF6"/>
    <w:rsid w:val="7FCD90D6"/>
    <w:rsid w:val="7FDFB87E"/>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53"/>
    <w:qFormat/>
    <w:uiPriority w:val="0"/>
    <w:pPr>
      <w:spacing w:after="120"/>
      <w:ind w:left="420" w:leftChars="20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50"/>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4"/>
    <w:next w:val="1"/>
    <w:qFormat/>
    <w:uiPriority w:val="0"/>
    <w:pPr>
      <w:wordWrap w:val="0"/>
      <w:ind w:left="850"/>
      <w:jc w:val="both"/>
    </w:pPr>
    <w:rPr>
      <w:rFonts w:ascii="Calibri" w:hAnsi="Calibri" w:eastAsia="宋体" w:cs="Times New Roman"/>
      <w:sz w:val="21"/>
      <w:lang w:val="en-US" w:eastAsia="zh-CN" w:bidi="ar-SA"/>
    </w:r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18">
    <w:name w:val="annotation subject"/>
    <w:basedOn w:val="8"/>
    <w:next w:val="8"/>
    <w:link w:val="51"/>
    <w:qFormat/>
    <w:uiPriority w:val="0"/>
    <w:rPr>
      <w:b/>
      <w:bCs/>
    </w:rPr>
  </w:style>
  <w:style w:type="paragraph" w:styleId="19">
    <w:name w:val="Body Text First Indent"/>
    <w:basedOn w:val="9"/>
    <w:unhideWhenUsed/>
    <w:qFormat/>
    <w:uiPriority w:val="99"/>
    <w:pPr>
      <w:ind w:firstLine="420" w:firstLineChars="100"/>
    </w:pPr>
  </w:style>
  <w:style w:type="character" w:styleId="22">
    <w:name w:val="Strong"/>
    <w:basedOn w:val="21"/>
    <w:qFormat/>
    <w:uiPriority w:val="0"/>
    <w:rPr>
      <w:b/>
    </w:rPr>
  </w:style>
  <w:style w:type="character" w:styleId="23">
    <w:name w:val="FollowedHyperlink"/>
    <w:basedOn w:val="21"/>
    <w:qFormat/>
    <w:uiPriority w:val="0"/>
    <w:rPr>
      <w:color w:val="00000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00"/>
      <w:u w:val="none"/>
    </w:rPr>
  </w:style>
  <w:style w:type="character" w:styleId="29">
    <w:name w:val="HTML Code"/>
    <w:basedOn w:val="21"/>
    <w:qFormat/>
    <w:uiPriority w:val="0"/>
    <w:rPr>
      <w:rFonts w:ascii="Courier New" w:hAnsi="Courier New"/>
      <w:sz w:val="20"/>
    </w:rPr>
  </w:style>
  <w:style w:type="character" w:styleId="30">
    <w:name w:val="annotation reference"/>
    <w:basedOn w:val="21"/>
    <w:qFormat/>
    <w:uiPriority w:val="0"/>
    <w:rPr>
      <w:sz w:val="21"/>
      <w:szCs w:val="21"/>
    </w:rPr>
  </w:style>
  <w:style w:type="character" w:styleId="31">
    <w:name w:val="HTML Cite"/>
    <w:basedOn w:val="21"/>
    <w:qFormat/>
    <w:uiPriority w:val="0"/>
  </w:style>
  <w:style w:type="paragraph" w:customStyle="1" w:styleId="32">
    <w:name w:val="表格文字"/>
    <w:basedOn w:val="1"/>
    <w:next w:val="9"/>
    <w:qFormat/>
    <w:uiPriority w:val="0"/>
    <w:pPr>
      <w:adjustRightInd w:val="0"/>
      <w:spacing w:line="420" w:lineRule="atLeast"/>
      <w:jc w:val="left"/>
      <w:textAlignment w:val="baseline"/>
    </w:pPr>
    <w:rPr>
      <w:kern w:val="0"/>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列表段落1"/>
    <w:basedOn w:val="1"/>
    <w:qFormat/>
    <w:uiPriority w:val="34"/>
    <w:pPr>
      <w:ind w:firstLine="420" w:firstLineChars="200"/>
    </w:pPr>
    <w:rPr>
      <w:rFonts w:ascii="Calibri" w:hAnsi="Calibri"/>
      <w:szCs w:val="22"/>
    </w:rPr>
  </w:style>
  <w:style w:type="paragraph" w:customStyle="1" w:styleId="3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6">
    <w:name w:val="列出段落1"/>
    <w:basedOn w:val="1"/>
    <w:qFormat/>
    <w:uiPriority w:val="0"/>
    <w:pPr>
      <w:ind w:firstLine="420" w:firstLineChars="200"/>
    </w:pPr>
    <w:rPr>
      <w:rFonts w:ascii="Calibri" w:hAnsi="Calibri"/>
      <w:kern w:val="0"/>
      <w:szCs w:val="20"/>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批注文字 Char"/>
    <w:basedOn w:val="21"/>
    <w:link w:val="8"/>
    <w:qFormat/>
    <w:uiPriority w:val="0"/>
    <w:rPr>
      <w:rFonts w:ascii="Times New Roman" w:hAnsi="Times New Roman" w:eastAsia="宋体" w:cs="Times New Roman"/>
      <w:kern w:val="2"/>
      <w:sz w:val="21"/>
      <w:szCs w:val="24"/>
    </w:rPr>
  </w:style>
  <w:style w:type="character" w:customStyle="1" w:styleId="51">
    <w:name w:val="批注主题 Char"/>
    <w:basedOn w:val="50"/>
    <w:link w:val="18"/>
    <w:qFormat/>
    <w:uiPriority w:val="0"/>
    <w:rPr>
      <w:rFonts w:ascii="Times New Roman" w:hAnsi="Times New Roman" w:eastAsia="宋体" w:cs="Times New Roman"/>
      <w:b/>
      <w:bCs/>
      <w:kern w:val="2"/>
      <w:sz w:val="21"/>
      <w:szCs w:val="24"/>
    </w:rPr>
  </w:style>
  <w:style w:type="character" w:customStyle="1" w:styleId="52">
    <w:name w:val="批注框文本 Char"/>
    <w:basedOn w:val="21"/>
    <w:link w:val="13"/>
    <w:qFormat/>
    <w:uiPriority w:val="0"/>
    <w:rPr>
      <w:rFonts w:ascii="Times New Roman" w:hAnsi="Times New Roman" w:eastAsia="宋体" w:cs="Times New Roman"/>
      <w:kern w:val="2"/>
      <w:sz w:val="18"/>
      <w:szCs w:val="18"/>
    </w:rPr>
  </w:style>
  <w:style w:type="character" w:customStyle="1" w:styleId="53">
    <w:name w:val="正文文本缩进 Char"/>
    <w:basedOn w:val="21"/>
    <w:link w:val="3"/>
    <w:qFormat/>
    <w:uiPriority w:val="0"/>
    <w:rPr>
      <w:kern w:val="2"/>
      <w:sz w:val="21"/>
      <w:szCs w:val="24"/>
    </w:rPr>
  </w:style>
  <w:style w:type="character" w:customStyle="1" w:styleId="54">
    <w:name w:val="s1"/>
    <w:basedOn w:val="21"/>
    <w:qFormat/>
    <w:uiPriority w:val="0"/>
    <w:rPr>
      <w:rFonts w:ascii="Helvetica" w:hAnsi="Helvetica" w:eastAsia="Helvetica" w:cs="Helvetica"/>
      <w:sz w:val="24"/>
      <w:szCs w:val="24"/>
    </w:rPr>
  </w:style>
  <w:style w:type="paragraph" w:customStyle="1" w:styleId="55">
    <w:name w:val="p2"/>
    <w:basedOn w:val="1"/>
    <w:qFormat/>
    <w:uiPriority w:val="0"/>
    <w:pPr>
      <w:jc w:val="left"/>
    </w:pPr>
    <w:rPr>
      <w:rFonts w:ascii="pingfang sc" w:hAnsi="pingfang sc" w:eastAsia="pingfang sc"/>
      <w:kern w:val="0"/>
      <w:sz w:val="24"/>
    </w:rPr>
  </w:style>
  <w:style w:type="paragraph" w:customStyle="1" w:styleId="56">
    <w:name w:val="p1"/>
    <w:basedOn w:val="1"/>
    <w:qFormat/>
    <w:uiPriority w:val="0"/>
    <w:pPr>
      <w:jc w:val="left"/>
    </w:pPr>
    <w:rPr>
      <w:rFonts w:ascii="pingfang sc" w:hAnsi="pingfang sc" w:eastAsia="pingfang sc"/>
      <w:kern w:val="0"/>
      <w:sz w:val="24"/>
    </w:rPr>
  </w:style>
  <w:style w:type="paragraph" w:customStyle="1" w:styleId="57">
    <w:name w:val="Char"/>
    <w:basedOn w:val="1"/>
    <w:qFormat/>
    <w:uiPriority w:val="0"/>
    <w:pPr>
      <w:spacing w:line="440" w:lineRule="exact"/>
      <w:ind w:left="510" w:firstLine="480" w:firstLineChars="200"/>
    </w:pPr>
    <w:rPr>
      <w:rFonts w:ascii="宋体" w:hAnsi="宋体"/>
      <w:sz w:val="24"/>
    </w:rPr>
  </w:style>
  <w:style w:type="character" w:customStyle="1" w:styleId="58">
    <w:name w:val="font01"/>
    <w:basedOn w:val="21"/>
    <w:qFormat/>
    <w:uiPriority w:val="0"/>
    <w:rPr>
      <w:rFonts w:hint="eastAsia" w:ascii="宋体" w:hAnsi="宋体" w:eastAsia="宋体" w:cs="宋体"/>
      <w:b/>
      <w:color w:val="000000"/>
      <w:sz w:val="24"/>
      <w:szCs w:val="24"/>
      <w:u w:val="none"/>
    </w:rPr>
  </w:style>
  <w:style w:type="character" w:customStyle="1" w:styleId="59">
    <w:name w:val="font21"/>
    <w:basedOn w:val="21"/>
    <w:qFormat/>
    <w:uiPriority w:val="0"/>
    <w:rPr>
      <w:rFonts w:hint="eastAsia" w:ascii="宋体" w:hAnsi="宋体" w:eastAsia="宋体" w:cs="宋体"/>
      <w:color w:val="000000"/>
      <w:sz w:val="24"/>
      <w:szCs w:val="24"/>
      <w:u w:val="none"/>
    </w:rPr>
  </w:style>
  <w:style w:type="character" w:customStyle="1" w:styleId="60">
    <w:name w:val="text-overflow"/>
    <w:basedOn w:val="21"/>
    <w:qFormat/>
    <w:uiPriority w:val="0"/>
  </w:style>
  <w:style w:type="character" w:customStyle="1" w:styleId="61">
    <w:name w:val="text-overflow1"/>
    <w:basedOn w:val="21"/>
    <w:qFormat/>
    <w:uiPriority w:val="0"/>
  </w:style>
  <w:style w:type="character" w:customStyle="1" w:styleId="62">
    <w:name w:val="publishtime"/>
    <w:basedOn w:val="21"/>
    <w:qFormat/>
    <w:uiPriority w:val="0"/>
    <w:rPr>
      <w:color w:val="999999"/>
    </w:rPr>
  </w:style>
  <w:style w:type="character" w:customStyle="1" w:styleId="63">
    <w:name w:val="publishtime1"/>
    <w:basedOn w:val="21"/>
    <w:qFormat/>
    <w:uiPriority w:val="0"/>
    <w:rPr>
      <w:color w:val="666666"/>
    </w:rPr>
  </w:style>
  <w:style w:type="character" w:customStyle="1" w:styleId="64">
    <w:name w:val="first-child"/>
    <w:basedOn w:val="21"/>
    <w:qFormat/>
    <w:uiPriority w:val="0"/>
  </w:style>
  <w:style w:type="character" w:customStyle="1" w:styleId="65">
    <w:name w:val="hover9"/>
    <w:basedOn w:val="21"/>
    <w:qFormat/>
    <w:uiPriority w:val="0"/>
    <w:rPr>
      <w:color w:val="23527C"/>
      <w:shd w:val="clear" w:fill="EEEEEE"/>
    </w:rPr>
  </w:style>
  <w:style w:type="character" w:customStyle="1" w:styleId="66">
    <w:name w:val="hover10"/>
    <w:basedOn w:val="21"/>
    <w:qFormat/>
    <w:uiPriority w:val="0"/>
    <w:rPr>
      <w:color w:val="777777"/>
      <w:shd w:val="clear" w:fill="FFFFFF"/>
    </w:rPr>
  </w:style>
  <w:style w:type="character" w:customStyle="1" w:styleId="67">
    <w:name w:val="second-line"/>
    <w:basedOn w:val="21"/>
    <w:qFormat/>
    <w:uiPriority w:val="0"/>
    <w:rPr>
      <w:color w:val="727272"/>
    </w:rPr>
  </w:style>
  <w:style w:type="character" w:customStyle="1" w:styleId="68">
    <w:name w:val="time"/>
    <w:basedOn w:val="21"/>
    <w:qFormat/>
    <w:uiPriority w:val="0"/>
    <w:rPr>
      <w:sz w:val="21"/>
      <w:szCs w:val="21"/>
    </w:rPr>
  </w:style>
  <w:style w:type="character" w:customStyle="1" w:styleId="69">
    <w:name w:val="focus2"/>
    <w:basedOn w:val="21"/>
    <w:qFormat/>
    <w:uiPriority w:val="0"/>
    <w:rPr>
      <w:color w:val="23527C"/>
      <w:shd w:val="clear" w:fill="EEEEEE"/>
    </w:rPr>
  </w:style>
  <w:style w:type="character" w:customStyle="1" w:styleId="70">
    <w:name w:val="focus3"/>
    <w:basedOn w:val="21"/>
    <w:qFormat/>
    <w:uiPriority w:val="0"/>
    <w:rPr>
      <w:color w:val="777777"/>
      <w:shd w:val="clear" w:fill="FFFFFF"/>
    </w:rPr>
  </w:style>
  <w:style w:type="character" w:customStyle="1" w:styleId="71">
    <w:name w:val="first-child1"/>
    <w:basedOn w:val="21"/>
    <w:qFormat/>
    <w:uiPriority w:val="0"/>
  </w:style>
  <w:style w:type="character" w:customStyle="1" w:styleId="72">
    <w:name w:val="focus"/>
    <w:basedOn w:val="21"/>
    <w:qFormat/>
    <w:uiPriority w:val="0"/>
    <w:rPr>
      <w:color w:val="23527C"/>
      <w:shd w:val="clear" w:fill="EEEEEE"/>
    </w:rPr>
  </w:style>
  <w:style w:type="character" w:customStyle="1" w:styleId="73">
    <w:name w:val="focus1"/>
    <w:basedOn w:val="21"/>
    <w:qFormat/>
    <w:uiPriority w:val="0"/>
    <w:rPr>
      <w:color w:val="777777"/>
      <w:shd w:val="clear" w:fill="FFFFFF"/>
    </w:rPr>
  </w:style>
  <w:style w:type="character" w:customStyle="1" w:styleId="74">
    <w:name w:val="hover35"/>
    <w:basedOn w:val="21"/>
    <w:qFormat/>
    <w:uiPriority w:val="0"/>
    <w:rPr>
      <w:color w:val="3EAF0E"/>
    </w:rPr>
  </w:style>
  <w:style w:type="character" w:customStyle="1" w:styleId="75">
    <w:name w:val="mr-prof"/>
    <w:basedOn w:val="21"/>
    <w:qFormat/>
    <w:uiPriority w:val="0"/>
  </w:style>
  <w:style w:type="character" w:customStyle="1" w:styleId="76">
    <w:name w:val="s16"/>
    <w:basedOn w:val="21"/>
    <w:qFormat/>
    <w:uiPriority w:val="0"/>
    <w:rPr>
      <w:color w:val="DDDDDD"/>
      <w:sz w:val="18"/>
      <w:szCs w:val="18"/>
    </w:rPr>
  </w:style>
  <w:style w:type="character" w:customStyle="1" w:styleId="77">
    <w:name w:val="hover33"/>
    <w:basedOn w:val="21"/>
    <w:qFormat/>
    <w:uiPriority w:val="0"/>
    <w:rPr>
      <w:color w:val="3EAF0E"/>
    </w:rPr>
  </w:style>
  <w:style w:type="character" w:customStyle="1" w:styleId="78">
    <w:name w:val="hover31"/>
    <w:basedOn w:val="21"/>
    <w:qFormat/>
    <w:uiPriority w:val="0"/>
    <w:rPr>
      <w:color w:val="3EAF0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5112</Words>
  <Characters>29144</Characters>
  <Lines>242</Lines>
  <Paragraphs>68</Paragraphs>
  <TotalTime>24</TotalTime>
  <ScaleCrop>false</ScaleCrop>
  <LinksUpToDate>false</LinksUpToDate>
  <CharactersWithSpaces>34188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2018-06-22T05:33:00Z</dcterms:created>
  <dc:creator>S-mile</dc:creator>
  <cp:lastModifiedBy>❤罒飃鎏づ</cp:lastModifiedBy>
  <cp:lastPrinted>2019-09-17T00:52:00Z</cp:lastPrinted>
  <dcterms:modified xsi:type="dcterms:W3CDTF">2019-10-17T02:56:44Z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