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highlight w:val="none"/>
          <w14:textFill>
            <w14:solidFill>
              <w14:schemeClr w14:val="tx1"/>
            </w14:solidFill>
          </w14:textFill>
        </w:rPr>
      </w:pPr>
      <w:r>
        <w:rPr>
          <w:rFonts w:hint="eastAsia" w:ascii="宋体"/>
          <w:b/>
          <w:color w:val="000000" w:themeColor="text1"/>
          <w:kern w:val="0"/>
          <w:sz w:val="52"/>
          <w:highlight w:val="none"/>
          <w14:textFill>
            <w14:solidFill>
              <w14:schemeClr w14:val="tx1"/>
            </w14:solidFill>
          </w14:textFill>
        </w:rPr>
        <w:t>玉环市政府采购</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r>
        <w:rPr>
          <w:rFonts w:hint="eastAsia" w:ascii="宋体"/>
          <w:b/>
          <w:color w:val="000000" w:themeColor="text1"/>
          <w:kern w:val="0"/>
          <w:sz w:val="52"/>
          <w:szCs w:val="52"/>
          <w:highlight w:val="none"/>
          <w14:textFill>
            <w14:solidFill>
              <w14:schemeClr w14:val="tx1"/>
            </w14:solidFill>
          </w14:textFill>
        </w:rPr>
        <w:t>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bCs/>
          <w:color w:val="000000" w:themeColor="text1"/>
          <w:kern w:val="0"/>
          <w:sz w:val="32"/>
          <w:szCs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themeColor="text1"/>
          <w:kern w:val="0"/>
          <w:sz w:val="32"/>
          <w:highlight w:val="none"/>
          <w14:textFill>
            <w14:solidFill>
              <w14:schemeClr w14:val="tx1"/>
            </w14:solidFill>
          </w14:textFill>
        </w:rPr>
      </w:pPr>
      <w:r>
        <w:rPr>
          <w:rFonts w:hint="eastAsia" w:ascii="宋体" w:hAnsi="宋体" w:cs="宋体"/>
          <w:b/>
          <w:bCs/>
          <w:color w:val="000000" w:themeColor="text1"/>
          <w:kern w:val="0"/>
          <w:sz w:val="32"/>
          <w:szCs w:val="32"/>
          <w:highlight w:val="none"/>
          <w14:textFill>
            <w14:solidFill>
              <w14:schemeClr w14:val="tx1"/>
            </w14:solidFill>
          </w14:textFill>
        </w:rPr>
        <w:t>HQ-YHZFCG-2019-95</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highlight w:val="none"/>
          <w14:textFill>
            <w14:solidFill>
              <w14:schemeClr w14:val="tx1"/>
            </w14:solidFill>
          </w14:textFill>
        </w:rPr>
      </w:pPr>
    </w:p>
    <w:p>
      <w:pPr>
        <w:autoSpaceDE w:val="0"/>
        <w:autoSpaceDN w:val="0"/>
        <w:adjustRightInd w:val="0"/>
        <w:spacing w:line="360" w:lineRule="auto"/>
        <w:rPr>
          <w:rFonts w:ascii="宋体"/>
          <w:b/>
          <w:color w:val="000000" w:themeColor="text1"/>
          <w:kern w:val="0"/>
          <w:sz w:val="52"/>
          <w:szCs w:val="52"/>
          <w:highlight w:val="none"/>
          <w14:textFill>
            <w14:solidFill>
              <w14:schemeClr w14:val="tx1"/>
            </w14:solidFill>
          </w14:textFill>
        </w:rPr>
      </w:pPr>
    </w:p>
    <w:p>
      <w:pPr>
        <w:autoSpaceDE w:val="0"/>
        <w:autoSpaceDN w:val="0"/>
        <w:adjustRightInd w:val="0"/>
        <w:spacing w:line="360" w:lineRule="auto"/>
        <w:ind w:firstLine="1797" w:firstLineChars="642"/>
        <w:jc w:val="left"/>
        <w:rPr>
          <w:rFonts w:ascii="宋体"/>
          <w:color w:val="000000" w:themeColor="text1"/>
          <w:kern w:val="0"/>
          <w:sz w:val="28"/>
          <w:highlight w:val="none"/>
          <w14:textFill>
            <w14:solidFill>
              <w14:schemeClr w14:val="tx1"/>
            </w14:solidFill>
          </w14:textFill>
        </w:rPr>
      </w:pPr>
    </w:p>
    <w:p>
      <w:pPr>
        <w:autoSpaceDE w:val="0"/>
        <w:autoSpaceDN w:val="0"/>
        <w:adjustRightInd w:val="0"/>
        <w:spacing w:line="360" w:lineRule="auto"/>
        <w:ind w:firstLine="1797" w:firstLineChars="642"/>
        <w:jc w:val="left"/>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采购项目：</w:t>
      </w:r>
      <w:r>
        <w:rPr>
          <w:rFonts w:hint="eastAsia" w:ascii="宋体" w:hAnsi="宋体" w:cs="宋体"/>
          <w:color w:val="000000" w:themeColor="text1"/>
          <w:kern w:val="0"/>
          <w:sz w:val="28"/>
          <w:szCs w:val="28"/>
          <w:highlight w:val="none"/>
          <w14:textFill>
            <w14:solidFill>
              <w14:schemeClr w14:val="tx1"/>
            </w14:solidFill>
          </w14:textFill>
        </w:rPr>
        <w:t>玉环市天网视频监控系统模改数项目</w:t>
      </w:r>
    </w:p>
    <w:p>
      <w:pPr>
        <w:autoSpaceDE w:val="0"/>
        <w:autoSpaceDN w:val="0"/>
        <w:adjustRightInd w:val="0"/>
        <w:spacing w:line="360" w:lineRule="auto"/>
        <w:ind w:left="1441" w:firstLine="280"/>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 xml:space="preserve"> 采购人：</w:t>
      </w:r>
      <w:r>
        <w:rPr>
          <w:rFonts w:hint="eastAsia" w:ascii="宋体" w:hAnsi="宋体" w:cs="宋体"/>
          <w:color w:val="000000" w:themeColor="text1"/>
          <w:kern w:val="0"/>
          <w:sz w:val="28"/>
          <w:szCs w:val="28"/>
          <w:highlight w:val="none"/>
          <w14:textFill>
            <w14:solidFill>
              <w14:schemeClr w14:val="tx1"/>
            </w14:solidFill>
          </w14:textFill>
        </w:rPr>
        <w:t>玉环市公安局</w:t>
      </w:r>
    </w:p>
    <w:p>
      <w:pPr>
        <w:autoSpaceDE w:val="0"/>
        <w:autoSpaceDN w:val="0"/>
        <w:adjustRightInd w:val="0"/>
        <w:spacing w:line="360" w:lineRule="auto"/>
        <w:rPr>
          <w:rFonts w:ascii="宋体"/>
          <w:color w:val="000000" w:themeColor="text1"/>
          <w:kern w:val="0"/>
          <w:sz w:val="28"/>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30"/>
          <w:szCs w:val="30"/>
          <w:highlight w:val="none"/>
          <w14:textFill>
            <w14:solidFill>
              <w14:schemeClr w14:val="tx1"/>
            </w14:solidFill>
          </w14:textFill>
        </w:rPr>
        <w:t xml:space="preserve"> </w:t>
      </w:r>
      <w:r>
        <w:rPr>
          <w:rFonts w:hint="eastAsia" w:ascii="宋体" w:hAnsi="宋体" w:cs="宋体"/>
          <w:color w:val="000000" w:themeColor="text1"/>
          <w:kern w:val="0"/>
          <w:sz w:val="28"/>
          <w:szCs w:val="28"/>
          <w:highlight w:val="none"/>
          <w14:textFill>
            <w14:solidFill>
              <w14:schemeClr w14:val="tx1"/>
            </w14:solidFill>
          </w14:textFill>
        </w:rPr>
        <w:t>杭州华旗招标代理有限公司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1960" w:firstLineChars="700"/>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2019年10月21日</w:t>
      </w: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jc w:val="center"/>
        <w:rPr>
          <w:rFonts w:ascii="宋体" w:hAnsi="宋体" w:cs="Arial"/>
          <w:b/>
          <w:bCs/>
          <w:color w:val="000000" w:themeColor="text1"/>
          <w:sz w:val="36"/>
          <w:szCs w:val="36"/>
          <w:highlight w:val="none"/>
          <w14:textFill>
            <w14:solidFill>
              <w14:schemeClr w14:val="tx1"/>
            </w14:solidFill>
          </w14:textFill>
        </w:rPr>
      </w:pPr>
    </w:p>
    <w:p>
      <w:pPr>
        <w:jc w:val="center"/>
        <w:rPr>
          <w:rFonts w:ascii="宋体" w:hAnsi="宋体" w:cs="Arial"/>
          <w:b/>
          <w:bCs/>
          <w:color w:val="000000" w:themeColor="text1"/>
          <w:sz w:val="36"/>
          <w:szCs w:val="36"/>
          <w:highlight w:val="none"/>
          <w14:textFill>
            <w14:solidFill>
              <w14:schemeClr w14:val="tx1"/>
            </w14:solidFill>
          </w14:textFill>
        </w:rPr>
      </w:pPr>
      <w:r>
        <w:rPr>
          <w:rFonts w:hint="eastAsia" w:ascii="宋体" w:hAnsi="宋体" w:cs="Arial"/>
          <w:b/>
          <w:bCs/>
          <w:color w:val="000000" w:themeColor="text1"/>
          <w:sz w:val="36"/>
          <w:szCs w:val="36"/>
          <w:highlight w:val="none"/>
          <w14:textFill>
            <w14:solidFill>
              <w14:schemeClr w14:val="tx1"/>
            </w14:solidFill>
          </w14:textFill>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000000" w:themeColor="text1"/>
          <w:sz w:val="36"/>
          <w:highlight w:val="none"/>
          <w14:textFill>
            <w14:solidFill>
              <w14:schemeClr w14:val="tx1"/>
            </w14:solidFill>
          </w14:textFill>
        </w:rPr>
      </w:pPr>
    </w:p>
    <w:p>
      <w:pPr>
        <w:spacing w:line="360" w:lineRule="auto"/>
        <w:rPr>
          <w:rFonts w:ascii="新宋体" w:hAnsi="新宋体" w:eastAsia="新宋体"/>
          <w:color w:val="000000" w:themeColor="text1"/>
          <w:sz w:val="28"/>
          <w:szCs w:val="28"/>
          <w:highlight w:val="none"/>
          <w14:textFill>
            <w14:solidFill>
              <w14:schemeClr w14:val="tx1"/>
            </w14:solidFill>
          </w14:textFill>
        </w:rPr>
      </w:pP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公开招标采购公告</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投标人须知</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评标办法及评分标准</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公开招标需求</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政府采购合同主要条款指引</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投标文件格式附件</w:t>
      </w: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第一章  公开招标采购公告</w:t>
      </w:r>
    </w:p>
    <w:p>
      <w:pPr>
        <w:tabs>
          <w:tab w:val="left" w:pos="180"/>
          <w:tab w:val="left" w:pos="360"/>
          <w:tab w:val="left" w:pos="540"/>
          <w:tab w:val="left" w:pos="8280"/>
        </w:tabs>
        <w:autoSpaceDE w:val="0"/>
        <w:autoSpaceDN w:val="0"/>
        <w:adjustRightInd w:val="0"/>
        <w:spacing w:before="312" w:beforeLines="100" w:line="400" w:lineRule="exact"/>
        <w:ind w:right="23" w:firstLine="539"/>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color w:val="000000" w:themeColor="text1"/>
          <w:kern w:val="0"/>
          <w:sz w:val="24"/>
          <w:highlight w:val="none"/>
          <w14:textFill>
            <w14:solidFill>
              <w14:schemeClr w14:val="tx1"/>
            </w14:solidFill>
          </w14:textFill>
        </w:rPr>
        <w:t xml:space="preserve">, </w:t>
      </w:r>
      <w:r>
        <w:rPr>
          <w:rFonts w:hint="eastAsia" w:asciiTheme="minorEastAsia" w:hAnsiTheme="minorEastAsia" w:eastAsiaTheme="minorEastAsia"/>
          <w:color w:val="000000" w:themeColor="text1"/>
          <w:kern w:val="0"/>
          <w:sz w:val="24"/>
          <w:highlight w:val="none"/>
          <w14:textFill>
            <w14:solidFill>
              <w14:schemeClr w14:val="tx1"/>
            </w14:solidFill>
          </w14:textFill>
        </w:rPr>
        <w:t>受采购人委托，现就</w:t>
      </w:r>
      <w:r>
        <w:rPr>
          <w:rFonts w:hint="eastAsia" w:asciiTheme="minorEastAsia" w:hAnsiTheme="minorEastAsia" w:eastAsiaTheme="minorEastAsia"/>
          <w:color w:val="000000" w:themeColor="text1"/>
          <w:sz w:val="24"/>
          <w:highlight w:val="none"/>
          <w14:textFill>
            <w14:solidFill>
              <w14:schemeClr w14:val="tx1"/>
            </w14:solidFill>
          </w14:textFill>
        </w:rPr>
        <w:t>玉环市公安局</w:t>
      </w:r>
      <w:r>
        <w:rPr>
          <w:rFonts w:hint="eastAsia" w:asciiTheme="minorEastAsia" w:hAnsiTheme="minorEastAsia" w:eastAsiaTheme="minorEastAsia"/>
          <w:color w:val="000000" w:themeColor="text1"/>
          <w:kern w:val="0"/>
          <w:sz w:val="24"/>
          <w:highlight w:val="none"/>
          <w14:textFill>
            <w14:solidFill>
              <w14:schemeClr w14:val="tx1"/>
            </w14:solidFill>
          </w14:textFill>
        </w:rPr>
        <w:t>玉环市天网视频监控系统模改数项目进行公开招标采购，欢迎合格供应商前来投标。</w:t>
      </w:r>
      <w:r>
        <w:rPr>
          <w:rFonts w:hint="eastAsia" w:asciiTheme="minorEastAsia" w:hAnsiTheme="minorEastAsia" w:eastAsiaTheme="minorEastAsia"/>
          <w:b/>
          <w:color w:val="000000" w:themeColor="text1"/>
          <w:kern w:val="0"/>
          <w:sz w:val="24"/>
          <w:highlight w:val="none"/>
          <w14:textFill>
            <w14:solidFill>
              <w14:schemeClr w14:val="tx1"/>
            </w14:solidFill>
          </w14:textFill>
        </w:rPr>
        <w:t>一、项目编号：HQ-YHZFCG-2019-95</w:t>
      </w:r>
    </w:p>
    <w:p>
      <w:pPr>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二、招标项目概况：</w:t>
      </w:r>
    </w:p>
    <w:tbl>
      <w:tblPr>
        <w:tblStyle w:val="27"/>
        <w:tblW w:w="9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717"/>
        <w:gridCol w:w="1763"/>
        <w:gridCol w:w="909"/>
        <w:gridCol w:w="871"/>
        <w:gridCol w:w="1167"/>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149"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bookmarkStart w:id="0" w:name="EBc3c9f0bc06b6413d849824fe98ba274c"/>
            <w:r>
              <w:rPr>
                <w:rFonts w:hint="eastAsia" w:ascii="宋体" w:hAnsi="宋体"/>
                <w:b/>
                <w:color w:val="000000" w:themeColor="text1"/>
                <w:sz w:val="24"/>
                <w:highlight w:val="none"/>
                <w14:textFill>
                  <w14:solidFill>
                    <w14:schemeClr w14:val="tx1"/>
                  </w14:solidFill>
                </w14:textFill>
              </w:rPr>
              <w:t>序号</w:t>
            </w:r>
          </w:p>
        </w:tc>
        <w:tc>
          <w:tcPr>
            <w:tcW w:w="1717" w:type="dxa"/>
            <w:vAlign w:val="center"/>
          </w:tcPr>
          <w:p>
            <w:pPr>
              <w:tabs>
                <w:tab w:val="left" w:pos="8280"/>
              </w:tabs>
              <w:autoSpaceDE w:val="0"/>
              <w:autoSpaceDN w:val="0"/>
              <w:adjustRightInd w:val="0"/>
              <w:spacing w:line="400" w:lineRule="exact"/>
              <w:ind w:right="25"/>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项目名称</w:t>
            </w:r>
          </w:p>
        </w:tc>
        <w:tc>
          <w:tcPr>
            <w:tcW w:w="1763" w:type="dxa"/>
            <w:vAlign w:val="center"/>
          </w:tcPr>
          <w:p>
            <w:pPr>
              <w:tabs>
                <w:tab w:val="left" w:pos="8280"/>
              </w:tabs>
              <w:autoSpaceDE w:val="0"/>
              <w:autoSpaceDN w:val="0"/>
              <w:adjustRightInd w:val="0"/>
              <w:spacing w:line="400" w:lineRule="exact"/>
              <w:ind w:right="25"/>
              <w:rPr>
                <w:rFonts w:ascii="宋体" w:hAnsi="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简要技术要求</w:t>
            </w:r>
          </w:p>
        </w:tc>
        <w:tc>
          <w:tcPr>
            <w:tcW w:w="909"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871"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单位</w:t>
            </w:r>
          </w:p>
        </w:tc>
        <w:tc>
          <w:tcPr>
            <w:tcW w:w="1167"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预算</w:t>
            </w:r>
          </w:p>
        </w:tc>
        <w:tc>
          <w:tcPr>
            <w:tcW w:w="1904" w:type="dxa"/>
            <w:vAlign w:val="center"/>
          </w:tcPr>
          <w:p>
            <w:pPr>
              <w:tabs>
                <w:tab w:val="left" w:pos="8280"/>
              </w:tabs>
              <w:autoSpaceDE w:val="0"/>
              <w:autoSpaceDN w:val="0"/>
              <w:adjustRightInd w:val="0"/>
              <w:spacing w:line="400" w:lineRule="exact"/>
              <w:ind w:right="25" w:firstLine="24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4" w:hRule="atLeast"/>
          <w:jc w:val="center"/>
        </w:trPr>
        <w:tc>
          <w:tcPr>
            <w:tcW w:w="1149" w:type="dxa"/>
            <w:vAlign w:val="center"/>
          </w:tcPr>
          <w:p>
            <w:pPr>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1717" w:type="dxa"/>
            <w:vAlign w:val="center"/>
          </w:tcPr>
          <w:p>
            <w:pPr>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玉环市天网视频监控系统模改数项目</w:t>
            </w:r>
          </w:p>
        </w:tc>
        <w:tc>
          <w:tcPr>
            <w:tcW w:w="1763" w:type="dxa"/>
            <w:vAlign w:val="center"/>
          </w:tcPr>
          <w:p>
            <w:pPr>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具体要求见公开招标采购文件。</w:t>
            </w:r>
          </w:p>
        </w:tc>
        <w:tc>
          <w:tcPr>
            <w:tcW w:w="909" w:type="dxa"/>
            <w:vAlign w:val="center"/>
          </w:tcPr>
          <w:p>
            <w:pPr>
              <w:widowControl/>
              <w:spacing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871" w:type="dxa"/>
            <w:vAlign w:val="center"/>
          </w:tcPr>
          <w:p>
            <w:pPr>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批</w:t>
            </w:r>
          </w:p>
        </w:tc>
        <w:tc>
          <w:tcPr>
            <w:tcW w:w="1167" w:type="dxa"/>
            <w:vAlign w:val="center"/>
          </w:tcPr>
          <w:p>
            <w:pPr>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765万元</w:t>
            </w:r>
          </w:p>
        </w:tc>
        <w:tc>
          <w:tcPr>
            <w:tcW w:w="1904" w:type="dxa"/>
            <w:vAlign w:val="center"/>
          </w:tcPr>
          <w:p>
            <w:pPr>
              <w:widowControl/>
              <w:spacing w:line="400" w:lineRule="exact"/>
              <w:ind w:left="-1" w:leftChars="-1" w:hanging="1"/>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中标后150个日历天内（2019年12月15日前完成500路摄像机上线）</w:t>
            </w:r>
          </w:p>
        </w:tc>
      </w:tr>
      <w:bookmarkEnd w:id="0"/>
    </w:tbl>
    <w:p>
      <w:pPr>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三、合格投标人的资格条件：</w:t>
      </w:r>
    </w:p>
    <w:p>
      <w:pPr>
        <w:pStyle w:val="47"/>
        <w:adjustRightInd w:val="0"/>
        <w:snapToGrid w:val="0"/>
        <w:spacing w:before="0" w:line="400" w:lineRule="exact"/>
        <w:ind w:right="102"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（一）符合《中华人民共和国政府采购法》第二十二条规定的投标人资格条件。</w:t>
      </w:r>
    </w:p>
    <w:p>
      <w:pPr>
        <w:pStyle w:val="47"/>
        <w:adjustRightInd w:val="0"/>
        <w:snapToGrid w:val="0"/>
        <w:spacing w:before="0" w:line="400" w:lineRule="exact"/>
        <w:ind w:right="102"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（二）特定资格条件：具有省级安全技术防范行业资信等级一级资质；</w:t>
      </w:r>
    </w:p>
    <w:p>
      <w:pPr>
        <w:pStyle w:val="47"/>
        <w:adjustRightInd w:val="0"/>
        <w:snapToGrid w:val="0"/>
        <w:spacing w:before="0" w:line="400" w:lineRule="exact"/>
        <w:ind w:right="102" w:firstLine="480" w:firstLineChars="200"/>
        <w:rPr>
          <w:rFonts w:ascii="宋体"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（三）本项目不接受联合体投标；</w:t>
      </w:r>
    </w:p>
    <w:p>
      <w:pPr>
        <w:tabs>
          <w:tab w:val="left" w:pos="180"/>
          <w:tab w:val="left" w:pos="360"/>
          <w:tab w:val="left" w:pos="540"/>
          <w:tab w:val="left" w:pos="8280"/>
        </w:tabs>
        <w:autoSpaceDE w:val="0"/>
        <w:autoSpaceDN w:val="0"/>
        <w:adjustRightInd w:val="0"/>
        <w:spacing w:before="100" w:line="400" w:lineRule="exact"/>
        <w:ind w:right="23" w:firstLine="482" w:firstLineChars="200"/>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四、招标文件获取的方式、时间：</w:t>
      </w:r>
    </w:p>
    <w:p>
      <w:pPr>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1．获取方式：网上免费下载（不接受网上报名），下载地址为</w:t>
      </w:r>
      <w:r>
        <w:rPr>
          <w:rFonts w:ascii="宋体" w:hAnsi="宋体" w:cs="Arial"/>
          <w:color w:val="000000" w:themeColor="text1"/>
          <w:sz w:val="24"/>
          <w:highlight w:val="none"/>
          <w14:textFill>
            <w14:solidFill>
              <w14:schemeClr w14:val="tx1"/>
            </w14:solidFill>
          </w14:textFill>
        </w:rPr>
        <w:t>http://www.zjzfcg.gov.cn</w:t>
      </w:r>
      <w:r>
        <w:rPr>
          <w:rFonts w:hint="eastAsia" w:ascii="宋体" w:hAnsi="宋体" w:cs="Arial"/>
          <w:color w:val="000000" w:themeColor="text1"/>
          <w:sz w:val="24"/>
          <w:highlight w:val="none"/>
          <w14:textFill>
            <w14:solidFill>
              <w14:schemeClr w14:val="tx1"/>
            </w14:solidFill>
          </w14:textFill>
        </w:rPr>
        <w:t xml:space="preserve">或https://www.yhjyzx.com/home/index </w:t>
      </w:r>
    </w:p>
    <w:p>
      <w:pPr>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2．获取（公告）时间：2019年10月21日至2019年10月28日</w:t>
      </w:r>
    </w:p>
    <w:p>
      <w:pPr>
        <w:spacing w:line="400" w:lineRule="exact"/>
        <w:ind w:firstLine="1800" w:firstLineChars="7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上午：8:30-12:00      下午：13：30-16:30</w:t>
      </w:r>
    </w:p>
    <w:p>
      <w:pPr>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4.报名地点：玉环市李家小区二期3号楼1502室；</w:t>
      </w:r>
    </w:p>
    <w:p>
      <w:pPr>
        <w:spacing w:line="400" w:lineRule="exact"/>
        <w:ind w:firstLine="960" w:firstLineChars="4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温州市鹿城区牛山北路13号牛山商务大厦9楼；</w:t>
      </w:r>
    </w:p>
    <w:p>
      <w:pPr>
        <w:spacing w:line="400" w:lineRule="exact"/>
        <w:ind w:firstLine="960" w:firstLineChars="4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杭州市江干区凤起东路189号滨江新城时代广场3幢2206室；</w:t>
      </w:r>
    </w:p>
    <w:p>
      <w:pPr>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5、购买标书时应提交的资料：</w:t>
      </w:r>
    </w:p>
    <w:p>
      <w:pPr>
        <w:spacing w:line="400" w:lineRule="exact"/>
        <w:ind w:firstLine="720" w:firstLineChars="3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（1）、有效的工商营业执照营业执照（副本）复印件。</w:t>
      </w:r>
    </w:p>
    <w:p>
      <w:pPr>
        <w:spacing w:line="400" w:lineRule="exact"/>
        <w:ind w:firstLine="720" w:firstLineChars="3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w:t>
      </w:r>
      <w:r>
        <w:rPr>
          <w:rFonts w:ascii="宋体" w:hAnsi="宋体" w:cs="Arial"/>
          <w:color w:val="000000" w:themeColor="text1"/>
          <w:sz w:val="24"/>
          <w:highlight w:val="none"/>
          <w14:textFill>
            <w14:solidFill>
              <w14:schemeClr w14:val="tx1"/>
            </w14:solidFill>
          </w14:textFill>
        </w:rPr>
        <w:t>政府采购报名申请表</w:t>
      </w:r>
      <w:r>
        <w:rPr>
          <w:rFonts w:hint="eastAsia" w:ascii="宋体" w:hAnsi="宋体" w:cs="Arial"/>
          <w:color w:val="000000" w:themeColor="text1"/>
          <w:sz w:val="24"/>
          <w:highlight w:val="none"/>
          <w14:textFill>
            <w14:solidFill>
              <w14:schemeClr w14:val="tx1"/>
            </w14:solidFill>
          </w14:textFill>
        </w:rPr>
        <w:t>（加盖公章）。</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五、</w:t>
      </w:r>
      <w:r>
        <w:rPr>
          <w:rFonts w:hint="eastAsia" w:asciiTheme="minorEastAsia" w:hAnsiTheme="minorEastAsia" w:eastAsiaTheme="minorEastAsia"/>
          <w:b/>
          <w:color w:val="000000" w:themeColor="text1"/>
          <w:kern w:val="0"/>
          <w:sz w:val="24"/>
          <w:highlight w:val="none"/>
          <w14:textFill>
            <w14:solidFill>
              <w14:schemeClr w14:val="tx1"/>
            </w14:solidFill>
          </w14:textFill>
        </w:rPr>
        <w:t>投标截止及开标时间、地点：</w:t>
      </w:r>
    </w:p>
    <w:p>
      <w:pPr>
        <w:snapToGrid w:val="0"/>
        <w:spacing w:line="400" w:lineRule="exact"/>
        <w:ind w:firstLine="480" w:firstLineChars="200"/>
        <w:rPr>
          <w:rFonts w:ascii="仿宋_GB2312" w:hAnsi="仿宋_GB2312" w:eastAsia="仿宋_GB2312" w:cs="仿宋_GB2312"/>
          <w:bCs/>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本次招标将于2019年11月12日星期二上午09点30整在玉环市公共资源交易中心二楼开标室（二）（玉环市新城中路与长治路（南一路）交叉路口）</w:t>
      </w:r>
      <w:r>
        <w:rPr>
          <w:rFonts w:hint="eastAsia" w:asciiTheme="minorEastAsia" w:hAnsiTheme="minorEastAsia" w:eastAsiaTheme="minorEastAsia"/>
          <w:color w:val="000000" w:themeColor="text1"/>
          <w:sz w:val="24"/>
          <w:highlight w:val="none"/>
          <w14:textFill>
            <w14:solidFill>
              <w14:schemeClr w14:val="tx1"/>
            </w14:solidFill>
          </w14:textFill>
        </w:rPr>
        <w:t>开</w:t>
      </w:r>
      <w:r>
        <w:rPr>
          <w:rFonts w:hint="eastAsia" w:cs="Arial" w:asciiTheme="minorEastAsia" w:hAnsiTheme="minorEastAsia" w:eastAsiaTheme="minorEastAsia"/>
          <w:color w:val="000000" w:themeColor="text1"/>
          <w:sz w:val="24"/>
          <w:highlight w:val="none"/>
          <w14:textFill>
            <w14:solidFill>
              <w14:schemeClr w14:val="tx1"/>
            </w14:solidFill>
          </w14:textFill>
        </w:rPr>
        <w:t>标，</w:t>
      </w:r>
      <w:r>
        <w:rPr>
          <w:rFonts w:hint="eastAsia" w:asciiTheme="minorEastAsia" w:hAnsiTheme="minorEastAsia" w:eastAsiaTheme="minorEastAsia"/>
          <w:color w:val="000000" w:themeColor="text1"/>
          <w:kern w:val="0"/>
          <w:sz w:val="24"/>
          <w:highlight w:val="none"/>
          <w14:textFill>
            <w14:solidFill>
              <w14:schemeClr w14:val="tx1"/>
            </w14:solidFill>
          </w14:textFill>
        </w:rPr>
        <w:t>请在开标当日09</w:t>
      </w:r>
      <w:r>
        <w:rPr>
          <w:rFonts w:hint="eastAsia" w:cs="Arial" w:asciiTheme="minorEastAsia" w:hAnsiTheme="minorEastAsia" w:eastAsiaTheme="minorEastAsia"/>
          <w:color w:val="000000" w:themeColor="text1"/>
          <w:sz w:val="24"/>
          <w:highlight w:val="none"/>
          <w14:textFill>
            <w14:solidFill>
              <w14:schemeClr w14:val="tx1"/>
            </w14:solidFill>
          </w14:textFill>
        </w:rPr>
        <w:t>:00</w:t>
      </w:r>
      <w:r>
        <w:rPr>
          <w:rFonts w:hint="eastAsia" w:asciiTheme="minorEastAsia" w:hAnsiTheme="minorEastAsia" w:eastAsiaTheme="minorEastAsia"/>
          <w:color w:val="000000" w:themeColor="text1"/>
          <w:kern w:val="0"/>
          <w:sz w:val="24"/>
          <w:highlight w:val="none"/>
          <w14:textFill>
            <w14:solidFill>
              <w14:schemeClr w14:val="tx1"/>
            </w14:solidFill>
          </w14:textFill>
        </w:rPr>
        <w:t>至09</w:t>
      </w:r>
      <w:r>
        <w:rPr>
          <w:rFonts w:hint="eastAsia" w:cs="Arial" w:asciiTheme="minorEastAsia" w:hAnsiTheme="minorEastAsia" w:eastAsiaTheme="minorEastAsia"/>
          <w:color w:val="000000" w:themeColor="text1"/>
          <w:sz w:val="24"/>
          <w:highlight w:val="none"/>
          <w14:textFill>
            <w14:solidFill>
              <w14:schemeClr w14:val="tx1"/>
            </w14:solidFill>
          </w14:textFill>
        </w:rPr>
        <w:t>:30</w:t>
      </w:r>
      <w:r>
        <w:rPr>
          <w:rFonts w:hint="eastAsia" w:asciiTheme="minorEastAsia" w:hAnsiTheme="minorEastAsia" w:eastAsiaTheme="minorEastAsia"/>
          <w:color w:val="000000" w:themeColor="text1"/>
          <w:kern w:val="0"/>
          <w:sz w:val="24"/>
          <w:highlight w:val="none"/>
          <w14:textFill>
            <w14:solidFill>
              <w14:schemeClr w14:val="tx1"/>
            </w14:solidFill>
          </w14:textFill>
        </w:rPr>
        <w:t>将投标文件送达开标地点，逾期或不符合规定的投标文件恕不接受。</w:t>
      </w:r>
    </w:p>
    <w:p>
      <w:pPr>
        <w:snapToGrid w:val="0"/>
        <w:spacing w:line="400" w:lineRule="exact"/>
        <w:ind w:firstLine="482" w:firstLineChars="200"/>
        <w:rPr>
          <w:rFonts w:cs="Arial" w:asciiTheme="minorEastAsia" w:hAnsiTheme="minorEastAsia" w:eastAsiaTheme="minorEastAsia"/>
          <w:b/>
          <w:color w:val="000000" w:themeColor="text1"/>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六</w:t>
      </w:r>
      <w:r>
        <w:rPr>
          <w:rFonts w:cs="Arial" w:asciiTheme="minorEastAsia" w:hAnsiTheme="minorEastAsia" w:eastAsiaTheme="minorEastAsia"/>
          <w:b/>
          <w:color w:val="000000" w:themeColor="text1"/>
          <w:sz w:val="24"/>
          <w:highlight w:val="none"/>
          <w14:textFill>
            <w14:solidFill>
              <w14:schemeClr w14:val="tx1"/>
            </w14:solidFill>
          </w14:textFill>
        </w:rPr>
        <w:t>、投标人信用信息查询渠道及截止时点、信用信息查询记录和证据留存的具体方式、信用信息的使用规则</w:t>
      </w:r>
      <w:r>
        <w:rPr>
          <w:rFonts w:hint="eastAsia" w:cs="Arial" w:asciiTheme="minorEastAsia" w:hAnsiTheme="minorEastAsia" w:eastAsiaTheme="minorEastAsia"/>
          <w:b/>
          <w:color w:val="000000" w:themeColor="text1"/>
          <w:sz w:val="24"/>
          <w:highlight w:val="none"/>
          <w14:textFill>
            <w14:solidFill>
              <w14:schemeClr w14:val="tx1"/>
            </w14:solidFill>
          </w14:textFill>
        </w:rPr>
        <w:t>：</w:t>
      </w:r>
    </w:p>
    <w:p>
      <w:pPr>
        <w:spacing w:line="400" w:lineRule="exact"/>
        <w:ind w:firstLine="588" w:firstLineChars="245"/>
        <w:rPr>
          <w:rFonts w:ascii="宋体" w:hAnsi="宋体" w:cs="Arial"/>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1、查询渠道：</w:t>
      </w:r>
      <w:r>
        <w:rPr>
          <w:rFonts w:hint="eastAsia" w:ascii="宋体" w:hAnsi="宋体" w:cs="Arial"/>
          <w:color w:val="000000" w:themeColor="text1"/>
          <w:sz w:val="24"/>
          <w:highlight w:val="none"/>
          <w14:textFill>
            <w14:solidFill>
              <w14:schemeClr w14:val="tx1"/>
            </w14:solidFill>
          </w14:textFill>
        </w:rPr>
        <w:t>国家企业信用信息公示系统（http://www.gsxt.gov.cn/index.html）。</w:t>
      </w:r>
    </w:p>
    <w:p>
      <w:pPr>
        <w:snapToGrid w:val="0"/>
        <w:spacing w:line="400" w:lineRule="exact"/>
        <w:ind w:firstLine="480" w:firstLineChars="200"/>
        <w:rPr>
          <w:rFonts w:cs="Arial" w:asciiTheme="minorEastAsia" w:hAnsiTheme="minorEastAsia" w:eastAsiaTheme="minorEastAsia"/>
          <w:b/>
          <w:bCs/>
          <w:color w:val="000000" w:themeColor="text1"/>
          <w:sz w:val="24"/>
          <w:highlight w:val="none"/>
          <w:shd w:val="clear" w:color="FFFFFF" w:fill="D9D9D9"/>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2、截止时点：开标后评标前。</w:t>
      </w:r>
    </w:p>
    <w:p>
      <w:pPr>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3、</w:t>
      </w:r>
      <w:r>
        <w:rPr>
          <w:rFonts w:cs="Arial" w:asciiTheme="minorEastAsia" w:hAnsiTheme="minorEastAsia" w:eastAsiaTheme="minorEastAsia"/>
          <w:color w:val="000000" w:themeColor="text1"/>
          <w:sz w:val="24"/>
          <w:highlight w:val="none"/>
          <w14:textFill>
            <w14:solidFill>
              <w14:schemeClr w14:val="tx1"/>
            </w14:solidFill>
          </w14:textFill>
        </w:rPr>
        <w:t>信用信息查询记录和证据留存的具体方式</w:t>
      </w:r>
      <w:r>
        <w:rPr>
          <w:rFonts w:hint="eastAsia" w:cs="Arial" w:asciiTheme="minorEastAsia" w:hAnsiTheme="minorEastAsia" w:eastAsiaTheme="minorEastAsia"/>
          <w:color w:val="000000" w:themeColor="text1"/>
          <w:sz w:val="24"/>
          <w:highlight w:val="none"/>
          <w14:textFill>
            <w14:solidFill>
              <w14:schemeClr w14:val="tx1"/>
            </w14:solidFill>
          </w14:textFill>
        </w:rPr>
        <w:t>：由采购组织机构在规定查询时间内打印信用信息查询记录并归入项目档案。</w:t>
      </w:r>
    </w:p>
    <w:p>
      <w:pPr>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000000" w:themeColor="text1"/>
          <w:sz w:val="24"/>
          <w:highlight w:val="none"/>
          <w14:textFill>
            <w14:solidFill>
              <w14:schemeClr w14:val="tx1"/>
            </w14:solidFill>
          </w14:textFill>
        </w:rPr>
        <w:t>将被</w:t>
      </w:r>
      <w:r>
        <w:rPr>
          <w:rFonts w:hint="eastAsia" w:cs="Arial" w:asciiTheme="minorEastAsia" w:hAnsiTheme="minorEastAsia" w:eastAsiaTheme="minorEastAsia"/>
          <w:color w:val="000000" w:themeColor="text1"/>
          <w:sz w:val="24"/>
          <w:highlight w:val="none"/>
          <w14:textFill>
            <w14:solidFill>
              <w14:schemeClr w14:val="tx1"/>
            </w14:solidFill>
          </w14:textFill>
        </w:rPr>
        <w:t>拒绝其参与政府采购活动。</w:t>
      </w:r>
    </w:p>
    <w:p>
      <w:pPr>
        <w:snapToGrid w:val="0"/>
        <w:spacing w:line="400" w:lineRule="exact"/>
        <w:ind w:firstLine="482" w:firstLineChars="200"/>
        <w:rPr>
          <w:rFonts w:ascii="宋体" w:hAnsi="宋体" w:cs="Arial"/>
          <w:color w:val="000000" w:themeColor="text1"/>
          <w:sz w:val="24"/>
          <w:highlight w:val="none"/>
          <w14:textFill>
            <w14:solidFill>
              <w14:schemeClr w14:val="tx1"/>
            </w14:solidFill>
          </w14:textFill>
        </w:rPr>
      </w:pPr>
      <w:r>
        <w:rPr>
          <w:rFonts w:hint="eastAsia" w:cs="Arial" w:asciiTheme="minorEastAsia" w:hAnsiTheme="minorEastAsia" w:eastAsiaTheme="minorEastAsia"/>
          <w:b/>
          <w:bCs/>
          <w:color w:val="000000" w:themeColor="text1"/>
          <w:sz w:val="24"/>
          <w:highlight w:val="none"/>
          <w14:textFill>
            <w14:solidFill>
              <w14:schemeClr w14:val="tx1"/>
            </w14:solidFill>
          </w14:textFill>
        </w:rPr>
        <w:t>七</w:t>
      </w:r>
      <w:r>
        <w:rPr>
          <w:rFonts w:cs="Arial" w:asciiTheme="minorEastAsia" w:hAnsiTheme="minorEastAsia" w:eastAsiaTheme="minorEastAsia"/>
          <w:b/>
          <w:bCs/>
          <w:color w:val="000000" w:themeColor="text1"/>
          <w:sz w:val="24"/>
          <w:highlight w:val="none"/>
          <w14:textFill>
            <w14:solidFill>
              <w14:schemeClr w14:val="tx1"/>
            </w14:solidFill>
          </w14:textFill>
        </w:rPr>
        <w:t>、</w:t>
      </w:r>
      <w:r>
        <w:rPr>
          <w:rFonts w:hint="eastAsia" w:ascii="宋体" w:hAnsi="宋体" w:cs="Arial"/>
          <w:b/>
          <w:color w:val="000000" w:themeColor="text1"/>
          <w:sz w:val="24"/>
          <w:highlight w:val="none"/>
          <w14:textFill>
            <w14:solidFill>
              <w14:schemeClr w14:val="tx1"/>
            </w14:solidFill>
          </w14:textFill>
        </w:rPr>
        <w:t>相关注意事项</w:t>
      </w:r>
      <w:r>
        <w:rPr>
          <w:rFonts w:hint="eastAsia" w:ascii="宋体" w:hAnsi="宋体" w:cs="Arial"/>
          <w:color w:val="000000" w:themeColor="text1"/>
          <w:sz w:val="24"/>
          <w:highlight w:val="none"/>
          <w14:textFill>
            <w14:solidFill>
              <w14:schemeClr w14:val="tx1"/>
            </w14:solidFill>
          </w14:textFill>
        </w:rPr>
        <w:t>：</w:t>
      </w:r>
    </w:p>
    <w:p>
      <w:pPr>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2．根据《浙江省政府采购供应商注册及诚信管理暂行办法》浙财采监【2009】28号文件，请各投标响应供应商及时办理浙江政府采购网“政府采购供应商注册”手续。</w:t>
      </w:r>
    </w:p>
    <w:p>
      <w:pPr>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3．参与政府采购活动的供应商，应当先在浙江省政府采购网上申请注册，公开招标采购文件可从网上直接下载。</w:t>
      </w:r>
    </w:p>
    <w:p>
      <w:pPr>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4．本项目所有公告发布网站：“浙江省政府采购网”（http:// www.zjzfcg.gov.cn）和“玉环市公共资源交易中心”（ https://www.yhjyzx.com/News/zcfg/zfcg）。</w:t>
      </w:r>
    </w:p>
    <w:p>
      <w:pPr>
        <w:spacing w:line="400" w:lineRule="exact"/>
        <w:ind w:firstLine="590" w:firstLineChars="24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八、联系方式：</w:t>
      </w:r>
    </w:p>
    <w:p>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（一）采购代理机构</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联系人：胡先生</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联系电话：15967041020     </w:t>
      </w:r>
    </w:p>
    <w:p>
      <w:pPr>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地址：</w:t>
      </w:r>
      <w:r>
        <w:rPr>
          <w:rFonts w:hint="eastAsia" w:ascii="宋体" w:hAnsi="宋体"/>
          <w:color w:val="000000" w:themeColor="text1"/>
          <w:kern w:val="0"/>
          <w:sz w:val="24"/>
          <w:highlight w:val="none"/>
          <w14:textFill>
            <w14:solidFill>
              <w14:schemeClr w14:val="tx1"/>
            </w14:solidFill>
          </w14:textFill>
        </w:rPr>
        <w:t xml:space="preserve"> 玉环市李家小区二期3号楼1502室；</w:t>
      </w:r>
    </w:p>
    <w:p>
      <w:pPr>
        <w:snapToGrid w:val="0"/>
        <w:spacing w:line="400" w:lineRule="exact"/>
        <w:ind w:firstLine="602" w:firstLineChars="25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（二）采购人</w:t>
      </w:r>
      <w:r>
        <w:rPr>
          <w:rFonts w:hint="eastAsia" w:ascii="宋体" w:hAnsi="宋体" w:cs="Arial"/>
          <w:color w:val="000000" w:themeColor="text1"/>
          <w:sz w:val="24"/>
          <w:highlight w:val="none"/>
          <w14:textFill>
            <w14:solidFill>
              <w14:schemeClr w14:val="tx1"/>
            </w14:solidFill>
          </w14:textFill>
        </w:rPr>
        <w:t xml:space="preserve"> </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ascii="宋体" w:hAnsi="宋体" w:cs="Arial"/>
          <w:color w:val="000000" w:themeColor="text1"/>
          <w:sz w:val="24"/>
          <w:highlight w:val="none"/>
          <w14:textFill>
            <w14:solidFill>
              <w14:schemeClr w14:val="tx1"/>
            </w14:solidFill>
          </w14:textFill>
        </w:rPr>
        <w:t>采购</w:t>
      </w:r>
      <w:r>
        <w:rPr>
          <w:rFonts w:hint="eastAsia" w:ascii="宋体" w:hAnsi="宋体" w:cs="Arial"/>
          <w:color w:val="000000" w:themeColor="text1"/>
          <w:sz w:val="24"/>
          <w:highlight w:val="none"/>
          <w14:textFill>
            <w14:solidFill>
              <w14:schemeClr w14:val="tx1"/>
            </w14:solidFill>
          </w14:textFill>
        </w:rPr>
        <w:t>人</w:t>
      </w:r>
      <w:r>
        <w:rPr>
          <w:rFonts w:ascii="宋体" w:hAnsi="宋体" w:cs="Arial"/>
          <w:color w:val="000000" w:themeColor="text1"/>
          <w:sz w:val="24"/>
          <w:highlight w:val="none"/>
          <w14:textFill>
            <w14:solidFill>
              <w14:schemeClr w14:val="tx1"/>
            </w14:solidFill>
          </w14:textFill>
        </w:rPr>
        <w:t>名称：</w:t>
      </w:r>
      <w:r>
        <w:rPr>
          <w:rFonts w:hint="eastAsia" w:ascii="宋体" w:hAnsi="宋体" w:cs="Arial"/>
          <w:color w:val="000000" w:themeColor="text1"/>
          <w:sz w:val="24"/>
          <w:highlight w:val="none"/>
          <w14:textFill>
            <w14:solidFill>
              <w14:schemeClr w14:val="tx1"/>
            </w14:solidFill>
          </w14:textFill>
        </w:rPr>
        <w:t>玉环市公安局</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ascii="宋体" w:hAnsi="宋体" w:cs="Arial"/>
          <w:color w:val="000000" w:themeColor="text1"/>
          <w:sz w:val="24"/>
          <w:highlight w:val="none"/>
          <w14:textFill>
            <w14:solidFill>
              <w14:schemeClr w14:val="tx1"/>
            </w14:solidFill>
          </w14:textFill>
        </w:rPr>
        <w:t>联系人：</w:t>
      </w:r>
      <w:r>
        <w:rPr>
          <w:rFonts w:hint="eastAsia" w:ascii="宋体" w:hAnsi="宋体" w:cs="Arial"/>
          <w:color w:val="000000" w:themeColor="text1"/>
          <w:sz w:val="24"/>
          <w:highlight w:val="none"/>
          <w14:textFill>
            <w14:solidFill>
              <w14:schemeClr w14:val="tx1"/>
            </w14:solidFill>
          </w14:textFill>
        </w:rPr>
        <w:t>刘先生       联系电话：0576-89917555</w:t>
      </w:r>
    </w:p>
    <w:p>
      <w:pPr>
        <w:spacing w:line="400" w:lineRule="exact"/>
        <w:ind w:firstLine="472" w:firstLineChars="196"/>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（三）同级政府采购监督管理部门</w:t>
      </w:r>
    </w:p>
    <w:p>
      <w:pPr>
        <w:snapToGrid w:val="0"/>
        <w:spacing w:line="400" w:lineRule="exact"/>
        <w:ind w:left="525" w:left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名称：玉环市财政局</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联系人：谢主任                   </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监督投诉电话：0576-87250185          传真：0576-87250185</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地址：玉环市广陵路130号；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400" w:lineRule="exact"/>
        <w:ind w:right="1800"/>
        <w:jc w:val="center"/>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center"/>
        <w:rPr>
          <w:rFonts w:ascii="宋体"/>
          <w:color w:val="000000" w:themeColor="text1"/>
          <w:kern w:val="0"/>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int="eastAsia" w:ascii="宋体" w:hAnsi="宋体" w:cs="Arial"/>
          <w:color w:val="000000" w:themeColor="text1"/>
          <w:sz w:val="24"/>
          <w:highlight w:val="none"/>
          <w14:textFill>
            <w14:solidFill>
              <w14:schemeClr w14:val="tx1"/>
            </w14:solidFill>
          </w14:textFill>
        </w:rPr>
        <w:t xml:space="preserve"> </w:t>
      </w:r>
    </w:p>
    <w:p>
      <w:pPr>
        <w:widowControl/>
        <w:jc w:val="center"/>
        <w:rPr>
          <w:b/>
          <w:bCs/>
          <w:color w:val="000000" w:themeColor="text1"/>
          <w:kern w:val="0"/>
          <w:sz w:val="44"/>
          <w:szCs w:val="44"/>
          <w:highlight w:val="none"/>
          <w14:textFill>
            <w14:solidFill>
              <w14:schemeClr w14:val="tx1"/>
            </w14:solidFill>
          </w14:textFill>
        </w:rPr>
      </w:pPr>
      <w:r>
        <w:rPr>
          <w:rFonts w:hint="eastAsia" w:ascii="方正魏碑简体" w:hAnsi="方正魏碑简体"/>
          <w:b/>
          <w:bCs/>
          <w:color w:val="000000" w:themeColor="text1"/>
          <w:kern w:val="0"/>
          <w:sz w:val="44"/>
          <w:szCs w:val="44"/>
          <w:highlight w:val="none"/>
          <w14:textFill>
            <w14:solidFill>
              <w14:schemeClr w14:val="tx1"/>
            </w14:solidFill>
          </w14:textFill>
        </w:rPr>
        <w:t>玉环市</w:t>
      </w:r>
      <w:r>
        <w:rPr>
          <w:rFonts w:ascii="方正魏碑简体" w:hAnsi="方正魏碑简体"/>
          <w:b/>
          <w:bCs/>
          <w:color w:val="000000" w:themeColor="text1"/>
          <w:kern w:val="0"/>
          <w:sz w:val="44"/>
          <w:szCs w:val="44"/>
          <w:highlight w:val="none"/>
          <w14:textFill>
            <w14:solidFill>
              <w14:schemeClr w14:val="tx1"/>
            </w14:solidFill>
          </w14:textFill>
        </w:rPr>
        <w:t>政府采购报名申请表</w:t>
      </w:r>
    </w:p>
    <w:tbl>
      <w:tblPr>
        <w:tblStyle w:val="27"/>
        <w:tblW w:w="9205" w:type="dxa"/>
        <w:tblInd w:w="-89" w:type="dxa"/>
        <w:tblLayout w:type="fixed"/>
        <w:tblCellMar>
          <w:top w:w="0" w:type="dxa"/>
          <w:left w:w="108" w:type="dxa"/>
          <w:bottom w:w="0" w:type="dxa"/>
          <w:right w:w="108" w:type="dxa"/>
        </w:tblCellMar>
      </w:tblPr>
      <w:tblGrid>
        <w:gridCol w:w="745"/>
        <w:gridCol w:w="1736"/>
        <w:gridCol w:w="2904"/>
        <w:gridCol w:w="301"/>
        <w:gridCol w:w="911"/>
        <w:gridCol w:w="365"/>
        <w:gridCol w:w="2243"/>
      </w:tblGrid>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项目名称</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招标编号</w:t>
            </w:r>
          </w:p>
        </w:tc>
        <w:tc>
          <w:tcPr>
            <w:tcW w:w="6724" w:type="dxa"/>
            <w:gridSpan w:val="5"/>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投标申请单位名称</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 xml:space="preserve">                                     （盖章）</w:t>
            </w:r>
          </w:p>
        </w:tc>
      </w:tr>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报名时间</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项目联系人</w:t>
            </w:r>
          </w:p>
        </w:tc>
        <w:tc>
          <w:tcPr>
            <w:tcW w:w="2904" w:type="dxa"/>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手    机</w:t>
            </w:r>
          </w:p>
        </w:tc>
        <w:tc>
          <w:tcPr>
            <w:tcW w:w="2608"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联系电话</w:t>
            </w:r>
          </w:p>
        </w:tc>
        <w:tc>
          <w:tcPr>
            <w:tcW w:w="2904" w:type="dxa"/>
            <w:tcBorders>
              <w:top w:val="single" w:color="000000" w:sz="4" w:space="0"/>
              <w:left w:val="nil"/>
              <w:bottom w:val="single" w:color="000000" w:sz="4" w:space="0"/>
              <w:right w:val="single" w:color="000000" w:sz="4" w:space="0"/>
            </w:tcBorders>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tcPr>
          <w:p>
            <w:pPr>
              <w:widowControl/>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传    真</w:t>
            </w:r>
          </w:p>
        </w:tc>
        <w:tc>
          <w:tcPr>
            <w:tcW w:w="2608" w:type="dxa"/>
            <w:gridSpan w:val="2"/>
            <w:tcBorders>
              <w:top w:val="single" w:color="000000" w:sz="4" w:space="0"/>
              <w:left w:val="nil"/>
              <w:bottom w:val="single" w:color="000000" w:sz="4" w:space="0"/>
              <w:right w:val="single" w:color="000000" w:sz="4" w:space="0"/>
            </w:tcBorders>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E—mail</w:t>
            </w:r>
          </w:p>
        </w:tc>
        <w:tc>
          <w:tcPr>
            <w:tcW w:w="2904" w:type="dxa"/>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邮政编码</w:t>
            </w:r>
          </w:p>
        </w:tc>
        <w:tc>
          <w:tcPr>
            <w:tcW w:w="2608"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通信地址</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9205"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center"/>
              <w:rPr>
                <w:rFonts w:ascii="宋体"/>
                <w:bCs/>
                <w:color w:val="000000" w:themeColor="text1"/>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以下内容增值税一般纳税人须填写齐全</w:t>
            </w: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税号（纳税识别号）</w:t>
            </w:r>
          </w:p>
        </w:tc>
        <w:tc>
          <w:tcPr>
            <w:tcW w:w="6724" w:type="dxa"/>
            <w:gridSpan w:val="5"/>
            <w:tcBorders>
              <w:top w:val="single" w:color="auto" w:sz="4" w:space="0"/>
              <w:left w:val="nil"/>
              <w:bottom w:val="single" w:color="auto"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开票地址、电话</w:t>
            </w:r>
          </w:p>
        </w:tc>
        <w:tc>
          <w:tcPr>
            <w:tcW w:w="6724" w:type="dxa"/>
            <w:gridSpan w:val="5"/>
            <w:tcBorders>
              <w:top w:val="single" w:color="auto" w:sz="4" w:space="0"/>
              <w:left w:val="nil"/>
              <w:bottom w:val="single" w:color="auto"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开户银行、银行账号</w:t>
            </w:r>
          </w:p>
        </w:tc>
        <w:tc>
          <w:tcPr>
            <w:tcW w:w="6724" w:type="dxa"/>
            <w:gridSpan w:val="5"/>
            <w:tcBorders>
              <w:top w:val="single" w:color="auto" w:sz="4" w:space="0"/>
              <w:left w:val="nil"/>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26" w:hRule="atLeast"/>
        </w:trPr>
        <w:tc>
          <w:tcPr>
            <w:tcW w:w="9205"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b/>
                <w:bCs/>
                <w:color w:val="000000" w:themeColor="text1"/>
                <w:kern w:val="0"/>
                <w:sz w:val="22"/>
                <w:szCs w:val="22"/>
                <w:highlight w:val="none"/>
                <w14:textFill>
                  <w14:solidFill>
                    <w14:schemeClr w14:val="tx1"/>
                  </w14:solidFill>
                </w14:textFill>
              </w:rPr>
            </w:pPr>
            <w:r>
              <w:rPr>
                <w:rFonts w:hint="eastAsia" w:ascii="宋体" w:hAnsi="宋体"/>
                <w:b/>
                <w:bCs/>
                <w:color w:val="000000" w:themeColor="text1"/>
                <w:kern w:val="0"/>
                <w:sz w:val="22"/>
                <w:szCs w:val="22"/>
                <w:highlight w:val="none"/>
                <w14:textFill>
                  <w14:solidFill>
                    <w14:schemeClr w14:val="tx1"/>
                  </w14:solidFill>
                </w14:textFill>
              </w:rPr>
              <w:t>提交的报名资料清单</w:t>
            </w: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序号</w:t>
            </w:r>
          </w:p>
        </w:tc>
        <w:tc>
          <w:tcPr>
            <w:tcW w:w="4941" w:type="dxa"/>
            <w:gridSpan w:val="3"/>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提交资料名称</w:t>
            </w: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是否提交</w:t>
            </w: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备  注</w:t>
            </w: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1</w:t>
            </w:r>
          </w:p>
        </w:tc>
        <w:tc>
          <w:tcPr>
            <w:tcW w:w="4941" w:type="dxa"/>
            <w:gridSpan w:val="3"/>
            <w:tcBorders>
              <w:top w:val="single" w:color="000000" w:sz="4" w:space="0"/>
              <w:left w:val="nil"/>
              <w:bottom w:val="single" w:color="000000" w:sz="4" w:space="0"/>
              <w:right w:val="single" w:color="000000" w:sz="4" w:space="0"/>
            </w:tcBorders>
            <w:vAlign w:val="center"/>
          </w:tcPr>
          <w:p>
            <w:pPr>
              <w:rPr>
                <w:rFonts w:ascii="宋体"/>
                <w:color w:val="000000" w:themeColor="text1"/>
                <w:sz w:val="22"/>
                <w:highlight w:val="none"/>
                <w14:textFill>
                  <w14:solidFill>
                    <w14:schemeClr w14:val="tx1"/>
                  </w14:solidFill>
                </w14:textFill>
              </w:rPr>
            </w:pPr>
            <w:r>
              <w:rPr>
                <w:rFonts w:hint="eastAsia" w:ascii="宋体" w:hAnsi="宋体"/>
                <w:color w:val="000000" w:themeColor="text1"/>
                <w:sz w:val="22"/>
                <w:highlight w:val="none"/>
                <w14:textFill>
                  <w14:solidFill>
                    <w14:schemeClr w14:val="tx1"/>
                  </w14:solidFill>
                </w14:textFill>
              </w:rPr>
              <w:t>供应商有效的营业执照、税务登记证（复印件加盖公章，如为多证合一仅需提供营业执照复印件加盖公章）；</w:t>
            </w: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2</w:t>
            </w:r>
          </w:p>
        </w:tc>
        <w:tc>
          <w:tcPr>
            <w:tcW w:w="4941" w:type="dxa"/>
            <w:gridSpan w:val="3"/>
            <w:tcBorders>
              <w:top w:val="single" w:color="000000" w:sz="4" w:space="0"/>
              <w:left w:val="nil"/>
              <w:bottom w:val="single" w:color="000000" w:sz="4" w:space="0"/>
              <w:right w:val="single" w:color="000000" w:sz="4" w:space="0"/>
            </w:tcBorders>
            <w:vAlign w:val="center"/>
          </w:tcPr>
          <w:p>
            <w:pPr>
              <w:rPr>
                <w:rFonts w:ascii="宋体"/>
                <w:color w:val="000000" w:themeColor="text1"/>
                <w:sz w:val="22"/>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具有省级安全技术防范行业资信等级一级资质</w:t>
            </w: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ind w:firstLine="1430"/>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3</w:t>
            </w:r>
          </w:p>
        </w:tc>
        <w:tc>
          <w:tcPr>
            <w:tcW w:w="4941" w:type="dxa"/>
            <w:gridSpan w:val="3"/>
            <w:tcBorders>
              <w:top w:val="single" w:color="000000" w:sz="4" w:space="0"/>
              <w:left w:val="nil"/>
              <w:bottom w:val="single" w:color="000000" w:sz="4" w:space="0"/>
              <w:right w:val="single" w:color="000000" w:sz="4" w:space="0"/>
            </w:tcBorders>
            <w:vAlign w:val="center"/>
          </w:tcPr>
          <w:p>
            <w:pPr>
              <w:widowControl/>
              <w:rPr>
                <w:rFonts w:ascii="宋体" w:hAnsi="宋体"/>
                <w:color w:val="000000" w:themeColor="text1"/>
                <w:kern w:val="0"/>
                <w:sz w:val="22"/>
                <w:szCs w:val="22"/>
                <w:highlight w:val="none"/>
                <w14:textFill>
                  <w14:solidFill>
                    <w14:schemeClr w14:val="tx1"/>
                  </w14:solidFill>
                </w14:textFill>
              </w:rPr>
            </w:pP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bl>
    <w:p>
      <w:pPr>
        <w:widowControl/>
        <w:snapToGrid w:val="0"/>
        <w:spacing w:before="60" w:after="60" w:line="340" w:lineRule="atLeast"/>
        <w:ind w:left="60" w:right="62" w:firstLine="374"/>
        <w:jc w:val="left"/>
        <w:rPr>
          <w:rFonts w:ascii="宋体" w:hAnsi="宋体"/>
          <w:color w:val="000000" w:themeColor="text1"/>
          <w:sz w:val="22"/>
          <w:highlight w:val="none"/>
          <w14:textFill>
            <w14:solidFill>
              <w14:schemeClr w14:val="tx1"/>
            </w14:solidFill>
          </w14:textFill>
        </w:rPr>
      </w:pPr>
      <w:r>
        <w:rPr>
          <w:rFonts w:hint="eastAsia" w:ascii="楷体_GB2312" w:eastAsia="楷体_GB2312"/>
          <w:b/>
          <w:bCs/>
          <w:color w:val="000000" w:themeColor="text1"/>
          <w:kern w:val="0"/>
          <w:sz w:val="24"/>
          <w:highlight w:val="none"/>
          <w14:textFill>
            <w14:solidFill>
              <w14:schemeClr w14:val="tx1"/>
            </w14:solidFill>
          </w14:textFill>
        </w:rPr>
        <w:t>以上报名资料请装订成册。</w:t>
      </w:r>
    </w:p>
    <w:p>
      <w:pPr>
        <w:pStyle w:val="16"/>
        <w:rPr>
          <w:rFonts w:ascii="宋体"/>
          <w:color w:val="000000" w:themeColor="text1"/>
          <w:kern w:val="0"/>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第二章  投标人须知</w:t>
      </w:r>
    </w:p>
    <w:p>
      <w:pPr>
        <w:rPr>
          <w:color w:val="000000" w:themeColor="text1"/>
          <w:highlight w:val="none"/>
          <w14:textFill>
            <w14:solidFill>
              <w14:schemeClr w14:val="tx1"/>
            </w14:solidFill>
          </w14:textFill>
        </w:rPr>
      </w:pPr>
    </w:p>
    <w:p>
      <w:pPr>
        <w:spacing w:line="360" w:lineRule="auto"/>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前附表</w:t>
      </w:r>
    </w:p>
    <w:tbl>
      <w:tblPr>
        <w:tblStyle w:val="27"/>
        <w:tblW w:w="9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016"/>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    目</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供应商特定资格要求</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答疑会或</w:t>
            </w:r>
            <w:r>
              <w:rPr>
                <w:rFonts w:hint="eastAsia" w:ascii="宋体" w:hAnsi="宋体" w:cs="宋体"/>
                <w:color w:val="000000" w:themeColor="text1"/>
                <w:sz w:val="24"/>
                <w:highlight w:val="none"/>
                <w14:textFill>
                  <w14:solidFill>
                    <w14:schemeClr w14:val="tx1"/>
                  </w14:solidFill>
                </w14:textFill>
              </w:rPr>
              <w:t>现场踏勘</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领取</w:t>
            </w:r>
            <w:r>
              <w:rPr>
                <w:rFonts w:hint="eastAsia" w:ascii="宋体" w:hAnsi="宋体" w:cs="宋体"/>
                <w:color w:val="000000" w:themeColor="text1"/>
                <w:sz w:val="24"/>
                <w:highlight w:val="none"/>
                <w14:textFill>
                  <w14:solidFill>
                    <w14:schemeClr w14:val="tx1"/>
                  </w14:solidFill>
                </w14:textFill>
              </w:rPr>
              <w:t>采购文件</w:t>
            </w:r>
            <w:r>
              <w:rPr>
                <w:rFonts w:hint="eastAsia" w:ascii="宋体" w:hAnsi="宋体" w:cs="宋体"/>
                <w:color w:val="000000" w:themeColor="text1"/>
                <w:kern w:val="0"/>
                <w:sz w:val="24"/>
                <w:highlight w:val="none"/>
                <w14:textFill>
                  <w14:solidFill>
                    <w14:schemeClr w14:val="tx1"/>
                  </w14:solidFill>
                </w14:textFill>
              </w:rPr>
              <w:t>后，各供应商请自行踏勘。</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采购人：</w:t>
            </w:r>
            <w:r>
              <w:rPr>
                <w:rFonts w:ascii="宋体" w:hAnsi="宋体" w:cs="Arial"/>
                <w:color w:val="000000" w:themeColor="text1"/>
                <w:sz w:val="24"/>
                <w:highlight w:val="none"/>
                <w14:textFill>
                  <w14:solidFill>
                    <w14:schemeClr w14:val="tx1"/>
                  </w14:solidFill>
                </w14:textFill>
              </w:rPr>
              <w:t>联系人：</w:t>
            </w:r>
            <w:r>
              <w:rPr>
                <w:rFonts w:hint="eastAsia" w:ascii="宋体" w:hAnsi="宋体" w:cs="Arial"/>
                <w:color w:val="000000" w:themeColor="text1"/>
                <w:sz w:val="24"/>
                <w:highlight w:val="none"/>
                <w14:textFill>
                  <w14:solidFill>
                    <w14:schemeClr w14:val="tx1"/>
                  </w14:solidFill>
                </w14:textFill>
              </w:rPr>
              <w:t>刘先生       联系电话：0576-89917555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1"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投标文件包装要求</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投标文件中的报价文件必须与其他文件分开各自密封包装。</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资格证明文件正本1份、副本4份，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商务与技术文件正本1份、副本4份，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报价文件正本1份、副本4份。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投标有效期为开标后90天，</w:t>
            </w:r>
            <w:r>
              <w:rPr>
                <w:rFonts w:hint="eastAsia" w:ascii="宋体" w:hAnsi="宋体" w:cs="宋体"/>
                <w:color w:val="000000" w:themeColor="text1"/>
                <w:kern w:val="0"/>
                <w:sz w:val="24"/>
                <w:highlight w:val="none"/>
                <w14:textFill>
                  <w14:solidFill>
                    <w14:schemeClr w14:val="tx1"/>
                  </w14:solidFill>
                </w14:textFill>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7"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投标文件递交</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截止时间：北京时间2019年11月12日09:30</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递交地点：玉环市公共资源交易中心二楼开标室（二）（玉环市新城中路与长治路（南一路）交叉路口）</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1"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开标时间及地点</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时间：北京时间2019年11月12日09:30</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地点：玉环市公共资源交易中心二楼开标室（二）（玉环市新城中路与长治路（南一路）交叉路口）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6651" w:type="dxa"/>
            <w:tcBorders>
              <w:top w:val="single" w:color="auto" w:sz="4" w:space="0"/>
              <w:left w:val="single" w:color="auto" w:sz="4" w:space="0"/>
              <w:bottom w:val="single" w:color="auto" w:sz="4" w:space="0"/>
              <w:right w:val="single" w:color="auto" w:sz="4" w:space="0"/>
            </w:tcBorders>
            <w:vAlign w:val="center"/>
          </w:tcPr>
          <w:p>
            <w:pPr>
              <w:pStyle w:val="19"/>
              <w:spacing w:line="360" w:lineRule="auto"/>
              <w:ind w:left="0" w:leftChars="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供应商在签订合同前须交纳本项目履约保证金为合同金额的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10  </w:t>
            </w:r>
            <w:r>
              <w:rPr>
                <w:rFonts w:hint="eastAsia" w:ascii="宋体" w:hAnsi="宋体" w:eastAsia="宋体" w:cs="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2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实质性条款</w:t>
            </w:r>
          </w:p>
        </w:tc>
        <w:tc>
          <w:tcPr>
            <w:tcW w:w="66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 w:hanging="1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带“</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”的条款是重要条款。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2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解释权</w:t>
            </w:r>
          </w:p>
        </w:tc>
        <w:tc>
          <w:tcPr>
            <w:tcW w:w="66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本招标文件解释权属于采购人和集中采构机构/采购代理机构</w:t>
            </w:r>
          </w:p>
        </w:tc>
      </w:tr>
    </w:tbl>
    <w:p>
      <w:pPr>
        <w:pStyle w:val="18"/>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 、总  则</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w:t>
      </w:r>
      <w:r>
        <w:rPr>
          <w:color w:val="000000" w:themeColor="text1"/>
          <w:highlight w:val="none"/>
          <w14:textFill>
            <w14:solidFill>
              <w14:schemeClr w14:val="tx1"/>
            </w14:solidFill>
          </w14:textFill>
        </w:rPr>
        <w:t xml:space="preserve"> 适用范围</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本招标文件适用于</w:t>
      </w:r>
      <w:r>
        <w:rPr>
          <w:rFonts w:hint="eastAsia" w:asciiTheme="minorEastAsia" w:hAnsiTheme="minorEastAsia" w:eastAsiaTheme="minorEastAsia"/>
          <w:bCs/>
          <w:color w:val="000000" w:themeColor="text1"/>
          <w:sz w:val="24"/>
          <w:highlight w:val="none"/>
          <w14:textFill>
            <w14:solidFill>
              <w14:schemeClr w14:val="tx1"/>
            </w14:solidFill>
          </w14:textFill>
        </w:rPr>
        <w:t>本次</w:t>
      </w:r>
      <w:r>
        <w:rPr>
          <w:rFonts w:hint="eastAsia" w:asciiTheme="minorEastAsia" w:hAnsiTheme="minorEastAsia" w:eastAsiaTheme="minorEastAsia"/>
          <w:color w:val="000000" w:themeColor="text1"/>
          <w:sz w:val="24"/>
          <w:highlight w:val="none"/>
          <w14:textFill>
            <w14:solidFill>
              <w14:schemeClr w14:val="tx1"/>
            </w14:solidFill>
          </w14:textFill>
        </w:rPr>
        <w:t>项目的招标、投标、评标、定标、验收、合同履约、付款等行为（法律、法规另有规定的，从其规定）。</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（二）定义</w:t>
      </w:r>
    </w:p>
    <w:p>
      <w:pPr>
        <w:snapToGrid w:val="0"/>
        <w:spacing w:line="360" w:lineRule="auto"/>
        <w:ind w:firstLine="566" w:firstLineChars="23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1、“采购组织机构”指采购人委托组织招标的集中采购机构/采购代理机构。</w:t>
      </w:r>
    </w:p>
    <w:p>
      <w:pPr>
        <w:snapToGrid w:val="0"/>
        <w:spacing w:line="360" w:lineRule="auto"/>
        <w:ind w:firstLine="566" w:firstLineChars="23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2、采购人：是指委托</w:t>
      </w:r>
      <w:r>
        <w:rPr>
          <w:rFonts w:hint="eastAsia" w:ascii="宋体" w:hAnsi="宋体"/>
          <w:color w:val="000000" w:themeColor="text1"/>
          <w:sz w:val="24"/>
          <w:highlight w:val="none"/>
          <w:lang w:val="zh-CN"/>
          <w14:textFill>
            <w14:solidFill>
              <w14:schemeClr w14:val="tx1"/>
            </w14:solidFill>
          </w14:textFill>
        </w:rPr>
        <w:t>集中采购机构</w:t>
      </w:r>
      <w:r>
        <w:rPr>
          <w:rFonts w:hint="eastAsia" w:ascii="宋体" w:hAnsi="宋体" w:cs="Arial"/>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：是</w:t>
      </w:r>
      <w:r>
        <w:rPr>
          <w:rFonts w:asciiTheme="minorEastAsia" w:hAnsiTheme="minorEastAsia" w:eastAsiaTheme="minorEastAsia"/>
          <w:color w:val="000000" w:themeColor="text1"/>
          <w:sz w:val="24"/>
          <w:highlight w:val="none"/>
          <w14:textFill>
            <w14:solidFill>
              <w14:schemeClr w14:val="tx1"/>
            </w14:solidFill>
          </w14:textFill>
        </w:rPr>
        <w:t>指向</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宋体" w:hAnsi="宋体"/>
          <w:color w:val="000000" w:themeColor="text1"/>
          <w:sz w:val="24"/>
          <w:highlight w:val="none"/>
          <w:lang w:val="zh-CN"/>
          <w14:textFill>
            <w14:solidFill>
              <w14:schemeClr w14:val="tx1"/>
            </w14:solidFill>
          </w14:textFill>
        </w:rPr>
        <w:t>组织</w:t>
      </w:r>
      <w:r>
        <w:rPr>
          <w:rFonts w:hint="eastAsia" w:asciiTheme="minorEastAsia" w:hAnsiTheme="minorEastAsia" w:eastAsiaTheme="minorEastAsia"/>
          <w:color w:val="000000" w:themeColor="text1"/>
          <w:sz w:val="24"/>
          <w:highlight w:val="none"/>
          <w14:textFill>
            <w14:solidFill>
              <w14:schemeClr w14:val="tx1"/>
            </w14:solidFill>
          </w14:textFill>
        </w:rPr>
        <w:t>机构</w:t>
      </w:r>
      <w:r>
        <w:rPr>
          <w:rFonts w:asciiTheme="minorEastAsia" w:hAnsiTheme="minorEastAsia" w:eastAsiaTheme="minorEastAsia"/>
          <w:color w:val="000000" w:themeColor="text1"/>
          <w:sz w:val="24"/>
          <w:highlight w:val="none"/>
          <w14:textFill>
            <w14:solidFill>
              <w14:schemeClr w14:val="tx1"/>
            </w14:solidFill>
          </w14:textFill>
        </w:rPr>
        <w:t>提交投标文件的单位或个人。</w:t>
      </w:r>
    </w:p>
    <w:p>
      <w:pPr>
        <w:snapToGrid w:val="0"/>
        <w:spacing w:line="360" w:lineRule="auto"/>
        <w:ind w:left="424" w:leftChars="202" w:firstLine="143"/>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货物</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服务</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w:t>
      </w:r>
      <w:r>
        <w:rPr>
          <w:rFonts w:asciiTheme="minorEastAsia" w:hAnsiTheme="minorEastAsia" w:eastAsiaTheme="minorEastAsia"/>
          <w:color w:val="000000" w:themeColor="text1"/>
          <w:sz w:val="24"/>
          <w:highlight w:val="none"/>
          <w14:textFill>
            <w14:solidFill>
              <w14:schemeClr w14:val="tx1"/>
            </w14:solidFill>
          </w14:textFill>
        </w:rPr>
        <w:t>“书面形式”包括信函、传真等。</w:t>
      </w:r>
    </w:p>
    <w:p>
      <w:pPr>
        <w:snapToGrid w:val="0"/>
        <w:spacing w:line="360" w:lineRule="auto"/>
        <w:ind w:firstLine="566" w:firstLineChars="236"/>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”系指实质性要求条款。</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（三）投标费用</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不论投标结果如何，投标人均应自行承担所有与投标有关的全部费用（招标文件有相关规定除外）。</w:t>
      </w:r>
      <w:bookmarkStart w:id="92" w:name="_GoBack"/>
      <w:bookmarkEnd w:id="92"/>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（四）特别说明</w:t>
      </w:r>
    </w:p>
    <w:p>
      <w:pPr>
        <w:pStyle w:val="18"/>
        <w:snapToGrid w:val="0"/>
        <w:spacing w:line="360" w:lineRule="auto"/>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color w:val="000000" w:themeColor="text1"/>
          <w:sz w:val="24"/>
          <w:highlight w:val="none"/>
          <w14:textFill>
            <w14:solidFill>
              <w14:schemeClr w14:val="tx1"/>
            </w14:solidFill>
          </w14:textFill>
        </w:rPr>
        <w:t>指</w:t>
      </w:r>
      <w:r>
        <w:rPr>
          <w:rFonts w:asciiTheme="minorEastAsia" w:hAnsiTheme="minorEastAsia" w:eastAsiaTheme="minorEastAsia"/>
          <w:color w:val="000000" w:themeColor="text1"/>
          <w:sz w:val="24"/>
          <w:highlight w:val="none"/>
          <w14:textFill>
            <w14:solidFill>
              <w14:schemeClr w14:val="tx1"/>
            </w14:solidFill>
          </w14:textFill>
        </w:rPr>
        <w:t>本法人或控股公司正式员工）。</w:t>
      </w:r>
    </w:p>
    <w:p>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color w:val="000000" w:themeColor="text1"/>
          <w:sz w:val="24"/>
          <w:highlight w:val="none"/>
          <w14:textFill>
            <w14:solidFill>
              <w14:schemeClr w14:val="tx1"/>
            </w14:solidFill>
          </w14:textFill>
        </w:rPr>
        <w:tab/>
      </w:r>
    </w:p>
    <w:p>
      <w:pPr>
        <w:pStyle w:val="48"/>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3、</w:t>
      </w:r>
      <w:r>
        <w:rPr>
          <w:rFonts w:asciiTheme="minorEastAsia" w:hAnsiTheme="minorEastAsia" w:eastAsiaTheme="minorEastAsia" w:cstheme="minorBidi"/>
          <w:color w:val="000000" w:themeColor="text1"/>
          <w:sz w:val="24"/>
          <w:szCs w:val="24"/>
          <w:highlight w:val="none"/>
          <w14:textFill>
            <w14:solidFill>
              <w14:schemeClr w14:val="tx1"/>
            </w14:solidFill>
          </w14:textFill>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w:t>
      </w:r>
      <w:r>
        <w:rPr>
          <w:rFonts w:asciiTheme="minorEastAsia" w:hAnsiTheme="minorEastAsia" w:eastAsiaTheme="minorEastAsia" w:cstheme="minorBidi"/>
          <w:color w:val="000000" w:themeColor="text1"/>
          <w:sz w:val="24"/>
          <w:szCs w:val="24"/>
          <w:highlight w:val="none"/>
          <w14:textFill>
            <w14:solidFill>
              <w14:schemeClr w14:val="tx1"/>
            </w14:solidFill>
          </w14:textFill>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w:t>
      </w:r>
    </w:p>
    <w:p>
      <w:pPr>
        <w:pStyle w:val="48"/>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4、投标人不得相互串通投标报价，不得妨碍其他投标人的公平竞争，不得损害采购人或其他投标人的合法权益，投标人不得以向采购人、评标委员会成员行贿或者采取其他不正当手段谋取中标。</w:t>
      </w:r>
    </w:p>
    <w:p>
      <w:pPr>
        <w:pStyle w:val="48"/>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5、为采购项目提供整体设计、规范编制或者项目管理、监理、检测等服务的供应商，不得再参加该采购项目的其他采购活动。</w:t>
      </w:r>
    </w:p>
    <w:p>
      <w:pPr>
        <w:pStyle w:val="48"/>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6、投标文件格式中的表格式样可以根据项目差别做适当调整,但应当保持表格样式基本形态不变。</w:t>
      </w:r>
    </w:p>
    <w:p>
      <w:pPr>
        <w:pStyle w:val="48"/>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7、单位负责人为同一人或者存在直接控股、管理关系的不同供应商，不得参加同一合同项下的政府采购活动。</w:t>
      </w:r>
    </w:p>
    <w:p>
      <w:pPr>
        <w:pStyle w:val="48"/>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8、本项目不允许分包。</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二、招标文件</w:t>
      </w:r>
    </w:p>
    <w:p>
      <w:pPr>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w:t>
      </w:r>
      <w:r>
        <w:rPr>
          <w:rFonts w:asciiTheme="minorEastAsia" w:hAnsiTheme="minorEastAsia" w:eastAsiaTheme="minorEastAsia"/>
          <w:color w:val="000000" w:themeColor="text1"/>
          <w:kern w:val="0"/>
          <w:sz w:val="24"/>
          <w:highlight w:val="none"/>
          <w14:textFill>
            <w14:solidFill>
              <w14:schemeClr w14:val="tx1"/>
            </w14:solidFill>
          </w14:textFill>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olor w:val="000000" w:themeColor="text1"/>
          <w:kern w:val="0"/>
          <w:sz w:val="24"/>
          <w:highlight w:val="none"/>
          <w14:textFill>
            <w14:solidFill>
              <w14:schemeClr w14:val="tx1"/>
            </w14:solidFill>
          </w14:textFill>
        </w:rPr>
        <w:t>。</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三、投标文件</w:t>
      </w:r>
    </w:p>
    <w:p>
      <w:pPr>
        <w:pStyle w:val="5"/>
        <w:rPr>
          <w:color w:val="000000" w:themeColor="text1"/>
          <w:highlight w:val="none"/>
          <w14:textFill>
            <w14:solidFill>
              <w14:schemeClr w14:val="tx1"/>
            </w14:solidFill>
          </w14:textFill>
        </w:rPr>
      </w:pPr>
      <w:r>
        <w:rPr>
          <w:rFonts w:hint="eastAsia" w:ascii="宋体"/>
          <w:color w:val="000000" w:themeColor="text1"/>
          <w:highlight w:val="none"/>
          <w:lang w:val="zh-CN"/>
          <w14:textFill>
            <w14:solidFill>
              <w14:schemeClr w14:val="tx1"/>
            </w14:solidFill>
          </w14:textFill>
        </w:rPr>
        <w:t>（一）</w:t>
      </w:r>
      <w:r>
        <w:rPr>
          <w:rFonts w:hint="eastAsia"/>
          <w:color w:val="000000" w:themeColor="text1"/>
          <w:highlight w:val="none"/>
          <w14:textFill>
            <w14:solidFill>
              <w14:schemeClr w14:val="tx1"/>
            </w14:solidFill>
          </w14:textFill>
        </w:rPr>
        <w:t>投标文件的组成</w:t>
      </w:r>
    </w:p>
    <w:p>
      <w:pPr>
        <w:snapToGrid w:val="0"/>
        <w:spacing w:line="360" w:lineRule="auto"/>
        <w:ind w:firstLine="480" w:firstLineChars="200"/>
        <w:rPr>
          <w:rFonts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投标人接到招标文件后，按照采购组织机构的要求提供：资格证明文件、商务与技术文件和报价文件。</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【特别提示：如有要求提供资料原件的，原件另行包装，并与投标文件一起提交，投标截止时间后所有原件不予接收。资料原件也可以用与原件相符的公证原件替代】</w:t>
      </w:r>
    </w:p>
    <w:p>
      <w:pPr>
        <w:snapToGrid w:val="0"/>
        <w:spacing w:line="360" w:lineRule="auto"/>
        <w:ind w:firstLine="482"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1、资格证明</w:t>
      </w:r>
      <w:r>
        <w:rPr>
          <w:rFonts w:asciiTheme="minorEastAsia" w:hAnsiTheme="minorEastAsia" w:eastAsiaTheme="minorEastAsia"/>
          <w:b/>
          <w:color w:val="000000" w:themeColor="text1"/>
          <w:sz w:val="24"/>
          <w:highlight w:val="none"/>
          <w14:textFill>
            <w14:solidFill>
              <w14:schemeClr w14:val="tx1"/>
            </w14:solidFill>
          </w14:textFill>
        </w:rPr>
        <w:t>文件</w:t>
      </w:r>
      <w:r>
        <w:rPr>
          <w:rFonts w:hint="eastAsia" w:ascii="宋体" w:hAnsi="宋体"/>
          <w:b/>
          <w:color w:val="000000" w:themeColor="text1"/>
          <w:sz w:val="24"/>
          <w:highlight w:val="none"/>
          <w14:textFill>
            <w14:solidFill>
              <w14:schemeClr w14:val="tx1"/>
            </w14:solidFill>
          </w14:textFill>
        </w:rPr>
        <w:t>的组成：</w:t>
      </w:r>
    </w:p>
    <w:p>
      <w:pPr>
        <w:pStyle w:val="48"/>
        <w:numPr>
          <w:ilvl w:val="0"/>
          <w:numId w:val="3"/>
        </w:numPr>
        <w:snapToGrid w:val="0"/>
        <w:spacing w:line="360" w:lineRule="auto"/>
        <w:ind w:firstLineChars="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投标声明书；</w:t>
      </w:r>
    </w:p>
    <w:p>
      <w:pPr>
        <w:pStyle w:val="48"/>
        <w:numPr>
          <w:ilvl w:val="0"/>
          <w:numId w:val="3"/>
        </w:numPr>
        <w:snapToGrid w:val="0"/>
        <w:spacing w:line="360" w:lineRule="auto"/>
        <w:ind w:firstLineChars="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授权委托书（法定代表人亲自办理投标事宜的，则无需提交)；</w:t>
      </w:r>
    </w:p>
    <w:p>
      <w:pPr>
        <w:pStyle w:val="48"/>
        <w:numPr>
          <w:ilvl w:val="0"/>
          <w:numId w:val="3"/>
        </w:numPr>
        <w:snapToGrid w:val="0"/>
        <w:spacing w:line="360" w:lineRule="auto"/>
        <w:ind w:firstLineChars="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法人或者其他组织的营业执照等证明文件，自然人的身份证明；</w:t>
      </w:r>
    </w:p>
    <w:p>
      <w:pPr>
        <w:pStyle w:val="48"/>
        <w:numPr>
          <w:ilvl w:val="0"/>
          <w:numId w:val="3"/>
        </w:numPr>
        <w:snapToGrid w:val="0"/>
        <w:spacing w:line="360" w:lineRule="auto"/>
        <w:ind w:firstLineChars="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财务状况报告，依法缴纳税收和社会保障资金的相关材料；</w:t>
      </w:r>
    </w:p>
    <w:p>
      <w:pPr>
        <w:pStyle w:val="48"/>
        <w:numPr>
          <w:ilvl w:val="0"/>
          <w:numId w:val="3"/>
        </w:numPr>
        <w:snapToGrid w:val="0"/>
        <w:spacing w:line="360" w:lineRule="auto"/>
        <w:ind w:firstLineChars="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具备履行合同所必需的设备和专业技术能力的证明材料；</w:t>
      </w:r>
    </w:p>
    <w:p>
      <w:pPr>
        <w:pStyle w:val="48"/>
        <w:numPr>
          <w:ilvl w:val="0"/>
          <w:numId w:val="3"/>
        </w:numPr>
        <w:snapToGrid w:val="0"/>
        <w:spacing w:line="360" w:lineRule="auto"/>
        <w:ind w:left="0" w:firstLine="480" w:firstLineChars="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提供采购公告中符合供应商特定条件的有效资质证书复印件（投标供应商特定条件中有要求的必须提供），以及需要说明的其他资料；</w:t>
      </w:r>
    </w:p>
    <w:p>
      <w:pPr>
        <w:snapToGrid w:val="0"/>
        <w:spacing w:line="360" w:lineRule="auto"/>
        <w:ind w:firstLine="482" w:firstLineChars="200"/>
        <w:rPr>
          <w:rFonts w:ascii="宋体" w:hAnsi="宋体" w:cs="宋体"/>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w:t>
      </w:r>
      <w:r>
        <w:rPr>
          <w:rFonts w:hint="eastAsia" w:ascii="宋体" w:hAnsi="宋体"/>
          <w:b/>
          <w:color w:val="000000" w:themeColor="text1"/>
          <w:sz w:val="24"/>
          <w:highlight w:val="none"/>
          <w14:textFill>
            <w14:solidFill>
              <w14:schemeClr w14:val="tx1"/>
            </w14:solidFill>
          </w14:textFill>
        </w:rPr>
        <w:t>商务与技术文件的组成：</w:t>
      </w:r>
    </w:p>
    <w:p>
      <w:pPr>
        <w:pStyle w:val="12"/>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（1）投标人情况介绍（人员与技术力量、企业规模、经营业绩等）。</w:t>
      </w:r>
    </w:p>
    <w:p>
      <w:pPr>
        <w:pStyle w:val="12"/>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（2）投标方案描述：</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B.项目组织实施方案（包括项目工期、确保项目供货的措施或方案、项目实施进度安排、项目实施人员及项目负责人的资质、类似经验及社保证明等）。</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w:t>
      </w:r>
      <w:r>
        <w:rPr>
          <w:rFonts w:asciiTheme="minorEastAsia" w:hAnsiTheme="minorEastAsia" w:eastAsiaTheme="minorEastAsia"/>
          <w:color w:val="000000" w:themeColor="text1"/>
          <w:kern w:val="0"/>
          <w:sz w:val="24"/>
          <w:szCs w:val="24"/>
          <w:highlight w:val="none"/>
          <w14:textFill>
            <w14:solidFill>
              <w14:schemeClr w14:val="tx1"/>
            </w14:solidFill>
          </w14:textFill>
        </w:rPr>
        <w:t>安装、调试及验收方案</w:t>
      </w:r>
      <w:r>
        <w:rPr>
          <w:rFonts w:hint="eastAsia" w:asciiTheme="minorEastAsia" w:hAnsiTheme="minorEastAsia" w:eastAsiaTheme="minorEastAsia"/>
          <w:color w:val="000000" w:themeColor="text1"/>
          <w:kern w:val="0"/>
          <w:sz w:val="24"/>
          <w:szCs w:val="24"/>
          <w:highlight w:val="none"/>
          <w14:textFill>
            <w14:solidFill>
              <w14:schemeClr w14:val="tx1"/>
            </w14:solidFill>
          </w14:textFill>
        </w:rPr>
        <w:t>（包括项目验收标准和验收方法等）</w:t>
      </w:r>
      <w:r>
        <w:rPr>
          <w:rFonts w:hint="eastAsia" w:asciiTheme="minorEastAsia" w:hAnsiTheme="minorEastAsia" w:eastAsiaTheme="minorEastAsia"/>
          <w:color w:val="000000" w:themeColor="text1"/>
          <w:sz w:val="24"/>
          <w:szCs w:val="24"/>
          <w:highlight w:val="none"/>
          <w14:textFill>
            <w14:solidFill>
              <w14:schemeClr w14:val="tx1"/>
            </w14:solidFill>
          </w14:textFill>
        </w:rPr>
        <w:t>和措施；</w:t>
      </w:r>
    </w:p>
    <w:p>
      <w:pPr>
        <w:pStyle w:val="12"/>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（3）投标产品描述及相关资料：</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w:t>
      </w:r>
      <w:r>
        <w:rPr>
          <w:rFonts w:asciiTheme="minorEastAsia" w:hAnsiTheme="minorEastAsia" w:eastAsiaTheme="minorEastAsia"/>
          <w:color w:val="000000" w:themeColor="text1"/>
          <w:sz w:val="24"/>
          <w:szCs w:val="24"/>
          <w:highlight w:val="none"/>
          <w14:textFill>
            <w14:solidFill>
              <w14:schemeClr w14:val="tx1"/>
            </w14:solidFill>
          </w14:textFill>
        </w:rPr>
        <w:t>设备配置清单（</w:t>
      </w:r>
      <w:r>
        <w:rPr>
          <w:rFonts w:hint="eastAsia" w:asciiTheme="minorEastAsia" w:hAnsiTheme="minorEastAsia" w:eastAsiaTheme="minorEastAsia"/>
          <w:color w:val="000000" w:themeColor="text1"/>
          <w:sz w:val="24"/>
          <w:szCs w:val="24"/>
          <w:highlight w:val="none"/>
          <w14:textFill>
            <w14:solidFill>
              <w14:schemeClr w14:val="tx1"/>
            </w14:solidFill>
          </w14:textFill>
        </w:rPr>
        <w:t>均</w:t>
      </w:r>
      <w:r>
        <w:rPr>
          <w:rFonts w:asciiTheme="minorEastAsia" w:hAnsiTheme="minorEastAsia" w:eastAsiaTheme="minorEastAsia"/>
          <w:color w:val="000000" w:themeColor="text1"/>
          <w:sz w:val="24"/>
          <w:szCs w:val="24"/>
          <w:highlight w:val="none"/>
          <w14:textFill>
            <w14:solidFill>
              <w14:schemeClr w14:val="tx1"/>
            </w14:solidFill>
          </w14:textFill>
        </w:rPr>
        <w:t>不含报价）</w:t>
      </w:r>
      <w:r>
        <w:rPr>
          <w:rFonts w:hint="eastAsia" w:asciiTheme="minorEastAsia" w:hAnsiTheme="minorEastAsia" w:eastAsiaTheme="minorEastAsia"/>
          <w:color w:val="000000" w:themeColor="text1"/>
          <w:sz w:val="24"/>
          <w:szCs w:val="24"/>
          <w:highlight w:val="none"/>
          <w14:textFill>
            <w14:solidFill>
              <w14:schemeClr w14:val="tx1"/>
            </w14:solidFill>
          </w14:textFill>
        </w:rPr>
        <w:t>。</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B.产品品牌及型号、技术参数指标、性能特点、图片资料以及所遵循的技术规范、产品质保期、出厂标准、产品质量相关检测报告等内容。</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C.商务及技术响应表。</w:t>
      </w:r>
    </w:p>
    <w:p>
      <w:pPr>
        <w:spacing w:line="360" w:lineRule="auto"/>
        <w:ind w:left="218" w:leftChars="104" w:firstLine="619" w:firstLineChars="25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spacing w:line="360" w:lineRule="auto"/>
        <w:ind w:left="218" w:leftChars="104" w:firstLine="619" w:firstLineChars="25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【特别提示：节能和环境标志产品最新一期政府采购清单，可在“中国政府采购网”中查看】</w:t>
      </w:r>
    </w:p>
    <w:p>
      <w:pPr>
        <w:autoSpaceDE w:val="0"/>
        <w:autoSpaceDN w:val="0"/>
        <w:adjustRightInd w:val="0"/>
        <w:spacing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asciiTheme="minorEastAsia" w:hAnsiTheme="minorEastAsia" w:eastAsiaTheme="minorEastAsia"/>
          <w:color w:val="000000" w:themeColor="text1"/>
          <w:kern w:val="0"/>
          <w:sz w:val="24"/>
          <w:highlight w:val="none"/>
          <w14:textFill>
            <w14:solidFill>
              <w14:schemeClr w14:val="tx1"/>
            </w14:solidFill>
          </w14:textFill>
        </w:rPr>
        <w:t>投标人通过的</w:t>
      </w:r>
      <w:r>
        <w:rPr>
          <w:rFonts w:hint="eastAsia" w:asciiTheme="minorEastAsia" w:hAnsiTheme="minorEastAsia" w:eastAsiaTheme="minorEastAsia"/>
          <w:color w:val="000000" w:themeColor="text1"/>
          <w:kern w:val="0"/>
          <w:sz w:val="24"/>
          <w:highlight w:val="none"/>
          <w14:textFill>
            <w14:solidFill>
              <w14:schemeClr w14:val="tx1"/>
            </w14:solidFill>
          </w14:textFill>
        </w:rPr>
        <w:t>质量管理和</w:t>
      </w:r>
      <w:r>
        <w:rPr>
          <w:rFonts w:asciiTheme="minorEastAsia" w:hAnsiTheme="minorEastAsia" w:eastAsiaTheme="minorEastAsia"/>
          <w:color w:val="000000" w:themeColor="text1"/>
          <w:kern w:val="0"/>
          <w:sz w:val="24"/>
          <w:highlight w:val="none"/>
          <w14:textFill>
            <w14:solidFill>
              <w14:schemeClr w14:val="tx1"/>
            </w14:solidFill>
          </w14:textFill>
        </w:rPr>
        <w:t>质量</w:t>
      </w:r>
      <w:r>
        <w:rPr>
          <w:rFonts w:hint="eastAsia" w:asciiTheme="minorEastAsia" w:hAnsiTheme="minorEastAsia" w:eastAsiaTheme="minorEastAsia"/>
          <w:color w:val="000000" w:themeColor="text1"/>
          <w:kern w:val="0"/>
          <w:sz w:val="24"/>
          <w:highlight w:val="none"/>
          <w14:textFill>
            <w14:solidFill>
              <w14:schemeClr w14:val="tx1"/>
            </w14:solidFill>
          </w14:textFill>
        </w:rPr>
        <w:t>保证</w:t>
      </w:r>
      <w:r>
        <w:rPr>
          <w:rFonts w:asciiTheme="minorEastAsia" w:hAnsiTheme="minorEastAsia" w:eastAsiaTheme="minorEastAsia"/>
          <w:color w:val="000000" w:themeColor="text1"/>
          <w:kern w:val="0"/>
          <w:sz w:val="24"/>
          <w:highlight w:val="none"/>
          <w14:textFill>
            <w14:solidFill>
              <w14:schemeClr w14:val="tx1"/>
            </w14:solidFill>
          </w14:textFill>
        </w:rPr>
        <w:t>体系、环保体系、</w:t>
      </w:r>
      <w:r>
        <w:rPr>
          <w:rFonts w:hint="eastAsia" w:asciiTheme="minorEastAsia" w:hAnsiTheme="minorEastAsia" w:eastAsiaTheme="minorEastAsia"/>
          <w:color w:val="000000" w:themeColor="text1"/>
          <w:sz w:val="24"/>
          <w:highlight w:val="none"/>
          <w14:textFill>
            <w14:solidFill>
              <w14:schemeClr w14:val="tx1"/>
            </w14:solidFill>
          </w14:textFill>
        </w:rPr>
        <w:t>自主创新相关证书、软件著作权证等等与本项目相关</w:t>
      </w:r>
      <w:r>
        <w:rPr>
          <w:rFonts w:asciiTheme="minorEastAsia" w:hAnsiTheme="minorEastAsia" w:eastAsiaTheme="minorEastAsia"/>
          <w:color w:val="000000" w:themeColor="text1"/>
          <w:kern w:val="0"/>
          <w:sz w:val="24"/>
          <w:highlight w:val="none"/>
          <w14:textFill>
            <w14:solidFill>
              <w14:schemeClr w14:val="tx1"/>
            </w14:solidFill>
          </w14:textFill>
        </w:rPr>
        <w:t>的认证证书</w:t>
      </w:r>
      <w:r>
        <w:rPr>
          <w:rFonts w:hint="eastAsia" w:asciiTheme="minorEastAsia" w:hAnsiTheme="minorEastAsia" w:eastAsiaTheme="minorEastAsia"/>
          <w:color w:val="000000" w:themeColor="text1"/>
          <w:kern w:val="0"/>
          <w:sz w:val="24"/>
          <w:highlight w:val="none"/>
          <w14:textFill>
            <w14:solidFill>
              <w14:schemeClr w14:val="tx1"/>
            </w14:solidFill>
          </w14:textFill>
        </w:rPr>
        <w:t>或文件；</w:t>
      </w:r>
    </w:p>
    <w:p>
      <w:pPr>
        <w:pStyle w:val="12"/>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kern w:val="0"/>
          <w:sz w:val="24"/>
          <w:szCs w:val="24"/>
          <w:highlight w:val="none"/>
          <w14:textFill>
            <w14:solidFill>
              <w14:schemeClr w14:val="tx1"/>
            </w14:solidFill>
          </w14:textFill>
        </w:rPr>
        <w:t>（5）近四年来类似项目的成功案例（投标人类似项目实施情况一览表、合同复印件及其相应的发票、用户验收报告等；</w:t>
      </w:r>
    </w:p>
    <w:p>
      <w:pPr>
        <w:snapToGrid w:val="0"/>
        <w:spacing w:line="360" w:lineRule="auto"/>
        <w:ind w:firstLine="480" w:firstLineChars="200"/>
        <w:rPr>
          <w:rFonts w:ascii="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（6）投标人认为需要提供的其他资料（包括可能影响投标人商务与技术文件评分的各类证明材料）。</w:t>
      </w:r>
    </w:p>
    <w:p>
      <w:pPr>
        <w:pStyle w:val="12"/>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（7）售后服务描述及承诺：</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A.距采购人最近的服务网点详细介绍（包括地理位置、资质资格、技术力量、工作业绩、服务内容及联系电话等）。</w:t>
      </w:r>
    </w:p>
    <w:p>
      <w:pPr>
        <w:pStyle w:val="12"/>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B.针对本项目的售后服务措施及承诺（售后技术服务方案、人员配备、故障响应时间、技术培训方案等）。</w:t>
      </w:r>
    </w:p>
    <w:p>
      <w:pPr>
        <w:autoSpaceDE w:val="0"/>
        <w:autoSpaceDN w:val="0"/>
        <w:adjustRightInd w:val="0"/>
        <w:spacing w:line="360" w:lineRule="auto"/>
        <w:ind w:left="426" w:firstLine="65" w:firstLineChars="27"/>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3、报价文件的组成</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（1）报价文件由开标一览表、报价明细表、小微企业等声明函、产品适用政府采购政策情况表，以及投标人认为其他需要说明的内容组成。</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（2）此报价为投标人一次性报出唯一的最终价格，包含其它一切所要涉及到的费用，有选择的报价将被拒绝。</w:t>
      </w:r>
    </w:p>
    <w:p>
      <w:pPr>
        <w:snapToGri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3</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snapToGri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政府采购优惠政策相关资料、产品适用政府采购政策情况表（如有）。</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（5）相关报价单需打印或用不退色的墨水填写， 投标报价单不得涂改和增删，如有错漏必须修改，修改处须由同一签署人签字或盖章。由于字迹模糊或表达不清引起的后果由投标人负责。</w:t>
      </w:r>
    </w:p>
    <w:p>
      <w:pPr>
        <w:autoSpaceDE w:val="0"/>
        <w:autoSpaceDN w:val="0"/>
        <w:adjustRightIn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投标报价应按招标文件中相关附表格式填写。</w:t>
      </w:r>
    </w:p>
    <w:p>
      <w:pPr>
        <w:pStyle w:val="5"/>
        <w:rPr>
          <w:rFonts w:ascii="宋体"/>
          <w:color w:val="000000" w:themeColor="text1"/>
          <w:highlight w:val="none"/>
          <w:lang w:val="zh-CN"/>
          <w14:textFill>
            <w14:solidFill>
              <w14:schemeClr w14:val="tx1"/>
            </w14:solidFill>
          </w14:textFill>
        </w:rPr>
      </w:pPr>
      <w:r>
        <w:rPr>
          <w:rFonts w:hint="eastAsia" w:ascii="宋体"/>
          <w:color w:val="000000" w:themeColor="text1"/>
          <w:highlight w:val="none"/>
          <w:lang w:val="zh-CN"/>
          <w14:textFill>
            <w14:solidFill>
              <w14:schemeClr w14:val="tx1"/>
            </w14:solidFill>
          </w14:textFill>
        </w:rPr>
        <w:t>（二）投标文件的制作、封装及递交要求</w:t>
      </w:r>
    </w:p>
    <w:p>
      <w:pPr>
        <w:autoSpaceDE w:val="0"/>
        <w:autoSpaceDN w:val="0"/>
        <w:adjustRightInd w:val="0"/>
        <w:spacing w:line="360" w:lineRule="auto"/>
        <w:ind w:firstLine="48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1、投标文件的制作要求</w:t>
      </w:r>
    </w:p>
    <w:p>
      <w:pPr>
        <w:autoSpaceDE w:val="0"/>
        <w:autoSpaceDN w:val="0"/>
        <w:adjustRightIn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color w:val="000000" w:themeColor="text1"/>
          <w:sz w:val="24"/>
          <w:highlight w:val="none"/>
          <w14:textFill>
            <w14:solidFill>
              <w14:schemeClr w14:val="tx1"/>
            </w14:solidFill>
          </w14:textFill>
        </w:rPr>
        <w:t>应</w:t>
      </w:r>
      <w:r>
        <w:rPr>
          <w:rFonts w:hint="eastAsia" w:asciiTheme="minorEastAsia" w:hAnsiTheme="minorEastAsia" w:eastAsiaTheme="minorEastAsia"/>
          <w:color w:val="000000" w:themeColor="text1"/>
          <w:sz w:val="24"/>
          <w:highlight w:val="none"/>
          <w14:textFill>
            <w14:solidFill>
              <w14:schemeClr w14:val="tx1"/>
            </w14:solidFill>
          </w14:textFill>
        </w:rPr>
        <w:t>按照</w:t>
      </w:r>
      <w:r>
        <w:rPr>
          <w:rFonts w:hint="eastAsia" w:asciiTheme="minorEastAsia" w:hAnsiTheme="minorEastAsia"/>
          <w:color w:val="000000" w:themeColor="text1"/>
          <w:sz w:val="24"/>
          <w:highlight w:val="none"/>
          <w14:textFill>
            <w14:solidFill>
              <w14:schemeClr w14:val="tx1"/>
            </w14:solidFill>
          </w14:textFill>
        </w:rPr>
        <w:t>投标文件组成内容</w:t>
      </w:r>
      <w:r>
        <w:rPr>
          <w:rFonts w:hint="eastAsia" w:asciiTheme="minorEastAsia" w:hAnsiTheme="minorEastAsia" w:eastAsiaTheme="minorEastAsia"/>
          <w:color w:val="000000" w:themeColor="text1"/>
          <w:sz w:val="24"/>
          <w:highlight w:val="none"/>
          <w14:textFill>
            <w14:solidFill>
              <w14:schemeClr w14:val="tx1"/>
            </w14:solidFill>
          </w14:textFill>
        </w:rPr>
        <w:t>及项目招标需求制作投标文件，</w:t>
      </w:r>
      <w:r>
        <w:rPr>
          <w:rFonts w:hint="eastAsia" w:asciiTheme="minorEastAsia" w:hAnsiTheme="minorEastAsia" w:eastAsiaTheme="minorEastAsia"/>
          <w:color w:val="000000" w:themeColor="text1"/>
          <w:kern w:val="0"/>
          <w:sz w:val="24"/>
          <w:highlight w:val="none"/>
          <w14:textFill>
            <w14:solidFill>
              <w14:schemeClr w14:val="tx1"/>
            </w14:solidFill>
          </w14:textFill>
        </w:rPr>
        <w:t>不按招标文件要求制作投标文件的将视情</w:t>
      </w:r>
      <w:r>
        <w:rPr>
          <w:rFonts w:hint="eastAsia" w:asciiTheme="minorEastAsia" w:hAnsiTheme="minorEastAsia"/>
          <w:color w:val="000000" w:themeColor="text1"/>
          <w:kern w:val="0"/>
          <w:sz w:val="24"/>
          <w:highlight w:val="none"/>
          <w14:textFill>
            <w14:solidFill>
              <w14:schemeClr w14:val="tx1"/>
            </w14:solidFill>
          </w14:textFill>
        </w:rPr>
        <w:t>处理（拒收、扣分等），由此产生的责任由投标人自行承担。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（2）投标人应对所提供的全部资料的真实性承担法律责任，</w:t>
      </w:r>
      <w:r>
        <w:rPr>
          <w:rFonts w:hint="eastAsia" w:asciiTheme="minorEastAsia" w:hAnsiTheme="minorEastAsia"/>
          <w:color w:val="000000" w:themeColor="text1"/>
          <w:kern w:val="0"/>
          <w:sz w:val="24"/>
          <w:highlight w:val="none"/>
          <w:lang w:val="zh-CN"/>
          <w14:textFill>
            <w14:solidFill>
              <w14:schemeClr w14:val="tx1"/>
            </w14:solidFill>
          </w14:textFill>
        </w:rPr>
        <w:t>投标文件</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内</w:t>
      </w:r>
      <w:r>
        <w:rPr>
          <w:rFonts w:hint="eastAsia" w:asciiTheme="minorEastAsia" w:hAnsiTheme="minorEastAsia"/>
          <w:color w:val="000000" w:themeColor="text1"/>
          <w:kern w:val="0"/>
          <w:sz w:val="24"/>
          <w:highlight w:val="none"/>
          <w:lang w:val="zh-CN"/>
          <w14:textFill>
            <w14:solidFill>
              <w14:schemeClr w14:val="tx1"/>
            </w14:solidFill>
          </w14:textFill>
        </w:rPr>
        <w:t>容中</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有要求盖章或签字的地方，必须加盖投标人的公章以及法定代表人或全权代表盖章或签字。</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kern w:val="0"/>
          <w:sz w:val="24"/>
          <w:highlight w:val="none"/>
          <w:lang w:val="zh-CN"/>
          <w14:textFill>
            <w14:solidFill>
              <w14:schemeClr w14:val="tx1"/>
            </w14:solidFill>
          </w14:textFill>
        </w:rPr>
        <w:t>（</w:t>
      </w:r>
      <w:r>
        <w:rPr>
          <w:rFonts w:hint="eastAsia" w:asciiTheme="minorEastAsia" w:hAnsiTheme="minorEastAsia"/>
          <w:color w:val="000000" w:themeColor="text1"/>
          <w:kern w:val="0"/>
          <w:sz w:val="24"/>
          <w:highlight w:val="none"/>
          <w14:textFill>
            <w14:solidFill>
              <w14:schemeClr w14:val="tx1"/>
            </w14:solidFill>
          </w14:textFill>
        </w:rPr>
        <w:t>3</w:t>
      </w:r>
      <w:r>
        <w:rPr>
          <w:rFonts w:hint="eastAsia" w:asciiTheme="minorEastAsia" w:hAnsiTheme="minorEastAsia"/>
          <w:color w:val="000000" w:themeColor="text1"/>
          <w:kern w:val="0"/>
          <w:sz w:val="24"/>
          <w:highlight w:val="none"/>
          <w:lang w:val="zh-CN"/>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投标文件以及投标人与</w:t>
      </w:r>
      <w:r>
        <w:rPr>
          <w:rFonts w:hint="eastAsia" w:asciiTheme="minorEastAsia" w:hAnsiTheme="minorEastAsia" w:eastAsiaTheme="minorEastAsia"/>
          <w:color w:val="000000" w:themeColor="text1"/>
          <w:sz w:val="24"/>
          <w:highlight w:val="none"/>
          <w14:textFill>
            <w14:solidFill>
              <w14:schemeClr w14:val="tx1"/>
            </w14:solidFill>
          </w14:textFill>
        </w:rPr>
        <w:t>采购组织机构</w:t>
      </w:r>
      <w:r>
        <w:rPr>
          <w:rFonts w:asciiTheme="minorEastAsia" w:hAnsiTheme="minorEastAsia" w:eastAsiaTheme="minorEastAsia"/>
          <w:color w:val="000000" w:themeColor="text1"/>
          <w:sz w:val="24"/>
          <w:highlight w:val="none"/>
          <w14:textFill>
            <w14:solidFill>
              <w14:schemeClr w14:val="tx1"/>
            </w14:solidFill>
          </w14:textFill>
        </w:rPr>
        <w:t>就有关投标事宜的所有来往函电，均应以中文汉语书写。除</w:t>
      </w:r>
      <w:r>
        <w:rPr>
          <w:rFonts w:hint="eastAsia" w:asciiTheme="minorEastAsia" w:hAnsiTheme="minorEastAsia" w:eastAsiaTheme="minorEastAsia"/>
          <w:color w:val="000000" w:themeColor="text1"/>
          <w:sz w:val="24"/>
          <w:highlight w:val="none"/>
          <w14:textFill>
            <w14:solidFill>
              <w14:schemeClr w14:val="tx1"/>
            </w14:solidFill>
          </w14:textFill>
        </w:rPr>
        <w:t>签字</w:t>
      </w:r>
      <w:r>
        <w:rPr>
          <w:rFonts w:asciiTheme="minorEastAsia" w:hAnsiTheme="minorEastAsia" w:eastAsiaTheme="minorEastAsia"/>
          <w:color w:val="000000" w:themeColor="text1"/>
          <w:sz w:val="24"/>
          <w:highlight w:val="none"/>
          <w14:textFill>
            <w14:solidFill>
              <w14:schemeClr w14:val="tx1"/>
            </w14:solidFill>
          </w14:textFill>
        </w:rPr>
        <w:t>、盖章、专用名称等特殊情形外，以中文汉语以外的文字表述的投标文件视同未提供。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若投标人不按招标文件的要求提供资格审查材料，其风险由投标人自行承担。</w:t>
      </w:r>
    </w:p>
    <w:p>
      <w:pPr>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kern w:val="0"/>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与本次投标无关的内容请不要制作在内，确保投标文件有针对性、简洁明了，同时节约纸张；投标文件建议以A4纸大小双面打印并装订。</w:t>
      </w:r>
    </w:p>
    <w:p>
      <w:pPr>
        <w:autoSpaceDE w:val="0"/>
        <w:autoSpaceDN w:val="0"/>
        <w:adjustRightInd w:val="0"/>
        <w:spacing w:line="360" w:lineRule="auto"/>
        <w:ind w:firstLine="480"/>
        <w:rPr>
          <w:rFonts w:asciiTheme="minorEastAsia" w:hAnsi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2、投标文件的封装要求</w:t>
      </w:r>
    </w:p>
    <w:p>
      <w:pPr>
        <w:autoSpaceDE w:val="0"/>
        <w:autoSpaceDN w:val="0"/>
        <w:adjustRightInd w:val="0"/>
        <w:spacing w:line="360" w:lineRule="auto"/>
        <w:ind w:firstLine="475" w:firstLineChars="198"/>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（1）投标文件份数：</w:t>
      </w:r>
      <w:r>
        <w:rPr>
          <w:rFonts w:hint="eastAsia" w:ascii="宋体" w:hAnsi="宋体"/>
          <w:bCs/>
          <w:color w:val="000000" w:themeColor="text1"/>
          <w:sz w:val="24"/>
          <w:highlight w:val="none"/>
          <w:lang w:val="zh-CN"/>
          <w14:textFill>
            <w14:solidFill>
              <w14:schemeClr w14:val="tx1"/>
            </w14:solidFill>
          </w14:textFill>
        </w:rPr>
        <w:t>资格证明文件、商务与技术文件、报价文件必须分别编制并分开单独装订成册：</w:t>
      </w:r>
      <w:r>
        <w:rPr>
          <w:rFonts w:hint="eastAsia" w:ascii="宋体"/>
          <w:bCs/>
          <w:color w:val="000000" w:themeColor="text1"/>
          <w:sz w:val="24"/>
          <w:highlight w:val="none"/>
          <w:lang w:val="zh-CN"/>
          <w14:textFill>
            <w14:solidFill>
              <w14:schemeClr w14:val="tx1"/>
            </w14:solidFill>
          </w14:textFill>
        </w:rPr>
        <w:t>资格证明文件共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5 </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，商务与技术文件共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5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，报价文件共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5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。投标文件的正本封面必须注明“正本”字样，副本可以采用正本的复印件。</w:t>
      </w:r>
      <w:r>
        <w:rPr>
          <w:rFonts w:hint="eastAsia" w:asciiTheme="minorEastAsia" w:hAnsiTheme="minorEastAsia" w:eastAsiaTheme="minorEastAsia"/>
          <w:color w:val="000000" w:themeColor="text1"/>
          <w:sz w:val="24"/>
          <w:highlight w:val="none"/>
          <w14:textFill>
            <w14:solidFill>
              <w14:schemeClr w14:val="tx1"/>
            </w14:solidFill>
          </w14:textFill>
        </w:rPr>
        <w:t>除报价文件外其余一律不准出现数字报价。如有不同标段，请按标段号分别装订，密封要求同上。</w:t>
      </w:r>
    </w:p>
    <w:p>
      <w:pPr>
        <w:autoSpaceDE w:val="0"/>
        <w:autoSpaceDN w:val="0"/>
        <w:adjustRightIn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（2）所有投标资料按投标文件的组成所列内容及顺序装订成册，</w:t>
      </w:r>
      <w:r>
        <w:rPr>
          <w:rFonts w:hint="eastAsia" w:asciiTheme="minorEastAsia" w:hAnsiTheme="minorEastAsia" w:eastAsiaTheme="minorEastAsia"/>
          <w:color w:val="000000" w:themeColor="text1"/>
          <w:sz w:val="24"/>
          <w:highlight w:val="none"/>
          <w:lang w:val="zh-CN"/>
          <w14:textFill>
            <w14:solidFill>
              <w14:schemeClr w14:val="tx1"/>
            </w14:solidFill>
          </w14:textFill>
        </w:rPr>
        <w:t>并逐页连续标注页码。因投标文件内容不完整、编排混乱导致投标文件被误读、漏读或者查找不到相关内容的责任由投标人自行承担。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（3）请在密封袋的封口处应有投标单位公章或投标全权代表签字。封皮上写明项目编号、标段、招标项目名称、投标人名称，并注明“投标文件名称（资格证明文件、</w:t>
      </w:r>
      <w:r>
        <w:rPr>
          <w:rFonts w:hint="eastAsia" w:ascii="宋体" w:hAnsi="宋体"/>
          <w:bCs/>
          <w:color w:val="000000" w:themeColor="text1"/>
          <w:sz w:val="24"/>
          <w:highlight w:val="none"/>
          <w:lang w:val="zh-CN"/>
          <w14:textFill>
            <w14:solidFill>
              <w14:schemeClr w14:val="tx1"/>
            </w14:solidFill>
          </w14:textFill>
        </w:rPr>
        <w:t>商务与技术文件</w:t>
      </w:r>
      <w:r>
        <w:rPr>
          <w:rFonts w:hint="eastAsia" w:asciiTheme="minorEastAsia" w:hAnsiTheme="minorEastAsia" w:eastAsiaTheme="minorEastAsia"/>
          <w:color w:val="000000" w:themeColor="text1"/>
          <w:kern w:val="0"/>
          <w:sz w:val="24"/>
          <w:highlight w:val="none"/>
          <w14:textFill>
            <w14:solidFill>
              <w14:schemeClr w14:val="tx1"/>
            </w14:solidFill>
          </w14:textFill>
        </w:rPr>
        <w:t>和报价文件）”、“开标时启封”字样，未按上述要求密封及加写标记，采购组织机构对投标文件的误投和提前启封不负责任。</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（4）项目如分标段，各标段投标文件必须分开编制，并按上述份数要求单独密封包装。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因密封不严、标记不明而造成失密、拒收、过早启封等情况，采购组织机构概不负责。</w:t>
      </w:r>
    </w:p>
    <w:p>
      <w:pPr>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w:t>
      </w:r>
      <w:r>
        <w:rPr>
          <w:rFonts w:hint="eastAsia" w:asciiTheme="minorEastAsia" w:hAnsiTheme="minorEastAsia"/>
          <w:color w:val="000000" w:themeColor="text1"/>
          <w:sz w:val="24"/>
          <w:highlight w:val="none"/>
          <w14:textFill>
            <w14:solidFill>
              <w14:schemeClr w14:val="tx1"/>
            </w14:solidFill>
          </w14:textFill>
        </w:rPr>
        <w:t>投标文件的递交要求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（1）投标文件必须在规定时间前派人送达指定的投标地点。投标文件在截止时间后提交，采购组织机构将拒绝接收。</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（2）如有特殊情况，采购组织机构延长截止时间和开标时间，采购组织机构和投标人的权利和义务将受到新的截止时间和开标时间的约束。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（1）投标人如需对上交的投标文件进行补充、修改或撤回的，必须在投标</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截止时间</w:t>
      </w:r>
      <w:r>
        <w:rPr>
          <w:rFonts w:hint="eastAsia" w:ascii="宋体"/>
          <w:color w:val="000000" w:themeColor="text1"/>
          <w:kern w:val="0"/>
          <w:sz w:val="24"/>
          <w:highlight w:val="none"/>
          <w14:textFill>
            <w14:solidFill>
              <w14:schemeClr w14:val="tx1"/>
            </w14:solidFill>
          </w14:textFill>
        </w:rPr>
        <w:t>以前将书面的修改文件或撤消通知送达采购组织机构。</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（2）投标修改文件必须密封，在密封袋上写明项目编号、标段、招标项目名称、投标人名称、并注明“修改文件”、“开标时启封”字样，其作为投标文件的组成部份。</w:t>
      </w:r>
    </w:p>
    <w:p>
      <w:pPr>
        <w:pStyle w:val="5"/>
        <w:rPr>
          <w:rFonts w:ascii="宋体"/>
          <w:color w:val="000000" w:themeColor="text1"/>
          <w:highlight w:val="none"/>
          <w:lang w:val="zh-CN"/>
          <w14:textFill>
            <w14:solidFill>
              <w14:schemeClr w14:val="tx1"/>
            </w14:solidFill>
          </w14:textFill>
        </w:rPr>
      </w:pPr>
      <w:r>
        <w:rPr>
          <w:rFonts w:hint="eastAsia" w:ascii="宋体"/>
          <w:color w:val="000000" w:themeColor="text1"/>
          <w:highlight w:val="none"/>
          <w:lang w:val="zh-CN"/>
          <w14:textFill>
            <w14:solidFill>
              <w14:schemeClr w14:val="tx1"/>
            </w14:solidFill>
          </w14:textFill>
        </w:rPr>
        <w:t>（三）投标文件的有效期</w:t>
      </w:r>
    </w:p>
    <w:p>
      <w:pPr>
        <w:pStyle w:val="11"/>
        <w:tabs>
          <w:tab w:val="left" w:pos="454"/>
          <w:tab w:val="left" w:pos="720"/>
          <w:tab w:val="left" w:pos="1200"/>
        </w:tabs>
        <w:snapToGrid w:val="0"/>
        <w:spacing w:line="360" w:lineRule="auto"/>
        <w:ind w:left="0" w:firstLine="480" w:firstLineChars="200"/>
        <w:rPr>
          <w:rFonts w:ascii="仿宋_GB2312" w:hAnsi="仿宋_GB2312" w:eastAsia="仿宋_GB2312" w:cs="仿宋_GB2312"/>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自投标截止日起90天投标文件应保持有效。有效期不足的投标文件将被拒绝。</w:t>
      </w:r>
    </w:p>
    <w:p>
      <w:pPr>
        <w:pStyle w:val="11"/>
        <w:tabs>
          <w:tab w:val="left" w:pos="454"/>
          <w:tab w:val="left" w:pos="720"/>
          <w:tab w:val="left" w:pos="1200"/>
        </w:tabs>
        <w:snapToGrid w:val="0"/>
        <w:spacing w:line="360" w:lineRule="auto"/>
        <w:ind w:left="0" w:firstLine="480" w:firstLineChars="200"/>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在特殊情况下，采购人可与投标人协商延长投标文件的有效期，这种要求和答复均以书面形式进行。</w:t>
      </w:r>
    </w:p>
    <w:p>
      <w:pPr>
        <w:pStyle w:val="11"/>
        <w:tabs>
          <w:tab w:val="left" w:pos="454"/>
          <w:tab w:val="left" w:pos="720"/>
          <w:tab w:val="left" w:pos="1200"/>
        </w:tabs>
        <w:snapToGrid w:val="0"/>
        <w:spacing w:line="360" w:lineRule="auto"/>
        <w:ind w:left="0" w:firstLine="480" w:firstLineChars="200"/>
        <w:rPr>
          <w:rFonts w:ascii="宋体" w:hAnsi="宋体"/>
          <w:color w:val="000000" w:themeColor="text1"/>
          <w:sz w:val="24"/>
          <w:highlight w:val="none"/>
          <w:lang w:val="en-GB"/>
          <w14:textFill>
            <w14:solidFill>
              <w14:schemeClr w14:val="tx1"/>
            </w14:solidFill>
          </w14:textFill>
        </w:rPr>
      </w:pPr>
      <w:r>
        <w:rPr>
          <w:rFonts w:ascii="宋体" w:hAnsi="宋体"/>
          <w:color w:val="000000" w:themeColor="text1"/>
          <w:sz w:val="24"/>
          <w:highlight w:val="none"/>
          <w:lang w:val="en-GB"/>
          <w14:textFill>
            <w14:solidFill>
              <w14:schemeClr w14:val="tx1"/>
            </w14:solidFill>
          </w14:textFill>
        </w:rPr>
        <w:t>中标人的投标文件自开标之日起至合同履行完毕均应保持有效。</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四、开标</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（一）开标事项</w:t>
      </w:r>
    </w:p>
    <w:p>
      <w:pPr>
        <w:autoSpaceDE w:val="0"/>
        <w:autoSpaceDN w:val="0"/>
        <w:adjustRightInd w:val="0"/>
        <w:spacing w:line="360" w:lineRule="auto"/>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采购组织机构在“招标公告”规定的时间和地点公开开标，投标人的法定代表人或其授权代表应参加开标会并签到。</w:t>
      </w:r>
      <w:r>
        <w:rPr>
          <w:rFonts w:asciiTheme="minorEastAsia" w:hAnsiTheme="minorEastAsia" w:eastAsiaTheme="minorEastAsia"/>
          <w:bCs/>
          <w:color w:val="000000" w:themeColor="text1"/>
          <w:sz w:val="24"/>
          <w:highlight w:val="none"/>
          <w14:textFill>
            <w14:solidFill>
              <w14:schemeClr w14:val="tx1"/>
            </w14:solidFill>
          </w14:textFill>
        </w:rPr>
        <w:t>投标人的法定代表人或其授权代表未按时签到的，视同放弃开标监督权利、认可开标结果。</w:t>
      </w:r>
      <w:r>
        <w:rPr>
          <w:rFonts w:hint="eastAsia" w:asciiTheme="minorEastAsia" w:hAnsiTheme="minorEastAsia" w:eastAsiaTheme="minorEastAsia"/>
          <w:bCs/>
          <w:color w:val="000000" w:themeColor="text1"/>
          <w:sz w:val="24"/>
          <w:highlight w:val="none"/>
          <w14:textFill>
            <w14:solidFill>
              <w14:schemeClr w14:val="tx1"/>
            </w14:solidFill>
          </w14:textFill>
        </w:rPr>
        <w:t>采购组织机构</w:t>
      </w:r>
      <w:r>
        <w:rPr>
          <w:rFonts w:asciiTheme="minorEastAsia" w:hAnsiTheme="minorEastAsia" w:eastAsiaTheme="minorEastAsia"/>
          <w:bCs/>
          <w:color w:val="000000" w:themeColor="text1"/>
          <w:sz w:val="24"/>
          <w:highlight w:val="none"/>
          <w14:textFill>
            <w14:solidFill>
              <w14:schemeClr w14:val="tx1"/>
            </w14:solidFill>
          </w14:textFill>
        </w:rPr>
        <w:t>工作人员接收投标文件并登记，并由供应商代表对递交记录情况进行</w:t>
      </w:r>
      <w:r>
        <w:rPr>
          <w:rFonts w:hint="eastAsia" w:asciiTheme="minorEastAsia" w:hAnsiTheme="minorEastAsia" w:eastAsiaTheme="minorEastAsia"/>
          <w:bCs/>
          <w:color w:val="000000" w:themeColor="text1"/>
          <w:sz w:val="24"/>
          <w:highlight w:val="none"/>
          <w14:textFill>
            <w14:solidFill>
              <w14:schemeClr w14:val="tx1"/>
            </w14:solidFill>
          </w14:textFill>
        </w:rPr>
        <w:t>签字</w:t>
      </w:r>
      <w:r>
        <w:rPr>
          <w:rFonts w:asciiTheme="minorEastAsia" w:hAnsiTheme="minorEastAsia" w:eastAsiaTheme="minorEastAsia"/>
          <w:bCs/>
          <w:color w:val="000000" w:themeColor="text1"/>
          <w:sz w:val="24"/>
          <w:highlight w:val="none"/>
          <w14:textFill>
            <w14:solidFill>
              <w14:schemeClr w14:val="tx1"/>
            </w14:solidFill>
          </w14:textFill>
        </w:rPr>
        <w:t>确认。</w:t>
      </w:r>
      <w:r>
        <w:rPr>
          <w:rFonts w:hint="eastAsia" w:asciiTheme="minorEastAsia" w:hAnsiTheme="minorEastAsia" w:eastAsiaTheme="minorEastAsia"/>
          <w:bCs/>
          <w:color w:val="000000" w:themeColor="text1"/>
          <w:sz w:val="24"/>
          <w:highlight w:val="none"/>
          <w14:textFill>
            <w14:solidFill>
              <w14:schemeClr w14:val="tx1"/>
            </w14:solidFill>
          </w14:textFill>
        </w:rPr>
        <w:t>评标委员会成员不得参加开标活动。</w:t>
      </w:r>
      <w:r>
        <w:rPr>
          <w:rFonts w:hint="eastAsia" w:asciiTheme="minorEastAsia" w:hAnsiTheme="minorEastAsia" w:eastAsiaTheme="minorEastAsia"/>
          <w:color w:val="000000" w:themeColor="text1"/>
          <w:kern w:val="0"/>
          <w:sz w:val="24"/>
          <w:highlight w:val="none"/>
          <w14:textFill>
            <w14:solidFill>
              <w14:schemeClr w14:val="tx1"/>
            </w14:solidFill>
          </w14:textFill>
        </w:rPr>
        <w:t>（本次招标</w:t>
      </w:r>
      <w:r>
        <w:rPr>
          <w:rFonts w:cs="Arial" w:asciiTheme="minorEastAsia" w:hAnsiTheme="minorEastAsia" w:eastAsiaTheme="minorEastAsia"/>
          <w:color w:val="000000" w:themeColor="text1"/>
          <w:sz w:val="24"/>
          <w:highlight w:val="none"/>
          <w14:textFill>
            <w14:solidFill>
              <w14:schemeClr w14:val="tx1"/>
            </w14:solidFill>
          </w14:textFill>
        </w:rPr>
        <w:t>采用先评审商务资格</w:t>
      </w:r>
      <w:r>
        <w:rPr>
          <w:rFonts w:hint="eastAsia" w:cs="Arial" w:asciiTheme="minorEastAsia" w:hAnsiTheme="minorEastAsia" w:eastAsiaTheme="minorEastAsia"/>
          <w:color w:val="000000" w:themeColor="text1"/>
          <w:sz w:val="24"/>
          <w:highlight w:val="none"/>
          <w14:textFill>
            <w14:solidFill>
              <w14:schemeClr w14:val="tx1"/>
            </w14:solidFill>
          </w14:textFill>
        </w:rPr>
        <w:t>和</w:t>
      </w:r>
      <w:r>
        <w:rPr>
          <w:rFonts w:cs="Arial" w:asciiTheme="minorEastAsia" w:hAnsiTheme="minorEastAsia" w:eastAsiaTheme="minorEastAsia"/>
          <w:color w:val="000000" w:themeColor="text1"/>
          <w:sz w:val="24"/>
          <w:highlight w:val="none"/>
          <w14:textFill>
            <w14:solidFill>
              <w14:schemeClr w14:val="tx1"/>
            </w14:solidFill>
          </w14:textFill>
        </w:rPr>
        <w:t>技术服务方案</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cs="Arial" w:asciiTheme="minorEastAsia" w:hAnsiTheme="minorEastAsia" w:eastAsiaTheme="minorEastAsia"/>
          <w:color w:val="000000" w:themeColor="text1"/>
          <w:sz w:val="24"/>
          <w:highlight w:val="none"/>
          <w14:textFill>
            <w14:solidFill>
              <w14:schemeClr w14:val="tx1"/>
            </w14:solidFill>
          </w14:textFill>
        </w:rPr>
        <w:t>后公开并评审商务报价的办法</w:t>
      </w:r>
      <w:r>
        <w:rPr>
          <w:rFonts w:hint="eastAsia" w:asciiTheme="minorEastAsia" w:hAnsiTheme="minorEastAsia" w:eastAsiaTheme="minorEastAsia"/>
          <w:color w:val="000000" w:themeColor="text1"/>
          <w:kern w:val="0"/>
          <w:sz w:val="24"/>
          <w:highlight w:val="none"/>
          <w14:textFill>
            <w14:solidFill>
              <w14:schemeClr w14:val="tx1"/>
            </w14:solidFill>
          </w14:textFill>
        </w:rPr>
        <w:t>实施）。</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 开</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程序：</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1、开标会由招标项目负责人主持，主持人宣布开标会议开始；</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 xml:space="preserve">2、主持人介绍参加开标会的人员名单； </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3、主持人宣布评标期间的有关事项，告知应当回避的情形,提请有关人员回避；</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4、投标人或其当场推荐的代表，检查投标文件密封的完整性；</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5、按投标文件递交的先后顺序当场拆封</w:t>
      </w:r>
      <w:r>
        <w:rPr>
          <w:rFonts w:hint="eastAsia" w:asciiTheme="minorEastAsia" w:hAnsiTheme="minorEastAsia" w:eastAsiaTheme="minorEastAsia"/>
          <w:color w:val="000000" w:themeColor="text1"/>
          <w:kern w:val="0"/>
          <w:sz w:val="24"/>
          <w:highlight w:val="none"/>
          <w14:textFill>
            <w14:solidFill>
              <w14:schemeClr w14:val="tx1"/>
            </w14:solidFill>
          </w14:textFill>
        </w:rPr>
        <w:t>资格证明文件、</w:t>
      </w:r>
      <w:r>
        <w:rPr>
          <w:rFonts w:hint="eastAsia" w:hAnsi="宋体"/>
          <w:bCs/>
          <w:color w:val="000000" w:themeColor="text1"/>
          <w:sz w:val="24"/>
          <w:highlight w:val="none"/>
          <w:lang w:val="zh-CN"/>
          <w14:textFill>
            <w14:solidFill>
              <w14:schemeClr w14:val="tx1"/>
            </w14:solidFill>
          </w14:textFill>
        </w:rPr>
        <w:t>商务与技术文件</w:t>
      </w:r>
      <w:r>
        <w:rPr>
          <w:rFonts w:hint="eastAsia" w:asciiTheme="minorEastAsia" w:hAnsiTheme="minorEastAsia" w:eastAsiaTheme="minorEastAsia"/>
          <w:color w:val="000000" w:themeColor="text1"/>
          <w:sz w:val="24"/>
          <w:highlight w:val="none"/>
          <w14:textFill>
            <w14:solidFill>
              <w14:schemeClr w14:val="tx1"/>
            </w14:solidFill>
          </w14:textFill>
        </w:rPr>
        <w:t>后，进入资格审查及符合性审查环节；</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6、完成</w:t>
      </w:r>
      <w:r>
        <w:rPr>
          <w:rFonts w:ascii="Arial" w:hAnsi="Arial" w:cs="Arial"/>
          <w:color w:val="000000" w:themeColor="text1"/>
          <w:sz w:val="24"/>
          <w:highlight w:val="none"/>
          <w14:textFill>
            <w14:solidFill>
              <w14:schemeClr w14:val="tx1"/>
            </w14:solidFill>
          </w14:textFill>
        </w:rPr>
        <w:t>综合比较与评价</w:t>
      </w:r>
      <w:r>
        <w:rPr>
          <w:rFonts w:hint="eastAsia" w:ascii="Arial" w:hAnsi="Arial" w:cs="Arial"/>
          <w:color w:val="000000" w:themeColor="text1"/>
          <w:sz w:val="24"/>
          <w:highlight w:val="none"/>
          <w14:textFill>
            <w14:solidFill>
              <w14:schemeClr w14:val="tx1"/>
            </w14:solidFill>
          </w14:textFill>
        </w:rPr>
        <w:t>后，</w:t>
      </w:r>
      <w:r>
        <w:rPr>
          <w:rFonts w:hint="eastAsia" w:asciiTheme="minorEastAsia" w:hAnsiTheme="minorEastAsia" w:eastAsiaTheme="minorEastAsia"/>
          <w:color w:val="000000" w:themeColor="text1"/>
          <w:sz w:val="24"/>
          <w:highlight w:val="none"/>
          <w14:textFill>
            <w14:solidFill>
              <w14:schemeClr w14:val="tx1"/>
            </w14:solidFill>
          </w14:textFill>
        </w:rPr>
        <w:t>由主持人按投标文件的先后顺序当场拆封报价文件，并现场宣读《开标一览表》中的投标报价，以及采购组织机构认为有必要宣读的其他内容；</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7、采购组织机构做开标记录, 投标人代表对开标记录进行当场校核及勘误，并签字确认。同时由记录人、监督人当场签字确认。投标人代表未到场签字确认或者拒绝签字确认的，不影响评标过程；</w:t>
      </w:r>
    </w:p>
    <w:p>
      <w:pPr>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8、在完成评标后，宣布评标结果，开标会议结束。</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五、评标</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（一）组建评标委员会</w:t>
      </w:r>
    </w:p>
    <w:p>
      <w:pPr>
        <w:pStyle w:val="18"/>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本项目评标委员会由政府采购评审专家</w:t>
      </w:r>
      <w:r>
        <w:rPr>
          <w:rFonts w:hint="eastAsia" w:asciiTheme="minorEastAsia" w:hAnsiTheme="minorEastAsia" w:eastAsiaTheme="minorEastAsia"/>
          <w:color w:val="000000" w:themeColor="text1"/>
          <w:sz w:val="24"/>
          <w:highlight w:val="none"/>
          <w14:textFill>
            <w14:solidFill>
              <w14:schemeClr w14:val="tx1"/>
            </w14:solidFill>
          </w14:textFill>
        </w:rPr>
        <w:t>和采购单位评审代表</w:t>
      </w:r>
      <w:r>
        <w:rPr>
          <w:rFonts w:asciiTheme="minorEastAsia" w:hAnsiTheme="minorEastAsia" w:eastAsiaTheme="minorEastAsia"/>
          <w:color w:val="000000" w:themeColor="text1"/>
          <w:sz w:val="24"/>
          <w:highlight w:val="none"/>
          <w14:textFill>
            <w14:solidFill>
              <w14:schemeClr w14:val="tx1"/>
            </w14:solidFill>
          </w14:textFill>
        </w:rPr>
        <w:t>组成。</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二</w:t>
      </w:r>
      <w:r>
        <w:rPr>
          <w:color w:val="000000" w:themeColor="text1"/>
          <w:highlight w:val="none"/>
          <w14:textFill>
            <w14:solidFill>
              <w14:schemeClr w14:val="tx1"/>
            </w14:solidFill>
          </w14:textFill>
        </w:rPr>
        <w:t>）评标程序</w:t>
      </w:r>
    </w:p>
    <w:p>
      <w:pPr>
        <w:snapToGrid w:val="0"/>
        <w:spacing w:line="360" w:lineRule="auto"/>
        <w:ind w:firstLine="472" w:firstLineChars="196"/>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1、资格</w:t>
      </w:r>
      <w:r>
        <w:rPr>
          <w:rFonts w:asciiTheme="minorEastAsia" w:hAnsiTheme="minorEastAsia" w:eastAsiaTheme="minorEastAsia"/>
          <w:b/>
          <w:bCs/>
          <w:color w:val="000000" w:themeColor="text1"/>
          <w:sz w:val="24"/>
          <w:highlight w:val="none"/>
          <w14:textFill>
            <w14:solidFill>
              <w14:schemeClr w14:val="tx1"/>
            </w14:solidFill>
          </w14:textFill>
        </w:rPr>
        <w:t>审查</w:t>
      </w:r>
    </w:p>
    <w:p>
      <w:pPr>
        <w:pStyle w:val="23"/>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公开招标采购项目开标结束后，采购人或者采购组织机构应当依法对投标人的资格进行审查，对审查发现无效的进行必要的询标，结束后公布无效投标的投标人名单、投标无效的原因。</w:t>
      </w:r>
    </w:p>
    <w:p>
      <w:pPr>
        <w:pStyle w:val="23"/>
        <w:spacing w:before="0" w:beforeAutospacing="0" w:after="0" w:afterAutospacing="0" w:line="360" w:lineRule="auto"/>
        <w:ind w:firstLine="472" w:firstLineChars="196"/>
        <w:jc w:val="both"/>
        <w:rPr>
          <w:rFonts w:hint="default"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2、符合性审查</w:t>
      </w:r>
    </w:p>
    <w:p>
      <w:pPr>
        <w:pStyle w:val="23"/>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23"/>
        <w:spacing w:before="0" w:beforeAutospacing="0" w:after="0" w:afterAutospacing="0" w:line="360" w:lineRule="auto"/>
        <w:ind w:firstLine="482"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3、</w:t>
      </w:r>
      <w:r>
        <w:rPr>
          <w:rFonts w:hint="default" w:ascii="Arial" w:hAnsi="Arial" w:cs="Arial"/>
          <w:b/>
          <w:bCs/>
          <w:color w:val="000000" w:themeColor="text1"/>
          <w:highlight w:val="none"/>
          <w14:textFill>
            <w14:solidFill>
              <w14:schemeClr w14:val="tx1"/>
            </w14:solidFill>
          </w14:textFill>
        </w:rPr>
        <w:t>综合比较与评价</w:t>
      </w:r>
    </w:p>
    <w:p>
      <w:pPr>
        <w:pStyle w:val="23"/>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（1）对于投标文件中含义不明确、同类问题表述不一致或者有明显文字和计算错误的内容，评标委员会应当以书面形式要求投标人作出必要的澄清、说明或者补正。</w:t>
      </w:r>
    </w:p>
    <w:p>
      <w:pPr>
        <w:pStyle w:val="23"/>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color w:val="000000" w:themeColor="text1"/>
          <w:sz w:val="24"/>
          <w:highlight w:val="none"/>
          <w14:textFill>
            <w14:solidFill>
              <w14:schemeClr w14:val="tx1"/>
            </w14:solidFill>
          </w14:textFill>
        </w:rPr>
      </w:pPr>
      <w:r>
        <w:rPr>
          <w:rFonts w:hint="eastAsia" w:ascii="Arial" w:hAnsi="Arial" w:cs="Arial"/>
          <w:b/>
          <w:bCs/>
          <w:color w:val="000000" w:themeColor="text1"/>
          <w:sz w:val="24"/>
          <w:highlight w:val="none"/>
          <w14:textFill>
            <w14:solidFill>
              <w14:schemeClr w14:val="tx1"/>
            </w14:solidFill>
          </w14:textFill>
        </w:rPr>
        <w:t>4、得分确认及评审报告编写</w:t>
      </w:r>
    </w:p>
    <w:p>
      <w:pPr>
        <w:pStyle w:val="18"/>
        <w:snapToGrid w:val="0"/>
        <w:spacing w:line="360" w:lineRule="auto"/>
        <w:ind w:firstLine="420" w:firstLineChars="17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评标委员会对报价文件进行复核，对于系统计算出的价格分及总得分进行确认；</w:t>
      </w:r>
    </w:p>
    <w:p>
      <w:pPr>
        <w:pStyle w:val="23"/>
        <w:spacing w:before="0" w:beforeAutospacing="0" w:after="0" w:afterAutospacing="0" w:line="360" w:lineRule="auto"/>
        <w:ind w:firstLine="420" w:firstLineChars="175"/>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评标委员会</w:t>
      </w:r>
      <w:r>
        <w:rPr>
          <w:rFonts w:asciiTheme="minorEastAsia" w:hAnsiTheme="minorEastAsia" w:eastAsiaTheme="minorEastAsia"/>
          <w:color w:val="000000" w:themeColor="text1"/>
          <w:sz w:val="24"/>
          <w:highlight w:val="none"/>
          <w14:textFill>
            <w14:solidFill>
              <w14:schemeClr w14:val="tx1"/>
            </w14:solidFill>
          </w14:textFill>
        </w:rPr>
        <w:t>按评标原则</w:t>
      </w:r>
      <w:r>
        <w:rPr>
          <w:rFonts w:hint="eastAsia" w:asciiTheme="minorEastAsia" w:hAnsiTheme="minorEastAsia" w:eastAsiaTheme="minorEastAsia"/>
          <w:color w:val="000000" w:themeColor="text1"/>
          <w:sz w:val="24"/>
          <w:highlight w:val="none"/>
          <w14:textFill>
            <w14:solidFill>
              <w14:schemeClr w14:val="tx1"/>
            </w14:solidFill>
          </w14:textFill>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5、评价</w:t>
      </w:r>
    </w:p>
    <w:p>
      <w:pPr>
        <w:snapToGrid w:val="0"/>
        <w:spacing w:line="360" w:lineRule="auto"/>
        <w:ind w:firstLine="480" w:firstLineChars="20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采购组织机构对评标委员会评审专家进行评价。</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（三）澄清问题的形式</w:t>
      </w:r>
    </w:p>
    <w:p>
      <w:pPr>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投标人的澄清、说明或者补正应当采用书面形式，并加盖公章，或者由法定代理人或其授权的代表签字，并不得超出投标文件的范围或者改变投标文件的实质性内容。</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（四）错误修正</w:t>
      </w:r>
    </w:p>
    <w:p>
      <w:pPr>
        <w:pStyle w:val="23"/>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投标文件报价出现前后不一致的，除招标文件另有规定外，按照下列规定修正：</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1、投标文件中开标一览表（报价表）内容与投标文件中相应内容不一致的，以开标一览表（报价表）为准；</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2、大写金额和小写金额不一致的，以大写金额为准；</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3、单价金额小数点或者百分比有明显错位的，以开标一览表的总价为准，并修改单价；</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4、总价金额与按单价汇总金额不一致的，以单价金额计算结果为准。</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（五）投标人存在下列情况之一的，投标无效</w:t>
      </w:r>
    </w:p>
    <w:p>
      <w:pPr>
        <w:adjustRightInd w:val="0"/>
        <w:snapToGrid w:val="0"/>
        <w:spacing w:line="360" w:lineRule="auto"/>
        <w:ind w:left="4" w:firstLine="470" w:firstLineChars="196"/>
        <w:jc w:val="left"/>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1、资格证明文件或商务与技术文件跟报价文件出现混装或在资格证明文件或商务与技术文件中出现投标报价的，或者报价文件中报价的货物跟商务与技术文件中的投标货物出现重大偏差的；</w:t>
      </w:r>
    </w:p>
    <w:p>
      <w:pPr>
        <w:pStyle w:val="23"/>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2、不具备招标文件中规定的资格要求的。</w:t>
      </w:r>
      <w:r>
        <w:rPr>
          <w:rFonts w:hint="default" w:asciiTheme="minorEastAsia" w:hAnsiTheme="minorEastAsia" w:eastAsiaTheme="minorEastAsia"/>
          <w:color w:val="000000" w:themeColor="text1"/>
          <w:highlight w:val="none"/>
          <w14:textFill>
            <w14:solidFill>
              <w14:schemeClr w14:val="tx1"/>
            </w14:solidFill>
          </w14:textFill>
        </w:rPr>
        <w:tab/>
      </w:r>
    </w:p>
    <w:p>
      <w:pPr>
        <w:pStyle w:val="23"/>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、投标代表人未能出具身份证明或与法定代表人授权委托人身份不符的；</w:t>
      </w:r>
    </w:p>
    <w:p>
      <w:pPr>
        <w:pStyle w:val="23"/>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23"/>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xml:space="preserve">6、报价超过招标文件中规定的预算金额/最高限价。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7、投标参数未如实填写，完全复制粘贴招标参数的。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8、投标文件提供虚假材料的。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9</w:t>
      </w:r>
      <w:r>
        <w:rPr>
          <w:rFonts w:asciiTheme="minorEastAsia" w:hAnsiTheme="minorEastAsia" w:eastAsiaTheme="minorEastAsia"/>
          <w:color w:val="000000" w:themeColor="text1"/>
          <w:kern w:val="0"/>
          <w:sz w:val="24"/>
          <w:highlight w:val="none"/>
          <w14:textFill>
            <w14:solidFill>
              <w14:schemeClr w14:val="tx1"/>
            </w14:solidFill>
          </w14:textFill>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000000" w:themeColor="text1"/>
          <w:kern w:val="0"/>
          <w:sz w:val="24"/>
          <w:highlight w:val="none"/>
          <w14:textFill>
            <w14:solidFill>
              <w14:schemeClr w14:val="tx1"/>
            </w14:solidFill>
          </w14:textFill>
        </w:rPr>
        <w:t>，并移送采购监管部门</w:t>
      </w:r>
      <w:r>
        <w:rPr>
          <w:rFonts w:asciiTheme="minorEastAsia" w:hAnsiTheme="minorEastAsia" w:eastAsiaTheme="minorEastAsia"/>
          <w:color w:val="000000" w:themeColor="text1"/>
          <w:kern w:val="0"/>
          <w:sz w:val="24"/>
          <w:highlight w:val="none"/>
          <w14:textFill>
            <w14:solidFill>
              <w14:schemeClr w14:val="tx1"/>
            </w14:solidFill>
          </w14:textFill>
        </w:rPr>
        <w:t>：</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（1）不同投标人的投标文件由同一单位或者个人编制；</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（2）不同投标人委托同一单位或者个人办理投标事宜；</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（3）不同投标人的投标文件载明的项目管理成员或者联系人员为同一人；</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（4）不同投标人的投标文件异常一致或者投标报价呈规律性差异；</w:t>
      </w:r>
    </w:p>
    <w:p>
      <w:pPr>
        <w:pStyle w:val="23"/>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（5）不同投标人的投标文件相互混装；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中打“</w:t>
      </w:r>
      <w:r>
        <w:rPr>
          <w:rFonts w:hint="eastAsia" w:ascii="宋体" w:hAnsi="宋体" w:cs="宋体"/>
          <w:color w:val="000000" w:themeColor="text1"/>
          <w:kern w:val="0"/>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”内容及被拒绝的条款）。</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（六）有下列情况之一的，本次招标作为废标处理</w:t>
      </w:r>
    </w:p>
    <w:p>
      <w:pPr>
        <w:pStyle w:val="23"/>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1、出现影响采购公正的违法、违规行为的；</w:t>
      </w:r>
    </w:p>
    <w:p>
      <w:pPr>
        <w:pStyle w:val="23"/>
        <w:spacing w:before="0" w:beforeAutospacing="0" w:after="0" w:afterAutospacing="0" w:line="360" w:lineRule="auto"/>
        <w:ind w:firstLine="600" w:firstLineChars="250"/>
        <w:jc w:val="both"/>
        <w:rPr>
          <w:rFonts w:hint="default"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xml:space="preserve">2、评标委员会发现招标文件存在歧义、重大缺陷导致评标工作无法进行，或者招标文件内容违反国家有关强制性规定的； </w:t>
      </w:r>
    </w:p>
    <w:p>
      <w:pPr>
        <w:pStyle w:val="23"/>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3、因重大变故，采购任务取消的；</w:t>
      </w:r>
    </w:p>
    <w:p>
      <w:pPr>
        <w:pStyle w:val="23"/>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4、法律、法规和招标文件规定的其他导致评标结果无效的。</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七</w:t>
      </w:r>
      <w:r>
        <w:rPr>
          <w:color w:val="000000" w:themeColor="text1"/>
          <w:highlight w:val="none"/>
          <w14:textFill>
            <w14:solidFill>
              <w14:schemeClr w14:val="tx1"/>
            </w14:solidFill>
          </w14:textFill>
        </w:rPr>
        <w:t>）评标原则和评标办法</w:t>
      </w:r>
    </w:p>
    <w:p>
      <w:pPr>
        <w:pStyle w:val="18"/>
        <w:snapToGrid w:val="0"/>
        <w:spacing w:line="360" w:lineRule="auto"/>
        <w:ind w:firstLine="600" w:firstLineChars="2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8"/>
        <w:snapToGrid w:val="0"/>
        <w:spacing w:line="360" w:lineRule="auto"/>
        <w:ind w:firstLine="600" w:firstLineChars="2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评标办法。具体评标内容及评分标准等详见《第</w:t>
      </w:r>
      <w:r>
        <w:rPr>
          <w:rFonts w:hint="eastAsia" w:asciiTheme="minorEastAsia" w:hAnsiTheme="minorEastAsia" w:eastAsiaTheme="minorEastAsia"/>
          <w:color w:val="000000" w:themeColor="text1"/>
          <w:sz w:val="24"/>
          <w:highlight w:val="none"/>
          <w14:textFill>
            <w14:solidFill>
              <w14:schemeClr w14:val="tx1"/>
            </w14:solidFill>
          </w14:textFill>
        </w:rPr>
        <w:t>三章</w:t>
      </w:r>
      <w:r>
        <w:rPr>
          <w:rFonts w:asciiTheme="minorEastAsia" w:hAnsiTheme="minorEastAsia" w:eastAsiaTheme="minorEastAsia"/>
          <w:color w:val="000000" w:themeColor="text1"/>
          <w:sz w:val="24"/>
          <w:highlight w:val="none"/>
          <w14:textFill>
            <w14:solidFill>
              <w14:schemeClr w14:val="tx1"/>
            </w14:solidFill>
          </w14:textFill>
        </w:rPr>
        <w:t>：评标</w:t>
      </w:r>
      <w:r>
        <w:rPr>
          <w:rFonts w:hint="eastAsia" w:asciiTheme="minorEastAsia" w:hAnsiTheme="minorEastAsia" w:eastAsiaTheme="minorEastAsia"/>
          <w:color w:val="000000" w:themeColor="text1"/>
          <w:sz w:val="24"/>
          <w:highlight w:val="none"/>
          <w14:textFill>
            <w14:solidFill>
              <w14:schemeClr w14:val="tx1"/>
            </w14:solidFill>
          </w14:textFill>
        </w:rPr>
        <w:t>方</w:t>
      </w:r>
      <w:r>
        <w:rPr>
          <w:rFonts w:asciiTheme="minorEastAsia" w:hAnsiTheme="minorEastAsia" w:eastAsiaTheme="minorEastAsia"/>
          <w:color w:val="000000" w:themeColor="text1"/>
          <w:sz w:val="24"/>
          <w:highlight w:val="none"/>
          <w14:textFill>
            <w14:solidFill>
              <w14:schemeClr w14:val="tx1"/>
            </w14:solidFill>
          </w14:textFill>
        </w:rPr>
        <w:t>法及评分标准》。</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八</w:t>
      </w:r>
      <w:r>
        <w:rPr>
          <w:color w:val="000000" w:themeColor="text1"/>
          <w:highlight w:val="none"/>
          <w14:textFill>
            <w14:solidFill>
              <w14:schemeClr w14:val="tx1"/>
            </w14:solidFill>
          </w14:textFill>
        </w:rPr>
        <w:t>）评标过程的监控</w:t>
      </w:r>
    </w:p>
    <w:p>
      <w:pPr>
        <w:pStyle w:val="23"/>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本项目评标过程实行全程录音、录像监控，政府采购监管部门视情进行现场监督，投标人在评标过程中所进行的试图影响评标结果的不公正活动，可能导致其投标被拒绝。</w:t>
      </w:r>
    </w:p>
    <w:p>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六、定标</w:t>
      </w:r>
    </w:p>
    <w:p>
      <w:pPr>
        <w:pStyle w:val="23"/>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确定中标供应商。</w:t>
      </w:r>
      <w:r>
        <w:rPr>
          <w:rFonts w:asciiTheme="minorEastAsia" w:hAnsiTheme="minorEastAsia" w:eastAsiaTheme="minorEastAsia"/>
          <w:color w:val="000000" w:themeColor="text1"/>
          <w:highlight w:val="none"/>
          <w14:textFill>
            <w14:solidFill>
              <w14:schemeClr w14:val="tx1"/>
            </w14:solidFill>
          </w14:textFill>
        </w:rPr>
        <w:t>评标委员会根据采购单位的</w:t>
      </w:r>
      <w:r>
        <w:rPr>
          <w:color w:val="000000" w:themeColor="text1"/>
          <w:highlight w:val="none"/>
          <w14:textFill>
            <w14:solidFill>
              <w14:schemeClr w14:val="tx1"/>
            </w14:solidFill>
          </w14:textFill>
        </w:rPr>
        <w:t>《授权意见确认书》</w:t>
      </w:r>
      <w:r>
        <w:rPr>
          <w:rFonts w:asciiTheme="minorEastAsia" w:hAnsiTheme="minorEastAsia" w:eastAsiaTheme="minorEastAsia"/>
          <w:color w:val="000000" w:themeColor="text1"/>
          <w:highlight w:val="none"/>
          <w14:textFill>
            <w14:solidFill>
              <w14:schemeClr w14:val="tx1"/>
            </w14:solidFill>
          </w14:textFill>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000000" w:themeColor="text1"/>
          <w:kern w:val="0"/>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宋体" w:hAnsi="宋体"/>
          <w:color w:val="000000" w:themeColor="text1"/>
          <w:kern w:val="0"/>
          <w:sz w:val="24"/>
          <w:highlight w:val="none"/>
          <w14:textFill>
            <w14:solidFill>
              <w14:schemeClr w14:val="tx1"/>
            </w14:solidFill>
          </w14:textFill>
        </w:rPr>
        <w:t>发布</w:t>
      </w:r>
      <w:r>
        <w:rPr>
          <w:color w:val="000000" w:themeColor="text1"/>
          <w:sz w:val="24"/>
          <w:highlight w:val="none"/>
          <w14:textFill>
            <w14:solidFill>
              <w14:schemeClr w14:val="tx1"/>
            </w14:solidFill>
          </w14:textFill>
        </w:rPr>
        <w:t>中标</w:t>
      </w:r>
      <w:r>
        <w:rPr>
          <w:rFonts w:hint="eastAsia" w:ascii="宋体" w:hAnsi="宋体"/>
          <w:color w:val="000000" w:themeColor="text1"/>
          <w:kern w:val="0"/>
          <w:sz w:val="24"/>
          <w:highlight w:val="none"/>
          <w14:textFill>
            <w14:solidFill>
              <w14:schemeClr w14:val="tx1"/>
            </w14:solidFill>
          </w14:textFill>
        </w:rPr>
        <w:t>结果公告。采购组织机构应当自中标人</w:t>
      </w:r>
      <w:r>
        <w:rPr>
          <w:rFonts w:ascii="宋体" w:hAnsi="宋体"/>
          <w:color w:val="000000" w:themeColor="text1"/>
          <w:kern w:val="0"/>
          <w:sz w:val="24"/>
          <w:highlight w:val="none"/>
          <w14:textFill>
            <w14:solidFill>
              <w14:schemeClr w14:val="tx1"/>
            </w14:solidFill>
          </w14:textFill>
        </w:rPr>
        <w:t>确定</w:t>
      </w:r>
      <w:r>
        <w:rPr>
          <w:rFonts w:hint="eastAsia" w:ascii="宋体" w:hAnsi="宋体"/>
          <w:color w:val="000000" w:themeColor="text1"/>
          <w:kern w:val="0"/>
          <w:sz w:val="24"/>
          <w:highlight w:val="none"/>
          <w14:textFill>
            <w14:solidFill>
              <w14:schemeClr w14:val="tx1"/>
            </w14:solidFill>
          </w14:textFill>
        </w:rPr>
        <w:t>之日起</w:t>
      </w:r>
      <w:r>
        <w:rPr>
          <w:rFonts w:ascii="宋体" w:hAnsi="宋体"/>
          <w:color w:val="000000" w:themeColor="text1"/>
          <w:kern w:val="0"/>
          <w:sz w:val="24"/>
          <w:highlight w:val="none"/>
          <w14:textFill>
            <w14:solidFill>
              <w14:schemeClr w14:val="tx1"/>
            </w14:solidFill>
          </w14:textFill>
        </w:rPr>
        <w:t>2个工作日内</w:t>
      </w:r>
      <w:r>
        <w:rPr>
          <w:rFonts w:hint="eastAsia" w:ascii="宋体" w:hAnsi="宋体"/>
          <w:color w:val="000000" w:themeColor="text1"/>
          <w:kern w:val="0"/>
          <w:sz w:val="24"/>
          <w:highlight w:val="none"/>
          <w14:textFill>
            <w14:solidFill>
              <w14:schemeClr w14:val="tx1"/>
            </w14:solidFill>
          </w14:textFill>
        </w:rPr>
        <w:t>，</w:t>
      </w:r>
      <w:r>
        <w:rPr>
          <w:rFonts w:ascii="宋体" w:hAnsi="宋体"/>
          <w:color w:val="000000" w:themeColor="text1"/>
          <w:kern w:val="0"/>
          <w:sz w:val="24"/>
          <w:highlight w:val="none"/>
          <w14:textFill>
            <w14:solidFill>
              <w14:schemeClr w14:val="tx1"/>
            </w14:solidFill>
          </w14:textFill>
        </w:rPr>
        <w:t>在省级以上财政部门指定的媒体及相关网站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kern w:val="0"/>
          <w:sz w:val="24"/>
          <w:highlight w:val="none"/>
          <w14:textFill>
            <w14:solidFill>
              <w14:schemeClr w14:val="tx1"/>
            </w14:solidFill>
          </w14:textFill>
        </w:rPr>
        <w:t>中标结果，招标文件应当随中标结果同时公告。</w:t>
      </w:r>
    </w:p>
    <w:p>
      <w:pPr>
        <w:spacing w:line="360" w:lineRule="auto"/>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3、发出中标通知书。采购组织机构在发布中标结果的同时，向中标人发出中标通知书。</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合同签订及公告</w:t>
      </w:r>
    </w:p>
    <w:p>
      <w:pPr>
        <w:pStyle w:val="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（一）签订合同</w:t>
      </w:r>
    </w:p>
    <w:p>
      <w:pPr>
        <w:pStyle w:val="23"/>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1、采购人应当自中标通知书发出之日起10个工作日内，按照招标文件和中标人投标文件的规定，与中标人签订书面合同。所签订的合同不得对招标文件确定的事项和中标人投标文件作实质性修改。</w:t>
      </w:r>
    </w:p>
    <w:p>
      <w:pPr>
        <w:pStyle w:val="23"/>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2、采购人不得向中标人提出任何不合理的要求作为签订合同的条件。</w:t>
      </w:r>
    </w:p>
    <w:p>
      <w:pPr>
        <w:pStyle w:val="23"/>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3、中标供应商无故拖延、拒签合同的,取消中标资格。</w:t>
      </w:r>
    </w:p>
    <w:p>
      <w:pPr>
        <w:pStyle w:val="23"/>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23"/>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5、询问或者质疑事项可能影响中标结果的，采购人应当暂停签订合同，已经签订合同的，应当中止履行合同（中标结果的质疑期为中标结果公告期限届满之日起七个工作日）。</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（二）合同公告及备案</w:t>
      </w:r>
    </w:p>
    <w:p>
      <w:pPr>
        <w:pStyle w:val="17"/>
        <w:spacing w:line="360" w:lineRule="auto"/>
        <w:ind w:left="0" w:leftChars="0"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1、采购人应当自政府采购合同签订之日起2个工作日内，</w:t>
      </w:r>
      <w:r>
        <w:rPr>
          <w:rFonts w:ascii="宋体" w:hAnsi="宋体"/>
          <w:color w:val="000000" w:themeColor="text1"/>
          <w:kern w:val="0"/>
          <w:sz w:val="24"/>
          <w:highlight w:val="none"/>
          <w14:textFill>
            <w14:solidFill>
              <w14:schemeClr w14:val="tx1"/>
            </w14:solidFill>
          </w14:textFill>
        </w:rPr>
        <w:t>在省级以上财政部门指定的</w:t>
      </w:r>
      <w:r>
        <w:rPr>
          <w:rFonts w:hint="eastAsia" w:ascii="宋体" w:hAnsi="宋体"/>
          <w:color w:val="000000" w:themeColor="text1"/>
          <w:kern w:val="0"/>
          <w:sz w:val="24"/>
          <w:highlight w:val="none"/>
          <w14:textFill>
            <w14:solidFill>
              <w14:schemeClr w14:val="tx1"/>
            </w14:solidFill>
          </w14:textFill>
        </w:rPr>
        <w:t>政府采购信息发布</w:t>
      </w:r>
      <w:r>
        <w:rPr>
          <w:rFonts w:ascii="宋体" w:hAnsi="宋体"/>
          <w:color w:val="000000" w:themeColor="text1"/>
          <w:kern w:val="0"/>
          <w:sz w:val="24"/>
          <w:highlight w:val="none"/>
          <w14:textFill>
            <w14:solidFill>
              <w14:schemeClr w14:val="tx1"/>
            </w14:solidFill>
          </w14:textFill>
        </w:rPr>
        <w:t>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sz w:val="24"/>
          <w:highlight w:val="none"/>
          <w14:textFill>
            <w14:solidFill>
              <w14:schemeClr w14:val="tx1"/>
            </w14:solidFill>
          </w14:textFill>
        </w:rPr>
        <w:t>。</w:t>
      </w:r>
    </w:p>
    <w:p>
      <w:pPr>
        <w:pStyle w:val="17"/>
        <w:spacing w:line="360" w:lineRule="auto"/>
        <w:ind w:left="0" w:leftChars="0"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2、采购人应当自政府采购合同签订之日起7个工作日内，将政府采购合同副本报同级人民政府财政部门备案以及采购组织机构存档。</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八、采购代理费</w:t>
      </w:r>
    </w:p>
    <w:p>
      <w:pPr>
        <w:autoSpaceDE w:val="0"/>
        <w:autoSpaceDN w:val="0"/>
        <w:adjustRightInd w:val="0"/>
        <w:spacing w:line="450" w:lineRule="atLeast"/>
        <w:ind w:firstLine="480" w:firstLineChars="200"/>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供应商在领取中标通知书同时向招标代理机构支付采购招标代理费（根据国家计委印发的《采购代理服务收费管理暂行办法》(计价格【2002】1980号文)货物类收费），招标代理费按标准计取，包含在投标总价中。</w:t>
      </w:r>
    </w:p>
    <w:p>
      <w:pPr>
        <w:autoSpaceDE w:val="0"/>
        <w:autoSpaceDN w:val="0"/>
        <w:adjustRightInd w:val="0"/>
        <w:spacing w:line="450" w:lineRule="atLeast"/>
        <w:ind w:firstLine="480" w:firstLineChars="200"/>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招标代理服务费汇入以下账户：</w:t>
      </w:r>
    </w:p>
    <w:p>
      <w:pPr>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开户银行：工行台州玉环玉城支行</w:t>
      </w:r>
    </w:p>
    <w:p>
      <w:pPr>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开户名称：杭州华旗招标代理有限公司玉环分公司</w:t>
      </w:r>
    </w:p>
    <w:p>
      <w:pPr>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开户帐号：1207281909100001839</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第三章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评标办法及评分标准</w:t>
      </w:r>
    </w:p>
    <w:p>
      <w:pPr>
        <w:autoSpaceDE w:val="0"/>
        <w:autoSpaceDN w:val="0"/>
        <w:spacing w:line="360" w:lineRule="auto"/>
        <w:ind w:firstLine="480" w:firstLineChars="200"/>
        <w:rPr>
          <w:rFonts w:asciiTheme="minorEastAsia" w:hAnsiTheme="minorEastAsia" w:eastAsiaTheme="minorEastAsia"/>
          <w:b/>
          <w:i/>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一、采购组织机构将组织评标委员会，对投标人提供的投标文件进行综合评审。</w:t>
      </w:r>
    </w:p>
    <w:p>
      <w:pPr>
        <w:autoSpaceDE w:val="0"/>
        <w:autoSpaceDN w:val="0"/>
        <w:adjustRightInd w:val="0"/>
        <w:spacing w:line="360" w:lineRule="auto"/>
        <w:ind w:left="19" w:leftChars="9" w:firstLine="460" w:firstLineChars="191"/>
        <w:jc w:val="left"/>
        <w:rPr>
          <w:rFonts w:ascii="宋体" w:hAnsi="宋体"/>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bCs/>
          <w:color w:val="000000" w:themeColor="text1"/>
          <w:kern w:val="0"/>
          <w:sz w:val="24"/>
          <w:highlight w:val="none"/>
          <w14:textFill>
            <w14:solidFill>
              <w14:schemeClr w14:val="tx1"/>
            </w14:solidFill>
          </w14:textFill>
        </w:rPr>
        <w:t>二、本次招标项目的评标方法为综合评分法，</w:t>
      </w:r>
      <w:r>
        <w:rPr>
          <w:rFonts w:hint="eastAsia" w:ascii="宋体" w:hAnsi="宋体"/>
          <w:b/>
          <w:bCs/>
          <w:color w:val="000000" w:themeColor="text1"/>
          <w:kern w:val="0"/>
          <w:sz w:val="24"/>
          <w:highlight w:val="none"/>
          <w14:textFill>
            <w14:solidFill>
              <w14:schemeClr w14:val="tx1"/>
            </w14:solidFill>
          </w14:textFill>
        </w:rPr>
        <w:t>总计100分。</w:t>
      </w:r>
    </w:p>
    <w:p>
      <w:pPr>
        <w:autoSpaceDE w:val="0"/>
        <w:autoSpaceDN w:val="0"/>
        <w:adjustRightInd w:val="0"/>
        <w:spacing w:line="360" w:lineRule="auto"/>
        <w:ind w:left="19" w:leftChars="9" w:firstLine="460" w:firstLineChars="191"/>
        <w:jc w:val="left"/>
        <w:rPr>
          <w:rFonts w:ascii="宋体" w:hAnsi="宋体"/>
          <w:b/>
          <w:bCs/>
          <w:color w:val="000000" w:themeColor="text1"/>
          <w:kern w:val="0"/>
          <w:sz w:val="24"/>
          <w:highlight w:val="none"/>
          <w:lang w:val="zh-CN"/>
          <w14:textFill>
            <w14:solidFill>
              <w14:schemeClr w14:val="tx1"/>
            </w14:solidFill>
          </w14:textFill>
        </w:rPr>
      </w:pPr>
      <w:r>
        <w:rPr>
          <w:rFonts w:hint="eastAsia" w:ascii="宋体" w:hAnsi="宋体"/>
          <w:b/>
          <w:bCs/>
          <w:color w:val="000000" w:themeColor="text1"/>
          <w:kern w:val="0"/>
          <w:sz w:val="24"/>
          <w:highlight w:val="none"/>
          <w14:textFill>
            <w14:solidFill>
              <w14:schemeClr w14:val="tx1"/>
            </w14:solidFill>
          </w14:textFill>
        </w:rPr>
        <w:t>投标报价得分50分，</w:t>
      </w:r>
      <w:r>
        <w:rPr>
          <w:rFonts w:hint="eastAsia" w:ascii="宋体" w:hAnsi="宋体"/>
          <w:b/>
          <w:bCs/>
          <w:color w:val="000000" w:themeColor="text1"/>
          <w:kern w:val="0"/>
          <w:sz w:val="24"/>
          <w:highlight w:val="none"/>
          <w:lang w:val="zh-CN"/>
          <w14:textFill>
            <w14:solidFill>
              <w14:schemeClr w14:val="tx1"/>
            </w14:solidFill>
          </w14:textFill>
        </w:rPr>
        <w:t>商务与技术文件得分</w:t>
      </w:r>
      <w:r>
        <w:rPr>
          <w:rFonts w:hint="eastAsia" w:ascii="宋体" w:hAnsi="宋体"/>
          <w:b/>
          <w:bCs/>
          <w:color w:val="000000" w:themeColor="text1"/>
          <w:kern w:val="0"/>
          <w:sz w:val="24"/>
          <w:highlight w:val="none"/>
          <w14:textFill>
            <w14:solidFill>
              <w14:schemeClr w14:val="tx1"/>
            </w14:solidFill>
          </w14:textFill>
        </w:rPr>
        <w:t xml:space="preserve"> 50分。</w:t>
      </w:r>
    </w:p>
    <w:p>
      <w:pPr>
        <w:autoSpaceDE w:val="0"/>
        <w:autoSpaceDN w:val="0"/>
        <w:adjustRightInd w:val="0"/>
        <w:spacing w:line="360" w:lineRule="auto"/>
        <w:ind w:right="84" w:firstLine="472"/>
        <w:rPr>
          <w:rFonts w:ascii="宋体"/>
          <w:bCs/>
          <w:color w:val="000000" w:themeColor="text1"/>
          <w:sz w:val="24"/>
          <w:highlight w:val="none"/>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（二）各投标人商务与技术文件</w:t>
      </w:r>
      <w:r>
        <w:rPr>
          <w:rFonts w:hint="eastAsia" w:ascii="宋体"/>
          <w:color w:val="000000" w:themeColor="text1"/>
          <w:kern w:val="0"/>
          <w:sz w:val="24"/>
          <w:highlight w:val="none"/>
          <w:lang w:val="zh-CN"/>
          <w14:textFill>
            <w14:solidFill>
              <w14:schemeClr w14:val="tx1"/>
            </w14:solidFill>
          </w14:textFill>
        </w:rPr>
        <w:t>得分按照评标委员会成</w:t>
      </w:r>
      <w:r>
        <w:rPr>
          <w:rFonts w:hint="eastAsia" w:ascii="宋体"/>
          <w:bCs/>
          <w:color w:val="000000" w:themeColor="text1"/>
          <w:sz w:val="24"/>
          <w:highlight w:val="none"/>
          <w:lang w:val="zh-CN"/>
          <w14:textFill>
            <w14:solidFill>
              <w14:schemeClr w14:val="tx1"/>
            </w14:solidFill>
          </w14:textFill>
        </w:rPr>
        <w:t>员的独立评分结果汇总后的算术平均分计算，计算公式为：</w:t>
      </w:r>
    </w:p>
    <w:p>
      <w:pPr>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商务与技术文件得分</w:t>
      </w:r>
      <w:r>
        <w:rPr>
          <w:rFonts w:hint="eastAsia" w:ascii="宋体"/>
          <w:bCs/>
          <w:color w:val="000000" w:themeColor="text1"/>
          <w:sz w:val="24"/>
          <w:highlight w:val="none"/>
          <w:lang w:val="zh-CN"/>
          <w14:textFill>
            <w14:solidFill>
              <w14:schemeClr w14:val="tx1"/>
            </w14:solidFill>
          </w14:textFill>
        </w:rPr>
        <w:t>=评标委员会所有成员评分合计数/评标委员会组成人员数。</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（三）</w:t>
      </w:r>
      <w:r>
        <w:rPr>
          <w:rFonts w:hint="eastAsia" w:ascii="宋体"/>
          <w:color w:val="000000" w:themeColor="text1"/>
          <w:sz w:val="24"/>
          <w:highlight w:val="none"/>
          <w:lang w:val="zh-CN"/>
          <w14:textFill>
            <w14:solidFill>
              <w14:schemeClr w14:val="tx1"/>
            </w14:solidFill>
          </w14:textFill>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投标报价得</w:t>
      </w:r>
      <w:r>
        <w:rPr>
          <w:color w:val="000000" w:themeColor="text1"/>
          <w:sz w:val="24"/>
          <w:highlight w:val="none"/>
          <w:u w:val="single"/>
          <w14:textFill>
            <w14:solidFill>
              <w14:schemeClr w14:val="tx1"/>
            </w14:solidFill>
          </w14:textFill>
        </w:rPr>
        <w:t>分=(评标基准价／投</w:t>
      </w:r>
      <w:r>
        <w:rPr>
          <w:rFonts w:ascii="宋体" w:hAnsi="宋体"/>
          <w:color w:val="000000" w:themeColor="text1"/>
          <w:sz w:val="24"/>
          <w:highlight w:val="none"/>
          <w:u w:val="single"/>
          <w14:textFill>
            <w14:solidFill>
              <w14:schemeClr w14:val="tx1"/>
            </w14:solidFill>
          </w14:textFill>
        </w:rPr>
        <w:t>标报价)×</w:t>
      </w:r>
      <w:r>
        <w:rPr>
          <w:rFonts w:hint="eastAsia" w:ascii="宋体" w:hAnsi="宋体"/>
          <w:color w:val="000000" w:themeColor="text1"/>
          <w:sz w:val="24"/>
          <w:highlight w:val="none"/>
          <w:u w:val="single"/>
          <w14:textFill>
            <w14:solidFill>
              <w14:schemeClr w14:val="tx1"/>
            </w14:solidFill>
          </w14:textFill>
        </w:rPr>
        <w:t>50%</w:t>
      </w:r>
      <w:r>
        <w:rPr>
          <w:rFonts w:ascii="宋体" w:hAnsi="宋体"/>
          <w:color w:val="000000" w:themeColor="text1"/>
          <w:sz w:val="24"/>
          <w:highlight w:val="none"/>
          <w:u w:val="single"/>
          <w14:textFill>
            <w14:solidFill>
              <w14:schemeClr w14:val="tx1"/>
            </w14:solidFill>
          </w14:textFill>
        </w:rPr>
        <w:t>×100</w:t>
      </w:r>
      <w:r>
        <w:rPr>
          <w:rFonts w:hint="eastAsia" w:ascii="宋体" w:hAnsi="宋体"/>
          <w:color w:val="000000" w:themeColor="text1"/>
          <w:sz w:val="24"/>
          <w:highlight w:val="none"/>
          <w:u w:val="single"/>
          <w14:textFill>
            <w14:solidFill>
              <w14:schemeClr w14:val="tx1"/>
            </w14:solidFill>
          </w14:textFill>
        </w:rPr>
        <w:t xml:space="preserve"> 。</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具体优惠：对于小型微型企业产品的价格给予</w:t>
      </w:r>
      <w:r>
        <w:rPr>
          <w:rFonts w:hint="eastAsia" w:ascii="宋体"/>
          <w:color w:val="000000" w:themeColor="text1"/>
          <w:sz w:val="24"/>
          <w:highlight w:val="none"/>
          <w:u w:val="single"/>
          <w:lang w:val="zh-CN"/>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6</w:t>
      </w:r>
      <w:r>
        <w:rPr>
          <w:rFonts w:hint="eastAsia" w:ascii="宋体"/>
          <w:color w:val="000000" w:themeColor="text1"/>
          <w:sz w:val="24"/>
          <w:highlight w:val="none"/>
          <w:u w:val="single"/>
          <w:lang w:val="zh-CN"/>
          <w14:textFill>
            <w14:solidFill>
              <w14:schemeClr w14:val="tx1"/>
            </w14:solidFill>
          </w14:textFill>
        </w:rPr>
        <w:t xml:space="preserve"> </w:t>
      </w:r>
      <w:r>
        <w:rPr>
          <w:rFonts w:hint="eastAsia" w:ascii="宋体"/>
          <w:color w:val="000000" w:themeColor="text1"/>
          <w:sz w:val="24"/>
          <w:highlight w:val="none"/>
          <w:lang w:val="zh-CN"/>
          <w14:textFill>
            <w14:solidFill>
              <w14:schemeClr w14:val="tx1"/>
            </w14:solidFill>
          </w14:textFill>
        </w:rPr>
        <w:t>%的扣除，用扣除后的价格计算评标基准价和投标报价。同一投标人（包括联合体），小微企业、监狱企业、残疾人福利性单位价格扣除优惠只享受一次，不得重复享受。</w:t>
      </w:r>
    </w:p>
    <w:p>
      <w:pPr>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注：得分以系统计算为准，保留2位小数。</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四、如综合得分相同，投标报价低者为先；如综合得分且投标报价相同的，货物类采购项目以技术性能得分较高者为先，服务类采购项目以实力信誉及业绩得分较高者为先。</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adjustRightInd w:val="0"/>
        <w:spacing w:line="360" w:lineRule="auto"/>
        <w:ind w:firstLine="360" w:firstLineChars="150"/>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六、本次评分具体分值细化条款如下表：</w:t>
      </w:r>
    </w:p>
    <w:tbl>
      <w:tblPr>
        <w:tblStyle w:val="27"/>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59"/>
        <w:gridCol w:w="708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62" w:type="dxa"/>
            <w:shd w:val="clear" w:color="auto" w:fill="auto"/>
            <w:vAlign w:val="center"/>
          </w:tcPr>
          <w:p>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序号</w:t>
            </w:r>
          </w:p>
        </w:tc>
        <w:tc>
          <w:tcPr>
            <w:tcW w:w="959" w:type="dxa"/>
            <w:shd w:val="clear" w:color="auto" w:fill="auto"/>
            <w:vAlign w:val="center"/>
          </w:tcPr>
          <w:p>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评分项目</w:t>
            </w:r>
          </w:p>
        </w:tc>
        <w:tc>
          <w:tcPr>
            <w:tcW w:w="7088" w:type="dxa"/>
            <w:shd w:val="clear" w:color="auto" w:fill="auto"/>
            <w:vAlign w:val="center"/>
          </w:tcPr>
          <w:p>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评分内容</w:t>
            </w:r>
          </w:p>
        </w:tc>
        <w:tc>
          <w:tcPr>
            <w:tcW w:w="762" w:type="dxa"/>
            <w:shd w:val="clear" w:color="auto" w:fill="auto"/>
            <w:vAlign w:val="center"/>
          </w:tcPr>
          <w:p>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trPr>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959"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技术方案（5分）</w:t>
            </w: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投标人对本项目实施技术方案（包括安装调试、系统集成、验收方案等）的完整性、合理性、先进性、利旧性、扩容性、兼容性；项目组织实施方案（包括项目工期、确保项目供货的措施或方案、项目重点难点分析情况、解决方案合理性，可行性，安全性等总体情况进行综合评分。优得5-</w:t>
            </w:r>
            <w:r>
              <w:rPr>
                <w:rFonts w:ascii="宋体" w:hAnsi="宋体" w:cs="宋体"/>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分，良得3.</w:t>
            </w:r>
            <w:r>
              <w:rPr>
                <w:rFonts w:ascii="宋体" w:hAnsi="宋体" w:cs="宋体"/>
                <w:color w:val="000000" w:themeColor="text1"/>
                <w:kern w:val="0"/>
                <w:szCs w:val="21"/>
                <w:highlight w:val="none"/>
                <w14:textFill>
                  <w14:solidFill>
                    <w14:schemeClr w14:val="tx1"/>
                  </w14:solidFill>
                </w14:textFill>
              </w:rPr>
              <w:t>9</w:t>
            </w:r>
            <w:r>
              <w:rPr>
                <w:rFonts w:hint="eastAsia" w:ascii="宋体" w:hAnsi="宋体" w:cs="宋体"/>
                <w:color w:val="000000" w:themeColor="text1"/>
                <w:kern w:val="0"/>
                <w:szCs w:val="21"/>
                <w:highlight w:val="none"/>
                <w14:textFill>
                  <w14:solidFill>
                    <w14:schemeClr w14:val="tx1"/>
                  </w14:solidFill>
                </w14:textFill>
              </w:rPr>
              <w:t>-1分，一般得0.9-0分。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959"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技术性能（2</w:t>
            </w:r>
            <w:r>
              <w:rPr>
                <w:rFonts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分）</w:t>
            </w: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根据所投摄像机设备厂商在安防行业的企业规模、技术力量、企业资信评级、质量体系认证、经营信誉等总体情况进行综合评分。优得2-1.6分，良得1.5-0.6分，一般得0.5-0分。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根据所投摄像机公安部安防产品检测报告，产品品牌、型号、指标参数、外观、功能和响应程度等作综合评分。优得8-6，良得5.9-3，一般得2.9-0。</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根据所投闪光灯、补光灯产品检测报告，产品品牌、型号、指标参数、外观、功能和响应程度等作综合评分。优得3-2，良得1.9-1，一般得0.9-0。</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根据所投智能挂杆箱的品牌、型号、外观、指标参数、功能、响应程度、相关检测报告等综合评分。优得3-2，良得1.9-1，一般得0.9-0。现场提供投标产品样机，未提供的不得分。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根据所投视频存储设备选型整体系统性能、兼容性，满足招标技术要求中的规格参数要求等情况进行横向比较打分。优得2-1.6分，良得1.5-0.6分，一般得0.5-0分。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根据所投光端机、交换机、光模块等网络设备选型整体系统性能，满足招标技术要求中的规格参数要求等情况进行横向比较打分。优得2-1.6分，良得1.5-0.6分，一般得0.5-0分。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根据所投杆件及所有配套整体系统性能，满足招标技术要求中的规格参数要求等情况进行横向比较打分（1-0）。优得1-0.7分，良得0.6-0.4分，一般得0.3-0分。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62"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959"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组织施工能力（7分）</w:t>
            </w: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项目技术负责人：具有高级工程师（可为通信、计算机、机电类专业）及以上技术职称的得1分；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组织方案：为保证工程质量、工期进度，根据投标人对本项目理解程度，描述安装、调试、验收的方案和措施等总体情况进行综合评分。方案包括人力资源安排、生产安全管理、质量管控、配套工程等方面。优得3-2分，良得1.9-1分，一般得0.9-0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配备4组前场施工队伍的得1分；每增加一组得0.5分，最高得1分。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配备登高车3辆以上（含3辆）得0.5分，5辆以上（含5辆）得1分（需提供行驶证复印件及照片）。</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62"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959"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售后服务（9分）</w:t>
            </w: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具备完善的售后服务系统，建立7×24小时故障响应制度；提供优质的售后服务方案(须说明保修期的时间、人员服务情况等)，对产品的定期日常保养维护周期和发生设备故障时及时修复及时响应。根据投标人的售后服务方案和响应程度横向比较打分。优得3-2分，良得1.9-1分，一般得0.9-0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所投的摄像机、光源设备、智能挂杆箱、网络设备等主要产品厂家是否具备良好的本地化售后服务，主要指在台州区域是否设有服务机构以及产品售后维修点、服务质量等进行综合评分(需提供1年以上的办公场所的房屋租赁合同&lt;或房屋产权证&gt;复印件和维修实景图，复印件加盖厂家和投标人公章，否则不得分)。</w:t>
            </w:r>
            <w:r>
              <w:rPr>
                <w:rFonts w:hint="eastAsia" w:ascii="宋体" w:hAnsi="宋体" w:cs="宋体"/>
                <w:color w:val="000000" w:themeColor="text1"/>
                <w:kern w:val="0"/>
                <w:szCs w:val="21"/>
                <w:highlight w:val="none"/>
                <w14:textFill>
                  <w14:solidFill>
                    <w14:schemeClr w14:val="tx1"/>
                  </w14:solidFill>
                </w14:textFill>
              </w:rPr>
              <w:t>优得1-0.7分，良得0.6-0.4分，一般：0.3-0分。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投标人服务机构、办公场所和仓库条件、现场维护人员数量和素质，能否提供快捷、方便的本土化售后服务进行横向比较评分，优得3-2分，良得1.9-1分，一般得0.9-0分。（需提供1年以上的办公场所和仓库的房屋租赁合同&lt;或房屋产权证&gt;及场地照片，房屋租赁合同、房屋产权证原件备查；当地维护人员需提供6个月以上的社保缴费证明，维护人员职称证书原件备查）</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所投摄像机、光源设备、智能挂杆箱、网络设备、存储设备等主要设备的备品备件需达到5%，耗材满足要求的得1分；承诺五年内免费移动点位100个（含）以上的，得0.5分，150个（含）以上的，得1分。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62"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959" w:type="dxa"/>
            <w:vMerge w:val="restart"/>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企业实力（8分）</w:t>
            </w: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投标人具备ISO9001 质量管理体系认证证书，得0.5分；投标人具备ISO20000信息技术服务管理体系认证证书，得0.5分。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投标人2016年1月1日至今签订合同的且已通过竣工验收的天网工程、雪亮工程、交通电子警察监控类项目业绩评分，合同金额2000万（含）以上的每个得3分，合同金额1000万（含）-2000万的每个得2分，合同金额500万（含）-1000万的每个得1分，满分6分。（提供客户联系方式、采购合同、验收报告复印件加盖投标人公章，资料提供不齐全不得分，合同原件备查；只计算投标人业绩，其子公司、母公司业绩不计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62"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959" w:type="dxa"/>
            <w:vMerge w:val="continue"/>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7088" w:type="dxa"/>
            <w:shd w:val="clear" w:color="auto" w:fill="auto"/>
            <w:vAlign w:val="center"/>
          </w:tcPr>
          <w:p>
            <w:pPr>
              <w:widowControl/>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重约守信：连续3年以上（包括3年）被评为守合同重信用单位或具有企业资信等级AAA，得1分。</w:t>
            </w:r>
          </w:p>
        </w:tc>
        <w:tc>
          <w:tcPr>
            <w:tcW w:w="762" w:type="dxa"/>
            <w:shd w:val="clear" w:color="auto" w:fill="auto"/>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bl>
    <w:p>
      <w:pPr>
        <w:rPr>
          <w:color w:val="000000" w:themeColor="text1"/>
          <w:highlight w:val="none"/>
          <w14:textFill>
            <w14:solidFill>
              <w14:schemeClr w14:val="tx1"/>
            </w14:solidFill>
          </w14:textFill>
        </w:rPr>
      </w:pPr>
    </w:p>
    <w:p>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第四章 公开招标需求</w:t>
      </w:r>
    </w:p>
    <w:p>
      <w:pPr>
        <w:keepNext/>
        <w:keepLines/>
        <w:widowControl/>
        <w:numPr>
          <w:ilvl w:val="0"/>
          <w:numId w:val="4"/>
        </w:numPr>
        <w:spacing w:before="340" w:after="330" w:line="380" w:lineRule="exact"/>
        <w:jc w:val="left"/>
        <w:outlineLvl w:val="0"/>
        <w:rPr>
          <w:rFonts w:ascii="宋体" w:hAnsi="宋体" w:cs="宋体"/>
          <w:snapToGrid w:val="0"/>
          <w:color w:val="000000" w:themeColor="text1"/>
          <w:kern w:val="44"/>
          <w:sz w:val="24"/>
          <w:highlight w:val="none"/>
          <w14:textFill>
            <w14:solidFill>
              <w14:schemeClr w14:val="tx1"/>
            </w14:solidFill>
          </w14:textFill>
        </w:rPr>
      </w:pPr>
      <w:bookmarkStart w:id="1" w:name="_Toc365417131"/>
      <w:bookmarkStart w:id="2" w:name="_Toc365417030"/>
      <w:r>
        <w:rPr>
          <w:rFonts w:hint="eastAsia" w:ascii="宋体" w:hAnsi="宋体" w:cs="宋体"/>
          <w:snapToGrid w:val="0"/>
          <w:color w:val="000000" w:themeColor="text1"/>
          <w:kern w:val="44"/>
          <w:sz w:val="24"/>
          <w:highlight w:val="none"/>
          <w14:textFill>
            <w14:solidFill>
              <w14:schemeClr w14:val="tx1"/>
            </w14:solidFill>
          </w14:textFill>
        </w:rPr>
        <w:t>项目概述</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认真贯彻《关于加强公共安全视频监控建设联网应用工作的若干意见》(发改高技〔2015〕996号)、《浙江省公共安全视频监控建设联网应用工作实施方案》（浙综委〔2016〕11号）、关于印发《浙江省公共安全视频建设联网整合共享应用规范》的通知（浙综委办〔2017〕12号）、《关于印发总结提升推广新时代“枫桥经验”六大工程的通知》（台综委〔2018〕7号）、《玉环市“雪亮工程”深化提升工程方案》（玉综委〔2018〕11号）等文件精神，对玉环市天网工程的老旧摄像机进行升级改造，实现更换率、高清率达到100%。</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本项目为模拟改数字项目，将原天网模拟摄像机改造为数字网络摄像机并新建部分点位进行监控补盲，共758个视频监控摄像机（枪机490个，球机88个，智能人车卡164个，人脸抓拍机14个，枪球一体机2个）。</w:t>
      </w:r>
      <w:r>
        <w:rPr>
          <w:rFonts w:hint="eastAsia" w:ascii="宋体" w:hAnsi="宋体" w:cs="宋体"/>
          <w:color w:val="000000" w:themeColor="text1"/>
          <w:sz w:val="24"/>
          <w:highlight w:val="none"/>
          <w14:textFill>
            <w14:solidFill>
              <w14:schemeClr w14:val="tx1"/>
            </w14:solidFill>
          </w14:textFill>
        </w:rPr>
        <w:t>由中标单位负责设备购置、安装调试以及平台数据接入</w:t>
      </w:r>
      <w:r>
        <w:rPr>
          <w:rFonts w:hint="eastAsia" w:ascii="宋体" w:hAnsi="宋体" w:cs="宋体"/>
          <w:color w:val="000000" w:themeColor="text1"/>
          <w:sz w:val="24"/>
          <w:highlight w:val="none"/>
          <w14:textFill>
            <w14:solidFill>
              <w14:schemeClr w14:val="tx1"/>
            </w14:solidFill>
          </w14:textFill>
        </w:rPr>
        <w:t>和1年运营维护。由第三方监理公司对项目的建设进行全程监理。</w:t>
      </w:r>
    </w:p>
    <w:p>
      <w:pPr>
        <w:keepNext/>
        <w:keepLines/>
        <w:spacing w:before="260" w:after="260" w:line="380" w:lineRule="exact"/>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1.1建设依据</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1.1.1</w:t>
      </w:r>
      <w:r>
        <w:rPr>
          <w:rFonts w:hint="eastAsia" w:ascii="宋体" w:hAnsi="宋体" w:cs="宋体"/>
          <w:color w:val="000000" w:themeColor="text1"/>
          <w:sz w:val="24"/>
          <w:highlight w:val="none"/>
          <w14:textFill>
            <w14:solidFill>
              <w14:schemeClr w14:val="tx1"/>
            </w14:solidFill>
          </w14:textFill>
        </w:rPr>
        <w:t>相关指导政策</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（1）《中华人民共和国国民经济和社会发展第十三个五年规划纲要》</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（2）《“十三五”国家信息化规划》(国发〔2016〕73号)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（3）《公共安全视频监控建设联网应用“十三五”规划方案》</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（4）《中华人民共和国反恐怖主义法》</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（5）《国家创新驱动发展战略纲要》(中发〔2016〕4号)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（6）《关于加强社会治安防控体系建设的意见》</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（7）《国家电子政务总体方案》</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 《政府信息资源共享管理暂行办法》的通知(国发〔2016〕51号)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（9）《关于加强公共安全视频监控建设联网应用工作的若干意见》(发改高技〔2015〕996号)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（10）《浙江省公共安全视频监控建设联网应用工作实施方案》（浙综委〔2016〕11号）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（11）《关于推进社会治安综合治理信息化建设的若干意见》(中综办〔2014〕</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（12）《公共安全视频监控建设联网应用工程示范和重点支持项目管理办法》</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（13）关于印发《浙江省公共安全视频建设联网整合共享应用规范》的通知（浙综委办〔2017〕12号）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(14)《关于印发总结提升推广新时代“枫桥经验”六大工程的通知》（台综委〔2018〕7号）</w:t>
      </w:r>
    </w:p>
    <w:p>
      <w:pPr>
        <w:widowControl/>
        <w:spacing w:line="380" w:lineRule="exact"/>
        <w:ind w:firstLine="463" w:firstLineChars="193"/>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(15)《玉环市“雪亮工程”深化提升工程方案》（玉综委〔2018〕11号）</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1.1.2</w:t>
      </w:r>
      <w:r>
        <w:rPr>
          <w:rFonts w:hint="eastAsia" w:ascii="宋体" w:hAnsi="宋体" w:cs="宋体"/>
          <w:color w:val="000000" w:themeColor="text1"/>
          <w:sz w:val="24"/>
          <w:highlight w:val="none"/>
          <w14:textFill>
            <w14:solidFill>
              <w14:schemeClr w14:val="tx1"/>
            </w14:solidFill>
          </w14:textFill>
        </w:rPr>
        <w:t>技术标准规范</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（1）《公共安全视频图像信息联网共享应用标准体系（2017版）》</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（2）《安全防范视频监控联网系统信息传输、交换、控制技术要求》（GB/T28181-2016）</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（3）《社会治安动态视频监控系统技术规范》（DB33/T502-2018）</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（4）《公共安全视频监控联网信息安全技术要求》（GB35114-2017）</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（5）《安全技术防范系统建设技术规范》（DB33/T768）</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（6）《跨区域视频监控联网共享技术》（DB33/T629-2011）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（7）《公安视频图像分析系统》（GA/T1399-2017）</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（8）《公安视频图像信息应用系统》（GA/T1400-2017）</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（9）《安全技术防范（系统）工程检验规范》（DB33/T334-2011）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（10）《安全防范监控数字视频音频编解码技术要求》（GB/T25724-2017）</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（11）《社会治安综合治理基础数据规范》(GB/T31000-2015)</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（12）《视频中物品图像检验技术规范》（GA/T1018-2013）</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（13）《视频中人像检验技术规范》（GA/T1023-2013）</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（14）《安全防范视频监控摄像机通用技术要求》（GA/T1127-2013）</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（15）《安全防范视频监控高清晰度摄像机测量方法》（GA/T1128-2013）</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（16）《基于视频图像的车辆行驶速度技术鉴定》（GA/T1133-2014）</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（17）《公安视频图像信息联网与应用标准体系表》（GA/Z1164-2014）</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（18）《安全防范高清视频监控系统技术要求》（GA/T1211-2014）</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（19）《视频安防监控系统技术要求》（GA/T367-2001）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（20）《安全防范系统通用图形符号》（GA/T75-2000）</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（21）《数据中心设计规范》（GB50174-2017）</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（22）《计算机场地通用规范》（GB/T2887-2011）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（23）《计算机场地安全要求》（GB/T9361-2011）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（24）《信息技术软件维护》（GB/T20157-2006）</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（25）《计算机软件可靠性和可维护性管理》（GB/T14394-2008）</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（26）《视频安防监控系统工程设计规范》（GB50395-2007）</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（27）《城市监控报警联网系统技术标准》（GA/T669-2008）</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（28）《城市地理信息系统建设规范》（GA/T493-2004）</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（29）《信息安全技术信息系统通用安全技术要求》（GB/T20271-2006）</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（30）《信息技术设备安全第1部分：通用要求》（GB4943.1-2011）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（31）《信息技术设备安全第23部分：大型数据存储设备》（GB4943.23-2012）</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（32）《安全防范工程技术规范》(GB50348-2014)</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（33）《建筑物防雷设计规范》(GB50057-2010)</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（34）《安全防范系统雷电浪涌防护技术要求》(GA/T670-2006)</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（35）《电信设备安装抗震设计规范》（YD5059-2005）</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（36）《民用闭路监视电视系统工程技术规范》（GB50198-2011）</w:t>
      </w:r>
    </w:p>
    <w:p>
      <w:pPr>
        <w:spacing w:after="120" w:line="38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（37）《浙江省公共安全视频图像信息共享总平台建设规范》</w:t>
      </w:r>
    </w:p>
    <w:p>
      <w:pPr>
        <w:pStyle w:val="48"/>
        <w:numPr>
          <w:ilvl w:val="0"/>
          <w:numId w:val="5"/>
        </w:numPr>
        <w:spacing w:after="120" w:line="380" w:lineRule="exact"/>
        <w:ind w:firstLineChars="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《全国公安机关图像信息联网总体技术方案》</w:t>
      </w:r>
    </w:p>
    <w:p>
      <w:pPr>
        <w:keepNext/>
        <w:keepLines/>
        <w:spacing w:before="260" w:after="260" w:line="380" w:lineRule="exact"/>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1.2建设内容</w:t>
      </w:r>
    </w:p>
    <w:p>
      <w:pPr>
        <w:pStyle w:val="16"/>
        <w:spacing w:line="380" w:lineRule="exact"/>
        <w:ind w:firstLine="463" w:firstLineChars="193"/>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1.2.1前端建设</w:t>
      </w:r>
    </w:p>
    <w:p>
      <w:pPr>
        <w:pStyle w:val="16"/>
        <w:spacing w:line="380" w:lineRule="exact"/>
        <w:ind w:firstLine="463" w:firstLineChars="193"/>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次项目位于玉环市，涉及玉环市所辖所有乡镇街道，将原天网模拟摄像机改造为数字网络摄像机并新建部分点位进行监控补盲，共411个点位758个视频监控摄像机（枪机490个，球机88个，智能人车卡164个，人脸抓拍机14个，枪球一体机2个，具体见附件21“模改数点位清单”）。</w:t>
      </w:r>
    </w:p>
    <w:p>
      <w:pPr>
        <w:pStyle w:val="16"/>
        <w:spacing w:line="380" w:lineRule="exact"/>
        <w:ind w:firstLine="463" w:firstLineChars="193"/>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1.2.2运营维护</w:t>
      </w:r>
    </w:p>
    <w:p>
      <w:pPr>
        <w:pStyle w:val="16"/>
        <w:spacing w:line="380" w:lineRule="exact"/>
        <w:ind w:firstLine="463" w:firstLineChars="193"/>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本次项目包含1年运营维护服务，以每路摄像机为单位进行计费。第二年及以后运营维护费用由采购人与中标人另行签定协议，但每年的每路摄像机运营维护单价不得高于第一年，</w:t>
      </w:r>
      <w:r>
        <w:rPr>
          <w:rFonts w:hint="eastAsia" w:ascii="宋体" w:hAnsi="宋体" w:cs="宋体"/>
          <w:color w:val="000000" w:themeColor="text1"/>
          <w:highlight w:val="none"/>
          <w14:textFill>
            <w14:solidFill>
              <w14:schemeClr w14:val="tx1"/>
            </w14:solidFill>
          </w14:textFill>
        </w:rPr>
        <w:t>续签的单次合同期限为一年，合同一年一签，且续签次数最多不超过2次。</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为部分改造项目，涉及杆件、基础等部分可利旧设备，投标方在投标前应对所有利旧设备进行查看，并对可靠性、安全性等自行作出评估，不能利旧的需自行更换相关设备（设备技术参数及施工工艺按照“2</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技术性能指标”规定的要求执行），采购人不再另行增加费用。</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bookmarkStart w:id="3" w:name="_Toc365417040"/>
      <w:r>
        <w:rPr>
          <w:rFonts w:hint="eastAsia" w:ascii="宋体" w:hAnsi="宋体" w:cs="宋体"/>
          <w:color w:val="000000" w:themeColor="text1"/>
          <w:sz w:val="24"/>
          <w:highlight w:val="none"/>
          <w14:textFill>
            <w14:solidFill>
              <w14:schemeClr w14:val="tx1"/>
            </w14:solidFill>
          </w14:textFill>
        </w:rPr>
        <w:t>▲本项目属交钥匙服务项目，除因采购人要求变改、增加点位或因不可抗力、现实点位场景变动（如借杆、借墙所依杆件、墙体被拆除等）导致点位变更致使工程量增加的，采购人不再另行增加费用。项目实施过程中可能涉及的所有财务成本已经包含投标总报价之中，对标书中未体现，但又是实施本项目所必须的组件，中标方必须自行增加。同时，中标方需对项目建设及运营期间的安全责任问题及第三方责任赔偿负责，投标的报价包含实现标书的所有功能及安全保障工作，其应包括（但不限于）施工设备、劳务、管理、材料、系统集成、安装调试、旧设备拆移、软件开发、试运行、质保、保险、利润、税金、培训费、开办费、措施费、大型机械进退场费、人身意外伤害保险费、第三方检测费用、备品备件费用、建设期财务费用、绿化和道路复原费用、青苗赔偿费用、安全文明施工设施费用、杆件和基础设计费用、维修维护服务、相关审批费用、竣工图编制费用、政策性文件规定费用及合同包含的所有风险、责任等各项所有费用。中标人自行负责道路开挖审批手续，采购人仅提供道路开挖审批证明材料，由此产生的费用已经包含投标总报价之中。为保证工程建设及售后服务质量，要求投标方的总体报价不得明显低于成本价。</w:t>
      </w:r>
    </w:p>
    <w:bookmarkEnd w:id="3"/>
    <w:p>
      <w:pPr>
        <w:keepNext/>
        <w:keepLines/>
        <w:widowControl/>
        <w:numPr>
          <w:ilvl w:val="0"/>
          <w:numId w:val="4"/>
        </w:numPr>
        <w:spacing w:before="340" w:after="330" w:line="380" w:lineRule="exact"/>
        <w:jc w:val="left"/>
        <w:outlineLvl w:val="0"/>
        <w:rPr>
          <w:rFonts w:ascii="宋体" w:hAnsi="宋体" w:cs="宋体"/>
          <w:snapToGrid w:val="0"/>
          <w:color w:val="000000" w:themeColor="text1"/>
          <w:kern w:val="44"/>
          <w:sz w:val="24"/>
          <w:highlight w:val="none"/>
          <w14:textFill>
            <w14:solidFill>
              <w14:schemeClr w14:val="tx1"/>
            </w14:solidFill>
          </w14:textFill>
        </w:rPr>
      </w:pPr>
      <w:bookmarkStart w:id="4" w:name="_Toc365417041"/>
      <w:r>
        <w:rPr>
          <w:rFonts w:hint="eastAsia" w:ascii="宋体" w:hAnsi="宋体" w:cs="宋体"/>
          <w:snapToGrid w:val="0"/>
          <w:color w:val="000000" w:themeColor="text1"/>
          <w:kern w:val="44"/>
          <w:sz w:val="24"/>
          <w:highlight w:val="none"/>
          <w14:textFill>
            <w14:solidFill>
              <w14:schemeClr w14:val="tx1"/>
            </w14:solidFill>
          </w14:textFill>
        </w:rPr>
        <w:t>技术性能指标</w:t>
      </w:r>
      <w:bookmarkEnd w:id="4"/>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bookmarkStart w:id="5" w:name="_Toc495824141"/>
      <w:bookmarkStart w:id="6" w:name="_Toc520102611"/>
      <w:bookmarkStart w:id="7" w:name="_Toc12513645"/>
      <w:bookmarkStart w:id="8" w:name="_Toc495823175"/>
      <w:bookmarkStart w:id="9" w:name="_Toc518732752"/>
      <w:bookmarkStart w:id="10" w:name="_Toc495824543"/>
      <w:bookmarkStart w:id="11" w:name="_Toc513474217"/>
      <w:bookmarkStart w:id="12" w:name="_Toc495778592"/>
      <w:bookmarkStart w:id="13" w:name="_Toc495823495"/>
      <w:r>
        <w:rPr>
          <w:rFonts w:hint="eastAsia" w:ascii="宋体" w:hAnsi="宋体" w:cs="宋体"/>
          <w:bCs/>
          <w:color w:val="000000" w:themeColor="text1"/>
          <w:sz w:val="24"/>
          <w:highlight w:val="none"/>
          <w14:textFill>
            <w14:solidFill>
              <w14:schemeClr w14:val="tx1"/>
            </w14:solidFill>
          </w14:textFill>
        </w:rPr>
        <w:t>普通治安监控</w:t>
      </w:r>
      <w:bookmarkEnd w:id="5"/>
      <w:bookmarkEnd w:id="6"/>
      <w:bookmarkEnd w:id="7"/>
      <w:bookmarkEnd w:id="8"/>
      <w:bookmarkEnd w:id="9"/>
      <w:bookmarkEnd w:id="10"/>
      <w:bookmarkEnd w:id="11"/>
      <w:bookmarkEnd w:id="12"/>
      <w:bookmarkEnd w:id="13"/>
    </w:p>
    <w:p>
      <w:pPr>
        <w:pStyle w:val="5"/>
        <w:numPr>
          <w:ilvl w:val="0"/>
          <w:numId w:val="7"/>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系统架构</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前端摄像机（高清枪机和高清球机）采集监控区域的视频信息后，通过传输设备将视频信号传输到指挥中心数据机房进行集中存储。系统结构图如下图所示：</w:t>
      </w:r>
    </w:p>
    <w:p>
      <w:pPr>
        <w:pStyle w:val="71"/>
        <w:adjustRightInd w:val="0"/>
        <w:snapToGrid w:val="0"/>
        <w:spacing w:line="360" w:lineRule="auto"/>
        <w:ind w:firstLine="360"/>
        <w:jc w:val="center"/>
        <w:rPr>
          <w:rFonts w:ascii="仿宋" w:hAnsi="仿宋"/>
          <w:color w:val="000000" w:themeColor="text1"/>
          <w:highlight w:val="none"/>
          <w14:textFill>
            <w14:solidFill>
              <w14:schemeClr w14:val="tx1"/>
            </w14:solidFill>
          </w14:textFill>
        </w:rPr>
      </w:pPr>
      <w:r>
        <w:rPr>
          <w:rFonts w:ascii="仿宋" w:hAnsi="仿宋"/>
          <w:color w:val="000000" w:themeColor="text1"/>
          <w:highlight w:val="none"/>
          <w14:textFill>
            <w14:solidFill>
              <w14:schemeClr w14:val="tx1"/>
            </w14:solidFill>
          </w14:textFill>
        </w:rPr>
        <w:drawing>
          <wp:inline distT="0" distB="0" distL="114300" distR="114300">
            <wp:extent cx="4678045" cy="2746375"/>
            <wp:effectExtent l="0" t="0" r="8255" b="9525"/>
            <wp:docPr id="34" name="图片 2" descr="8717745811128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871774581112805650"/>
                    <pic:cNvPicPr>
                      <a:picLocks noChangeAspect="1"/>
                    </pic:cNvPicPr>
                  </pic:nvPicPr>
                  <pic:blipFill>
                    <a:blip r:embed="rId6" cstate="print"/>
                    <a:stretch>
                      <a:fillRect/>
                    </a:stretch>
                  </pic:blipFill>
                  <pic:spPr>
                    <a:xfrm>
                      <a:off x="0" y="0"/>
                      <a:ext cx="4678045" cy="2746375"/>
                    </a:xfrm>
                    <a:prstGeom prst="rect">
                      <a:avLst/>
                    </a:prstGeom>
                    <a:noFill/>
                    <a:ln>
                      <a:noFill/>
                    </a:ln>
                  </pic:spPr>
                </pic:pic>
              </a:graphicData>
            </a:graphic>
          </wp:inline>
        </w:drawing>
      </w:r>
    </w:p>
    <w:p>
      <w:pPr>
        <w:pStyle w:val="5"/>
        <w:numPr>
          <w:ilvl w:val="0"/>
          <w:numId w:val="7"/>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系统组成</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监控点的摄像机监控信号的视音频数字化和压缩编码，形成IP数据包，利用网络传送到后端监控软件平台。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（1）摄像机</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视频监控前端重要组成设备，用于视频图像的采集，主要分为高清网络枪机和高清网络球机，根据应用场合采用不同的摄像机，合理配置以满足图像采集的效果要求与经济性要求。</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（2）镜头</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根据摄像机分辨率的不同，镜头分为普通和高清镜头，根据监控距离和摄像机的类型选配合适的镜头，球型摄像机自带镜头。</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（3）护罩</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护罩是使摄像机在有灰尘、雨水、高低温等情况下正常使用的防护装置，根据摄像机机型采用不同的护罩，每个摄像机配置一个护罩，球型摄像机自带护罩。</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（4）支架</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支架是摄像机安装固定的重要组件，根据摄像机安装的位置，可以合理选择壁装支架或吊装支架。</w:t>
      </w:r>
    </w:p>
    <w:p>
      <w:pPr>
        <w:pStyle w:val="5"/>
        <w:numPr>
          <w:ilvl w:val="0"/>
          <w:numId w:val="7"/>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前端建设</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前端建设主要包括立杆、电源和机箱建设，具体应满足以下技术要求：</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根据部位与要求选择摄像机安装方式。采用立杆安装方式时，摄像机安装高度一般应根据视频监控选点位置及点位周边地理特性确定其安装高度、角度，高度一般不低于5000mm，安装杆壁厚、安装基础应由有相应资质的设计单位按照地质情况及抗风等级等要求进行设计；</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（2）电源应有过流过压保护装置；重要监控点应配备备用电源，供电时间不得小于8小时；应设置防雷接地装置，防雷接地电阻应不大于10Ω；</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机箱应具备防尘和防湿，宜设置自动温控和防盗报警装置，采用自动温控的机箱，机箱内最高工作温度不应超过55℃；机箱中应能放置电源、接线架、网络传输、防雷模块等设备，可采取底部或背部进线；机箱和立杆应统一接地；</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（4）机箱安装高度应充分考虑暴雨天气的影响，立杆、机箱设备设置在易受外力碰撞位置时，应有醒目提示标志。</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前端基础施工要求如下：</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前端基础施工应符合公安交通管理外场设备基础施工通用要求（GA/T 652）标准的相关要求，还应符合项目所在地建设、市政、交通、园林等相关管理部门要求。</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前端补光要求如下：</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（1）补光目标区域的照度是指监控补光目标区域内，离地面50cm高度的实际照度，通常使用照度计在现场实测。监控补光目标区域的平均最低照度宜高于5Lux，但不得低于3Lux；</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（2）补光后的图像色彩还原性应保持原始场景特征,符合《安全技术防范(系统)工程检验规范》（DB33/T 334-2011）标准对显示或回放图像的要求。还应满足当监控目标距离监控相机15米之内距离时，图像画面一般显色性Ra&gt;90，能识别目标特征及真实颜色；</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（3）补光宜采用无极灯、LED暖光灯或者普通LED灯，灯具应满足IP65的防护等级和国家强制性认证相关要求。</w:t>
      </w:r>
    </w:p>
    <w:p>
      <w:pPr>
        <w:pStyle w:val="5"/>
        <w:numPr>
          <w:ilvl w:val="0"/>
          <w:numId w:val="7"/>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功能要求</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系统应具有如下功能：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（1）图像监视功能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在各种环境条件下，通过软件客户端、解码器、矩阵和显示设备能监视到前端视频监控点所处现场的视频图像，视频图像质量按五级损伤制评定，主观评价应不低于4级。</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（2）图像控制功能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各级监控（分）中心及授权用户能对前端任意一路监控图像进行切换和云台控制。</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（3）图像存储、备份及回放功能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系统能实现数字化图像记录、存储和备份，在视频信息共享平台和视频信息联网平台上依据授权回放历史图像。</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（4）联网管理功能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符合国标GB/T28181-2016接入标准,视频监控设备应能通过IP网络接入到视频信息共享平台进行统一管理。</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（5）媒体转发功能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系统应具备视音频流媒体的实时转发功能。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（6）码流选择功能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系统应支持对一个视频源不少于2种不同图像分辨率码流的选择。</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（7）设备管理功能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系统应支持对设备参数进行远程设定等操作。</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（8）用户、权限和日志管理功能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系统应具备用户注册、身份认证、使用操作权限和用户行为日志记录和审计的管理功能。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（9）指挥调度功能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能通过各级指挥（监控）中心在接处警、安保、维稳、处突、警卫等工作任务中，快速调取和控制现场视频监控，支持针对不同警务工作任务的视频监控预案，支持与视频会议系统之间的多路图像相互切换交换，支持指挥（监控）中心之间监视墙图像的镜像传输与显示。</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（10）视频质量诊断功能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系统宜支持视频的丢失、遮挡、冻结、条纹、噪声、抖动、偏色、对比度异常、亮度异常、清晰度异常和场景变化检测等视频质量诊断功能。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（11）其他扩展功能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系统提供业务功能第二次开发接口，为其他信息化系统提供应用支撑，应支持与GIS系统和其他信息化系统结合应用，能实现与110接处警、区域报警网络等警视联动，应支持移动客户端应用。</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（12）扩充和升级功能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系统应为扩充或与智能分析等系统连接留有相应接口，系统配套软件应具有升级能力。</w:t>
      </w:r>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bookmarkStart w:id="14" w:name="_Toc514080943"/>
      <w:bookmarkStart w:id="15" w:name="_Toc520102612"/>
      <w:bookmarkStart w:id="16" w:name="_Toc518732753"/>
      <w:bookmarkStart w:id="17" w:name="_Toc12513646"/>
      <w:bookmarkStart w:id="18" w:name="_Toc513190279"/>
      <w:r>
        <w:rPr>
          <w:rFonts w:hint="eastAsia" w:ascii="宋体" w:hAnsi="宋体" w:cs="宋体"/>
          <w:bCs/>
          <w:color w:val="000000" w:themeColor="text1"/>
          <w:sz w:val="24"/>
          <w:highlight w:val="none"/>
          <w14:textFill>
            <w14:solidFill>
              <w14:schemeClr w14:val="tx1"/>
            </w14:solidFill>
          </w14:textFill>
        </w:rPr>
        <w:t>车辆人像抓拍</w:t>
      </w:r>
      <w:bookmarkEnd w:id="14"/>
      <w:bookmarkEnd w:id="15"/>
      <w:bookmarkEnd w:id="16"/>
      <w:bookmarkEnd w:id="17"/>
      <w:bookmarkEnd w:id="18"/>
      <w:bookmarkStart w:id="19" w:name="_Toc328578300"/>
      <w:r>
        <w:rPr>
          <w:rFonts w:hint="eastAsia" w:ascii="宋体" w:hAnsi="宋体" w:cs="宋体"/>
          <w:bCs/>
          <w:color w:val="000000" w:themeColor="text1"/>
          <w:sz w:val="24"/>
          <w:highlight w:val="none"/>
          <w14:textFill>
            <w14:solidFill>
              <w14:schemeClr w14:val="tx1"/>
            </w14:solidFill>
          </w14:textFill>
        </w:rPr>
        <w:t>卡口</w:t>
      </w:r>
    </w:p>
    <w:bookmarkEnd w:id="19"/>
    <w:p>
      <w:pPr>
        <w:pStyle w:val="5"/>
        <w:numPr>
          <w:ilvl w:val="0"/>
          <w:numId w:val="8"/>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系统概述</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通过设置车辆抓拍点位可对途经的监控目标（机动车、前排司乘人员、非机动车、行人）进行24小时捕获，能提供高清晰的图片。</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提供的图片能够清晰辨认车辆类型、车身颜色、所载货物和所处位置，对于人员能清晰辨别人脸（可供人脸识别）及人员衣着穿戴等主要特征，还可提供完整的车头信息，包括完整的牌照，清晰可辨的牌照颜色、驾驶前排乘坐情况等，对于驾驶前排乘坐人员能提供清晰可辨的人脸特征（可供人脸识别）。</w:t>
      </w:r>
    </w:p>
    <w:p>
      <w:pPr>
        <w:pStyle w:val="5"/>
        <w:numPr>
          <w:ilvl w:val="0"/>
          <w:numId w:val="8"/>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前端部署</w:t>
      </w:r>
    </w:p>
    <w:p>
      <w:pPr>
        <w:adjustRightInd w:val="0"/>
        <w:snapToGrid w:val="0"/>
        <w:spacing w:line="380" w:lineRule="exact"/>
        <w:ind w:firstLine="564"/>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zh-CN"/>
          <w14:textFill>
            <w14:solidFill>
              <w14:schemeClr w14:val="tx1"/>
            </w14:solidFill>
          </w14:textFill>
        </w:rPr>
        <w:t xml:space="preserve">每2个车道配置1台900万像素抓拍单元，用于分析单向2个车道内的过往车辆，及车辆内部司乘人员特征图片，并对抓拍全景进行监控，其中车辆捕获、车牌识别、车型识别、车身颜色识别等关键技术均集成于智慧监控单元； </w:t>
      </w:r>
    </w:p>
    <w:p>
      <w:pPr>
        <w:adjustRightInd w:val="0"/>
        <w:snapToGrid w:val="0"/>
        <w:spacing w:line="380" w:lineRule="exact"/>
        <w:ind w:firstLine="564"/>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（2）每个相机配置1台补光灯、每个车道配置1台爆闪灯作为辅助光源，在夜间亮度较差时，实现环境补光，有效提高夜间图像显示效果和标识标线的显示效果；</w:t>
      </w:r>
    </w:p>
    <w:p>
      <w:pPr>
        <w:adjustRightInd w:val="0"/>
        <w:snapToGrid w:val="0"/>
        <w:spacing w:line="380" w:lineRule="exact"/>
        <w:ind w:firstLine="564"/>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（3）每个卡口监控单元配置1根6米的监控立杆，挑臂伸出4-13米，卡口监控单元架设在挑臂上，与道路行车方向倾斜一定角度（不超过15º）。</w:t>
      </w:r>
    </w:p>
    <w:p>
      <w:pPr>
        <w:adjustRightInd w:val="0"/>
        <w:snapToGrid w:val="0"/>
        <w:spacing w:line="380" w:lineRule="exact"/>
        <w:jc w:val="center"/>
        <w:rPr>
          <w:rFonts w:ascii="宋体" w:hAnsi="宋体" w:cs="宋体"/>
          <w:color w:val="000000" w:themeColor="text1"/>
          <w:sz w:val="24"/>
          <w:highlight w:val="none"/>
          <w:lang w:val="zh-CN"/>
          <w14:textFill>
            <w14:solidFill>
              <w14:schemeClr w14:val="tx1"/>
            </w14:solidFill>
          </w14:textFill>
        </w:rPr>
      </w:pPr>
    </w:p>
    <w:p>
      <w:pPr>
        <w:pStyle w:val="5"/>
        <w:numPr>
          <w:ilvl w:val="0"/>
          <w:numId w:val="8"/>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功能要求</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卡口车辆抓拍系统应具有如下功能：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（1）图像信息采集功能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应能够对通行卡口的机动车、非机动车、行人进行图片抓拍，记录通行车辆、非机动车、行人经过监测点时的全景图像和特征图像，并能对通过卡口的时间、地点、行进方向及周边环境等进行自动采集，形成抓拍图片库，监控区域内规范行驶的车辆被记录的图片能看清车辆前部所有特征、车内驾驶员、副驾驶位置情况，还能看清车辆类型和颜色。</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（2）目标特征识别功能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能自动识别机动车号牌，包括号牌颜色、汉字和6位字符。系统应识别GA 36“4”中规定的号牌（摩托车号牌、低速车号牌、临时号牌、拖拉机号牌除外）、新能源号牌、武警汽车号牌和军队汽车号牌等在我国道路上行驶的各类机动车号牌。系统宜具备对车标、车型、车身主体颜色、前排司乘人员面部、衣着基本特征和其它车辆特征的自动识别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能自动识别行人、非机动驾驶员、机动车驾驶员及副驾驶人员人脸并提取供人像识别系统分析。</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（3）图片特征二次识别功能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智能和图片二次分析，能够通过卡口图片二次分析识别出号牌、车身颜色、车标、车型、款式、子型号、车牌、车检标、遮阳板、挂件、摆件等。支持对视频进行结构化摘要，对目标进行人、车物等结构化分类打标签，并提供目标颜色、运动方向、大小等特征信息。</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（4）图像防篡改功能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系统应能对抓拍的图片进行防篡改处理，防止原始图片在传输、存贮和校对过程中被人为篡改，保证数据的合法性和有效性。 </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（5）车辆运行轨迹和卡口通行记录查询功能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应能按照时间、地点、方向、车辆特征对机动车的行驶轨迹和通过某卡口的机动车通行记录进行查询，应能根据通行记录自动关联回放当时的视频录像。</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（6）流量统计功能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系统宜能按车道和时段进行车辆流量的统计。</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（7）数据存储功能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系统应存储全景图像一张和特征小图，系统应具有对车辆信息和图片进行循环覆盖和重要图片锁定备份功能。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（8）车辆布控与撤控功能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应具备车牌号码布控和撤控功能，并符合GA/T 1400.4标准和GB/T28181-2016标准规定的相关接口。</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（9）远程维护功能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应支持对系统前端设备重启、参数设置等远程维护功能。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（10）时钟同步功能</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系统时间应支持时钟同步。</w:t>
      </w:r>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bookmarkStart w:id="20" w:name="_Toc513014295"/>
      <w:bookmarkStart w:id="21" w:name="_Toc520102613"/>
      <w:bookmarkStart w:id="22" w:name="_Toc518732754"/>
      <w:bookmarkStart w:id="23" w:name="_Toc513190280"/>
      <w:bookmarkStart w:id="24" w:name="_Toc514080944"/>
      <w:bookmarkStart w:id="25" w:name="_Toc12513647"/>
      <w:r>
        <w:rPr>
          <w:rFonts w:hint="eastAsia" w:ascii="宋体" w:hAnsi="宋体" w:cs="宋体"/>
          <w:bCs/>
          <w:color w:val="000000" w:themeColor="text1"/>
          <w:sz w:val="24"/>
          <w:highlight w:val="none"/>
          <w14:textFill>
            <w14:solidFill>
              <w14:schemeClr w14:val="tx1"/>
            </w14:solidFill>
          </w14:textFill>
        </w:rPr>
        <w:t>普通人脸</w:t>
      </w:r>
      <w:bookmarkEnd w:id="20"/>
      <w:r>
        <w:rPr>
          <w:rFonts w:hint="eastAsia" w:ascii="宋体" w:hAnsi="宋体" w:cs="宋体"/>
          <w:bCs/>
          <w:color w:val="000000" w:themeColor="text1"/>
          <w:sz w:val="24"/>
          <w:highlight w:val="none"/>
          <w14:textFill>
            <w14:solidFill>
              <w14:schemeClr w14:val="tx1"/>
            </w14:solidFill>
          </w14:textFill>
        </w:rPr>
        <w:t>抓拍</w:t>
      </w:r>
      <w:bookmarkEnd w:id="21"/>
      <w:bookmarkEnd w:id="22"/>
      <w:bookmarkEnd w:id="23"/>
      <w:bookmarkEnd w:id="24"/>
      <w:bookmarkEnd w:id="25"/>
      <w:r>
        <w:rPr>
          <w:rFonts w:hint="eastAsia" w:ascii="宋体" w:hAnsi="宋体" w:cs="宋体"/>
          <w:bCs/>
          <w:color w:val="000000" w:themeColor="text1"/>
          <w:sz w:val="24"/>
          <w:highlight w:val="none"/>
          <w14:textFill>
            <w14:solidFill>
              <w14:schemeClr w14:val="tx1"/>
            </w14:solidFill>
          </w14:textFill>
        </w:rPr>
        <w:t>卡口</w:t>
      </w:r>
    </w:p>
    <w:p>
      <w:pPr>
        <w:pStyle w:val="5"/>
        <w:numPr>
          <w:ilvl w:val="0"/>
          <w:numId w:val="9"/>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系统概述</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系统包含前端人脸抓拍机的建设和后端人脸分析系统，通过人脸智能分析系统，对人脸数据进行建模以及存储，实现黑名单布控、实时报警、以人搜人的实战应用。</w:t>
      </w:r>
    </w:p>
    <w:p>
      <w:pPr>
        <w:pStyle w:val="5"/>
        <w:numPr>
          <w:ilvl w:val="0"/>
          <w:numId w:val="9"/>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环境要求</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实时布控场景布点要求选点满足光照、补光、时间等要求。</w:t>
      </w:r>
    </w:p>
    <w:tbl>
      <w:tblPr>
        <w:tblStyle w:val="27"/>
        <w:tblW w:w="80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0" w:type="dxa"/>
            <w:vAlign w:val="center"/>
          </w:tcPr>
          <w:p>
            <w:pPr>
              <w:adjustRightInd w:val="0"/>
              <w:snapToGrid w:val="0"/>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限制条件</w:t>
            </w:r>
          </w:p>
        </w:tc>
        <w:tc>
          <w:tcPr>
            <w:tcW w:w="6216" w:type="dxa"/>
            <w:vAlign w:val="center"/>
          </w:tcPr>
          <w:p>
            <w:pPr>
              <w:adjustRightInd w:val="0"/>
              <w:snapToGrid w:val="0"/>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详细解释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1880" w:type="dxa"/>
            <w:vAlign w:val="center"/>
          </w:tcPr>
          <w:p>
            <w:pPr>
              <w:adjustRightInd w:val="0"/>
              <w:snapToGrid w:val="0"/>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光照要求</w:t>
            </w:r>
          </w:p>
        </w:tc>
        <w:tc>
          <w:tcPr>
            <w:tcW w:w="6216" w:type="dxa"/>
            <w:vAlign w:val="center"/>
          </w:tcPr>
          <w:p>
            <w:pPr>
              <w:adjustRightInd w:val="0"/>
              <w:snapToGrid w:val="0"/>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1.人脸面部区域正面光照强度100lux及以上</w:t>
            </w:r>
          </w:p>
          <w:p>
            <w:pPr>
              <w:adjustRightInd w:val="0"/>
              <w:snapToGrid w:val="0"/>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2.行人左右侧光照强度差不超过一倍</w:t>
            </w:r>
          </w:p>
          <w:p>
            <w:pPr>
              <w:adjustRightInd w:val="0"/>
              <w:snapToGrid w:val="0"/>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3.行人背面光照强度不超过正面光照强度的两倍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880" w:type="dxa"/>
            <w:vAlign w:val="center"/>
          </w:tcPr>
          <w:p>
            <w:pPr>
              <w:adjustRightInd w:val="0"/>
              <w:snapToGrid w:val="0"/>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补光要求</w:t>
            </w:r>
          </w:p>
        </w:tc>
        <w:tc>
          <w:tcPr>
            <w:tcW w:w="6216" w:type="dxa"/>
            <w:vAlign w:val="center"/>
          </w:tcPr>
          <w:p>
            <w:pPr>
              <w:adjustRightInd w:val="0"/>
              <w:snapToGrid w:val="0"/>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1.避免补光不均匀导致额头高光，眼窝有阴影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1880" w:type="dxa"/>
            <w:vAlign w:val="center"/>
          </w:tcPr>
          <w:p>
            <w:pPr>
              <w:adjustRightInd w:val="0"/>
              <w:snapToGrid w:val="0"/>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时间要求</w:t>
            </w:r>
          </w:p>
        </w:tc>
        <w:tc>
          <w:tcPr>
            <w:tcW w:w="6216" w:type="dxa"/>
            <w:vAlign w:val="center"/>
          </w:tcPr>
          <w:p>
            <w:pPr>
              <w:adjustRightInd w:val="0"/>
              <w:snapToGrid w:val="0"/>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1.白天需要考虑光照随时间变化导致准确率的不同变化</w:t>
            </w:r>
          </w:p>
          <w:p>
            <w:pPr>
              <w:adjustRightInd w:val="0"/>
              <w:snapToGrid w:val="0"/>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2.夜间光线不足或补光不均匀的情况下，需要增加补光设备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880" w:type="dxa"/>
            <w:vAlign w:val="center"/>
          </w:tcPr>
          <w:p>
            <w:pPr>
              <w:adjustRightInd w:val="0"/>
              <w:snapToGrid w:val="0"/>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其他要求</w:t>
            </w:r>
          </w:p>
        </w:tc>
        <w:tc>
          <w:tcPr>
            <w:tcW w:w="6216" w:type="dxa"/>
            <w:vAlign w:val="center"/>
          </w:tcPr>
          <w:p>
            <w:pPr>
              <w:adjustRightInd w:val="0"/>
              <w:snapToGrid w:val="0"/>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避免补光设备直射行人眼睛</w:t>
            </w:r>
          </w:p>
        </w:tc>
      </w:tr>
    </w:tbl>
    <w:p>
      <w:pPr>
        <w:pStyle w:val="5"/>
        <w:numPr>
          <w:ilvl w:val="0"/>
          <w:numId w:val="9"/>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前端部署</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（1）部署架构</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针对具体人员抓拍监控点位的实际情况，摄像机部署于监控立杆，网络传输设备、光纤盒、防雷器、电源等部署于室外智能机箱。前端部署架构图如下图所示：</w:t>
      </w:r>
    </w:p>
    <w:p>
      <w:pPr>
        <w:pStyle w:val="72"/>
        <w:adjustRightInd w:val="0"/>
        <w:snapToGrid w:val="0"/>
        <w:ind w:firstLine="0" w:firstLineChars="0"/>
        <w:jc w:val="center"/>
        <w:rPr>
          <w:rFonts w:ascii="仿宋" w:hAnsi="仿宋"/>
          <w:color w:val="000000" w:themeColor="text1"/>
          <w:highlight w:val="none"/>
          <w14:textFill>
            <w14:solidFill>
              <w14:schemeClr w14:val="tx1"/>
            </w14:solidFill>
          </w14:textFill>
        </w:rPr>
      </w:pPr>
      <w:r>
        <w:rPr>
          <w:rFonts w:ascii="仿宋" w:hAnsi="仿宋"/>
          <w:b/>
          <w:color w:val="000000" w:themeColor="text1"/>
          <w:highlight w:val="none"/>
          <w14:textFill>
            <w14:solidFill>
              <w14:schemeClr w14:val="tx1"/>
            </w14:solidFill>
          </w14:textFill>
        </w:rPr>
        <w:drawing>
          <wp:inline distT="0" distB="0" distL="114300" distR="114300">
            <wp:extent cx="4701540" cy="2251710"/>
            <wp:effectExtent l="0" t="0" r="10160"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7" cstate="print"/>
                    <a:stretch>
                      <a:fillRect/>
                    </a:stretch>
                  </pic:blipFill>
                  <pic:spPr>
                    <a:xfrm>
                      <a:off x="0" y="0"/>
                      <a:ext cx="4701540" cy="2251710"/>
                    </a:xfrm>
                    <a:prstGeom prst="rect">
                      <a:avLst/>
                    </a:prstGeom>
                    <a:noFill/>
                    <a:ln>
                      <a:noFill/>
                    </a:ln>
                  </pic:spPr>
                </pic:pic>
              </a:graphicData>
            </a:graphic>
          </wp:inline>
        </w:drawing>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（2）架设要求</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脸检测需要采集人员的正面照片，在不影响人员通行，且满足点位场景要求范围内的前提下，图像采集设备的架设地点在人员行进路线的前上方为最佳。尽量选择人员流动方向单一的场景，且同时出现在画面中的人员数量越少越好，如能达到每次仅一人出现在场景时为最佳。</w:t>
      </w:r>
    </w:p>
    <w:tbl>
      <w:tblPr>
        <w:tblStyle w:val="27"/>
        <w:tblW w:w="8107"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94"/>
        <w:gridCol w:w="1559"/>
        <w:gridCol w:w="565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894" w:type="dxa"/>
            <w:tcBorders>
              <w:lef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559" w:type="dxa"/>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参数项</w:t>
            </w:r>
          </w:p>
        </w:tc>
        <w:tc>
          <w:tcPr>
            <w:tcW w:w="5654" w:type="dxa"/>
            <w:tcBorders>
              <w:righ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参数要求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62" w:hRule="atLeast"/>
          <w:jc w:val="center"/>
        </w:trPr>
        <w:tc>
          <w:tcPr>
            <w:tcW w:w="894" w:type="dxa"/>
            <w:tcBorders>
              <w:lef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559" w:type="dxa"/>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架设地点</w:t>
            </w:r>
          </w:p>
        </w:tc>
        <w:tc>
          <w:tcPr>
            <w:tcW w:w="5654" w:type="dxa"/>
            <w:tcBorders>
              <w:right w:val="single" w:color="auto" w:sz="4" w:space="0"/>
            </w:tcBorders>
            <w:vAlign w:val="center"/>
          </w:tcPr>
          <w:p>
            <w:pPr>
              <w:spacing w:line="380" w:lineRule="exact"/>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通道类环境最佳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82" w:hRule="atLeast"/>
          <w:jc w:val="center"/>
        </w:trPr>
        <w:tc>
          <w:tcPr>
            <w:tcW w:w="894" w:type="dxa"/>
            <w:tcBorders>
              <w:lef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559" w:type="dxa"/>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架设高度</w:t>
            </w:r>
          </w:p>
        </w:tc>
        <w:tc>
          <w:tcPr>
            <w:tcW w:w="5654" w:type="dxa"/>
            <w:tcBorders>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距地面2.5-3米（摄像机距人4.5米内），距地面3-4.5米（摄像机距人10米内），俯视人脸15-20°以内。</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93" w:hRule="atLeast"/>
          <w:jc w:val="center"/>
        </w:trPr>
        <w:tc>
          <w:tcPr>
            <w:tcW w:w="894" w:type="dxa"/>
            <w:tcBorders>
              <w:lef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559" w:type="dxa"/>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水平距离</w:t>
            </w:r>
          </w:p>
        </w:tc>
        <w:tc>
          <w:tcPr>
            <w:tcW w:w="5654" w:type="dxa"/>
            <w:tcBorders>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摄像头到人脸的距离建议3-10米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60" w:hRule="atLeast"/>
          <w:jc w:val="center"/>
        </w:trPr>
        <w:tc>
          <w:tcPr>
            <w:tcW w:w="894" w:type="dxa"/>
            <w:tcBorders>
              <w:lef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559" w:type="dxa"/>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对焦宽度</w:t>
            </w:r>
          </w:p>
        </w:tc>
        <w:tc>
          <w:tcPr>
            <w:tcW w:w="5654" w:type="dxa"/>
            <w:tcBorders>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地面3-6米宽度，使得监控人脸双眼间距30个像素以上，人脸宽度100像素以上。</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76" w:hRule="atLeast"/>
          <w:jc w:val="center"/>
        </w:trPr>
        <w:tc>
          <w:tcPr>
            <w:tcW w:w="894" w:type="dxa"/>
            <w:tcBorders>
              <w:left w:val="single" w:color="auto" w:sz="4" w:space="0"/>
            </w:tcBorders>
            <w:shd w:val="clear" w:color="auto" w:fill="FFFFFF"/>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559" w:type="dxa"/>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背景要求</w:t>
            </w:r>
          </w:p>
        </w:tc>
        <w:tc>
          <w:tcPr>
            <w:tcW w:w="5654" w:type="dxa"/>
            <w:tcBorders>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背景颜色及图案尽量不要太复杂，单色、浅色为宜，尽量不要有玻璃等强反光物体。</w:t>
            </w:r>
          </w:p>
        </w:tc>
      </w:tr>
    </w:tbl>
    <w:p>
      <w:pPr>
        <w:pStyle w:val="5"/>
        <w:numPr>
          <w:ilvl w:val="0"/>
          <w:numId w:val="9"/>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场景选择</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针对人脸抓拍系统，一般分布在城市的各个角落，一般是重点场所的人员入口通道或者大门位置。实际点位的选取工作非常重要，直接关系到抓拍的实际效果，因此充分考虑布局选点的针对性、关联性以及整体效果。</w:t>
      </w:r>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bookmarkStart w:id="26" w:name="_Toc427737581"/>
      <w:r>
        <w:rPr>
          <w:rFonts w:hint="eastAsia" w:ascii="宋体" w:hAnsi="宋体" w:cs="宋体"/>
          <w:color w:val="000000" w:themeColor="text1"/>
          <w:sz w:val="24"/>
          <w:highlight w:val="none"/>
          <w14:textFill>
            <w14:solidFill>
              <w14:schemeClr w14:val="tx1"/>
            </w14:solidFill>
          </w14:textFill>
        </w:rPr>
        <w:t>（1）交通枢纽</w:t>
      </w:r>
      <w:bookmarkEnd w:id="26"/>
    </w:p>
    <w:p>
      <w:pPr>
        <w:adjustRightInd w:val="0"/>
        <w:snapToGrid w:val="0"/>
        <w:spacing w:line="380" w:lineRule="exact"/>
        <w:ind w:firstLine="56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交通枢纽主要指火车站、汽车站。火车站、汽车站大门、安检门出入口为主。</w:t>
      </w:r>
    </w:p>
    <w:p>
      <w:pPr>
        <w:pStyle w:val="73"/>
        <w:adjustRightInd w:val="0"/>
        <w:snapToGrid w:val="0"/>
        <w:spacing w:before="0" w:after="0"/>
        <w:ind w:firstLine="0" w:firstLineChars="0"/>
        <w:jc w:val="center"/>
        <w:rPr>
          <w:rFonts w:ascii="仿宋" w:hAnsi="仿宋"/>
          <w:color w:val="000000" w:themeColor="text1"/>
          <w:sz w:val="21"/>
          <w:szCs w:val="21"/>
          <w:highlight w:val="none"/>
          <w14:textFill>
            <w14:solidFill>
              <w14:schemeClr w14:val="tx1"/>
            </w14:solidFill>
          </w14:textFill>
        </w:rPr>
      </w:pPr>
      <w:r>
        <w:rPr>
          <w:rFonts w:ascii="仿宋" w:hAnsi="仿宋"/>
          <w:color w:val="000000" w:themeColor="text1"/>
          <w:highlight w:val="none"/>
          <w14:textFill>
            <w14:solidFill>
              <w14:schemeClr w14:val="tx1"/>
            </w14:solidFill>
          </w14:textFill>
        </w:rPr>
        <w:drawing>
          <wp:inline distT="0" distB="0" distL="114300" distR="114300">
            <wp:extent cx="2437130" cy="1381760"/>
            <wp:effectExtent l="0" t="0" r="1270" b="254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8" cstate="print"/>
                    <a:stretch>
                      <a:fillRect/>
                    </a:stretch>
                  </pic:blipFill>
                  <pic:spPr>
                    <a:xfrm>
                      <a:off x="0" y="0"/>
                      <a:ext cx="2437130" cy="1381760"/>
                    </a:xfrm>
                    <a:prstGeom prst="rect">
                      <a:avLst/>
                    </a:prstGeom>
                    <a:noFill/>
                    <a:ln>
                      <a:noFill/>
                    </a:ln>
                  </pic:spPr>
                </pic:pic>
              </a:graphicData>
            </a:graphic>
          </wp:inline>
        </w:drawing>
      </w:r>
      <w:r>
        <w:rPr>
          <w:rFonts w:ascii="仿宋" w:hAnsi="仿宋"/>
          <w:color w:val="000000" w:themeColor="text1"/>
          <w:highlight w:val="none"/>
          <w14:textFill>
            <w14:solidFill>
              <w14:schemeClr w14:val="tx1"/>
            </w14:solidFill>
          </w14:textFill>
        </w:rPr>
        <w:drawing>
          <wp:inline distT="0" distB="0" distL="114300" distR="114300">
            <wp:extent cx="2395855" cy="1381760"/>
            <wp:effectExtent l="0" t="0" r="4445" b="254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9" cstate="print"/>
                    <a:stretch>
                      <a:fillRect/>
                    </a:stretch>
                  </pic:blipFill>
                  <pic:spPr>
                    <a:xfrm>
                      <a:off x="0" y="0"/>
                      <a:ext cx="2395855" cy="1381760"/>
                    </a:xfrm>
                    <a:prstGeom prst="rect">
                      <a:avLst/>
                    </a:prstGeom>
                    <a:solidFill>
                      <a:srgbClr val="45C3DD"/>
                    </a:solidFill>
                    <a:ln>
                      <a:noFill/>
                    </a:ln>
                  </pic:spPr>
                </pic:pic>
              </a:graphicData>
            </a:graphic>
          </wp:inline>
        </w:drawing>
      </w:r>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bookmarkStart w:id="27" w:name="_Toc427737583"/>
      <w:r>
        <w:rPr>
          <w:rFonts w:hint="eastAsia" w:ascii="宋体" w:hAnsi="宋体" w:cs="宋体"/>
          <w:color w:val="000000" w:themeColor="text1"/>
          <w:sz w:val="24"/>
          <w:highlight w:val="none"/>
          <w14:textFill>
            <w14:solidFill>
              <w14:schemeClr w14:val="tx1"/>
            </w14:solidFill>
          </w14:textFill>
        </w:rPr>
        <w:t>（2）商场、超市</w:t>
      </w:r>
      <w:bookmarkEnd w:id="27"/>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商场、超市一般建议安装在进门的门口，扶梯位置的正对面。考虑到宽度问题（最宽2.5米），建议扶梯需要一个扶梯一个相机进行覆盖，一个大门需要一个相机进行覆盖。</w:t>
      </w:r>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bookmarkStart w:id="28" w:name="_Toc427737584"/>
      <w:r>
        <w:rPr>
          <w:rFonts w:hint="eastAsia" w:ascii="宋体" w:hAnsi="宋体" w:cs="宋体"/>
          <w:color w:val="000000" w:themeColor="text1"/>
          <w:sz w:val="24"/>
          <w:highlight w:val="none"/>
          <w14:textFill>
            <w14:solidFill>
              <w14:schemeClr w14:val="tx1"/>
            </w14:solidFill>
          </w14:textFill>
        </w:rPr>
        <w:t>（3）医院</w:t>
      </w:r>
      <w:bookmarkEnd w:id="28"/>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医院一般现在都是人车分流，人脸摄像机架设在人员进入的大门或通道即可。如果没有特定通道，需要选择2.5米宽的道路进行抓拍。</w:t>
      </w:r>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bookmarkStart w:id="29" w:name="_Toc427737585"/>
      <w:r>
        <w:rPr>
          <w:rFonts w:hint="eastAsia" w:ascii="宋体" w:hAnsi="宋体" w:cs="宋体"/>
          <w:color w:val="000000" w:themeColor="text1"/>
          <w:sz w:val="24"/>
          <w:highlight w:val="none"/>
          <w14:textFill>
            <w14:solidFill>
              <w14:schemeClr w14:val="tx1"/>
            </w14:solidFill>
          </w14:textFill>
        </w:rPr>
        <w:t>（4）宾馆</w:t>
      </w:r>
      <w:bookmarkEnd w:id="29"/>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宾馆主要部署在进门或者进电梯间通道的位置。考虑到逆光，优先选择电梯间通道。</w:t>
      </w:r>
    </w:p>
    <w:p>
      <w:pPr>
        <w:pStyle w:val="73"/>
        <w:adjustRightInd w:val="0"/>
        <w:snapToGrid w:val="0"/>
        <w:spacing w:before="0" w:after="0"/>
        <w:ind w:firstLine="0" w:firstLineChars="0"/>
        <w:jc w:val="center"/>
        <w:rPr>
          <w:rFonts w:ascii="仿宋" w:hAnsi="仿宋"/>
          <w:color w:val="000000" w:themeColor="text1"/>
          <w:sz w:val="21"/>
          <w:highlight w:val="none"/>
          <w14:textFill>
            <w14:solidFill>
              <w14:schemeClr w14:val="tx1"/>
            </w14:solidFill>
          </w14:textFill>
        </w:rPr>
      </w:pPr>
      <w:r>
        <w:rPr>
          <w:rFonts w:ascii="仿宋" w:hAnsi="仿宋"/>
          <w:color w:val="000000" w:themeColor="text1"/>
          <w:sz w:val="21"/>
          <w:highlight w:val="none"/>
          <w14:textFill>
            <w14:solidFill>
              <w14:schemeClr w14:val="tx1"/>
            </w14:solidFill>
          </w14:textFill>
        </w:rPr>
        <w:drawing>
          <wp:inline distT="0" distB="0" distL="114300" distR="114300">
            <wp:extent cx="3538855" cy="1689100"/>
            <wp:effectExtent l="0" t="0" r="444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0" cstate="print"/>
                    <a:stretch>
                      <a:fillRect/>
                    </a:stretch>
                  </pic:blipFill>
                  <pic:spPr>
                    <a:xfrm>
                      <a:off x="0" y="0"/>
                      <a:ext cx="3538855" cy="1689100"/>
                    </a:xfrm>
                    <a:prstGeom prst="rect">
                      <a:avLst/>
                    </a:prstGeom>
                    <a:solidFill>
                      <a:srgbClr val="45C3DD"/>
                    </a:solidFill>
                    <a:ln>
                      <a:noFill/>
                    </a:ln>
                  </pic:spPr>
                </pic:pic>
              </a:graphicData>
            </a:graphic>
          </wp:inline>
        </w:drawing>
      </w:r>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bookmarkStart w:id="30" w:name="_Toc427737586"/>
      <w:r>
        <w:rPr>
          <w:rFonts w:hint="eastAsia" w:ascii="宋体" w:hAnsi="宋体" w:cs="宋体"/>
          <w:color w:val="000000" w:themeColor="text1"/>
          <w:sz w:val="24"/>
          <w:highlight w:val="none"/>
          <w14:textFill>
            <w14:solidFill>
              <w14:schemeClr w14:val="tx1"/>
            </w14:solidFill>
          </w14:textFill>
        </w:rPr>
        <w:t>（5）娱乐场所（KTV）</w:t>
      </w:r>
      <w:bookmarkEnd w:id="30"/>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KTV网吧等，由于场所内部光线昏暗，基本不可能。所以需要在前台或者进门位置进行抓拍。</w:t>
      </w:r>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bookmarkStart w:id="31" w:name="_Toc427737587"/>
      <w:r>
        <w:rPr>
          <w:rFonts w:hint="eastAsia" w:ascii="宋体" w:hAnsi="宋体" w:cs="宋体"/>
          <w:color w:val="000000" w:themeColor="text1"/>
          <w:sz w:val="24"/>
          <w:highlight w:val="none"/>
          <w14:textFill>
            <w14:solidFill>
              <w14:schemeClr w14:val="tx1"/>
            </w14:solidFill>
          </w14:textFill>
        </w:rPr>
        <w:t>（6）小区</w:t>
      </w:r>
      <w:bookmarkEnd w:id="31"/>
    </w:p>
    <w:p>
      <w:pPr>
        <w:adjustRightInd w:val="0"/>
        <w:snapToGrid w:val="0"/>
        <w:spacing w:line="38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小区选点主要以小区出入口为主，目标是抓拍到所有进出小区人员的正面人脸。</w:t>
      </w:r>
    </w:p>
    <w:p>
      <w:pPr>
        <w:adjustRightInd w:val="0"/>
        <w:snapToGrid w:val="0"/>
        <w:jc w:val="center"/>
        <w:rPr>
          <w:rFonts w:ascii="仿宋" w:hAnsi="仿宋"/>
          <w:color w:val="000000" w:themeColor="text1"/>
          <w:highlight w:val="none"/>
          <w14:textFill>
            <w14:solidFill>
              <w14:schemeClr w14:val="tx1"/>
            </w14:solidFill>
          </w14:textFill>
        </w:rPr>
      </w:pPr>
      <w:r>
        <w:rPr>
          <w:rFonts w:ascii="仿宋" w:hAnsi="仿宋"/>
          <w:b/>
          <w:color w:val="000000" w:themeColor="text1"/>
          <w:highlight w:val="none"/>
          <w14:textFill>
            <w14:solidFill>
              <w14:schemeClr w14:val="tx1"/>
            </w14:solidFill>
          </w14:textFill>
        </w:rPr>
        <w:drawing>
          <wp:inline distT="0" distB="0" distL="114300" distR="114300">
            <wp:extent cx="1607820" cy="2505710"/>
            <wp:effectExtent l="0" t="0" r="5080" b="889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1" cstate="print"/>
                    <a:stretch>
                      <a:fillRect/>
                    </a:stretch>
                  </pic:blipFill>
                  <pic:spPr>
                    <a:xfrm>
                      <a:off x="0" y="0"/>
                      <a:ext cx="1607820" cy="2505710"/>
                    </a:xfrm>
                    <a:prstGeom prst="rect">
                      <a:avLst/>
                    </a:prstGeom>
                    <a:noFill/>
                    <a:ln>
                      <a:noFill/>
                    </a:ln>
                  </pic:spPr>
                </pic:pic>
              </a:graphicData>
            </a:graphic>
          </wp:inline>
        </w:drawing>
      </w:r>
      <w:r>
        <w:rPr>
          <w:rFonts w:ascii="仿宋" w:hAnsi="仿宋"/>
          <w:b/>
          <w:color w:val="000000" w:themeColor="text1"/>
          <w:highlight w:val="none"/>
          <w14:textFill>
            <w14:solidFill>
              <w14:schemeClr w14:val="tx1"/>
            </w14:solidFill>
          </w14:textFill>
        </w:rPr>
        <w:drawing>
          <wp:inline distT="0" distB="0" distL="114300" distR="114300">
            <wp:extent cx="1706245" cy="2492375"/>
            <wp:effectExtent l="0" t="0" r="8255" b="952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2" cstate="print"/>
                    <a:stretch>
                      <a:fillRect/>
                    </a:stretch>
                  </pic:blipFill>
                  <pic:spPr>
                    <a:xfrm>
                      <a:off x="0" y="0"/>
                      <a:ext cx="1706245" cy="2492375"/>
                    </a:xfrm>
                    <a:prstGeom prst="rect">
                      <a:avLst/>
                    </a:prstGeom>
                    <a:noFill/>
                    <a:ln>
                      <a:noFill/>
                    </a:ln>
                  </pic:spPr>
                </pic:pic>
              </a:graphicData>
            </a:graphic>
          </wp:inline>
        </w:drawing>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bookmarkStart w:id="32" w:name="_Toc427737588"/>
      <w:r>
        <w:rPr>
          <w:rFonts w:hint="eastAsia" w:ascii="宋体" w:hAnsi="宋体" w:cs="宋体"/>
          <w:color w:val="000000" w:themeColor="text1"/>
          <w:sz w:val="24"/>
          <w:highlight w:val="none"/>
          <w14:textFill>
            <w14:solidFill>
              <w14:schemeClr w14:val="tx1"/>
            </w14:solidFill>
          </w14:textFill>
        </w:rPr>
        <w:t>（7）银行</w:t>
      </w:r>
      <w:bookmarkEnd w:id="32"/>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银行选点主要以营业网点出入口、ATM机、理财室进门为主。</w:t>
      </w:r>
    </w:p>
    <w:p>
      <w:pPr>
        <w:numPr>
          <w:ilvl w:val="0"/>
          <w:numId w:val="10"/>
        </w:numPr>
        <w:adjustRightInd w:val="0"/>
        <w:snapToGrid w:val="0"/>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其他重点部位</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警卫目标、反恐重点目标等。</w:t>
      </w:r>
    </w:p>
    <w:p>
      <w:pPr>
        <w:pStyle w:val="5"/>
        <w:numPr>
          <w:ilvl w:val="0"/>
          <w:numId w:val="9"/>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功能需求</w:t>
      </w:r>
    </w:p>
    <w:p>
      <w:pPr>
        <w:pStyle w:val="74"/>
        <w:spacing w:line="380" w:lineRule="exact"/>
        <w:ind w:firstLine="480"/>
        <w:rPr>
          <w:rFonts w:hAnsi="宋体"/>
          <w:color w:val="000000" w:themeColor="text1"/>
          <w:highlight w:val="none"/>
          <w14:textFill>
            <w14:solidFill>
              <w14:schemeClr w14:val="tx1"/>
            </w14:solidFill>
          </w14:textFill>
        </w:rPr>
      </w:pPr>
      <w:bookmarkStart w:id="33" w:name="_Toc354928090"/>
      <w:bookmarkStart w:id="34" w:name="_Toc329347895"/>
      <w:bookmarkStart w:id="35" w:name="_Toc326565318"/>
      <w:r>
        <w:rPr>
          <w:rFonts w:hint="eastAsia" w:hAnsi="宋体"/>
          <w:color w:val="000000" w:themeColor="text1"/>
          <w:highlight w:val="none"/>
          <w14:textFill>
            <w14:solidFill>
              <w14:schemeClr w14:val="tx1"/>
            </w14:solidFill>
          </w14:textFill>
        </w:rPr>
        <w:t>（1）实时视频采集</w:t>
      </w:r>
      <w:bookmarkEnd w:id="33"/>
      <w:bookmarkEnd w:id="34"/>
      <w:bookmarkEnd w:id="35"/>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为满足监控中心实时视频预览和存储录像回放查看的要求，前端人脸摄像机应具备如下功能：</w:t>
      </w:r>
    </w:p>
    <w:p>
      <w:pPr>
        <w:pStyle w:val="74"/>
        <w:widowControl w:val="0"/>
        <w:numPr>
          <w:ilvl w:val="0"/>
          <w:numId w:val="11"/>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能够采集和传输不同分辨率下的昼夜实时视频；</w:t>
      </w:r>
    </w:p>
    <w:p>
      <w:pPr>
        <w:pStyle w:val="74"/>
        <w:widowControl w:val="0"/>
        <w:numPr>
          <w:ilvl w:val="0"/>
          <w:numId w:val="11"/>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支持H.265、H.264视频编码压缩标准；</w:t>
      </w:r>
    </w:p>
    <w:p>
      <w:pPr>
        <w:pStyle w:val="74"/>
        <w:spacing w:line="380" w:lineRule="exact"/>
        <w:ind w:firstLine="480"/>
        <w:rPr>
          <w:rFonts w:hAnsi="宋体"/>
          <w:color w:val="000000" w:themeColor="text1"/>
          <w:highlight w:val="none"/>
          <w14:textFill>
            <w14:solidFill>
              <w14:schemeClr w14:val="tx1"/>
            </w14:solidFill>
          </w14:textFill>
        </w:rPr>
      </w:pPr>
      <w:bookmarkStart w:id="36" w:name="_Toc354928092"/>
      <w:r>
        <w:rPr>
          <w:rFonts w:hint="eastAsia" w:hAnsi="宋体"/>
          <w:color w:val="000000" w:themeColor="text1"/>
          <w:highlight w:val="none"/>
          <w14:textFill>
            <w14:solidFill>
              <w14:schemeClr w14:val="tx1"/>
            </w14:solidFill>
          </w14:textFill>
        </w:rPr>
        <w:t>（2）人脸</w:t>
      </w:r>
      <w:bookmarkEnd w:id="36"/>
      <w:r>
        <w:rPr>
          <w:rFonts w:hint="eastAsia" w:hAnsi="宋体"/>
          <w:color w:val="000000" w:themeColor="text1"/>
          <w:highlight w:val="none"/>
          <w14:textFill>
            <w14:solidFill>
              <w14:schemeClr w14:val="tx1"/>
            </w14:solidFill>
          </w14:textFill>
        </w:rPr>
        <w:t>数据采集</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人脸摄像机应内嵌人脸算法，支持人脸抓拍功能，能够对经过设定区域的行人进行人脸检测和人脸跟踪，利用人脸质量评分算法从人脸轨迹中筛选出一张最优的人脸图像作为该行人的抓拍图像，详细功能如下：</w:t>
      </w:r>
    </w:p>
    <w:p>
      <w:pPr>
        <w:pStyle w:val="74"/>
        <w:widowControl w:val="0"/>
        <w:numPr>
          <w:ilvl w:val="0"/>
          <w:numId w:val="12"/>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支持同时对画面中30个以上的人脸进行检测和抓拍；</w:t>
      </w:r>
    </w:p>
    <w:p>
      <w:pPr>
        <w:pStyle w:val="74"/>
        <w:widowControl w:val="0"/>
        <w:numPr>
          <w:ilvl w:val="0"/>
          <w:numId w:val="12"/>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人脸抓拍率95%以上；准确率95%以上；</w:t>
      </w:r>
    </w:p>
    <w:p>
      <w:pPr>
        <w:pStyle w:val="74"/>
        <w:widowControl w:val="0"/>
        <w:numPr>
          <w:ilvl w:val="0"/>
          <w:numId w:val="12"/>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内置基于人脸的性别分类功能；</w:t>
      </w:r>
    </w:p>
    <w:p>
      <w:pPr>
        <w:pStyle w:val="74"/>
        <w:widowControl w:val="0"/>
        <w:numPr>
          <w:ilvl w:val="0"/>
          <w:numId w:val="12"/>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内置基于人脸的年龄段分类功能；</w:t>
      </w:r>
    </w:p>
    <w:p>
      <w:pPr>
        <w:pStyle w:val="74"/>
        <w:widowControl w:val="0"/>
        <w:numPr>
          <w:ilvl w:val="0"/>
          <w:numId w:val="12"/>
        </w:numPr>
        <w:adjustRightInd w:val="0"/>
        <w:snapToGrid w:val="0"/>
        <w:spacing w:line="380" w:lineRule="exact"/>
        <w:ind w:left="0" w:firstLine="484" w:firstLineChars="202"/>
        <w:jc w:val="both"/>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支持人脸区域自动曝光功能，能够根据外部不同场景以及光照变化自动控制调节曝光参数，确保在逆光等情况下抓拍人脸仍较为清晰。</w:t>
      </w:r>
    </w:p>
    <w:p>
      <w:pPr>
        <w:pStyle w:val="5"/>
        <w:numPr>
          <w:ilvl w:val="0"/>
          <w:numId w:val="9"/>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存储要求</w:t>
      </w:r>
    </w:p>
    <w:p>
      <w:pPr>
        <w:widowControl/>
        <w:spacing w:line="3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人脸视频的存储4Mbps不少于30天(反恐重点部位不少于90天)，视频的存储按照现有天网标准统一存入公安天网视频侦查作战平台。人脸小图和场景照片的存储时间均不少于三个月。</w:t>
      </w:r>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bookmarkStart w:id="37" w:name="_Toc12513648"/>
      <w:bookmarkStart w:id="38" w:name="_Toc518732759"/>
      <w:bookmarkStart w:id="39" w:name="_Toc520102617"/>
      <w:r>
        <w:rPr>
          <w:rFonts w:hint="eastAsia" w:ascii="宋体" w:hAnsi="宋体" w:cs="宋体"/>
          <w:bCs/>
          <w:color w:val="000000" w:themeColor="text1"/>
          <w:sz w:val="24"/>
          <w:highlight w:val="none"/>
          <w14:textFill>
            <w14:solidFill>
              <w14:schemeClr w14:val="tx1"/>
            </w14:solidFill>
          </w14:textFill>
        </w:rPr>
        <w:t>前端设备</w:t>
      </w:r>
      <w:bookmarkEnd w:id="37"/>
      <w:bookmarkEnd w:id="38"/>
      <w:bookmarkEnd w:id="39"/>
      <w:r>
        <w:rPr>
          <w:rFonts w:hint="eastAsia" w:ascii="宋体" w:hAnsi="宋体" w:cs="宋体"/>
          <w:bCs/>
          <w:color w:val="000000" w:themeColor="text1"/>
          <w:sz w:val="24"/>
          <w:highlight w:val="none"/>
          <w14:textFill>
            <w14:solidFill>
              <w14:schemeClr w14:val="tx1"/>
            </w14:solidFill>
          </w14:textFill>
        </w:rPr>
        <w:t>参数</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▲以下设备参数均需提供检测报告或者质量承诺书。</w:t>
      </w:r>
    </w:p>
    <w:p>
      <w:pPr>
        <w:pStyle w:val="5"/>
        <w:numPr>
          <w:ilvl w:val="0"/>
          <w:numId w:val="13"/>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400W视频枪机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▲传感器： CMOS；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▲靶面尺寸：≥1/1.8""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分辨率：2560×1440@25fps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▲照度：彩色:0.0002 Lux,黑白:0.0001 Lux；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视频压缩标准：H.265/H.264/MPEG4/MJPEG</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▲支持全结构化智能解析（性能参数以卡口场景测试为准）：</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同时支持非机动车、行人抓拍功能，白天和晚上捕获率都不低于99%；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支持车牌识别功能，白天和晚上识别率都不低于99%；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支持车型识别功能，白天和晚上识别率都不低于95%；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支持车流量统计功能，白天和晚上车流量统计准确率都不低于99%；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支持驾驶员是否系安全带检测功能，识别准确率≥98%；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支持驾驶员人员检测和抠图功能，其中主驾驶员人脸抠图率≥92%；</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支持识别≥12种车型，包括：大客车、中型客车、大货车、中型货车、小货车、面包车、微型车、轿车、皮卡车、SUV、MPV、公交车；</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支持识别≥13种车身颜色，包括：黑、白、红、绿、蓝、黄、粉、紫、棕、青、金、橙，白天车身颜色识别准确率≥95%;晚上车身颜色识别准确率≥95%；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支持识别≥250种车标；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支持识别≥5种车牌颜色，包括：蓝（小车车牌）、黄（公交车、大货车车牌）、黑（涉外车牌）、白（警用车牌）、绿（新能源车牌）；</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支持人脸抓拍图片可分为场景图和人脸图，场景图和人脸图可关联存储，并可通过IE浏览器或客户端检索并查看存储的图片；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支持通过菜单开启或关闭人脸质量优先抓图功能，当开启时，人脸轨迹中人脸质量分数达到设定值时自动进行人脸抓拍；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支持人脸抓拍图片可分为场景图和人脸图，场景图和人脸图可关联存储，并可通过IE浏览器或客户端检索并查看存储的图片；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支持人脸属性识别功能，包括年龄、 性别、戴眼镜、口罩等多种属性；</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▲内置≥64GB CLASS10以上SD卡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▲含双层护罩、万向节、电源适配器、摄像机内置或者外置防雷模块、防水软管，根据实际场景需求提供对应镜头焦距。</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深度学习算法，硬件采用VPU或者GPU架构，（优先选用，不做强制性参数要求）。</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IP防护等级：≥IP66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功耗：25W max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湿度：10%~90%"</w:t>
      </w:r>
    </w:p>
    <w:p>
      <w:pPr>
        <w:pStyle w:val="5"/>
        <w:numPr>
          <w:ilvl w:val="0"/>
          <w:numId w:val="13"/>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400W视频球机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▲球机像素：≥400W</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传感器元器件 CMOS；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▲内置GPU芯片；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▲靶面尺寸：≥1/1.8”；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▲最低照度彩色：≤0.0002lux,黑白:≤0.0001lux；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视频分辨率：2560×1440@25fps；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焦距：5.6-208mm，37倍光学变倍；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▲支持不少于5路码流同时输出，支持同时输出不少于2路高清视频图像，高清视频图像分辨率与帧率不小于2560×1440@60帧/s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视频压缩标准：H.265/H.264 / MJPEG</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支持动态范围≥106dB，照度适应范围≥135dB;</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具有三种滤光片，在白天、夜晚及有雾情况下可自动切换不同的滤光片进行成像；</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支持不少于500个预置位；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支持自动巡航功能设备可以按照所设置的预置位完成1024条巡航路径，每条巡航路径可以添加64个预置点；在IE浏览器下，具有一键巡航控制按钮，支持一键巡航功能；</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支持设备可按照所设置的轨迹完成1024条模式路径每条路径的最大记录时间应大于16min；</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支持在监视画面上设置40个不规则四边形区域，</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支持快速聚焦功能，分辨率设置为1920*1080，帧率设置为60fps，码率为2Mbps，跟踪行人或机动车等移动目标并录像时，单帧回放录像文件，每1帧画面均应清晰可见；</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▲支持全结构化智能解析（性能参数以卡口场景测试为准）：</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车辆捕获率白天/晚上都不小于99%，支持车牌识别白天/晚上都不小于99%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支持非机动车捕获率白天与夜间均不低于99%；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支持车型识别功能，识别通过监视画面中的机动车车型，包括：轿车、小型轿车、微型车、 客车、中型客车、面包车、大货车、小货车、SUV-MPV、皮卡，共10种，白天识别率99%夜间识别率98%；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支持车牌颜色识别功能，黄、蓝、白、黑、绿（新能源车牌），共5种；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支持车身颜色识别功能，支持车身颜色识别功能，白、灰、黄、粉、紫、绿、 蓝、红、棕、黑，共10种，识别率：≥98%；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支持车辆品标识识别，识别率：白天99%，夜间97%；</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 xml:space="preserve">支持人脸检测功能，可对经过设定区域的行人进行人脸检测，当检测到人脸后，可抓拍人脸图片，并报警上传； </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水平键控速度最大500°/s，垂直键控速度最大120°/s，垂直范围-35°~90°；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红外距离:≥150米；具备较好的电磁兼容性，支持空气放电15KV，接触放电8KV，8KV防浪涌</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防护等级：≥IP66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功耗:60W max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湿度：10%~90%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▲内置≥64GB CLASS10以上SD卡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▲含电源适配器、摄像机内置或者外置防浪涌模块。</w:t>
      </w:r>
    </w:p>
    <w:p>
      <w:pPr>
        <w:pStyle w:val="5"/>
        <w:numPr>
          <w:ilvl w:val="0"/>
          <w:numId w:val="13"/>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900W卡口相机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900万抓拍单元，</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▲传感元器件： GMOS；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▲靶面尺寸：≥1"</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视频分辨率：4096×2160@25fps；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▲照度：彩色:≤0.0002Lux；黑白：≤0.0001；（参数提供检测报告）</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图片分辨率4096*2160、1600*1200、1280*720；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视频压缩支持H.265、H.264、M-JPEG、MPEG4；</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▲设备内置深度学习芯片；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▲支持全结构化智能解析：</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支持SSD存储器，容量支持512G以上；</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▲内置≥128GB CLASS10以上SD卡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支持主、副驾驶人脸检测功能；</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支持车辆捕获功能，白天准确率≥99%，晚上捕获率≥99%；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支持车牌识别功能，白天准确率≥99%，晚上捕获率≥99%；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支持非机动车、行人捕获功能，白天捕获率≥99%，晚上捕获率≥95%；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支持≥13种车身颜色识别，包括：黑、白、灰、红、绿、蓝、黄、粉、紫、棕、青、金、橙，白天准确率99%，晚上准确率95%；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支持对行人和非机动车的人脸检测功能；可对扣取的人脸图片的像素大小、亮度、边框放大倍数进行调节；</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支持前车窗是否有摆件物检测功能；</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支持车身颜色、车型、车标、安全带、开车打电话、年检标志等特征识别；</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支持驾驶员行车时打电话动作的检测，是否打电话检测准确率≥80%；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支持机动车、二轮车、三轮车和行人自动区分，区分准确率≥92%；</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支持危险品车检测功能，识别准确率≥90%；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支持驾驶室人脸抠图功能，主驾驶人脸抠图率不小于98%，副驾驶人脸抠图率不小于95%；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支持包括上身和下身衣服颜色、性别、背包、戴帽子、戴口罩、戴眼镜、年龄段、拎东西等人体特征的识别；</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支持非机动车、行人人体和人脸抠取；</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支持透雾自动切换功能，当检测到雾的浓度达到设定的阈值时，可自动在算法透雾和光学透雾之间进行切换；</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支持同时对行人、非机动车、机动车进行检测、跟踪和抓拍功能，支持人脸、车牌的抠图及人脸与人体、车牌与车辆的关联显示；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在静止场景下，图像质量无明显劣化条件下，设备采用H.264或H.265视频编码方式，当开启智能编码功能后，码流可降低至未开启时的1/30以下；</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外接存储读取速度最高可达15M/s；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支持识别≥车头3000种车辆子品牌，车尾500种车辆子品牌；</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▲内置50mm定焦镜头</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IP防护等级：≥IP66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功耗:53W max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湿度：10%~90%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摄像机（带内置偏振镜）、室外防护罩、内置补光灯、网络防雷器、电源适配器、安装万向节、防水软管等</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▲含内置偏振镜、镀膜玻璃、室外双层防护罩、内置补光灯、网络防雷器、电源适配器、安装万向节、防水软管等</w:t>
      </w:r>
    </w:p>
    <w:p>
      <w:pPr>
        <w:pStyle w:val="5"/>
        <w:numPr>
          <w:ilvl w:val="0"/>
          <w:numId w:val="13"/>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800W人脸抓拍机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▲传感元器件： CMOS智能护罩一体化网络摄像机；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▲靶面尺寸：≥1/1.8”；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▲最低照度彩色：≤0.002lux，黑白:≤0.001lux（参数提供检测报告）；</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▲采用GPU的硬件架构（参数提供检测报告）；</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视频分辨率：≥3840x2160@25fps；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▲内置光学变焦，自动调节光圈及一键聚焦功能；（根据实际场景需求提供对应镜头焦距）</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视频压缩标准：H.265/H.264 / MJPEG；</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需具≥106dB宽动态；</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内置高效阵列灯，可定时开启，最远达30米；</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▲支持单场景同时检出≥30张人脸图片；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▲支持全结构化智能解析：</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抓拍人体：支持上衣颜色、下装颜色、性别、戴眼镜、背包、拎东西、戴帽子、戴口罩、长短袖、裤裙、发型属性识别</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抓拍人脸：支持对运动人脸进行抓拍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抓拍非机动车：支持上衣颜色、性别、戴眼镜、背包、戴帽子、戴口罩、长短袖、发型、骑车类型、骑车人数属性识别</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抓拍机动车：支持车牌识别并抓拍。支持车型、车牌颜色、车身颜色、车牌类型、子品牌车身颜色属性识别</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支持前端人脸建库、布防和比对</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支持混合抓拍模式，可同时对行人、非机动车、机动车进行检测、跟踪及抓拍。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在混合抓拍模式下，支持行人、非机动车和机动车的分类计数。</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在混合抓拍模式下，支持将人脸与人体、车牌与车辆进行关联。</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支持行人、非机动车属性提取</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▲全结构化智能解析性能参数（性能参数以卡口场景测试为准）：</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同时支持非机动车、行人抓拍功能，白天和晚上捕获率都不低于99%；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支持车牌识别功能，白天和晚上识别率都不低于99%；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支持车型识别功能，白天和晚上识别率都不低于95%；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支持车流量统计功能，白天和晚上车流量统计准确率都不低于99%；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可识别≥10种车型，包括轿车、小型轿车、微型轿车、客车、中型客车、面包车、大货车、小货车、SUV-MPV、皮卡。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支持≥11种车身颜色识别，包括：黑、白、灰、红、绿、蓝、黄、粉、紫、棕、青；，白天环境光照度不低于2001x,车身颜色识别率≥95%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车标白天识别准确率≥98%;夜间识别准确率≥95%；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支持区域入侵,物品遗留/搬移,场景变更,徘徊检测,人员聚集,快速移动,停车检测,音频异常检测,虚焦侦测,外部报警,并且可以与报警联动,支持多种触发规则联动动作；</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支持人脸优选抓拍和实时抓拍，开启实时抓拍可对人脸轨迹中每帧进行抓拍，当开启人脸优选功能，能够挑选出人脸轨迹中效果较好的一帧进行抓拍；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支持人脸抓拍图片可分为场景图和人脸图，场景图和人脸图可关联存储，并可通过IE浏览器或客户端检索并查看存储的图片；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防护等级：≥IP66；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▲内置≥64GB CLASS10以上SD卡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功耗:35W max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湿度：10~90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▲含双层护罩、万向节、电源适配器、摄像机内置或者外置防雷模块、防水软管等。</w:t>
      </w:r>
    </w:p>
    <w:p>
      <w:pPr>
        <w:pStyle w:val="5"/>
        <w:numPr>
          <w:ilvl w:val="0"/>
          <w:numId w:val="13"/>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枪球一体机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全景相机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▲传感器类型:CMOS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 xml:space="preserve">▲靶面尺寸：≥1/1.8＂  </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 xml:space="preserve">▲最低照度:彩色:0.001 Lux 黑白:0.0005Lux； </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支持106dB宽动态、透雾、强光抑制、电子防抖、背光补偿</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视频压缩:H.265/H.264/MJPEG，H.264编码支持Baseline/Main/High Profile</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分辨率及帧率:主码流50Hz:25fps(2560×1440) ;60Hz:30fps(2560×1440)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细节相机: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▲图像传感器:CMOS；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▲靶面尺寸：≥1/1.8＂；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▲最低照度:彩色：0.001Lux，黑白:0.0005Lux；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支持106dB宽动态、透雾、强光抑制、电子防抖、背光补偿；</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4倍光学变倍；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水平速度:水平键控速度：0.1°-200°/s,+K4:L4速度可设； 水平预置点速度：300°/s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垂直速度:垂直键控速度：0.1°-120°/s,速度可设； 垂直预置点速度：120°/s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视频压缩:H.265/H.264/MJPEG，H.264编码支持Baseline/Main/High Profile</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分辨率及帧率:主码流50Hz:25fps(2560×1440);60Hz:30fps(2560×1440)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▲支持全结构化智能解析（性能参数以卡口场景测试为准）：</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行人图像捕获率≥99%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车身颜色识别准确率≥99%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车型识别准确率≥99%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非机动车辆图像捕获率≥99%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人体最远检测距离可达40米，人脸最远检测距离可达30米，车辆最远检测距离15米；</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可对监控画面中的机动车、非机动车、行人同时进行检测及抓图，能同时支持对照片中的100个目标进行检测；</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支持人脸检测、人脸属性提取和人脸识别，支持多种人脸抠图方案设置，包括人脸/单寸照/半身/全身；</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支持目标检测：包括人脸、人体和车辆的检测及抓拍，支持人体属性提取；</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支持视频结构化功能：支持机动车抓拍、机动车属性提取，支持非机动车抓拍、非机动车属性提取，支持人体抓拍、人体属性提取，支持人脸抓拍、人脸属性提取；</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支持区域入侵、穿越围栏、徘徊检测、物品遗留、物品搬移、快速移动、停车检测、人员聚集多种行为检测；</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SD卡接口:内置Micro SD卡插槽，支持Micro SD(即TF卡)/Micro SDHC/Micro SDXC卡（最大支持256G）；</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▲内置≥64GB CLASS10以上SD卡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功耗:56W max；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工作温度和湿度:-40℃-70℃；湿度小于90%；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防护等级:IP66。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▲含电源适配器、摄像机内置或者外置防浪涌模块。</w:t>
      </w:r>
    </w:p>
    <w:p>
      <w:pPr>
        <w:pStyle w:val="5"/>
        <w:numPr>
          <w:ilvl w:val="0"/>
          <w:numId w:val="13"/>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高空瞭望球机</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▲球机像素：≥400W</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传感器元器件 CMOS；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▲内置GPU芯片；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▲靶面尺寸：≥1/1.8”；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▲最低照度彩色：≤0.0002lux,黑白:≤0.0001lux；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视频分辨率：2560×1440@25fps；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焦距：5.6-208mm，37倍光学变倍；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▲支持5路码流同时输出，支持同时输出不少于2路高清视频图像，高清视频图像分辨率与帧率不小于2560×1440@60帧/s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视频压缩标准：H.265/H.264 / MJPEG</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支持动态范围≥106dB，照度适应范围≥135dB;</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具有三种滤光片，在白天、夜晚及有雾情况下可自动切换不同的滤光片进行成像；</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支持不少于500个预置位；</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支持自动巡航功能设备可以按照所设置的预置位完成1024条巡航路径，每条巡航路径可以添加64个预置点；在IE浏览器下，具有一键巡航控制按钮，支持一键巡航功能；</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支持设备可按照所设置的轨迹完成1024条模式路径每条路径的最大记录时间应大于16min；</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支持在监视画面上设置40个不规则四边形区域；</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支持快速聚焦功能，分辨率设置为1920*1080，帧率设置为60fps，码率为2Mbps，跟踪行人或机动车等移动目标并录像时，单帧回放录像文件，每1帧画面均应清晰可见；</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▲支持全结构化智能解析（性能参数以卡口场景测试为准）：</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车辆捕获率白天/晚上都不小于99%，支持车牌识别白天/晚上都不小于99%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支持非机动车捕获率白天与夜间均不低于99%；</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支持支持≥10种车型识别功能，识别通过监视画面中的机动车车型，包括：轿车、小型轿车、微型车、 客车、中型客车、面包车、大货车、小货车、SUV-MPV、皮卡，白天识别率99%夜间识别率98%；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支持≥5种车牌颜色识别功能，黄、蓝、白、黑、绿（新能源车牌）；</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支持车身颜色识别功能，支持车身颜色识别功能，白、灰、黄、粉、紫、绿、 蓝、红、棕、黑，共10种，识别率：≥98%；</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支持车辆品标识识别，识别率：白天99%，夜间97%；</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 xml:space="preserve">支持人脸检测功能，可对经过设定区域的行人进行人脸检测，当检测到人脸后，可抓拍人脸图片，并报警上传； </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水平键控速度最大500°/s，垂直键控速度最大120°/s，垂直范围-35°~90°；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红外距离:≥150米；具备较好的电磁兼容性，支持空气放电15KV，接触放电8KV，8KV防浪涌</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防护等级：≥IP66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功耗:60W max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湿度：10%~90%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▲内置≥64GB CLASS10以上SD卡</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▲含电源适配器、摄像机内置或者外置防浪涌模块。</w:t>
      </w:r>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bookmarkStart w:id="40" w:name="_Toc525556579"/>
      <w:bookmarkStart w:id="41" w:name="_Toc523520860"/>
      <w:bookmarkStart w:id="42" w:name="_Toc12513649"/>
      <w:r>
        <w:rPr>
          <w:rFonts w:hint="eastAsia" w:ascii="宋体" w:hAnsi="宋体" w:cs="宋体"/>
          <w:bCs/>
          <w:color w:val="000000" w:themeColor="text1"/>
          <w:sz w:val="24"/>
          <w:highlight w:val="none"/>
          <w14:textFill>
            <w14:solidFill>
              <w14:schemeClr w14:val="tx1"/>
            </w14:solidFill>
          </w14:textFill>
        </w:rPr>
        <w:t>视频存储</w:t>
      </w:r>
    </w:p>
    <w:p>
      <w:pPr>
        <w:pStyle w:val="5"/>
        <w:numPr>
          <w:ilvl w:val="0"/>
          <w:numId w:val="14"/>
        </w:numPr>
        <w:spacing w:line="380" w:lineRule="exact"/>
        <w:rPr>
          <w:rFonts w:ascii="宋体" w:hAnsi="宋体" w:cs="宋体"/>
          <w:color w:val="000000" w:themeColor="text1"/>
          <w:sz w:val="24"/>
          <w:szCs w:val="24"/>
          <w:highlight w:val="none"/>
          <w14:textFill>
            <w14:solidFill>
              <w14:schemeClr w14:val="tx1"/>
            </w14:solidFill>
          </w14:textFill>
        </w:rPr>
      </w:pPr>
      <w:bookmarkStart w:id="43" w:name="_Toc365417074"/>
      <w:r>
        <w:rPr>
          <w:rFonts w:hint="eastAsia" w:ascii="宋体" w:hAnsi="宋体" w:cs="宋体"/>
          <w:color w:val="000000" w:themeColor="text1"/>
          <w:sz w:val="24"/>
          <w:szCs w:val="24"/>
          <w:highlight w:val="none"/>
          <w14:textFill>
            <w14:solidFill>
              <w14:schemeClr w14:val="tx1"/>
            </w14:solidFill>
          </w14:textFill>
        </w:rPr>
        <w:t>系统组成</w:t>
      </w:r>
      <w:bookmarkEnd w:id="43"/>
    </w:p>
    <w:p>
      <w:pPr>
        <w:spacing w:line="380" w:lineRule="exac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1、存储主机+存储存储软件模块</w:t>
      </w:r>
    </w:p>
    <w:p>
      <w:pPr>
        <w:spacing w:line="380" w:lineRule="exac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2、企业级6T硬盘</w:t>
      </w:r>
    </w:p>
    <w:p>
      <w:pPr>
        <w:pStyle w:val="5"/>
        <w:numPr>
          <w:ilvl w:val="0"/>
          <w:numId w:val="14"/>
        </w:numPr>
        <w:spacing w:line="380" w:lineRule="exact"/>
        <w:rPr>
          <w:rFonts w:ascii="宋体" w:hAnsi="宋体" w:cs="宋体"/>
          <w:color w:val="000000" w:themeColor="text1"/>
          <w:sz w:val="24"/>
          <w:szCs w:val="24"/>
          <w:highlight w:val="none"/>
          <w14:textFill>
            <w14:solidFill>
              <w14:schemeClr w14:val="tx1"/>
            </w14:solidFill>
          </w14:textFill>
        </w:rPr>
      </w:pPr>
      <w:bookmarkStart w:id="44" w:name="_Toc365417075"/>
      <w:r>
        <w:rPr>
          <w:rFonts w:hint="eastAsia" w:ascii="宋体" w:hAnsi="宋体" w:cs="宋体"/>
          <w:color w:val="000000" w:themeColor="text1"/>
          <w:sz w:val="24"/>
          <w:szCs w:val="24"/>
          <w:highlight w:val="none"/>
          <w14:textFill>
            <w14:solidFill>
              <w14:schemeClr w14:val="tx1"/>
            </w14:solidFill>
          </w14:textFill>
        </w:rPr>
        <w:t>系统拓扑图</w:t>
      </w:r>
      <w:bookmarkEnd w:id="44"/>
    </w:p>
    <w:p>
      <w:pPr>
        <w:spacing w:line="300" w:lineRule="auto"/>
        <w:rPr>
          <w:rFonts w:ascii="仿宋" w:hAnsi="仿宋"/>
          <w:color w:val="000000" w:themeColor="text1"/>
          <w:sz w:val="22"/>
          <w:szCs w:val="22"/>
          <w:highlight w:val="none"/>
          <w14:textFill>
            <w14:solidFill>
              <w14:schemeClr w14:val="tx1"/>
            </w14:solidFill>
          </w14:textFill>
        </w:rPr>
      </w:pPr>
      <w:r>
        <w:rPr>
          <w:rFonts w:ascii="仿宋" w:hAnsi="仿宋"/>
          <w:b/>
          <w:color w:val="000000" w:themeColor="text1"/>
          <w:sz w:val="22"/>
          <w:szCs w:val="22"/>
          <w:highlight w:val="none"/>
          <w14:textFill>
            <w14:solidFill>
              <w14:schemeClr w14:val="tx1"/>
            </w14:solidFill>
          </w14:textFill>
        </w:rPr>
        <w:drawing>
          <wp:inline distT="0" distB="0" distL="114300" distR="114300">
            <wp:extent cx="5706110" cy="2743200"/>
            <wp:effectExtent l="0" t="0" r="8890" b="0"/>
            <wp:docPr id="44" name="图片 9" descr="说明: TC9TB[XY3}H}X475G3SO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说明: TC9TB[XY3}H}X475G3SOR76"/>
                    <pic:cNvPicPr>
                      <a:picLocks noChangeAspect="1"/>
                    </pic:cNvPicPr>
                  </pic:nvPicPr>
                  <pic:blipFill>
                    <a:blip r:embed="rId13" cstate="print"/>
                    <a:stretch>
                      <a:fillRect/>
                    </a:stretch>
                  </pic:blipFill>
                  <pic:spPr>
                    <a:xfrm>
                      <a:off x="0" y="0"/>
                      <a:ext cx="5706110" cy="2743200"/>
                    </a:xfrm>
                    <a:prstGeom prst="rect">
                      <a:avLst/>
                    </a:prstGeom>
                    <a:noFill/>
                    <a:ln>
                      <a:noFill/>
                    </a:ln>
                  </pic:spPr>
                </pic:pic>
              </a:graphicData>
            </a:graphic>
          </wp:inline>
        </w:drawing>
      </w:r>
    </w:p>
    <w:p>
      <w:pPr>
        <w:pStyle w:val="5"/>
        <w:numPr>
          <w:ilvl w:val="0"/>
          <w:numId w:val="14"/>
        </w:numPr>
        <w:spacing w:line="380" w:lineRule="exact"/>
        <w:rPr>
          <w:rFonts w:ascii="宋体" w:hAnsi="宋体" w:cs="宋体"/>
          <w:color w:val="000000" w:themeColor="text1"/>
          <w:sz w:val="24"/>
          <w:szCs w:val="24"/>
          <w:highlight w:val="none"/>
          <w14:textFill>
            <w14:solidFill>
              <w14:schemeClr w14:val="tx1"/>
            </w14:solidFill>
          </w14:textFill>
        </w:rPr>
      </w:pPr>
      <w:bookmarkStart w:id="45" w:name="_Toc365417076"/>
      <w:r>
        <w:rPr>
          <w:rFonts w:hint="eastAsia" w:ascii="宋体" w:hAnsi="宋体" w:cs="宋体"/>
          <w:color w:val="000000" w:themeColor="text1"/>
          <w:sz w:val="24"/>
          <w:szCs w:val="24"/>
          <w:highlight w:val="none"/>
          <w14:textFill>
            <w14:solidFill>
              <w14:schemeClr w14:val="tx1"/>
            </w14:solidFill>
          </w14:textFill>
        </w:rPr>
        <w:t>系统配置原则</w:t>
      </w:r>
      <w:bookmarkEnd w:id="45"/>
    </w:p>
    <w:p>
      <w:pPr>
        <w:spacing w:line="380" w:lineRule="exac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存储器标配安装24块6T硬盘，总容量为144T，其中3块硬盘热备（2块的空间用于校验），其有效数据存储容量为126T。考虑到硬盘的标称容量和实际使用容量有偏差，格式化应按每个存储实际使用90%计算容量，所以每个存储实际使用的存储空间为113.4T。图片存储按照113.4T计算，录像存储应用时为考虑SSU安全性和临时扩容以及录像冻结，应另外冗余容量。</w:t>
      </w:r>
    </w:p>
    <w:p>
      <w:pPr>
        <w:spacing w:line="380" w:lineRule="exact"/>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▲本项目要求视频录像存储时间不得小于30天，车辆图片存储时间不得小于6个月，过车记录和操作日志存储时间不得小于2年。</w:t>
      </w:r>
    </w:p>
    <w:p>
      <w:pPr>
        <w:pStyle w:val="5"/>
        <w:numPr>
          <w:ilvl w:val="0"/>
          <w:numId w:val="14"/>
        </w:numPr>
        <w:spacing w:line="380" w:lineRule="exact"/>
        <w:rPr>
          <w:rFonts w:ascii="宋体" w:hAnsi="宋体" w:cs="宋体"/>
          <w:color w:val="000000" w:themeColor="text1"/>
          <w:sz w:val="24"/>
          <w:szCs w:val="24"/>
          <w:highlight w:val="none"/>
          <w14:textFill>
            <w14:solidFill>
              <w14:schemeClr w14:val="tx1"/>
            </w14:solidFill>
          </w14:textFill>
        </w:rPr>
      </w:pPr>
      <w:bookmarkStart w:id="46" w:name="_Toc365417077"/>
      <w:r>
        <w:rPr>
          <w:rFonts w:hint="eastAsia" w:ascii="宋体" w:hAnsi="宋体" w:cs="宋体"/>
          <w:color w:val="000000" w:themeColor="text1"/>
          <w:sz w:val="24"/>
          <w:szCs w:val="24"/>
          <w:highlight w:val="none"/>
          <w14:textFill>
            <w14:solidFill>
              <w14:schemeClr w14:val="tx1"/>
            </w14:solidFill>
          </w14:textFill>
        </w:rPr>
        <w:t>系统实现功能</w:t>
      </w:r>
      <w:bookmarkEnd w:id="46"/>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1、存储支持读写属性配置，对于一些突发情况时需要对整台存储进行保护时，可方便配置“只读”属性。对于重要的录像，系统支持冻结功能，防止循环录像时对重要录像数据的覆盖。</w:t>
      </w:r>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前端设备优先直接连接存储进行录像，如果设备直接访问存储不通时，系统将通过媒体转发服务进行录像存储。在用户访问存储的录像时（回放、下载），系统优先选择用户直接连接存储；如果用户和存储之间链路不通，系统将通过媒体转发服务器进行自动路由。</w:t>
      </w:r>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系统具有RAID保护机制，并支持“N+M”集群部署，具有较高的稳定性和可靠性,应具有一定容量的自动冗余备份能力。一旦检测到主用存储故障时，录像将直接切换到备用存储。在主用存储恢复后，重新切换相应录像。</w:t>
      </w:r>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设备正在录像时，如果由于线路或平台的原因导致连接中断。存储设备具有掉电保护功能，掉电时录像数据不会丢失和损坏，恢复供电后能自动进入正常工作状态；支持直写，在与流媒体服务断线情况下能保持存储功能不受影响；避免长期循环复写产生的 文件碎片问题。</w:t>
      </w:r>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系统支持录像在线剪辑功能，用户在可以随意标记和记录感兴趣的录像片段。这些片段可以进行编辑，回放和下载。支持快速定位、回放和下载满足业务应用需求；支持录像锁定/解锁，保障重要数据不被覆盖。存储支持系统统一网管，系统的录像情况、运行状态一目了然。</w:t>
      </w:r>
    </w:p>
    <w:p>
      <w:pPr>
        <w:pStyle w:val="5"/>
        <w:numPr>
          <w:ilvl w:val="0"/>
          <w:numId w:val="14"/>
        </w:numPr>
        <w:spacing w:line="380" w:lineRule="exact"/>
        <w:rPr>
          <w:rFonts w:ascii="宋体" w:hAnsi="宋体" w:cs="宋体"/>
          <w:b w:val="0"/>
          <w:color w:val="000000" w:themeColor="text1"/>
          <w:sz w:val="24"/>
          <w:szCs w:val="24"/>
          <w:highlight w:val="none"/>
          <w14:textFill>
            <w14:solidFill>
              <w14:schemeClr w14:val="tx1"/>
            </w14:solidFill>
          </w14:textFill>
        </w:rPr>
      </w:pPr>
      <w:r>
        <w:rPr>
          <w:rFonts w:hint="eastAsia" w:ascii="宋体" w:hAnsi="宋体" w:cs="宋体"/>
          <w:b w:val="0"/>
          <w:color w:val="000000" w:themeColor="text1"/>
          <w:sz w:val="24"/>
          <w:szCs w:val="24"/>
          <w:highlight w:val="none"/>
          <w14:textFill>
            <w14:solidFill>
              <w14:schemeClr w14:val="tx1"/>
            </w14:solidFill>
          </w14:textFill>
        </w:rPr>
        <w:t>对接要求</w:t>
      </w:r>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▲为保证系统的正常运行，新接入的机架式SSU存储机头必须能与台州市天网工程视频作战侦查平台无缝对接。</w:t>
      </w:r>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视频专网技术要求</w:t>
      </w:r>
    </w:p>
    <w:p>
      <w:pPr>
        <w:pStyle w:val="5"/>
        <w:numPr>
          <w:ilvl w:val="0"/>
          <w:numId w:val="15"/>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网络带宽要求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为降低建设成本和加快建设进度，本次项目所涉光纤链路沿用原链路，由中标方负责与原链路运营商对接并做好前端光端机和后端汇聚交换机部署。</w:t>
      </w:r>
    </w:p>
    <w:p>
      <w:pPr>
        <w:pStyle w:val="5"/>
        <w:numPr>
          <w:ilvl w:val="0"/>
          <w:numId w:val="15"/>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网络传输质量要求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基本要求依据GB28181中的相关内容：</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网络传输协议要求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联网系统网络层应支持 IP 协议，传输层应支持TCP 和UDP 协议。</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媒体传输协议要求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ab/>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视音频流在基于IP的网络上传输时应支持RTP/RTCP协议； 视音频流的数据封装格式应符合标准要求。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信息传输延迟时间</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当信息（包括视音频信息、控制信息及报警信息等）经由 IP 网络传输时，端到端的信息延迟时间（包括发送端信息采集、编码、网络传输、信息接收端解码、显示等过程所经历的时间）应满足下列要求：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前端设备与信号直接接入的监控中心相应设备间端到端的信息延迟时间应不大于2s；</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前端设备与用户终端设备间端到端的信息延迟时间应不大于4s。</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网络传输带宽</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联网系统网络带宽设计应能满足前端设备接入监控中心、监控中心互联、用户终端接入监控中心的带宽要求，并留有余量。</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网络传输质量</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联网系统IP网络的传输质量（如传输时延、包丢失率、包误差率、虚假包率等）应符合如下要求：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网络时延上限值为400ms；</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时延抖动上限值为50ms；</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丢包率上限值为1×10-3；</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包误差率上限值为1×10-4。</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本期建设的高清视频系统拍摄的图片、视频、数据须保证按照业主提供的标准有效接入玉环市公安局指定平台。其中视频、图像、数据通过视频专网汇聚后，集中存储于玉环市公安局指定机房。</w:t>
      </w:r>
    </w:p>
    <w:p>
      <w:pPr>
        <w:pStyle w:val="5"/>
        <w:numPr>
          <w:ilvl w:val="0"/>
          <w:numId w:val="15"/>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前端设备网络安全接入及数据安全要求</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监控设备和系统必须严格遵循《公安信息通信网边界接入平台安全规范》（公科信[2011]5号）接入公安信息网络，数据必须符合公安保密安全要求，数据未经业主同意不能挪作他用。</w:t>
      </w:r>
    </w:p>
    <w:p>
      <w:pPr>
        <w:pStyle w:val="5"/>
        <w:numPr>
          <w:ilvl w:val="0"/>
          <w:numId w:val="15"/>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网络设备清单</w:t>
      </w:r>
    </w:p>
    <w:p>
      <w:pPr>
        <w:keepNext/>
        <w:keepLines/>
        <w:numPr>
          <w:ilvl w:val="3"/>
          <w:numId w:val="16"/>
        </w:numPr>
        <w:tabs>
          <w:tab w:val="left" w:pos="1008"/>
        </w:tabs>
        <w:spacing w:before="280" w:after="290" w:line="380" w:lineRule="exact"/>
        <w:ind w:left="0" w:firstLine="567"/>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1光8电汇聚工业以太网千兆光纤收发器</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▲≥1个个千兆SFP接口</w:t>
      </w:r>
      <w:r>
        <w:rPr>
          <w:rFonts w:hint="eastAsia" w:ascii="宋体" w:hAnsi="宋体" w:cs="宋体"/>
          <w:color w:val="000000" w:themeColor="text1"/>
          <w:sz w:val="24"/>
          <w:highlight w:val="none"/>
          <w14:textFill>
            <w14:solidFill>
              <w14:schemeClr w14:val="tx1"/>
            </w14:solidFill>
          </w14:textFill>
        </w:rPr>
        <w:t>（是否多了一个“个”字）</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8个≥10/100M自适应电口</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▲12V供电</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支持设备端口≥100M不降速可达220米传输，支持多路视频取流</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设备支持基于MAC、802.1x及安防协议（如onvif协议）探测认证等策略进行接入设备安全认证，隔离认证失败设备</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支持冗余端口关闭功能，无设备接入的端口，可关闭，当检测到有设备接入且通过安全评估后启动端口</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支持链路汇聚、IEEE 802.1p、QOS、流量统计、端口镜像、LLDP等功能</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 IGMP Snoopig和GMRP过滤多播封包</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支持视频专用通道，保证视频传输通畅</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支持光链路上下级联</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支持SNMP V1/V2/V3简单网络管理协议</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支持双电源冗余供电，同时具有防反接保护、高可靠的过流/过压保护</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支持无风扇散热，-45~85℃宽温工作</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具备完善的网络诊断功能，具备电源管理、链路状态管理、光器件工作状态监测、数据管理、冗余管理、端口管理、系统日志、支持SNTP简单网络时间协议 </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支持多种配置方式：命令行接口（CLI），SSH、WEB、IVS9100运维管理软件</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支持运维管理平台，能实现设备自发现、自动拓扑功能</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支持一键恢复出厂设置功能。</w:t>
      </w:r>
    </w:p>
    <w:p>
      <w:pPr>
        <w:keepNext/>
        <w:keepLines/>
        <w:numPr>
          <w:ilvl w:val="3"/>
          <w:numId w:val="16"/>
        </w:numPr>
        <w:tabs>
          <w:tab w:val="left" w:pos="1008"/>
        </w:tabs>
        <w:spacing w:before="280" w:after="290" w:line="380" w:lineRule="exact"/>
        <w:ind w:left="0" w:firstLine="567"/>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24口千兆光4口万兆光交换机</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▲交换容量≥336Gbps；包转发率≥126Mpps</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端口类型：24个千兆SFP，4个万兆SFP+ </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▲配置模块化可插拔双电源</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▲支持静态路由、RIP、RIPng、OSPF、OSPFv3</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支持基于源IPv6地址、目的IPv6地址、四层端口、协议类型等ACL</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支持VLAN内组播转发和组播多VLAN复制；支持基于端口的组播流量统计；</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支持IGMP v1/v2/v3、PIM-SM、PIM-DM、PIM-SSM</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支持多个物理端口的流量镜像到一个端口；支持流镜像；支持远程端口镜像（RSPAN）。</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支持对端口入方向、出方向进行速率限制；</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支持报文的802.1p和DSCP优先级重新标记；</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支持基于队列限速和端口整形功能</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支持防止DOS、ARP攻击功能、ICMP防攻击；支持IP、MAC、端口、VLAN的组合绑定；</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▲支持堆叠，主机堆叠数不小于9台</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支持SNMPv1/v2/v3；</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支持网管系统、支持WEB网管特性；</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支持零配置部署</w:t>
      </w:r>
    </w:p>
    <w:p>
      <w:pPr>
        <w:keepNext/>
        <w:keepLines/>
        <w:numPr>
          <w:ilvl w:val="3"/>
          <w:numId w:val="16"/>
        </w:numPr>
        <w:tabs>
          <w:tab w:val="left" w:pos="1008"/>
        </w:tabs>
        <w:spacing w:before="280" w:after="290" w:line="380" w:lineRule="exact"/>
        <w:ind w:left="0" w:firstLine="567"/>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24口千兆光4口万兆光交换机</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▲交换容量≥336Gbps；包转发率≥144Mpps</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端口类型：48个千兆SFP，4个万兆SFP+ </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▲配置模块化可插拔双电源</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▲支持静态路由、RIP、RIPng、OSPF、OSPFv3</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支持基于源IPv6地址、目的IPv6地址、四层端口、协议类型等ACL</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支持VLAN内组播转发和组播多VLAN复制；支持基于端口的组播流量统计；</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支持IGMP v1/v2/v3、PIM-SM、PIM-DM、PIM-SSM</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支持多个物理端口的流量镜像到一个端口；支持流镜像；支持远程端口镜像（RSPAN）。</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支持对端口入方向、出方向进行速率限制；</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支持报文的802.1p和DSCP优先级重新标记；</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支持基于队列限速和端口整形功能</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支持防止DOS、ARP攻击功能、ICMP防攻击；支持IP、MAC、端口、VLAN的组合绑定；</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▲支持堆叠，主机堆叠数不小于9台</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支持SNMPv1/v2/v3；</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支持网管系统、支持WEB网管特性；</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支持零配置部署</w:t>
      </w:r>
    </w:p>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bookmarkStart w:id="47" w:name="_Toc519586799"/>
      <w:bookmarkStart w:id="48" w:name="_Toc501911734"/>
      <w:r>
        <w:rPr>
          <w:rFonts w:hint="eastAsia" w:ascii="宋体" w:hAnsi="宋体" w:cs="宋体"/>
          <w:bCs/>
          <w:color w:val="000000" w:themeColor="text1"/>
          <w:sz w:val="24"/>
          <w:highlight w:val="none"/>
          <w14:textFill>
            <w14:solidFill>
              <w14:schemeClr w14:val="tx1"/>
            </w14:solidFill>
          </w14:textFill>
        </w:rPr>
        <w:t>运营维护服务方案</w:t>
      </w:r>
      <w:bookmarkEnd w:id="47"/>
      <w:bookmarkEnd w:id="48"/>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运营维护服务</w:t>
      </w:r>
      <w:r>
        <w:rPr>
          <w:rFonts w:hint="eastAsia" w:ascii="宋体" w:hAnsi="宋体" w:cs="宋体"/>
          <w:color w:val="000000" w:themeColor="text1"/>
          <w:sz w:val="24"/>
          <w:highlight w:val="none"/>
          <w14:textFill>
            <w14:solidFill>
              <w14:schemeClr w14:val="tx1"/>
            </w14:solidFill>
          </w14:textFill>
        </w:rPr>
        <w:t>需实现对公共安全视频专网的软硬件资产规范化管理，设备运行状态的可视化管理、指标化监测、智能化故障定位和敏感信息识别，视频质量诊断、故障处理工单的电子化流转和统一的考核评价，从而达到提升信息化系统运营效率和管理水平，保障视频资源核心系统的安全、有序、稳定和高效运转。</w:t>
      </w:r>
      <w:r>
        <w:rPr>
          <w:rFonts w:hint="eastAsia" w:ascii="宋体" w:hAnsi="宋体" w:cs="宋体"/>
          <w:color w:val="000000" w:themeColor="text1"/>
          <w:sz w:val="24"/>
          <w:highlight w:val="none"/>
          <w14:textFill>
            <w14:solidFill>
              <w14:schemeClr w14:val="tx1"/>
            </w14:solidFill>
          </w14:textFill>
        </w:rPr>
        <w:t>▲本项目要求提供1年的运营维护服务（自项目验收合格之日起算）。</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bookmarkStart w:id="49" w:name="_Toc519586800"/>
      <w:bookmarkStart w:id="50" w:name="_Toc501911735"/>
      <w:bookmarkStart w:id="51" w:name="_Toc490592264"/>
      <w:r>
        <w:rPr>
          <w:rFonts w:hint="eastAsia" w:ascii="宋体" w:hAnsi="宋体" w:cs="宋体"/>
          <w:bCs/>
          <w:color w:val="000000" w:themeColor="text1"/>
          <w:sz w:val="24"/>
          <w:highlight w:val="none"/>
          <w14:textFill>
            <w14:solidFill>
              <w14:schemeClr w14:val="tx1"/>
            </w14:solidFill>
          </w14:textFill>
        </w:rPr>
        <w:t>总体运维要求</w:t>
      </w:r>
      <w:bookmarkEnd w:id="49"/>
      <w:bookmarkEnd w:id="50"/>
      <w:bookmarkEnd w:id="51"/>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建立完善的运维管理系统、运维团队架构、故障处理流程、电子化工单及考核体系、其他运维相关的业务流程规范和制度的制定等。运维服务目标：</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视频在线率：应达到98%（含）以上；</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卡口在线率：应达到98%（含）以上；</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视频质量完好率：应达到98%（含）以上；</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平台及网络可靠性：应达到99.99%（含）以上；</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一机一档数据准确性：应达到100%。</w:t>
      </w:r>
    </w:p>
    <w:p>
      <w:pPr>
        <w:adjustRightInd w:val="0"/>
        <w:snapToGrid w:val="0"/>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运维响应时间符合省厅、市局的考核要求。提供7*24小时故障电话服务热线。7*24小时响应，故障申告后：1小时内响应，城区范围：1小时到现场，如遇重、特大事故需紧急抢修的，特殊处理。由于自然灾害、不可抗力和人为等引起的故障，由运维服务方提交申请，事件报备，延长修复时限。</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运营维护内容</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（1）系统日常巡检、故障发现和排除；</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（2）系统中设备、线路损坏后的维修和更换；</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（3）系统平台前端数据新增采集、核对、录入、电子地图上所对应的监控点位GPS标点、朝向确认修正；</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（4）重大活动或紧急任务的工作协助，提供全方位的服务；</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（5）采购人指定的其他有关实战需求的监控增、减、移、建杆等服务；</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（6）对运维使用的备品备件清点、管理；及时做好故障件的返修。</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维保内容界定</w:t>
      </w:r>
    </w:p>
    <w:p>
      <w:pPr>
        <w:pStyle w:val="162"/>
        <w:spacing w:line="380" w:lineRule="exact"/>
        <w:ind w:firstLine="709"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本次所采购设备、系统及项目建设成果等。对于前端出现断电或者网络中断现象，中标人应及时给以修复。</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车辆、工具配置要求</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配备专用的施工车辆不少于2辆，所有施工车辆应当配置登高作业的升降平台、车载GPS系统（甲方有权抽查维护作业时的GPS轨迹日志）。另应当配备笔记本电脑，光功率计、测距仪、红光笔等及其他必要的检测、维修工具。</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人员要求</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在玉环常驻不少于6人维保团队，专门为本项目提供服务。中标人从事运维人员名单应与中标人投标文件中人员名单一致。中标人配备的人员应明确项目负责人，其他人员应包含网络工程师、视频监控安装调试专业人员以及电工（以上人员应当具有相应专业的资格证书）。</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维护响应要求</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（1）中标人应提供7*24小时的故障处理和现场技术支持服务。</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（2）中标人应使用采购人指定的监控故障受理平台。中标人在日常巡查中发现的前端设备故障也需在此平台上登记申告。</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人在发现（或接到）故障通知后，3小时内确认故障原因并反馈，故障修复及维保工作应在24小时内完成（遇立杆被破环、道路施工、电力部门引起的停电、下雨等恶劣气象无法进行维修作业以及其他重大故障需要其他非中标人配合完成的除外，但需报告采购人确认签字同意，并应在原因消除后及时修复）。遇到电力故障，中标人应主动协调电力部门并及时抢修；若遇到无法取电的，应会同采购人协调相关单位解决。中标人应及时对故障件进行返修，故障件在双方签字确认后25日内应完成返修，超过25日未完成返修的故障件视作有备件有效，不作为不计入故障运行时间的条件。</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维护的责任和义务</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（1）中标人应每日开展系统巡检，及时发现故障；在发现（或接到）故障通知后的限定时间到达现场，检查并排除故障；</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（2）确系设备损坏等原因无法完全恢复的，应及时提出解决方案，同时写出书面的维修报告，明确期限；</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（3）服务过程中，接受采购人单位的有关规定，随时接受监督；</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（4）服务过程中，应遵守保密规定，不得泄露甲方的系统数据及视频资料；</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（5）服务过程中，若采购人财产被成交方人为损坏后，由中标人按现值赔偿；</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（6）每次维修工作，成交方需详细填写维修单。维修单应包括故障点位、故障时间、故障现象、解决时间、监理意见（如有）等项，并每月整理成报告提交采购人；</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（7）服务过程中，成交方自行提供办公、车辆、维修设备及备品备件存放场所；</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运维管理要求</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（1）日常运维管理要求：</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A、针对前端监控点，制定合理主动维保作业计划，并在完成当月主动维保作业计划后，及时将维保报告送交采购人，采购人确认签字有效。主动维保巡查周期不得低于下表要求：</w:t>
      </w:r>
    </w:p>
    <w:tbl>
      <w:tblPr>
        <w:tblStyle w:val="27"/>
        <w:tblW w:w="9571" w:type="dxa"/>
        <w:tblInd w:w="0" w:type="dxa"/>
        <w:tblLayout w:type="fixed"/>
        <w:tblCellMar>
          <w:top w:w="0" w:type="dxa"/>
          <w:left w:w="108" w:type="dxa"/>
          <w:bottom w:w="0" w:type="dxa"/>
          <w:right w:w="108" w:type="dxa"/>
        </w:tblCellMar>
      </w:tblPr>
      <w:tblGrid>
        <w:gridCol w:w="456"/>
        <w:gridCol w:w="1209"/>
        <w:gridCol w:w="3558"/>
        <w:gridCol w:w="1012"/>
        <w:gridCol w:w="3336"/>
      </w:tblGrid>
      <w:tr>
        <w:tblPrEx>
          <w:tblLayout w:type="fixed"/>
          <w:tblCellMar>
            <w:top w:w="0" w:type="dxa"/>
            <w:left w:w="108" w:type="dxa"/>
            <w:bottom w:w="0" w:type="dxa"/>
            <w:right w:w="108" w:type="dxa"/>
          </w:tblCellMar>
        </w:tblPrEx>
        <w:trPr>
          <w:trHeight w:val="480" w:hRule="atLeast"/>
        </w:trPr>
        <w:tc>
          <w:tcPr>
            <w:tcW w:w="456"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编号</w:t>
            </w:r>
          </w:p>
        </w:tc>
        <w:tc>
          <w:tcPr>
            <w:tcW w:w="1209" w:type="dxa"/>
            <w:tcBorders>
              <w:top w:val="single" w:color="auto" w:sz="4" w:space="0"/>
              <w:left w:val="nil"/>
              <w:bottom w:val="single" w:color="auto" w:sz="4" w:space="0"/>
              <w:right w:val="single" w:color="auto" w:sz="4" w:space="0"/>
            </w:tcBorders>
            <w:vAlign w:val="center"/>
          </w:tcPr>
          <w:p>
            <w:pPr>
              <w:spacing w:line="380" w:lineRule="exac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维保作业项目</w:t>
            </w:r>
          </w:p>
        </w:tc>
        <w:tc>
          <w:tcPr>
            <w:tcW w:w="3558" w:type="dxa"/>
            <w:tcBorders>
              <w:top w:val="single" w:color="auto" w:sz="4" w:space="0"/>
              <w:left w:val="nil"/>
              <w:bottom w:val="single" w:color="auto" w:sz="4" w:space="0"/>
              <w:right w:val="single" w:color="auto" w:sz="4" w:space="0"/>
            </w:tcBorders>
            <w:vAlign w:val="center"/>
          </w:tcPr>
          <w:p>
            <w:pPr>
              <w:spacing w:line="380" w:lineRule="exac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说明</w:t>
            </w:r>
          </w:p>
        </w:tc>
        <w:tc>
          <w:tcPr>
            <w:tcW w:w="1012" w:type="dxa"/>
            <w:tcBorders>
              <w:top w:val="single" w:color="auto" w:sz="4" w:space="0"/>
              <w:left w:val="nil"/>
              <w:bottom w:val="single" w:color="auto" w:sz="4" w:space="0"/>
              <w:right w:val="single" w:color="auto" w:sz="4" w:space="0"/>
            </w:tcBorders>
            <w:vAlign w:val="center"/>
          </w:tcPr>
          <w:p>
            <w:pPr>
              <w:spacing w:line="380" w:lineRule="exac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检查方式</w:t>
            </w:r>
          </w:p>
        </w:tc>
        <w:tc>
          <w:tcPr>
            <w:tcW w:w="3336" w:type="dxa"/>
            <w:tcBorders>
              <w:top w:val="single" w:color="auto" w:sz="4" w:space="0"/>
              <w:left w:val="nil"/>
              <w:bottom w:val="single" w:color="auto" w:sz="4" w:space="0"/>
              <w:right w:val="single" w:color="auto" w:sz="4" w:space="0"/>
            </w:tcBorders>
            <w:vAlign w:val="center"/>
          </w:tcPr>
          <w:p>
            <w:pPr>
              <w:spacing w:line="380" w:lineRule="exac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检查周期</w:t>
            </w:r>
          </w:p>
        </w:tc>
      </w:tr>
      <w:tr>
        <w:tblPrEx>
          <w:tblLayout w:type="fixed"/>
          <w:tblCellMar>
            <w:top w:w="0" w:type="dxa"/>
            <w:left w:w="108" w:type="dxa"/>
            <w:bottom w:w="0" w:type="dxa"/>
            <w:right w:w="108" w:type="dxa"/>
          </w:tblCellMar>
        </w:tblPrEx>
        <w:trPr>
          <w:trHeight w:val="720" w:hRule="atLeast"/>
        </w:trPr>
        <w:tc>
          <w:tcPr>
            <w:tcW w:w="456"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209"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设备安装环境工作状态检查</w:t>
            </w:r>
          </w:p>
        </w:tc>
        <w:tc>
          <w:tcPr>
            <w:tcW w:w="3558"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供电、室内、室外、温度、湿度、防雷接地和电源线路接口检查；设备工作状况，指示灯信息检查</w:t>
            </w:r>
          </w:p>
        </w:tc>
        <w:tc>
          <w:tcPr>
            <w:tcW w:w="1012" w:type="dxa"/>
            <w:tcBorders>
              <w:top w:val="nil"/>
              <w:left w:val="nil"/>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w:t>
            </w:r>
          </w:p>
        </w:tc>
        <w:tc>
          <w:tcPr>
            <w:tcW w:w="3336" w:type="dxa"/>
            <w:tcBorders>
              <w:top w:val="nil"/>
              <w:left w:val="nil"/>
              <w:bottom w:val="single" w:color="auto" w:sz="4" w:space="0"/>
              <w:right w:val="single" w:color="auto" w:sz="4" w:space="0"/>
            </w:tcBorders>
            <w:noWrap/>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每半年</w:t>
            </w:r>
          </w:p>
        </w:tc>
      </w:tr>
      <w:tr>
        <w:tblPrEx>
          <w:tblLayout w:type="fixed"/>
          <w:tblCellMar>
            <w:top w:w="0" w:type="dxa"/>
            <w:left w:w="108" w:type="dxa"/>
            <w:bottom w:w="0" w:type="dxa"/>
            <w:right w:w="108" w:type="dxa"/>
          </w:tblCellMar>
        </w:tblPrEx>
        <w:trPr>
          <w:trHeight w:val="480" w:hRule="atLeast"/>
        </w:trPr>
        <w:tc>
          <w:tcPr>
            <w:tcW w:w="456"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209"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日常清洁工作</w:t>
            </w:r>
          </w:p>
        </w:tc>
        <w:tc>
          <w:tcPr>
            <w:tcW w:w="3558"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清洁箱体内视频服务器，清洁摄像机外罩</w:t>
            </w:r>
          </w:p>
        </w:tc>
        <w:tc>
          <w:tcPr>
            <w:tcW w:w="1012" w:type="dxa"/>
            <w:tcBorders>
              <w:top w:val="nil"/>
              <w:left w:val="nil"/>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w:t>
            </w:r>
          </w:p>
        </w:tc>
        <w:tc>
          <w:tcPr>
            <w:tcW w:w="3336" w:type="dxa"/>
            <w:tcBorders>
              <w:top w:val="nil"/>
              <w:left w:val="nil"/>
              <w:bottom w:val="single" w:color="auto" w:sz="4" w:space="0"/>
              <w:right w:val="single" w:color="auto" w:sz="4" w:space="0"/>
            </w:tcBorders>
            <w:noWrap/>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每半年</w:t>
            </w:r>
          </w:p>
        </w:tc>
      </w:tr>
      <w:tr>
        <w:tblPrEx>
          <w:tblLayout w:type="fixed"/>
          <w:tblCellMar>
            <w:top w:w="0" w:type="dxa"/>
            <w:left w:w="108" w:type="dxa"/>
            <w:bottom w:w="0" w:type="dxa"/>
            <w:right w:w="108" w:type="dxa"/>
          </w:tblCellMar>
        </w:tblPrEx>
        <w:trPr>
          <w:trHeight w:val="480" w:hRule="atLeast"/>
        </w:trPr>
        <w:tc>
          <w:tcPr>
            <w:tcW w:w="456"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209"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日常清洁工作</w:t>
            </w:r>
          </w:p>
        </w:tc>
        <w:tc>
          <w:tcPr>
            <w:tcW w:w="3558"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清洁箱体内视频服务器，清洁摄像机外罩</w:t>
            </w:r>
          </w:p>
        </w:tc>
        <w:tc>
          <w:tcPr>
            <w:tcW w:w="1012" w:type="dxa"/>
            <w:tcBorders>
              <w:top w:val="nil"/>
              <w:left w:val="nil"/>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w:t>
            </w:r>
          </w:p>
        </w:tc>
        <w:tc>
          <w:tcPr>
            <w:tcW w:w="3336" w:type="dxa"/>
            <w:tcBorders>
              <w:top w:val="nil"/>
              <w:left w:val="nil"/>
              <w:bottom w:val="single" w:color="auto" w:sz="4" w:space="0"/>
              <w:right w:val="single" w:color="auto" w:sz="4" w:space="0"/>
            </w:tcBorders>
            <w:noWrap/>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投标人自行制定或采购人申告</w:t>
            </w:r>
          </w:p>
        </w:tc>
      </w:tr>
      <w:tr>
        <w:tblPrEx>
          <w:tblLayout w:type="fixed"/>
          <w:tblCellMar>
            <w:top w:w="0" w:type="dxa"/>
            <w:left w:w="108" w:type="dxa"/>
            <w:bottom w:w="0" w:type="dxa"/>
            <w:right w:w="108" w:type="dxa"/>
          </w:tblCellMar>
        </w:tblPrEx>
        <w:trPr>
          <w:trHeight w:val="480" w:hRule="atLeast"/>
        </w:trPr>
        <w:tc>
          <w:tcPr>
            <w:tcW w:w="456"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209"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报表报告</w:t>
            </w:r>
          </w:p>
        </w:tc>
        <w:tc>
          <w:tcPr>
            <w:tcW w:w="3558"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填写巡检记录、编写客户端巡检报告</w:t>
            </w:r>
          </w:p>
        </w:tc>
        <w:tc>
          <w:tcPr>
            <w:tcW w:w="1012" w:type="dxa"/>
            <w:tcBorders>
              <w:top w:val="nil"/>
              <w:left w:val="nil"/>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w:t>
            </w:r>
          </w:p>
        </w:tc>
        <w:tc>
          <w:tcPr>
            <w:tcW w:w="3336" w:type="dxa"/>
            <w:tcBorders>
              <w:top w:val="nil"/>
              <w:left w:val="nil"/>
              <w:bottom w:val="single" w:color="auto" w:sz="4" w:space="0"/>
              <w:right w:val="single" w:color="auto" w:sz="4" w:space="0"/>
            </w:tcBorders>
            <w:noWrap/>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每月</w:t>
            </w:r>
          </w:p>
        </w:tc>
      </w:tr>
      <w:tr>
        <w:tblPrEx>
          <w:tblLayout w:type="fixed"/>
          <w:tblCellMar>
            <w:top w:w="0" w:type="dxa"/>
            <w:left w:w="108" w:type="dxa"/>
            <w:bottom w:w="0" w:type="dxa"/>
            <w:right w:w="108" w:type="dxa"/>
          </w:tblCellMar>
        </w:tblPrEx>
        <w:trPr>
          <w:trHeight w:val="480" w:hRule="atLeast"/>
        </w:trPr>
        <w:tc>
          <w:tcPr>
            <w:tcW w:w="456"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209"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备件统计</w:t>
            </w:r>
          </w:p>
        </w:tc>
        <w:tc>
          <w:tcPr>
            <w:tcW w:w="3558"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备品备件及维护资料整理</w:t>
            </w:r>
          </w:p>
        </w:tc>
        <w:tc>
          <w:tcPr>
            <w:tcW w:w="1012" w:type="dxa"/>
            <w:tcBorders>
              <w:top w:val="nil"/>
              <w:left w:val="nil"/>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3336" w:type="dxa"/>
            <w:tcBorders>
              <w:top w:val="nil"/>
              <w:left w:val="nil"/>
              <w:bottom w:val="single" w:color="auto" w:sz="4" w:space="0"/>
              <w:right w:val="single" w:color="auto" w:sz="4" w:space="0"/>
            </w:tcBorders>
            <w:noWrap/>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每月</w:t>
            </w:r>
          </w:p>
        </w:tc>
      </w:tr>
      <w:tr>
        <w:tblPrEx>
          <w:tblLayout w:type="fixed"/>
          <w:tblCellMar>
            <w:top w:w="0" w:type="dxa"/>
            <w:left w:w="108" w:type="dxa"/>
            <w:bottom w:w="0" w:type="dxa"/>
            <w:right w:w="108" w:type="dxa"/>
          </w:tblCellMar>
        </w:tblPrEx>
        <w:trPr>
          <w:trHeight w:val="480" w:hRule="atLeast"/>
        </w:trPr>
        <w:tc>
          <w:tcPr>
            <w:tcW w:w="456"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209"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维保统计</w:t>
            </w:r>
          </w:p>
        </w:tc>
        <w:tc>
          <w:tcPr>
            <w:tcW w:w="3558" w:type="dxa"/>
            <w:tcBorders>
              <w:top w:val="nil"/>
              <w:left w:val="nil"/>
              <w:bottom w:val="single" w:color="auto" w:sz="4" w:space="0"/>
              <w:right w:val="single" w:color="auto" w:sz="4" w:space="0"/>
            </w:tcBorders>
            <w:vAlign w:val="center"/>
          </w:tcPr>
          <w:p>
            <w:pPr>
              <w:spacing w:line="38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硬件故障及维保情况统计</w:t>
            </w:r>
          </w:p>
        </w:tc>
        <w:tc>
          <w:tcPr>
            <w:tcW w:w="1012" w:type="dxa"/>
            <w:tcBorders>
              <w:top w:val="nil"/>
              <w:left w:val="nil"/>
              <w:bottom w:val="single" w:color="auto" w:sz="4" w:space="0"/>
              <w:right w:val="single" w:color="auto" w:sz="4" w:space="0"/>
            </w:tcBorders>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3336" w:type="dxa"/>
            <w:tcBorders>
              <w:top w:val="nil"/>
              <w:left w:val="nil"/>
              <w:bottom w:val="single" w:color="auto" w:sz="4" w:space="0"/>
              <w:right w:val="single" w:color="auto" w:sz="4" w:space="0"/>
            </w:tcBorders>
            <w:noWrap/>
            <w:vAlign w:val="center"/>
          </w:tcPr>
          <w:p>
            <w:pPr>
              <w:spacing w:line="3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每月</w:t>
            </w:r>
          </w:p>
        </w:tc>
      </w:tr>
    </w:tbl>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B、每日安排专人负责对视频监控在线情况、画面清晰程度、有无遮挡等情况进行巡检，将维护汇总表单提交招标方，并在规定时限内处理完毕。</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监控点位因城市改造等各类原因需要拆移机的，中标人在接到采购人的通知后，应在8小时内按照有关规定制作预算清单，报采购人确认同意，并在规定时间内完成拆移机，如需立杆的，时限根据实际情况确定。</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（2）紧急保障任务</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A、成交方在接到采购人紧急保障任务时，应无条件全力配合。</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维护绩效</w:t>
      </w:r>
    </w:p>
    <w:p>
      <w:pPr>
        <w:pStyle w:val="2"/>
        <w:spacing w:line="380" w:lineRule="exact"/>
        <w:ind w:firstLine="566" w:firstLineChars="236"/>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运营服务费扣费上限为1年运营维护费总价（每路月运营维护单价*12月*758路）。</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（1）中标人未能每月向采购人提供巡检记录的，扣除当月的运营服务费。</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超过时限确认故障原因的每次每摄像头扣35元。超过要求时限24小时以内修复的按每个摄像头扣除中标人维护费35元，以后每超24小时的以前一次扣费为基准翻倍扣费直至超时超过24*7小时，以后每超过24小时扣2000元；出现超过24小时修复的，整个项目一个月内累计3次以上或三个月内累计6次以上的一次性扣2000元，整个项目一个月内累计10次以上的一次性扣20000元。虚报故障原因以拖延时间的，每发现一次扣1000元。</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（3）中标人未按规定完成主动维保作业计划项目内容的，对未完成维护工作的摄像头每个每月扣除20元维保费。</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（4）采购人通知成交方参与重大活动或紧急任务保障时，成交方未能在采购人规定的时间内完成的，造成重大影响的，按次扣除总服务费的20%。</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（5）本项目的人员、车辆、器械属于本项目专用，在服务期间不得随意变更项目组人员，如需变更需取得采购人书面同意。一经发现随意变更情况，扣除总服务费用的10%，如超过3次，甲方有权终止本项目合同。</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乙方在运维过程中应严格遵守甲方相关网络安全规定，因乙方违规操作发生网络安全事故的（包括但不限于一机两用、违规外联、违规查询、敏感信息泄露、病毒感染传播等情况），每次扣5000元，被上级部门通报的翻倍扣费，造成严重后果的，甲方有权终止本项目合同。</w:t>
      </w:r>
    </w:p>
    <w:p>
      <w:pPr>
        <w:pStyle w:val="162"/>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（7）成交方不能按照合同提供合格的服务，经采购人书面警告后仍未改善的，采购人有权终止合同，并按次扣除服务费的50%及所有的履约保证金。</w:t>
      </w:r>
    </w:p>
    <w:p>
      <w:pPr>
        <w:keepNext/>
        <w:keepLines/>
        <w:numPr>
          <w:ilvl w:val="2"/>
          <w:numId w:val="17"/>
        </w:numPr>
        <w:spacing w:before="260" w:after="260" w:line="380" w:lineRule="exact"/>
        <w:ind w:left="0" w:firstLine="567"/>
        <w:outlineLvl w:val="2"/>
        <w:rPr>
          <w:rFonts w:ascii="宋体" w:hAnsi="宋体" w:cs="宋体"/>
          <w:bCs/>
          <w:color w:val="000000" w:themeColor="text1"/>
          <w:sz w:val="24"/>
          <w:highlight w:val="none"/>
          <w14:textFill>
            <w14:solidFill>
              <w14:schemeClr w14:val="tx1"/>
            </w14:solidFill>
          </w14:textFill>
        </w:rPr>
      </w:pPr>
      <w:bookmarkStart w:id="52" w:name="_Toc437711536"/>
      <w:bookmarkStart w:id="53" w:name="_Toc17"/>
      <w:bookmarkStart w:id="54" w:name="_Toc5597"/>
      <w:bookmarkStart w:id="55" w:name="_Toc481755483"/>
      <w:bookmarkStart w:id="56" w:name="_Toc519586801"/>
      <w:bookmarkStart w:id="57" w:name="_Toc490592265"/>
      <w:bookmarkStart w:id="58" w:name="_Toc481827625"/>
      <w:bookmarkStart w:id="59" w:name="_Toc501911736"/>
      <w:bookmarkStart w:id="60" w:name="_Toc481948803"/>
      <w:r>
        <w:rPr>
          <w:rFonts w:hint="eastAsia" w:ascii="宋体" w:hAnsi="宋体" w:cs="宋体"/>
          <w:bCs/>
          <w:color w:val="000000" w:themeColor="text1"/>
          <w:sz w:val="24"/>
          <w:highlight w:val="none"/>
          <w14:textFill>
            <w14:solidFill>
              <w14:schemeClr w14:val="tx1"/>
            </w14:solidFill>
          </w14:textFill>
        </w:rPr>
        <w:fldChar w:fldCharType="begin"/>
      </w:r>
      <w:r>
        <w:rPr>
          <w:rFonts w:hint="eastAsia" w:ascii="宋体" w:hAnsi="宋体" w:cs="宋体"/>
          <w:bCs/>
          <w:color w:val="000000" w:themeColor="text1"/>
          <w:sz w:val="24"/>
          <w:highlight w:val="none"/>
          <w14:textFill>
            <w14:solidFill>
              <w14:schemeClr w14:val="tx1"/>
            </w14:solidFill>
          </w14:textFill>
        </w:rPr>
        <w:instrText xml:space="preserve">HYPERLINK "C:\\Users\\Documents and Settings\\wxm\\桌面\\招投标目录.doc" \l "_Toc364702324"</w:instrText>
      </w:r>
      <w:r>
        <w:rPr>
          <w:rFonts w:hint="eastAsia" w:ascii="宋体" w:hAnsi="宋体" w:cs="宋体"/>
          <w:bCs/>
          <w:color w:val="000000" w:themeColor="text1"/>
          <w:sz w:val="24"/>
          <w:highlight w:val="none"/>
          <w14:textFill>
            <w14:solidFill>
              <w14:schemeClr w14:val="tx1"/>
            </w14:solidFill>
          </w14:textFill>
        </w:rPr>
        <w:fldChar w:fldCharType="separate"/>
      </w:r>
      <w:bookmarkStart w:id="61" w:name="_Toc481827629"/>
      <w:bookmarkStart w:id="62" w:name="_Toc481755513"/>
      <w:bookmarkStart w:id="63" w:name="_Toc481948807"/>
      <w:bookmarkStart w:id="64" w:name="_Toc501911742"/>
      <w:bookmarkStart w:id="65" w:name="_Toc519586838"/>
      <w:r>
        <w:rPr>
          <w:rFonts w:hint="eastAsia" w:ascii="宋体" w:hAnsi="宋体" w:cs="宋体"/>
          <w:bCs/>
          <w:color w:val="000000" w:themeColor="text1"/>
          <w:sz w:val="24"/>
          <w:highlight w:val="none"/>
          <w14:textFill>
            <w14:solidFill>
              <w14:schemeClr w14:val="tx1"/>
            </w14:solidFill>
          </w14:textFill>
        </w:rPr>
        <w:t>备品备件</w:t>
      </w:r>
      <w:bookmarkEnd w:id="52"/>
      <w:r>
        <w:rPr>
          <w:rFonts w:hint="eastAsia" w:ascii="宋体" w:hAnsi="宋体" w:cs="宋体"/>
          <w:bCs/>
          <w:color w:val="000000" w:themeColor="text1"/>
          <w:sz w:val="24"/>
          <w:highlight w:val="none"/>
          <w14:textFill>
            <w14:solidFill>
              <w14:schemeClr w14:val="tx1"/>
            </w14:solidFill>
          </w14:textFill>
        </w:rPr>
        <w:fldChar w:fldCharType="end"/>
      </w:r>
      <w:bookmarkEnd w:id="53"/>
      <w:bookmarkEnd w:id="54"/>
      <w:bookmarkEnd w:id="61"/>
      <w:bookmarkEnd w:id="62"/>
      <w:bookmarkEnd w:id="63"/>
      <w:r>
        <w:rPr>
          <w:rFonts w:hint="eastAsia" w:ascii="宋体" w:hAnsi="宋体" w:cs="宋体"/>
          <w:bCs/>
          <w:color w:val="000000" w:themeColor="text1"/>
          <w:sz w:val="24"/>
          <w:highlight w:val="none"/>
          <w14:textFill>
            <w14:solidFill>
              <w14:schemeClr w14:val="tx1"/>
            </w14:solidFill>
          </w14:textFill>
        </w:rPr>
        <w:t>要求</w:t>
      </w:r>
      <w:bookmarkEnd w:id="64"/>
      <w:bookmarkEnd w:id="65"/>
    </w:p>
    <w:p>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在5年质保期内，为了顺利达到服务质量目标及应急指挥通信保障行动实施，</w:t>
      </w:r>
      <w:r>
        <w:rPr>
          <w:rFonts w:hint="eastAsia" w:ascii="宋体" w:hAnsi="宋体" w:cs="宋体"/>
          <w:color w:val="000000" w:themeColor="text1"/>
          <w:sz w:val="24"/>
          <w:highlight w:val="none"/>
          <w14:textFill>
            <w14:solidFill>
              <w14:schemeClr w14:val="tx1"/>
            </w14:solidFill>
          </w14:textFill>
        </w:rPr>
        <w:t>设立项目设备备品备件库，数量不得少于投标数量的5%</w:t>
      </w:r>
      <w:r>
        <w:rPr>
          <w:rFonts w:hint="eastAsia" w:ascii="宋体" w:hAnsi="宋体" w:cs="宋体"/>
          <w:color w:val="000000" w:themeColor="text1"/>
          <w:sz w:val="24"/>
          <w:highlight w:val="none"/>
          <w14:textFill>
            <w14:solidFill>
              <w14:schemeClr w14:val="tx1"/>
            </w14:solidFill>
          </w14:textFill>
        </w:rPr>
        <w:t>，且备品备件使用后应立即补充足量。运维监理和采购人可根据运维质量不定期对备品备件库进行抽查以保证运维管理体系正常运行。</w:t>
      </w:r>
    </w:p>
    <w:bookmarkEnd w:id="55"/>
    <w:bookmarkEnd w:id="56"/>
    <w:bookmarkEnd w:id="57"/>
    <w:bookmarkEnd w:id="58"/>
    <w:bookmarkEnd w:id="59"/>
    <w:bookmarkEnd w:id="60"/>
    <w:p>
      <w:pPr>
        <w:keepNext/>
        <w:keepLines/>
        <w:numPr>
          <w:ilvl w:val="0"/>
          <w:numId w:val="6"/>
        </w:numPr>
        <w:spacing w:before="260" w:after="260" w:line="380" w:lineRule="exact"/>
        <w:outlineLvl w:val="1"/>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配套设计</w:t>
      </w:r>
      <w:bookmarkEnd w:id="40"/>
      <w:bookmarkEnd w:id="41"/>
      <w:bookmarkEnd w:id="42"/>
    </w:p>
    <w:p>
      <w:pPr>
        <w:pStyle w:val="5"/>
        <w:numPr>
          <w:ilvl w:val="0"/>
          <w:numId w:val="18"/>
        </w:numPr>
        <w:spacing w:line="380" w:lineRule="exact"/>
        <w:rPr>
          <w:rFonts w:ascii="宋体" w:hAnsi="宋体" w:cs="宋体"/>
          <w:color w:val="000000" w:themeColor="text1"/>
          <w:sz w:val="24"/>
          <w:szCs w:val="24"/>
          <w:highlight w:val="none"/>
          <w14:textFill>
            <w14:solidFill>
              <w14:schemeClr w14:val="tx1"/>
            </w14:solidFill>
          </w14:textFill>
        </w:rPr>
      </w:pPr>
      <w:bookmarkStart w:id="66" w:name="_Toc518985301"/>
      <w:r>
        <w:rPr>
          <w:rFonts w:hint="eastAsia" w:ascii="宋体" w:hAnsi="宋体" w:cs="宋体"/>
          <w:color w:val="000000" w:themeColor="text1"/>
          <w:sz w:val="24"/>
          <w:szCs w:val="24"/>
          <w:highlight w:val="none"/>
          <w14:textFill>
            <w14:solidFill>
              <w14:schemeClr w14:val="tx1"/>
            </w14:solidFill>
          </w14:textFill>
        </w:rPr>
        <w:t>立杆设计</w:t>
      </w:r>
      <w:bookmarkEnd w:id="66"/>
    </w:p>
    <w:p>
      <w:pPr>
        <w:spacing w:line="38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控点根据现场实际情况，可采用立杆安装、抱箍安装、壁挂安装以及吊杆安装等方式。其中抱箍、壁挂支架以及吊杆支架有成套产品，根据现场选择符合要求的产品即可。监控立杆设计需要考虑整体杆件的设计、立杆材质、杆型、焊接工艺、表面处理以及杆体颜色等。</w:t>
      </w:r>
    </w:p>
    <w:p>
      <w:pPr>
        <w:numPr>
          <w:ilvl w:val="0"/>
          <w:numId w:val="19"/>
        </w:numPr>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每个路口根据现场实际情况，确定立杆长度、基础大小和管线长度等，应尽量保证抓拍用摄像头设在抓拍车道的中央上方。</w:t>
      </w:r>
    </w:p>
    <w:p>
      <w:pPr>
        <w:numPr>
          <w:ilvl w:val="0"/>
          <w:numId w:val="19"/>
        </w:numPr>
        <w:spacing w:line="380" w:lineRule="exact"/>
        <w:ind w:left="0" w:firstLine="482"/>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立杆、基础应符合DB33/T502-2018建设标准，立杆的长臂杆高度根据现场实际情况而定，横臂杆长度根据路面宽度而定，整根杆(含基础)及其上配件应能抗台风袭击和行驶车辆的碰撞。立柱、法兰盘、抱箍、抱箍底衬、柱帽、加劲肋及连接螺栓、螺母、垫圈等钢铁件采用热浸镀锌进行防锈处理，所有的对接焊缝和贴角焊缝，其厚度和强度应与被焊构件相等，开口、边角、焊缝应打磨光滑，防止毛刺割伤人体或线材。使用过程中不会倾斜或倒塌。</w:t>
      </w:r>
    </w:p>
    <w:p>
      <w:pPr>
        <w:numPr>
          <w:ilvl w:val="0"/>
          <w:numId w:val="19"/>
        </w:numPr>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根据点位摄像头数量和架设方向的不同采用抱杆、L型、T型和多角立杆。</w:t>
      </w:r>
    </w:p>
    <w:p>
      <w:pPr>
        <w:numPr>
          <w:ilvl w:val="0"/>
          <w:numId w:val="19"/>
        </w:numPr>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没有立杆安装条件的巷口可以设置挑杆或者在非私有建筑的墙面进行安装。</w:t>
      </w:r>
    </w:p>
    <w:p>
      <w:pPr>
        <w:numPr>
          <w:ilvl w:val="0"/>
          <w:numId w:val="19"/>
        </w:numPr>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监控立杆原则上设置在人行道上，部分不具备条件的位置需要设置在绿化带或者线路跨越非机动车道的需要通过道路、绿化部门的审核。</w:t>
      </w:r>
    </w:p>
    <w:p>
      <w:pPr>
        <w:numPr>
          <w:ilvl w:val="0"/>
          <w:numId w:val="19"/>
        </w:numPr>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具体点位根据实地情况选择其他规格的立杆。</w:t>
      </w:r>
    </w:p>
    <w:p>
      <w:pPr>
        <w:autoSpaceDE w:val="0"/>
        <w:autoSpaceDN w:val="0"/>
        <w:spacing w:line="38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在立杆施工前需要做好以下工作：</w:t>
      </w:r>
    </w:p>
    <w:p>
      <w:pPr>
        <w:numPr>
          <w:ilvl w:val="0"/>
          <w:numId w:val="20"/>
        </w:numPr>
        <w:autoSpaceDE w:val="0"/>
        <w:autoSpaceDN w:val="0"/>
        <w:spacing w:line="380" w:lineRule="exact"/>
        <w:ind w:left="0" w:firstLine="482"/>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安装时要做好安全工作，必要时请当地交警协助操作指挥交通；</w:t>
      </w:r>
    </w:p>
    <w:p>
      <w:pPr>
        <w:numPr>
          <w:ilvl w:val="0"/>
          <w:numId w:val="20"/>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准备施工车辆，需要准备可运载杆体的平板货车和5吨以上的起重吊车；</w:t>
      </w:r>
    </w:p>
    <w:p>
      <w:pPr>
        <w:numPr>
          <w:ilvl w:val="0"/>
          <w:numId w:val="20"/>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清理地笼钢挡板上平面的水泥残留物，检查主筋螺纹是否完好、洁净；</w:t>
      </w:r>
    </w:p>
    <w:p>
      <w:pPr>
        <w:numPr>
          <w:ilvl w:val="0"/>
          <w:numId w:val="20"/>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备齐杆体连接用的配件，准备一些杆体抄平用的垫铁；</w:t>
      </w:r>
    </w:p>
    <w:p>
      <w:pPr>
        <w:numPr>
          <w:ilvl w:val="0"/>
          <w:numId w:val="20"/>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备齐专用工具和材料，如扳手、水平尺、钢丝绳、大绳、镀锌铁线等。</w:t>
      </w:r>
    </w:p>
    <w:p>
      <w:pPr>
        <w:autoSpaceDE w:val="0"/>
        <w:autoSpaceDN w:val="0"/>
        <w:spacing w:line="38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立杆时，宜按以下顺序操作：</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把杆体和横臂在地面摆放整齐，杆体底座法兰正对地笼。</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把电缆沿杆体、横臂穿出，在横臂头处预留余量并盘好。</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把杆体与横臂用紧固件连接紧固，安装立杆顶帽。</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用吊车把杆体吊起，并在横臂头处绑一根铁线，在地面需人工调整横臂安装方向。</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把杆体底座法兰坐到地笼法兰盘上，安装地座螺丝、紧固。</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用水平尺测量杆体各方向垂度，在两法兰间塞入垫铁反复调整杆体垂度，使杆体各方向保持与水平面垂直。</w:t>
      </w:r>
    </w:p>
    <w:p>
      <w:pPr>
        <w:numPr>
          <w:ilvl w:val="0"/>
          <w:numId w:val="21"/>
        </w:numPr>
        <w:autoSpaceDE w:val="0"/>
        <w:autoSpaceDN w:val="0"/>
        <w:spacing w:line="380" w:lineRule="exact"/>
        <w:ind w:left="0"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检查底脚螺丝紧固程度。杆体底脚螺丝需用加长杆扳手紧固，不允许有任何松动。</w:t>
      </w:r>
    </w:p>
    <w:p>
      <w:pPr>
        <w:numPr>
          <w:ilvl w:val="0"/>
          <w:numId w:val="21"/>
        </w:numPr>
        <w:autoSpaceDE w:val="0"/>
        <w:autoSpaceDN w:val="0"/>
        <w:spacing w:line="380" w:lineRule="exact"/>
        <w:ind w:left="0" w:firstLine="482"/>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安装立杆检查孔盖。</w:t>
      </w:r>
    </w:p>
    <w:p>
      <w:pPr>
        <w:keepNext/>
        <w:keepLines/>
        <w:numPr>
          <w:ilvl w:val="3"/>
          <w:numId w:val="22"/>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杆件通用参数</w:t>
      </w:r>
    </w:p>
    <w:p>
      <w:pPr>
        <w:numPr>
          <w:ilvl w:val="0"/>
          <w:numId w:val="23"/>
        </w:numPr>
        <w:autoSpaceDE w:val="0"/>
        <w:autoSpaceDN w:val="0"/>
        <w:spacing w:line="380" w:lineRule="exact"/>
        <w:ind w:left="0" w:firstLine="48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立杆装好摄像机后在≤12级风时应不晃动，保障监控输出图像不抖动。</w:t>
      </w:r>
    </w:p>
    <w:p>
      <w:pPr>
        <w:numPr>
          <w:ilvl w:val="0"/>
          <w:numId w:val="23"/>
        </w:numPr>
        <w:autoSpaceDE w:val="0"/>
        <w:autoSpaceDN w:val="0"/>
        <w:spacing w:line="380" w:lineRule="exact"/>
        <w:ind w:left="0" w:firstLine="48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杆件采用Q235材质，焊接应采用自动合缝埋弧焊接，焊缝均匀，连续美观，渗透强，一次成型。</w:t>
      </w:r>
    </w:p>
    <w:p>
      <w:pPr>
        <w:numPr>
          <w:ilvl w:val="0"/>
          <w:numId w:val="23"/>
        </w:numPr>
        <w:autoSpaceDE w:val="0"/>
        <w:autoSpaceDN w:val="0"/>
        <w:spacing w:line="380" w:lineRule="exact"/>
        <w:ind w:left="0" w:firstLine="48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杆件应无锈蚀现象，加工完毕做整体热镀锌处理。镀锌层表面应光滑美观，无褶皱、流坠及锌瘤、起皮、斑点、阴阳面缺陷存在。热镀锌按国家标准，镀锌层厚度应≥85μm，保证20年不锈蚀。</w:t>
      </w:r>
    </w:p>
    <w:p>
      <w:pPr>
        <w:numPr>
          <w:ilvl w:val="0"/>
          <w:numId w:val="23"/>
        </w:numPr>
        <w:autoSpaceDE w:val="0"/>
        <w:autoSpaceDN w:val="0"/>
        <w:spacing w:line="380" w:lineRule="exact"/>
        <w:ind w:left="0" w:firstLine="48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应选取用优质户外塑粉，对已浸锌杆体进行静电喷塑处理，喷塑厚度≥0.5mm，色泽均匀。</w:t>
      </w:r>
    </w:p>
    <w:p>
      <w:pPr>
        <w:numPr>
          <w:ilvl w:val="0"/>
          <w:numId w:val="23"/>
        </w:numPr>
        <w:autoSpaceDE w:val="0"/>
        <w:autoSpaceDN w:val="0"/>
        <w:spacing w:line="380" w:lineRule="exact"/>
        <w:ind w:left="0" w:firstLine="48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立杆的防雷接地电阻应≤10Ω。</w:t>
      </w:r>
    </w:p>
    <w:p>
      <w:pPr>
        <w:numPr>
          <w:ilvl w:val="0"/>
          <w:numId w:val="23"/>
        </w:numPr>
        <w:autoSpaceDE w:val="0"/>
        <w:autoSpaceDN w:val="0"/>
        <w:spacing w:line="380" w:lineRule="exact"/>
        <w:ind w:left="0" w:firstLine="48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立杆底部使用法兰盘/螺栓与基础固定，电源线和光缆从立杆底部进入，底部螺栓、螺丝应使用防腐高强度材料。</w:t>
      </w:r>
    </w:p>
    <w:p>
      <w:pPr>
        <w:keepNext/>
        <w:keepLines/>
        <w:numPr>
          <w:ilvl w:val="3"/>
          <w:numId w:val="22"/>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L型八角锥形杆（高3-4米，挑1-3米）</w:t>
      </w:r>
    </w:p>
    <w:p>
      <w:pPr>
        <w:autoSpaceDE w:val="0"/>
        <w:autoSpaceDN w:val="0"/>
        <w:spacing w:line="380" w:lineRule="exact"/>
        <w:ind w:firstLine="547" w:firstLineChars="228"/>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p>
      <w:pPr>
        <w:keepNext/>
        <w:keepLines/>
        <w:numPr>
          <w:ilvl w:val="3"/>
          <w:numId w:val="22"/>
        </w:numPr>
        <w:tabs>
          <w:tab w:val="left" w:pos="0"/>
        </w:tabs>
        <w:spacing w:before="280" w:after="290" w:line="380" w:lineRule="exact"/>
        <w:ind w:left="0" w:firstLine="426"/>
        <w:outlineLvl w:val="4"/>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L型等径圆杆（高6.5米，挑1-5米）</w:t>
      </w:r>
    </w:p>
    <w:p>
      <w:pPr>
        <w:autoSpaceDE w:val="0"/>
        <w:autoSpaceDN w:val="0"/>
        <w:spacing w:line="380" w:lineRule="exact"/>
        <w:ind w:firstLine="547" w:firstLineChars="228"/>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高6.5米、立杆¢219，壁厚5mm；横臂¢114，壁厚4mm；钢板厚度±0.25mm，横臂焊接导轨，采用热轧钢板、热镀锌喷塑，含基础件6-M22*1200mm。</w:t>
      </w:r>
    </w:p>
    <w:p>
      <w:pPr>
        <w:keepNext/>
        <w:keepLines/>
        <w:numPr>
          <w:ilvl w:val="3"/>
          <w:numId w:val="22"/>
        </w:numPr>
        <w:tabs>
          <w:tab w:val="left" w:pos="0"/>
        </w:tabs>
        <w:spacing w:before="280" w:after="290" w:line="380" w:lineRule="exact"/>
        <w:ind w:left="0" w:firstLine="426"/>
        <w:outlineLvl w:val="4"/>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L型八角杆（高6.5米，挑6-9米）</w:t>
      </w:r>
    </w:p>
    <w:p>
      <w:pPr>
        <w:autoSpaceDE w:val="0"/>
        <w:autoSpaceDN w:val="0"/>
        <w:spacing w:line="380" w:lineRule="exact"/>
        <w:ind w:firstLine="547" w:firstLineChars="228"/>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高6.5米，立杆直径对角320-220，壁厚6mm；横臂直径200-100，壁厚5mm；钢板厚度±0.25mm，横臂焊接导轨，采用热轧钢板、热镀锌喷塑，含基础件8-M24*1500mm。</w:t>
      </w:r>
    </w:p>
    <w:p>
      <w:pPr>
        <w:keepNext/>
        <w:keepLines/>
        <w:numPr>
          <w:ilvl w:val="3"/>
          <w:numId w:val="22"/>
        </w:numPr>
        <w:tabs>
          <w:tab w:val="left" w:pos="0"/>
        </w:tabs>
        <w:spacing w:before="280" w:after="290" w:line="380" w:lineRule="exact"/>
        <w:ind w:left="0" w:firstLine="426"/>
        <w:outlineLvl w:val="4"/>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L型八角杆（高6.5米，挑10-12米）</w:t>
      </w:r>
    </w:p>
    <w:p>
      <w:pPr>
        <w:autoSpaceDE w:val="0"/>
        <w:autoSpaceDN w:val="0"/>
        <w:spacing w:line="380" w:lineRule="exact"/>
        <w:ind w:firstLine="547" w:firstLineChars="228"/>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L型八角杆（高6.5米，立杆直径对角320-280，壁厚8mm；横臂直径240-110，壁厚5mm；钢板厚度±0.25mm，横臂焊接导轨，采用热轧钢板、热镀锌喷塑，含基础件8-M27*1800mm）</w:t>
      </w:r>
    </w:p>
    <w:p>
      <w:pPr>
        <w:keepNext/>
        <w:keepLines/>
        <w:numPr>
          <w:ilvl w:val="3"/>
          <w:numId w:val="22"/>
        </w:numPr>
        <w:tabs>
          <w:tab w:val="left" w:pos="0"/>
        </w:tabs>
        <w:spacing w:before="280" w:after="290" w:line="380" w:lineRule="exact"/>
        <w:ind w:left="0" w:firstLine="426"/>
        <w:outlineLvl w:val="4"/>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特殊杆件</w:t>
      </w:r>
    </w:p>
    <w:p>
      <w:pPr>
        <w:autoSpaceDE w:val="0"/>
        <w:autoSpaceDN w:val="0"/>
        <w:spacing w:line="380" w:lineRule="exact"/>
        <w:ind w:firstLine="547" w:firstLineChars="228"/>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根据规划设计图纸规格进行定制。</w:t>
      </w:r>
    </w:p>
    <w:p>
      <w:pPr>
        <w:pStyle w:val="5"/>
        <w:numPr>
          <w:ilvl w:val="0"/>
          <w:numId w:val="18"/>
        </w:numPr>
        <w:spacing w:line="380" w:lineRule="exact"/>
        <w:rPr>
          <w:rFonts w:ascii="宋体" w:hAnsi="宋体" w:cs="宋体"/>
          <w:color w:val="000000" w:themeColor="text1"/>
          <w:sz w:val="24"/>
          <w:szCs w:val="24"/>
          <w:highlight w:val="none"/>
          <w14:textFill>
            <w14:solidFill>
              <w14:schemeClr w14:val="tx1"/>
            </w14:solidFill>
          </w14:textFill>
        </w:rPr>
      </w:pPr>
      <w:bookmarkStart w:id="67" w:name="_Toc518985302"/>
      <w:r>
        <w:rPr>
          <w:rFonts w:hint="eastAsia" w:ascii="宋体" w:hAnsi="宋体" w:cs="宋体"/>
          <w:color w:val="000000" w:themeColor="text1"/>
          <w:sz w:val="24"/>
          <w:szCs w:val="24"/>
          <w:highlight w:val="none"/>
          <w14:textFill>
            <w14:solidFill>
              <w14:schemeClr w14:val="tx1"/>
            </w14:solidFill>
          </w14:textFill>
        </w:rPr>
        <w:t>立杆基础设计</w:t>
      </w:r>
      <w:bookmarkEnd w:id="67"/>
    </w:p>
    <w:p>
      <w:pPr>
        <w:spacing w:line="380" w:lineRule="exact"/>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立杆基础灌筑技术指标如下：</w:t>
      </w:r>
    </w:p>
    <w:p>
      <w:pPr>
        <w:spacing w:line="380" w:lineRule="exact"/>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（1）4米基础深度应至少达到1200mm，6米基础深度应至少达到1800mm；</w:t>
      </w:r>
    </w:p>
    <w:p>
      <w:pPr>
        <w:spacing w:line="380" w:lineRule="exact"/>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（2）底部直径应≥1m；</w:t>
      </w:r>
    </w:p>
    <w:p>
      <w:pPr>
        <w:spacing w:line="380" w:lineRule="exact"/>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（3）基础中心放入直径25mm/PE管，与过渡窨井相连；</w:t>
      </w:r>
    </w:p>
    <w:p>
      <w:pPr>
        <w:spacing w:line="380" w:lineRule="exact"/>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（4）基础采用商砼C25灌筑；</w:t>
      </w:r>
    </w:p>
    <w:p>
      <w:pPr>
        <w:spacing w:line="380" w:lineRule="exact"/>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（5）混凝土养护时间，不宜少于28天，具体参照《水工混凝土施工规范》（5144-2001）《水泥混凝土路面施工技术规范》（JTGF30-2003）、《混凝土结构工程施工及验收规范》（GB50204-92）。</w:t>
      </w:r>
    </w:p>
    <w:p>
      <w:pPr>
        <w:pStyle w:val="72"/>
        <w:ind w:firstLine="0" w:firstLineChars="0"/>
        <w:jc w:val="center"/>
        <w:rPr>
          <w:rFonts w:ascii="仿宋" w:hAnsi="仿宋"/>
          <w:color w:val="000000" w:themeColor="text1"/>
          <w:szCs w:val="21"/>
          <w:highlight w:val="none"/>
          <w14:textFill>
            <w14:solidFill>
              <w14:schemeClr w14:val="tx1"/>
            </w14:solidFill>
          </w14:textFill>
        </w:rPr>
      </w:pPr>
      <w:r>
        <w:rPr>
          <w:rFonts w:ascii="仿宋" w:hAnsi="仿宋"/>
          <w:b/>
          <w:color w:val="000000" w:themeColor="text1"/>
          <w:szCs w:val="21"/>
          <w:highlight w:val="none"/>
          <w14:textFill>
            <w14:solidFill>
              <w14:schemeClr w14:val="tx1"/>
            </w14:solidFill>
          </w14:textFill>
        </w:rPr>
        <w:drawing>
          <wp:inline distT="0" distB="0" distL="114300" distR="114300">
            <wp:extent cx="3735070" cy="4834255"/>
            <wp:effectExtent l="0" t="0" r="11430" b="4445"/>
            <wp:docPr id="38" name="图片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111"/>
                    <pic:cNvPicPr>
                      <a:picLocks noChangeAspect="1"/>
                    </pic:cNvPicPr>
                  </pic:nvPicPr>
                  <pic:blipFill>
                    <a:blip r:embed="rId14" cstate="print"/>
                    <a:stretch>
                      <a:fillRect/>
                    </a:stretch>
                  </pic:blipFill>
                  <pic:spPr>
                    <a:xfrm>
                      <a:off x="0" y="0"/>
                      <a:ext cx="3735070" cy="4834255"/>
                    </a:xfrm>
                    <a:prstGeom prst="rect">
                      <a:avLst/>
                    </a:prstGeom>
                    <a:noFill/>
                    <a:ln>
                      <a:noFill/>
                    </a:ln>
                  </pic:spPr>
                </pic:pic>
              </a:graphicData>
            </a:graphic>
          </wp:inline>
        </w:drawing>
      </w:r>
    </w:p>
    <w:p>
      <w:pPr>
        <w:pStyle w:val="13"/>
        <w:ind w:firstLine="480"/>
        <w:rPr>
          <w:rFonts w:ascii="仿宋" w:hAnsi="仿宋" w:eastAsia="宋体"/>
          <w:color w:val="000000" w:themeColor="text1"/>
          <w:sz w:val="21"/>
          <w:szCs w:val="21"/>
          <w:highlight w:val="none"/>
          <w14:textFill>
            <w14:solidFill>
              <w14:schemeClr w14:val="tx1"/>
            </w14:solidFill>
          </w14:textFill>
        </w:rPr>
      </w:pPr>
      <w:r>
        <w:rPr>
          <w:rFonts w:ascii="仿宋" w:hAnsi="仿宋" w:eastAsia="宋体"/>
          <w:color w:val="000000" w:themeColor="text1"/>
          <w:sz w:val="21"/>
          <w:szCs w:val="21"/>
          <w:highlight w:val="none"/>
          <w14:textFill>
            <w14:solidFill>
              <w14:schemeClr w14:val="tx1"/>
            </w14:solidFill>
          </w14:textFill>
        </w:rPr>
        <w:t>前端设备及基础剖面图</w:t>
      </w:r>
    </w:p>
    <w:p>
      <w:pPr>
        <w:pStyle w:val="72"/>
        <w:ind w:firstLine="0" w:firstLineChars="0"/>
        <w:jc w:val="center"/>
        <w:rPr>
          <w:rFonts w:ascii="仿宋" w:hAnsi="仿宋"/>
          <w:color w:val="000000" w:themeColor="text1"/>
          <w:szCs w:val="21"/>
          <w:highlight w:val="none"/>
          <w14:textFill>
            <w14:solidFill>
              <w14:schemeClr w14:val="tx1"/>
            </w14:solidFill>
          </w14:textFill>
        </w:rPr>
      </w:pPr>
      <w:r>
        <w:rPr>
          <w:rFonts w:ascii="仿宋" w:hAnsi="仿宋"/>
          <w:b/>
          <w:color w:val="000000" w:themeColor="text1"/>
          <w:szCs w:val="21"/>
          <w:highlight w:val="none"/>
          <w14:textFill>
            <w14:solidFill>
              <w14:schemeClr w14:val="tx1"/>
            </w14:solidFill>
          </w14:textFill>
        </w:rPr>
        <w:drawing>
          <wp:inline distT="0" distB="0" distL="114300" distR="114300">
            <wp:extent cx="3492500" cy="2092325"/>
            <wp:effectExtent l="0" t="0" r="0" b="317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5" cstate="print"/>
                    <a:stretch>
                      <a:fillRect/>
                    </a:stretch>
                  </pic:blipFill>
                  <pic:spPr>
                    <a:xfrm>
                      <a:off x="0" y="0"/>
                      <a:ext cx="3492500" cy="2092325"/>
                    </a:xfrm>
                    <a:prstGeom prst="rect">
                      <a:avLst/>
                    </a:prstGeom>
                    <a:noFill/>
                    <a:ln>
                      <a:noFill/>
                    </a:ln>
                  </pic:spPr>
                </pic:pic>
              </a:graphicData>
            </a:graphic>
          </wp:inline>
        </w:drawing>
      </w:r>
    </w:p>
    <w:p>
      <w:pPr>
        <w:pStyle w:val="13"/>
        <w:ind w:firstLine="480"/>
        <w:rPr>
          <w:rFonts w:ascii="仿宋" w:hAnsi="仿宋" w:eastAsia="宋体"/>
          <w:color w:val="000000" w:themeColor="text1"/>
          <w:sz w:val="21"/>
          <w:szCs w:val="21"/>
          <w:highlight w:val="none"/>
          <w14:textFill>
            <w14:solidFill>
              <w14:schemeClr w14:val="tx1"/>
            </w14:solidFill>
          </w14:textFill>
        </w:rPr>
      </w:pPr>
      <w:r>
        <w:rPr>
          <w:rFonts w:ascii="仿宋" w:hAnsi="仿宋" w:eastAsia="宋体"/>
          <w:color w:val="000000" w:themeColor="text1"/>
          <w:sz w:val="21"/>
          <w:szCs w:val="21"/>
          <w:highlight w:val="none"/>
          <w14:textFill>
            <w14:solidFill>
              <w14:schemeClr w14:val="tx1"/>
            </w14:solidFill>
          </w14:textFill>
        </w:rPr>
        <w:t>钢筋笼大样图</w:t>
      </w:r>
    </w:p>
    <w:p>
      <w:pPr>
        <w:pStyle w:val="5"/>
        <w:numPr>
          <w:ilvl w:val="0"/>
          <w:numId w:val="24"/>
        </w:numPr>
        <w:spacing w:line="380" w:lineRule="exact"/>
        <w:rPr>
          <w:rFonts w:ascii="仿宋" w:hAnsi="仿宋"/>
          <w:color w:val="000000" w:themeColor="text1"/>
          <w:sz w:val="24"/>
          <w:szCs w:val="24"/>
          <w:highlight w:val="none"/>
          <w14:textFill>
            <w14:solidFill>
              <w14:schemeClr w14:val="tx1"/>
            </w14:solidFill>
          </w14:textFill>
        </w:rPr>
      </w:pPr>
      <w:bookmarkStart w:id="68" w:name="_Toc501911695"/>
      <w:bookmarkStart w:id="69" w:name="_Toc430108821"/>
      <w:bookmarkStart w:id="70" w:name="_Toc519586719"/>
      <w:bookmarkStart w:id="71" w:name="_Toc518985303"/>
      <w:r>
        <w:rPr>
          <w:rFonts w:hint="eastAsia" w:ascii="仿宋" w:hAnsi="仿宋"/>
          <w:color w:val="000000" w:themeColor="text1"/>
          <w:sz w:val="24"/>
          <w:szCs w:val="24"/>
          <w:highlight w:val="none"/>
          <w14:textFill>
            <w14:solidFill>
              <w14:schemeClr w14:val="tx1"/>
            </w14:solidFill>
          </w14:textFill>
        </w:rPr>
        <w:t>智能机箱设计</w:t>
      </w:r>
      <w:bookmarkEnd w:id="68"/>
      <w:bookmarkEnd w:id="69"/>
      <w:bookmarkEnd w:id="70"/>
    </w:p>
    <w:p>
      <w:pPr>
        <w:spacing w:line="380" w:lineRule="exact"/>
        <w:ind w:firstLine="480"/>
        <w:rPr>
          <w:rFonts w:ascii="仿宋" w:hAnsi="仿宋"/>
          <w:color w:val="000000" w:themeColor="text1"/>
          <w:sz w:val="24"/>
          <w:highlight w:val="none"/>
          <w14:textFill>
            <w14:solidFill>
              <w14:schemeClr w14:val="tx1"/>
            </w14:solidFill>
          </w14:textFill>
        </w:rPr>
      </w:pPr>
      <w:r>
        <w:rPr>
          <w:rFonts w:hint="eastAsia" w:ascii="仿宋" w:hAnsi="仿宋"/>
          <w:color w:val="000000" w:themeColor="text1"/>
          <w:sz w:val="24"/>
          <w:highlight w:val="none"/>
          <w14:textFill>
            <w14:solidFill>
              <w14:schemeClr w14:val="tx1"/>
            </w14:solidFill>
          </w14:textFill>
        </w:rPr>
        <w:t>通过对运行维护需求、玉环市地理环境和气候、安全性、稳定性的分析，</w:t>
      </w:r>
      <w:r>
        <w:rPr>
          <w:rFonts w:hint="eastAsia" w:ascii="仿宋" w:hAnsi="仿宋"/>
          <w:color w:val="000000" w:themeColor="text1"/>
          <w:sz w:val="24"/>
          <w:highlight w:val="none"/>
          <w14:textFill>
            <w14:solidFill>
              <w14:schemeClr w14:val="tx1"/>
            </w14:solidFill>
          </w14:textFill>
        </w:rPr>
        <w:t>本期的所有建设点位均采用智能机箱</w:t>
      </w:r>
      <w:r>
        <w:rPr>
          <w:rFonts w:hint="eastAsia" w:ascii="仿宋" w:hAnsi="仿宋"/>
          <w:color w:val="000000" w:themeColor="text1"/>
          <w:sz w:val="24"/>
          <w:highlight w:val="none"/>
          <w14:textFill>
            <w14:solidFill>
              <w14:schemeClr w14:val="tx1"/>
            </w14:solidFill>
          </w14:textFill>
        </w:rPr>
        <w:t>。箱体内部应提供智能控制模块、防雷模块、绕纤盘、接地铜排，预留网络设备放置空间。应根据各监控点位摄像机数量和其他接入设备要求，配置防雷模块（电源、网络）、插座以及其他配套模块。</w:t>
      </w:r>
    </w:p>
    <w:p>
      <w:pPr>
        <w:keepNext/>
        <w:keepLines/>
        <w:numPr>
          <w:ilvl w:val="3"/>
          <w:numId w:val="25"/>
        </w:numPr>
        <w:tabs>
          <w:tab w:val="left" w:pos="0"/>
        </w:tabs>
        <w:spacing w:before="280" w:after="290" w:line="380" w:lineRule="exact"/>
        <w:outlineLvl w:val="4"/>
        <w:rPr>
          <w:rFonts w:ascii="仿宋" w:hAnsi="仿宋"/>
          <w:bCs/>
          <w:color w:val="000000" w:themeColor="text1"/>
          <w:sz w:val="24"/>
          <w:highlight w:val="none"/>
          <w14:textFill>
            <w14:solidFill>
              <w14:schemeClr w14:val="tx1"/>
            </w14:solidFill>
          </w14:textFill>
        </w:rPr>
      </w:pPr>
      <w:r>
        <w:rPr>
          <w:rFonts w:hint="eastAsia" w:ascii="仿宋" w:hAnsi="仿宋"/>
          <w:bCs/>
          <w:color w:val="000000" w:themeColor="text1"/>
          <w:sz w:val="24"/>
          <w:highlight w:val="none"/>
          <w14:textFill>
            <w14:solidFill>
              <w14:schemeClr w14:val="tx1"/>
            </w14:solidFill>
          </w14:textFill>
        </w:rPr>
        <w:t>机箱参数性能</w:t>
      </w:r>
    </w:p>
    <w:p>
      <w:pPr>
        <w:spacing w:before="163" w:after="163"/>
        <w:ind w:right="-50" w:rightChars="-24" w:firstLine="480"/>
        <w:rPr>
          <w:rFonts w:ascii="仿宋" w:hAnsi="仿宋"/>
          <w:color w:val="000000" w:themeColor="text1"/>
          <w:sz w:val="22"/>
          <w:szCs w:val="22"/>
          <w:highlight w:val="none"/>
          <w14:textFill>
            <w14:solidFill>
              <w14:schemeClr w14:val="tx1"/>
            </w14:solidFill>
          </w14:textFill>
        </w:rPr>
      </w:pPr>
      <w:r>
        <w:rPr>
          <w:rFonts w:ascii="仿宋" w:hAnsi="仿宋"/>
          <w:b/>
          <w:color w:val="000000" w:themeColor="text1"/>
          <w:sz w:val="22"/>
          <w:szCs w:val="22"/>
          <w:highlight w:val="none"/>
          <w14:textFill>
            <w14:solidFill>
              <w14:schemeClr w14:val="tx1"/>
            </w14:solidFill>
          </w14:textFill>
        </w:rPr>
        <w:drawing>
          <wp:inline distT="0" distB="0" distL="114300" distR="114300">
            <wp:extent cx="1913890" cy="2222500"/>
            <wp:effectExtent l="0" t="0" r="3810" b="0"/>
            <wp:docPr id="49" name="图片 12" descr="153207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1532074813(1)"/>
                    <pic:cNvPicPr>
                      <a:picLocks noChangeAspect="1"/>
                    </pic:cNvPicPr>
                  </pic:nvPicPr>
                  <pic:blipFill>
                    <a:blip r:embed="rId16" cstate="print"/>
                    <a:srcRect r="59108"/>
                    <a:stretch>
                      <a:fillRect/>
                    </a:stretch>
                  </pic:blipFill>
                  <pic:spPr>
                    <a:xfrm>
                      <a:off x="0" y="0"/>
                      <a:ext cx="1913890" cy="2222500"/>
                    </a:xfrm>
                    <a:prstGeom prst="rect">
                      <a:avLst/>
                    </a:prstGeom>
                    <a:noFill/>
                    <a:ln>
                      <a:noFill/>
                    </a:ln>
                  </pic:spPr>
                </pic:pic>
              </a:graphicData>
            </a:graphic>
          </wp:inline>
        </w:drawing>
      </w:r>
      <w:r>
        <w:rPr>
          <w:rFonts w:ascii="仿宋" w:hAnsi="仿宋"/>
          <w:b/>
          <w:color w:val="000000" w:themeColor="text1"/>
          <w:sz w:val="22"/>
          <w:szCs w:val="22"/>
          <w:highlight w:val="none"/>
          <w14:textFill>
            <w14:solidFill>
              <w14:schemeClr w14:val="tx1"/>
            </w14:solidFill>
          </w14:textFill>
        </w:rPr>
        <w:drawing>
          <wp:inline distT="0" distB="0" distL="114300" distR="114300">
            <wp:extent cx="1541780" cy="2212975"/>
            <wp:effectExtent l="0" t="0" r="7620" b="9525"/>
            <wp:docPr id="39" name="图片 13" descr="153207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32074813(1)"/>
                    <pic:cNvPicPr>
                      <a:picLocks noChangeAspect="1"/>
                    </pic:cNvPicPr>
                  </pic:nvPicPr>
                  <pic:blipFill>
                    <a:blip r:embed="rId16" cstate="print"/>
                    <a:srcRect l="66988"/>
                    <a:stretch>
                      <a:fillRect/>
                    </a:stretch>
                  </pic:blipFill>
                  <pic:spPr>
                    <a:xfrm>
                      <a:off x="0" y="0"/>
                      <a:ext cx="1541780" cy="2212975"/>
                    </a:xfrm>
                    <a:prstGeom prst="rect">
                      <a:avLst/>
                    </a:prstGeom>
                    <a:noFill/>
                    <a:ln>
                      <a:noFill/>
                    </a:ln>
                  </pic:spPr>
                </pic:pic>
              </a:graphicData>
            </a:graphic>
          </wp:inline>
        </w:drawing>
      </w:r>
      <w:r>
        <w:rPr>
          <w:rFonts w:hint="eastAsia" w:ascii="仿宋" w:hAnsi="仿宋"/>
          <w:color w:val="000000" w:themeColor="text1"/>
          <w:sz w:val="22"/>
          <w:szCs w:val="22"/>
          <w:highlight w:val="none"/>
          <w14:textFill>
            <w14:solidFill>
              <w14:schemeClr w14:val="tx1"/>
            </w14:solidFill>
          </w14:textFill>
        </w:rPr>
        <w:t xml:space="preserve">   </w:t>
      </w:r>
      <w:r>
        <w:rPr>
          <w:rFonts w:ascii="仿宋" w:hAnsi="仿宋"/>
          <w:b/>
          <w:color w:val="000000" w:themeColor="text1"/>
          <w:sz w:val="22"/>
          <w:szCs w:val="22"/>
          <w:highlight w:val="none"/>
          <w14:textFill>
            <w14:solidFill>
              <w14:schemeClr w14:val="tx1"/>
            </w14:solidFill>
          </w14:textFill>
        </w:rPr>
        <w:drawing>
          <wp:inline distT="0" distB="0" distL="114300" distR="114300">
            <wp:extent cx="1854835" cy="2343150"/>
            <wp:effectExtent l="0" t="0" r="12065" b="6350"/>
            <wp:docPr id="40" name="图片 14" descr="微信图片_201807201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微信图片_20180720170639"/>
                    <pic:cNvPicPr>
                      <a:picLocks noChangeAspect="1"/>
                    </pic:cNvPicPr>
                  </pic:nvPicPr>
                  <pic:blipFill>
                    <a:blip r:embed="rId17" cstate="print"/>
                    <a:stretch>
                      <a:fillRect/>
                    </a:stretch>
                  </pic:blipFill>
                  <pic:spPr>
                    <a:xfrm>
                      <a:off x="0" y="0"/>
                      <a:ext cx="1854835" cy="2343150"/>
                    </a:xfrm>
                    <a:prstGeom prst="rect">
                      <a:avLst/>
                    </a:prstGeom>
                    <a:noFill/>
                    <a:ln>
                      <a:noFill/>
                    </a:ln>
                  </pic:spPr>
                </pic:pic>
              </a:graphicData>
            </a:graphic>
          </wp:inline>
        </w:drawing>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（参考式样，具体根据采购人实际需求设计）</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2）防护等级要求≥IP55；</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3）箱内电气部分采用导轨式安装，接线方便，每个单元均可独立更换；电气部分安装背板采用≥6mm环氧树脂绝缘板；机箱内部右侧预留DIN导轨，用于运营商光端机固定；机箱底部具有4个内径32mm防水接头。</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4）箱体内部包含≥63A 2P空开、10A自动重合闸、标称20KA电源防雷器、1位维修插座、智能控制终端、4路像机AC220V供电端子4路补光灯AC220V供电端子、1路光端机DC12V供电端子、光纤盘、后备电源模块、风扇、箱门检测开关。</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5）▲具有支持供电电压、电流检测，可通过客户端显示；当供电断开时，在客户端上提示供电异常告警，具有公安部出具检测报告。</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6）可通过客户端显示补光灯工作状态并设置定时/手动开启。</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7）提供≥5路AC220V交流输出，最大支持功率≥2000W，提供≥3路12V直流输出、2路干接点输入接口、1路10M/100M电口、1路RS485接口。</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8）▲当箱体受到倾斜时，提示箱体倾斜异常，并显示倾斜角度。</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9）▲当箱体受到撞击时，提示箱体撞击异常，并显示受到的撞击加速度值。</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10）▲当箱体受到震动时，提示箱体震动告警，并显示受到的震动加速度值。</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11）箱门打开时内部辅助工作指示灯自动开启；箱门超时未关闭本地蜂鸣器自动启动告警。</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12）可通过客户端显示摄像机工作状态并设置定时/手动开启，当接入的摄像机断电或网络断开时，可通过客户端提示告警。</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13）▲可支持≥6路外接摄像机状态检测。</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14）▲能够区分补光灯白天异常亮起或晚上无法开启。</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15）▲支持温度检测、防雷状态检测、风扇工作状态检测，支持通过客户端显示箱门状态并设置箱门布防撤防。</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16）交流输出接口具有定时控制、远程控制功能，可远程设定工作模式，具有第三方检测报告。</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17）▲支持通过WEB/客户端软件直接查看实时数据、配置IP地址、客户端地址、传输模式、进行远程固件升级，具有公安部出具检测报告。</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18）工作温度范围-25℃～+75℃，工作湿度≤90%RH，具有第三方检测报告。</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19）具有后备电源，设备断电时可继续供电。</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20）▲智能设备箱支持SDK二次开发（免费定制和提供）。</w:t>
      </w:r>
    </w:p>
    <w:p>
      <w:pPr>
        <w:keepNext/>
        <w:keepLines/>
        <w:numPr>
          <w:ilvl w:val="3"/>
          <w:numId w:val="25"/>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立杆安装要求</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杆体承重性必须能支撑设备箱的重量。</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箱体应用膨胀螺栓或抱箍固定在杆上，安装牢固。</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设备箱在杆体上的进线开孔位置应不低于2.5m（3米杆件根据一体化杆件设计要求配置），以防止被盗及被破坏。</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同一条道路上挂杆安装的箱体高度宜保持一致。</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遇抱电力杆时，</w:t>
      </w:r>
      <w:r>
        <w:rPr>
          <w:rFonts w:hint="eastAsia" w:ascii="宋体" w:hAnsi="宋体" w:cs="宋体"/>
          <w:color w:val="000000" w:themeColor="text1"/>
          <w:sz w:val="24"/>
          <w:highlight w:val="none"/>
          <w14:textFill>
            <w14:solidFill>
              <w14:schemeClr w14:val="tx1"/>
            </w14:solidFill>
          </w14:textFill>
        </w:rPr>
        <w:t>安装方式应保障电力正常检修。</w:t>
      </w:r>
    </w:p>
    <w:p>
      <w:pPr>
        <w:keepNext/>
        <w:keepLines/>
        <w:numPr>
          <w:ilvl w:val="3"/>
          <w:numId w:val="25"/>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地面安装要求</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位置应选择不妨碍交通处为宜，有高压危险影响、电磁干扰严重、化学腐蚀和低洼积水处不能安装。</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箱应同人孔、手孔、基座配合安装，基座宜不低于20cm，基座中央预留一个摆放电缆的长方洞与通向人（手）孔的管接通严密，基座上预埋的鱼尾穿钉与设备箱定位眼孔吻合、牢固，螺丝扭紧，箱体与基座间接缝处应有防护措施，以防进水。</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设备箱内各模块要求安装端正牢固，保护地线连接牢固有效。</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箱底进出电缆口应有密封措施，螺丝、卡口旋紧后用发泡剂或胶带、腻子封堵，应有良好的防潮、防尘性能。</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箱体设计应考虑必要的防盗、防破坏措施。</w:t>
      </w:r>
    </w:p>
    <w:p>
      <w:pPr>
        <w:keepNext/>
        <w:keepLines/>
        <w:numPr>
          <w:ilvl w:val="3"/>
          <w:numId w:val="25"/>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配套运维管理平台</w:t>
      </w:r>
    </w:p>
    <w:bookmarkEnd w:id="71"/>
    <w:p>
      <w:pPr>
        <w:spacing w:line="380" w:lineRule="exact"/>
        <w:ind w:firstLine="480"/>
        <w:rPr>
          <w:rFonts w:ascii="宋体" w:hAnsi="宋体" w:cs="宋体"/>
          <w:color w:val="000000" w:themeColor="text1"/>
          <w:sz w:val="24"/>
          <w:highlight w:val="none"/>
          <w14:textFill>
            <w14:solidFill>
              <w14:schemeClr w14:val="tx1"/>
            </w14:solidFill>
          </w14:textFill>
        </w:rPr>
      </w:pPr>
      <w:bookmarkStart w:id="72" w:name="_Toc518985305"/>
      <w:r>
        <w:rPr>
          <w:rFonts w:hint="eastAsia" w:ascii="宋体" w:hAnsi="宋体" w:cs="宋体"/>
          <w:color w:val="000000" w:themeColor="text1"/>
          <w:sz w:val="24"/>
          <w:highlight w:val="none"/>
          <w14:textFill>
            <w14:solidFill>
              <w14:schemeClr w14:val="tx1"/>
            </w14:solidFill>
          </w14:textFill>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具有实时在线统计视频总数、视频在线率、故障及时修复率（修复阈值时间可设）、视频掉线列表、告警情况功能。</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具有在电子地图上标识展示位置信息，并显示设备信息、工作状态，包括正常、异常、离线等情况功能。</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 具有详细了解单个点位供电情况、环境温度情况及设备工作状态功能，可远程控制设备断电重启、设定设备参数。</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 具有导出设备和外接摄像机列表功能。具有通过时间、品牌等条件对外接摄像机故障率、在线率以柱状图或折线图展示统计报表功能。</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 具有声音（短信）通知告警信息、支持设定各种告警的告警等级、支持分区域设定不同告警的处理时效功能。</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 具有自动派单和手动派单功能，工单记录故障产生时间、派单时间及修复时长等信息。</w:t>
      </w:r>
    </w:p>
    <w:p>
      <w:pPr>
        <w:pStyle w:val="5"/>
        <w:numPr>
          <w:ilvl w:val="0"/>
          <w:numId w:val="24"/>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补光设计</w:t>
      </w:r>
      <w:bookmarkEnd w:id="72"/>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辅助光源应选择稳定的连续照明灯，光源类型参照CJJ45-2006《城市道路照明设计标准》，GAT1202-2014-《交通技术监控成像补光装置通用技术规范》，所有环境补光设备不得影响驾驶人行驶安全，必需避免光污染。</w:t>
      </w:r>
    </w:p>
    <w:p>
      <w:pPr>
        <w:spacing w:line="38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补光设备需具备后端集中管理平台，状态参数可在线查询，远程可关闭或开启、设备故障自动远程实时报警功能。</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补光部分要求：</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1、摄像头布点时应考虑最大限度利用已有光源。</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2、治安监控应使用稳定的连续照明设备，不得使用高频、频闪等设备。</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3、辅助光源安装位置宜高于摄像头安装位置并保持一定距离。</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4、室内环境补光应配合环境合理选择照度等级，与环境相适应。</w:t>
      </w:r>
    </w:p>
    <w:p>
      <w:pPr>
        <w:keepNext/>
        <w:keepLines/>
        <w:numPr>
          <w:ilvl w:val="3"/>
          <w:numId w:val="26"/>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补光设备参数</w:t>
      </w:r>
    </w:p>
    <w:p>
      <w:pPr>
        <w:pStyle w:val="8"/>
        <w:numPr>
          <w:ilvl w:val="0"/>
          <w:numId w:val="27"/>
        </w:numPr>
        <w:spacing w:line="380" w:lineRule="exact"/>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闪光灯</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窄脉冲智能补光灯要求与高清成像设备兼容；</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色温：≥4000K；</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回电时间：≤60ms；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单次闪光曝光指数（1m@ISO100）：≥45；</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25米处（抓拍位置）光斑大小：≤7.5m；</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衰减度：补光1000万次以后亮度衰减不高于20%；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能量：≤30焦耳/次(节能及防光污染需要)；</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工作温度：-10°C～+70°；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环保措施：</w:t>
      </w:r>
      <w:r>
        <w:rPr>
          <w:rFonts w:hint="eastAsia" w:cs="宋体"/>
          <w:color w:val="000000" w:themeColor="text1"/>
          <w:sz w:val="24"/>
          <w:highlight w:val="none"/>
          <w14:textFill>
            <w14:solidFill>
              <w14:schemeClr w14:val="tx1"/>
            </w14:solidFill>
          </w14:textFill>
        </w:rPr>
        <w:t>▲带光栅</w:t>
      </w:r>
      <w:r>
        <w:rPr>
          <w:rFonts w:hint="eastAsia" w:cs="宋体"/>
          <w:color w:val="000000" w:themeColor="text1"/>
          <w:sz w:val="24"/>
          <w:highlight w:val="none"/>
          <w14:textFill>
            <w14:solidFill>
              <w14:schemeClr w14:val="tx1"/>
            </w14:solidFill>
          </w14:textFill>
        </w:rPr>
        <w:t>，采用有效隔离措施，防止光污染，对驾驶员视觉无干扰，确保行车安全；</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灯具设计需采用防炫目设计，指向性补光，发射角小。补光区域为基准轴左右10°，基准轴上光照度≥1700 lx，补光区域最小光照度≥1000lx；</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补光装置需保证车辆密集通过时无漏拍，连续两次补光之间的时间间隔＜100ms，点亮时间0-2ms可调。</w:t>
      </w:r>
    </w:p>
    <w:p>
      <w:pPr>
        <w:pStyle w:val="8"/>
        <w:numPr>
          <w:ilvl w:val="0"/>
          <w:numId w:val="27"/>
        </w:numPr>
        <w:spacing w:line="380" w:lineRule="exact"/>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补光灯</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16颗原装进口高亮LED；</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支持通过相机远程控制20级亮度等级，控制补光灯点亮和熄灭；</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支持远程显示补光灯故障、正常状态；</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亮补光灯采用内置自动光控设计，环境低照度下自动开启；</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支持相机同步信号输出至LED灯板响应的时间≤45us；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支持环境亮度阀值可调，1～6档可调，6档最低；</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供电 AC90～264V供电；</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最佳照射距离 18～23米；</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色温 ≥5700K；</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响应时间 ≤45us；</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工作温度 -30℃~+70℃；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工作湿度 10%~90%；</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功率 ≤40W；</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防护等级 IP66；</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▲带光栅，有效减少光污染。</w:t>
      </w:r>
    </w:p>
    <w:p>
      <w:pPr>
        <w:pStyle w:val="8"/>
        <w:numPr>
          <w:ilvl w:val="0"/>
          <w:numId w:val="27"/>
        </w:numPr>
        <w:spacing w:line="380" w:lineRule="exact"/>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环保补光灯</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带无光生物危害检测报告，显色指数≥90，无眩目检测报告（需提供证书）、有在线检测功能；</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有效补光区域：23m×10m，补光区域内任意点最低照度＞3Lux，平均功耗率≤80W；</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灯具防护等级不小于IP66（IP66检测证书），提供AC220v电源输入口，支持长时间±10%宽范围电压输入；</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能在-25℃～+50℃环境温度下长时间稳定工作；电源跟灯体之间以及电源输入端要求采用防水对接头；</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支持远程参数监测、故障报警、远程开关、中心校时万年历时控（根据不同月份实现精准控制开关灯时间）接口。</w:t>
      </w:r>
    </w:p>
    <w:p>
      <w:pPr>
        <w:pStyle w:val="5"/>
        <w:numPr>
          <w:ilvl w:val="0"/>
          <w:numId w:val="24"/>
        </w:numPr>
        <w:spacing w:line="380" w:lineRule="exact"/>
        <w:rPr>
          <w:rFonts w:ascii="宋体" w:hAnsi="宋体" w:cs="宋体"/>
          <w:color w:val="000000" w:themeColor="text1"/>
          <w:sz w:val="24"/>
          <w:szCs w:val="24"/>
          <w:highlight w:val="none"/>
          <w14:textFill>
            <w14:solidFill>
              <w14:schemeClr w14:val="tx1"/>
            </w14:solidFill>
          </w14:textFill>
        </w:rPr>
      </w:pPr>
      <w:bookmarkStart w:id="73" w:name="_Toc262414688"/>
      <w:bookmarkStart w:id="74" w:name="_Toc430108824"/>
      <w:bookmarkStart w:id="75" w:name="_Toc258343372"/>
      <w:bookmarkStart w:id="76" w:name="_Toc260858304"/>
      <w:bookmarkStart w:id="77" w:name="_Toc260497931"/>
      <w:bookmarkStart w:id="78" w:name="_Toc251094493"/>
      <w:bookmarkStart w:id="79" w:name="_Toc424684273"/>
      <w:bookmarkStart w:id="80" w:name="_Toc518985307"/>
      <w:r>
        <w:rPr>
          <w:rFonts w:hint="eastAsia" w:ascii="宋体" w:hAnsi="宋体" w:cs="宋体"/>
          <w:color w:val="000000" w:themeColor="text1"/>
          <w:sz w:val="24"/>
          <w:szCs w:val="24"/>
          <w:highlight w:val="none"/>
          <w14:textFill>
            <w14:solidFill>
              <w14:schemeClr w14:val="tx1"/>
            </w14:solidFill>
          </w14:textFill>
        </w:rPr>
        <w:t>前端防雷接地设计</w:t>
      </w:r>
      <w:bookmarkEnd w:id="73"/>
      <w:bookmarkEnd w:id="74"/>
      <w:bookmarkEnd w:id="75"/>
      <w:bookmarkEnd w:id="76"/>
      <w:bookmarkEnd w:id="77"/>
      <w:bookmarkEnd w:id="78"/>
      <w:bookmarkEnd w:id="79"/>
      <w:bookmarkEnd w:id="80"/>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由于项目所在地雷雨多发，为了保证设备的安全，本项目需全面考虑整个监控网络的防雷问题，特别是前端设备的防雷。</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前端摄像头电源使用AC24V或DC12V，由摄像头电源适配器供电的，单相电源避雷器应串联或并联在变压器前端，如直流电源传输距离大于15米，则摄像头端还应串接低压直流避雷器。</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同时选择防护等级比较高的防雷机箱，在里面配置防雷插座，交流电源经配置的防雷插座引接入设备箱使用。</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本项目应严格执行国家的有关标准和规范，立杆防雷接地电阻≦10Ω。</w:t>
      </w:r>
    </w:p>
    <w:p>
      <w:pPr>
        <w:pStyle w:val="72"/>
        <w:adjustRightInd w:val="0"/>
        <w:snapToGrid w:val="0"/>
        <w:spacing w:line="380" w:lineRule="exac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接地网布置依据地形进行设计。立杆的基础由钢筋网加混凝土构成，首先用四根Ф50毫米的钢管或50×50×5mm的角钢作为接地极，同时用镀锌扁钢把四根接地极焊接形成接地网的一部分，再此接地网与法兰盘进行焊接，钢管或角钢需经过热镀锌工艺处理，以增加抗腐性能和提高其导电性能。如图所示：</w:t>
      </w:r>
    </w:p>
    <w:p>
      <w:pPr>
        <w:pStyle w:val="72"/>
        <w:ind w:firstLine="0" w:firstLineChars="0"/>
        <w:jc w:val="center"/>
        <w:rPr>
          <w:rFonts w:ascii="仿宋" w:hAnsi="仿宋"/>
          <w:color w:val="000000" w:themeColor="text1"/>
          <w:highlight w:val="none"/>
          <w14:textFill>
            <w14:solidFill>
              <w14:schemeClr w14:val="tx1"/>
            </w14:solidFill>
          </w14:textFill>
        </w:rPr>
      </w:pPr>
      <w:r>
        <w:rPr>
          <w:rFonts w:ascii="仿宋" w:hAnsi="仿宋"/>
          <w:b/>
          <w:color w:val="000000" w:themeColor="text1"/>
          <w:highlight w:val="none"/>
          <w14:textFill>
            <w14:solidFill>
              <w14:schemeClr w14:val="tx1"/>
            </w14:solidFill>
          </w14:textFill>
        </w:rPr>
        <w:drawing>
          <wp:inline distT="0" distB="0" distL="114300" distR="114300">
            <wp:extent cx="5278755" cy="37941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8" cstate="print"/>
                    <a:srcRect b="9718"/>
                    <a:stretch>
                      <a:fillRect/>
                    </a:stretch>
                  </pic:blipFill>
                  <pic:spPr>
                    <a:xfrm>
                      <a:off x="0" y="0"/>
                      <a:ext cx="5278755" cy="3794125"/>
                    </a:xfrm>
                    <a:prstGeom prst="rect">
                      <a:avLst/>
                    </a:prstGeom>
                    <a:noFill/>
                    <a:ln>
                      <a:noFill/>
                    </a:ln>
                  </pic:spPr>
                </pic:pic>
              </a:graphicData>
            </a:graphic>
          </wp:inline>
        </w:drawing>
      </w:r>
    </w:p>
    <w:p>
      <w:pPr>
        <w:pStyle w:val="72"/>
        <w:adjustRightInd w:val="0"/>
        <w:snapToGrid w:val="0"/>
        <w:spacing w:line="380" w:lineRule="atLeas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当土壤电阻率太高而不能满足要求时，应采用垂直接地极＋减阻剂的方法使地网接地电阻符合要求。</w:t>
      </w:r>
    </w:p>
    <w:p>
      <w:pPr>
        <w:pStyle w:val="5"/>
        <w:numPr>
          <w:ilvl w:val="0"/>
          <w:numId w:val="24"/>
        </w:numPr>
        <w:spacing w:line="380" w:lineRule="atLeast"/>
        <w:rPr>
          <w:rFonts w:ascii="宋体" w:hAnsi="宋体" w:cs="宋体"/>
          <w:color w:val="000000" w:themeColor="text1"/>
          <w:sz w:val="24"/>
          <w:szCs w:val="24"/>
          <w:highlight w:val="none"/>
          <w14:textFill>
            <w14:solidFill>
              <w14:schemeClr w14:val="tx1"/>
            </w14:solidFill>
          </w14:textFill>
        </w:rPr>
      </w:pPr>
      <w:bookmarkStart w:id="81" w:name="_Toc518985308"/>
      <w:r>
        <w:rPr>
          <w:rFonts w:hint="eastAsia" w:ascii="宋体" w:hAnsi="宋体" w:cs="宋体"/>
          <w:color w:val="000000" w:themeColor="text1"/>
          <w:sz w:val="24"/>
          <w:szCs w:val="24"/>
          <w:highlight w:val="none"/>
          <w14:textFill>
            <w14:solidFill>
              <w14:schemeClr w14:val="tx1"/>
            </w14:solidFill>
          </w14:textFill>
        </w:rPr>
        <w:t>前端设备供电设计</w:t>
      </w:r>
      <w:bookmarkEnd w:id="81"/>
    </w:p>
    <w:p>
      <w:pPr>
        <w:pStyle w:val="72"/>
        <w:adjustRightInd w:val="0"/>
        <w:snapToGrid w:val="0"/>
        <w:spacing w:line="380" w:lineRule="atLeast"/>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系统前端设备通常采用两种供电方式，一种是集中供电，另一种是就近取电。本项目采取就近取电的方式为前端设备来进行供电。各摄像头终端在就近的公共供电网络取一路220V市电，引到设备箱使用，保证引入部分电源线路的漏电及防雷防护。</w:t>
      </w:r>
    </w:p>
    <w:p>
      <w:pPr>
        <w:keepNext/>
        <w:keepLines/>
        <w:numPr>
          <w:ilvl w:val="0"/>
          <w:numId w:val="28"/>
        </w:numPr>
        <w:spacing w:before="260" w:after="260" w:line="380" w:lineRule="atLeast"/>
        <w:outlineLvl w:val="1"/>
        <w:rPr>
          <w:rFonts w:ascii="宋体" w:hAnsi="宋体" w:cs="宋体"/>
          <w:bCs/>
          <w:vanish/>
          <w:color w:val="000000" w:themeColor="text1"/>
          <w:sz w:val="24"/>
          <w:highlight w:val="none"/>
          <w14:textFill>
            <w14:solidFill>
              <w14:schemeClr w14:val="tx1"/>
            </w14:solidFill>
          </w14:textFill>
        </w:rPr>
      </w:pPr>
      <w:bookmarkStart w:id="82" w:name="_Toc365417049"/>
      <w:bookmarkStart w:id="83" w:name="_Toc83711455"/>
      <w:bookmarkStart w:id="84" w:name="_Toc361348129"/>
      <w:bookmarkStart w:id="85" w:name="_Toc89835464"/>
      <w:bookmarkStart w:id="86" w:name="_Toc365417042"/>
      <w:bookmarkStart w:id="87" w:name="_Toc365417062"/>
      <w:bookmarkStart w:id="88" w:name="_Toc361348149"/>
    </w:p>
    <w:p>
      <w:pPr>
        <w:keepNext/>
        <w:keepLines/>
        <w:numPr>
          <w:ilvl w:val="0"/>
          <w:numId w:val="28"/>
        </w:numPr>
        <w:spacing w:before="260" w:after="260" w:line="380" w:lineRule="atLeast"/>
        <w:outlineLvl w:val="1"/>
        <w:rPr>
          <w:rFonts w:ascii="宋体" w:hAnsi="宋体" w:cs="宋体"/>
          <w:bCs/>
          <w:vanish/>
          <w:color w:val="000000" w:themeColor="text1"/>
          <w:sz w:val="24"/>
          <w:highlight w:val="none"/>
          <w14:textFill>
            <w14:solidFill>
              <w14:schemeClr w14:val="tx1"/>
            </w14:solidFill>
          </w14:textFill>
        </w:rPr>
      </w:pPr>
    </w:p>
    <w:p>
      <w:pPr>
        <w:pStyle w:val="5"/>
        <w:numPr>
          <w:ilvl w:val="0"/>
          <w:numId w:val="24"/>
        </w:numPr>
        <w:spacing w:line="380" w:lineRule="atLeas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防鼠要求</w:t>
      </w:r>
    </w:p>
    <w:p>
      <w:pPr>
        <w:spacing w:line="380" w:lineRule="atLeast"/>
        <w:ind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本项目内、外场土建工程部分，应当采取一切必要的工程措施、并落实相关管理规定，杜绝鼠害威胁，具体包括：</w:t>
      </w:r>
    </w:p>
    <w:p>
      <w:pPr>
        <w:spacing w:line="380" w:lineRule="atLeast"/>
        <w:ind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1）要做好窖井、机柜、杆件、管线、机房等区域的密封工作，严防对外漏洞；</w:t>
      </w:r>
    </w:p>
    <w:p>
      <w:pPr>
        <w:spacing w:line="380" w:lineRule="atLeast"/>
        <w:ind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2）要严格落实设备安装、维护规定，切实杜绝施工、维护期间井盖闭合不严、机柜关闭不严等问题。</w:t>
      </w:r>
    </w:p>
    <w:p>
      <w:pPr>
        <w:pStyle w:val="5"/>
        <w:numPr>
          <w:ilvl w:val="0"/>
          <w:numId w:val="24"/>
        </w:numPr>
        <w:spacing w:line="380" w:lineRule="atLeast"/>
        <w:rPr>
          <w:rFonts w:ascii="宋体" w:hAnsi="宋体" w:cs="宋体"/>
          <w:color w:val="000000" w:themeColor="text1"/>
          <w:sz w:val="24"/>
          <w:szCs w:val="24"/>
          <w:highlight w:val="none"/>
          <w14:textFill>
            <w14:solidFill>
              <w14:schemeClr w14:val="tx1"/>
            </w14:solidFill>
          </w14:textFill>
        </w:rPr>
      </w:pPr>
      <w:bookmarkStart w:id="89" w:name="_Toc365417100"/>
      <w:r>
        <w:rPr>
          <w:rFonts w:hint="eastAsia" w:ascii="宋体" w:hAnsi="宋体" w:cs="宋体"/>
          <w:color w:val="000000" w:themeColor="text1"/>
          <w:sz w:val="24"/>
          <w:szCs w:val="24"/>
          <w:highlight w:val="none"/>
          <w14:textFill>
            <w14:solidFill>
              <w14:schemeClr w14:val="tx1"/>
            </w14:solidFill>
          </w14:textFill>
        </w:rPr>
        <w:t>项目实施深化设计要求</w:t>
      </w:r>
      <w:bookmarkEnd w:id="89"/>
    </w:p>
    <w:p>
      <w:pPr>
        <w:spacing w:line="380" w:lineRule="atLeast"/>
        <w:ind w:firstLine="482" w:firstLineChars="200"/>
        <w:rPr>
          <w:rFonts w:ascii="宋体" w:hAnsi="宋体" w:cs="宋体"/>
          <w:color w:val="000000" w:themeColor="text1"/>
          <w:sz w:val="24"/>
          <w:highlight w:val="none"/>
          <w14:textFill>
            <w14:solidFill>
              <w14:schemeClr w14:val="tx1"/>
            </w14:solidFill>
          </w14:textFill>
        </w:rPr>
      </w:pPr>
      <w:bookmarkStart w:id="90" w:name="_Toc4985"/>
      <w:bookmarkStart w:id="91" w:name="_Toc365417105"/>
      <w:r>
        <w:rPr>
          <w:rFonts w:hint="eastAsia" w:ascii="宋体" w:hAnsi="宋体" w:cs="宋体"/>
          <w:b/>
          <w:color w:val="000000" w:themeColor="text1"/>
          <w:sz w:val="24"/>
          <w:highlight w:val="none"/>
          <w14:textFill>
            <w14:solidFill>
              <w14:schemeClr w14:val="tx1"/>
            </w14:solidFill>
          </w14:textFill>
        </w:rPr>
        <w:t>▲本项目的总体架构和技术标准由采购人确定。</w:t>
      </w:r>
      <w:r>
        <w:rPr>
          <w:rFonts w:hint="eastAsia" w:ascii="宋体" w:hAnsi="宋体" w:cs="宋体"/>
          <w:color w:val="000000" w:themeColor="text1"/>
          <w:sz w:val="24"/>
          <w:highlight w:val="none"/>
          <w14:textFill>
            <w14:solidFill>
              <w14:schemeClr w14:val="tx1"/>
            </w14:solidFill>
          </w14:textFill>
        </w:rPr>
        <w:t>投标人中标后，应提交完整的投标文件（含方案说明、图纸及投标报价明细清单等，纸质盖章文件和电子档文件）给业主、设计方及监理方，配合各方完成投标内容的确认。同时，应对初步设计方案及招标需求进行熟悉、消化，理解本项目的设计思路和建设内容，并结合设计单位提供的图纸完成外场的复勘及核对，配合设计单位完善设计图纸的工作。</w:t>
      </w:r>
      <w:bookmarkEnd w:id="90"/>
      <w:bookmarkEnd w:id="91"/>
    </w:p>
    <w:bookmarkEnd w:id="1"/>
    <w:bookmarkEnd w:id="2"/>
    <w:bookmarkEnd w:id="82"/>
    <w:bookmarkEnd w:id="83"/>
    <w:bookmarkEnd w:id="84"/>
    <w:bookmarkEnd w:id="85"/>
    <w:bookmarkEnd w:id="86"/>
    <w:bookmarkEnd w:id="87"/>
    <w:bookmarkEnd w:id="88"/>
    <w:p>
      <w:pPr>
        <w:pStyle w:val="2"/>
        <w:spacing w:line="380" w:lineRule="atLeast"/>
        <w:rPr>
          <w:rFonts w:ascii="宋体" w:hAnsi="宋体" w:cs="宋体"/>
          <w:color w:val="000000" w:themeColor="text1"/>
          <w:sz w:val="24"/>
          <w:szCs w:val="24"/>
          <w:highlight w:val="none"/>
          <w14:textFill>
            <w14:solidFill>
              <w14:schemeClr w14:val="tx1"/>
            </w14:solidFill>
          </w14:textFill>
        </w:rPr>
      </w:pPr>
    </w:p>
    <w:p>
      <w:pPr>
        <w:pStyle w:val="2"/>
        <w:spacing w:line="380" w:lineRule="atLeast"/>
        <w:rPr>
          <w:rFonts w:ascii="宋体" w:hAnsi="宋体" w:cs="宋体"/>
          <w:color w:val="000000" w:themeColor="text1"/>
          <w:sz w:val="24"/>
          <w:szCs w:val="24"/>
          <w:highlight w:val="none"/>
          <w14:textFill>
            <w14:solidFill>
              <w14:schemeClr w14:val="tx1"/>
            </w14:solidFill>
          </w14:textFill>
        </w:rPr>
      </w:pPr>
    </w:p>
    <w:p>
      <w:pPr>
        <w:widowControl/>
        <w:spacing w:line="380" w:lineRule="atLeast"/>
        <w:jc w:val="left"/>
        <w:rPr>
          <w:color w:val="000000" w:themeColor="text1"/>
          <w:highlight w:val="none"/>
          <w14:textFill>
            <w14:solidFill>
              <w14:schemeClr w14:val="tx1"/>
            </w14:solidFill>
          </w14:textFill>
        </w:rPr>
        <w:sectPr>
          <w:headerReference r:id="rId3" w:type="default"/>
          <w:footerReference r:id="rId4" w:type="default"/>
          <w:pgSz w:w="11906" w:h="16838"/>
          <w:pgMar w:top="1134" w:right="1134" w:bottom="1134" w:left="1417" w:header="851" w:footer="992" w:gutter="0"/>
          <w:cols w:space="0" w:num="1"/>
          <w:docGrid w:type="lines" w:linePitch="312" w:charSpace="0"/>
        </w:sectPr>
      </w:pPr>
      <w:r>
        <w:rPr>
          <w:rFonts w:hint="eastAsia" w:ascii="宋体" w:hAnsi="宋体" w:cs="宋体"/>
          <w:color w:val="000000" w:themeColor="text1"/>
          <w:sz w:val="24"/>
          <w:highlight w:val="none"/>
          <w14:textFill>
            <w14:solidFill>
              <w14:schemeClr w14:val="tx1"/>
            </w14:solidFill>
          </w14:textFill>
        </w:rPr>
        <w:br w:type="page"/>
      </w:r>
    </w:p>
    <w:p>
      <w:pPr>
        <w:keepNext/>
        <w:keepLines/>
        <w:widowControl/>
        <w:numPr>
          <w:ilvl w:val="0"/>
          <w:numId w:val="4"/>
        </w:numPr>
        <w:spacing w:before="340" w:after="330" w:line="576" w:lineRule="auto"/>
        <w:jc w:val="left"/>
        <w:outlineLvl w:val="0"/>
        <w:rPr>
          <w:rFonts w:ascii="仿宋" w:hAnsi="仿宋" w:cs="宋体"/>
          <w:snapToGrid w:val="0"/>
          <w:color w:val="000000" w:themeColor="text1"/>
          <w:kern w:val="44"/>
          <w:sz w:val="22"/>
          <w:szCs w:val="22"/>
          <w:highlight w:val="none"/>
          <w14:textFill>
            <w14:solidFill>
              <w14:schemeClr w14:val="tx1"/>
            </w14:solidFill>
          </w14:textFill>
        </w:rPr>
      </w:pPr>
      <w:r>
        <w:rPr>
          <w:rFonts w:hint="eastAsia" w:ascii="仿宋" w:hAnsi="仿宋" w:cs="宋体"/>
          <w:snapToGrid w:val="0"/>
          <w:color w:val="000000" w:themeColor="text1"/>
          <w:kern w:val="44"/>
          <w:sz w:val="22"/>
          <w:szCs w:val="22"/>
          <w:highlight w:val="none"/>
          <w14:textFill>
            <w14:solidFill>
              <w14:schemeClr w14:val="tx1"/>
            </w14:solidFill>
          </w14:textFill>
        </w:rPr>
        <w:t>设备清单</w:t>
      </w:r>
    </w:p>
    <w:tbl>
      <w:tblPr>
        <w:tblStyle w:val="27"/>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52"/>
        <w:gridCol w:w="1792"/>
        <w:gridCol w:w="7230"/>
        <w:gridCol w:w="708"/>
        <w:gridCol w:w="709"/>
        <w:gridCol w:w="1418"/>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序号</w:t>
            </w:r>
          </w:p>
        </w:tc>
        <w:tc>
          <w:tcPr>
            <w:tcW w:w="852" w:type="dxa"/>
            <w:shd w:val="clear" w:color="auto" w:fill="auto"/>
            <w:vAlign w:val="center"/>
          </w:tcPr>
          <w:p>
            <w:pPr>
              <w:widowControl/>
              <w:jc w:val="center"/>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类型</w:t>
            </w:r>
          </w:p>
        </w:tc>
        <w:tc>
          <w:tcPr>
            <w:tcW w:w="1792" w:type="dxa"/>
            <w:shd w:val="clear" w:color="auto" w:fill="auto"/>
            <w:vAlign w:val="center"/>
          </w:tcPr>
          <w:p>
            <w:pPr>
              <w:widowControl/>
              <w:jc w:val="left"/>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设备名称</w:t>
            </w:r>
          </w:p>
        </w:tc>
        <w:tc>
          <w:tcPr>
            <w:tcW w:w="7230" w:type="dxa"/>
            <w:shd w:val="clear" w:color="auto" w:fill="auto"/>
            <w:vAlign w:val="center"/>
          </w:tcPr>
          <w:p>
            <w:pPr>
              <w:widowControl/>
              <w:jc w:val="left"/>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规格要求</w:t>
            </w:r>
          </w:p>
        </w:tc>
        <w:tc>
          <w:tcPr>
            <w:tcW w:w="708" w:type="dxa"/>
            <w:shd w:val="clear" w:color="auto" w:fill="auto"/>
            <w:vAlign w:val="center"/>
          </w:tcPr>
          <w:p>
            <w:pPr>
              <w:widowControl/>
              <w:jc w:val="center"/>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数量</w:t>
            </w:r>
          </w:p>
        </w:tc>
        <w:tc>
          <w:tcPr>
            <w:tcW w:w="709" w:type="dxa"/>
            <w:shd w:val="clear" w:color="auto" w:fill="auto"/>
            <w:vAlign w:val="center"/>
          </w:tcPr>
          <w:p>
            <w:pPr>
              <w:widowControl/>
              <w:jc w:val="center"/>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单位</w:t>
            </w:r>
          </w:p>
        </w:tc>
        <w:tc>
          <w:tcPr>
            <w:tcW w:w="1418" w:type="dxa"/>
            <w:shd w:val="clear" w:color="auto" w:fill="auto"/>
            <w:vAlign w:val="center"/>
          </w:tcPr>
          <w:p>
            <w:pPr>
              <w:widowControl/>
              <w:jc w:val="center"/>
              <w:rPr>
                <w:rFonts w:ascii="等线" w:hAnsi="等线" w:eastAsia="等线" w:cs="宋体"/>
                <w:b/>
                <w:bCs/>
                <w:color w:val="000000" w:themeColor="text1"/>
                <w:kern w:val="0"/>
                <w:sz w:val="22"/>
                <w:szCs w:val="22"/>
                <w:highlight w:val="none"/>
                <w14:textFill>
                  <w14:solidFill>
                    <w14:schemeClr w14:val="tx1"/>
                  </w14:solidFill>
                </w14:textFill>
              </w:rPr>
            </w:pPr>
            <w:r>
              <w:rPr>
                <w:rFonts w:hint="eastAsia" w:ascii="等线" w:hAnsi="等线" w:eastAsia="等线" w:cs="宋体"/>
                <w:b/>
                <w:bCs/>
                <w:color w:val="000000" w:themeColor="text1"/>
                <w:kern w:val="0"/>
                <w:sz w:val="22"/>
                <w:szCs w:val="22"/>
                <w:highlight w:val="none"/>
                <w14:textFill>
                  <w14:solidFill>
                    <w14:schemeClr w14:val="tx1"/>
                  </w14:solidFill>
                </w14:textFill>
              </w:rPr>
              <w:t>推荐品牌</w:t>
            </w:r>
          </w:p>
        </w:tc>
        <w:tc>
          <w:tcPr>
            <w:tcW w:w="1211" w:type="dxa"/>
            <w:shd w:val="clear" w:color="auto" w:fill="auto"/>
            <w:vAlign w:val="center"/>
          </w:tcPr>
          <w:p>
            <w:pPr>
              <w:widowControl/>
              <w:jc w:val="center"/>
              <w:rPr>
                <w:rFonts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摄像机</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400W视频枪机</w:t>
            </w:r>
          </w:p>
        </w:tc>
        <w:tc>
          <w:tcPr>
            <w:tcW w:w="7230" w:type="dxa"/>
            <w:shd w:val="clear" w:color="auto" w:fill="auto"/>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▲传感器： CMOS；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▲靶面尺寸：≥1/1.8""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分辨率：2560×1440@25fps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▲照度：彩色:0.0002 Lux,黑白:0.0001 Lux；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视频压缩标准：H.265/H.264/MPEG4/MJPEG</w:t>
            </w:r>
          </w:p>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▲内置≥64GB CLASS10以上SD卡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▲支持全结构化智能解析（性能参数以卡口场景测试为准）：</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同时支持非机动车、行人抓拍功能，白天和晚上捕获率都不低于99%；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支持车牌识别功能，白天和晚上识别率都不低于99%；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支持车型识别功能，白天和晚上识别率都不低于95%；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支持车流量统计功能，白天和晚上车流量统计准确率都不低于99%；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支持驾驶员是否系安全带检测功能，识别准确率≥98%；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支持驾驶员人员检测和抠图功能，其中主驾驶员人脸抠图率≥92%；</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支持识别≥12种车型，包括：大客车、中型客车、大货车、中型货车、小货车、面包车、微型车、轿车、皮卡车、SUV、MPV、公交车；</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支持识别≥13种车身颜色，包括：黑、白、红、绿、蓝、黄、粉、紫、棕、青、金、橙，白天车身颜色识别准确率≥95%;晚上车身颜色识别准确率≥95%；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支持识别≥250种车标；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支持识别≥5种车牌颜色，包括：蓝（小车车牌）、黄（公交车、大货车车牌）、黑（涉外车牌）、白（警用车牌）、绿（新能源车牌）；</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支持人脸抓拍图片可分为场景图和人脸图，场景图和人脸图可关联存储，并可通过IE浏览器或客户端检索并查看存储的图片；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支持通过菜单开启或关闭人脸质量优先抓图功能，当开启时，人脸轨迹中人脸质量分数达到设定值时自动进行人脸抓拍；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支持人脸抓拍图片可分为场景图和人脸图，场景图和人脸图可关联存储，并可通过IE浏览器或客户端检索并查看存储的图片；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支持人脸属性识别功能，包括年龄、 性别、戴眼镜、口罩等多种属性；</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▲含双层护罩、万向节、电源、摄像机内置或者外置防雷模块、防水软管，根据实际场景需求提供对应镜头焦距。</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深度学习算法，硬件采用VPU或者GPU架构，（优先选用，不做强制性参数要求）。</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IP防护等级：≥IP66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功耗：25W max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湿度：10%~90%"</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490</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海康、大华、华为</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400W视频球机</w:t>
            </w:r>
          </w:p>
        </w:tc>
        <w:tc>
          <w:tcPr>
            <w:tcW w:w="7230" w:type="dxa"/>
            <w:shd w:val="clear" w:color="auto" w:fill="auto"/>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▲球机像素：≥400W</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传感器元器件 CMOS；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▲内置GPU芯片；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▲靶面尺寸：≥1/1.8”；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▲最低照度彩色：≤0.0002lux,黑白:≤0.0001lux；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视频分辨率：2560×1440@25fps；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焦距：5.6-208mm，37倍光学变倍；</w:t>
            </w:r>
          </w:p>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w:t>
            </w:r>
            <w:r>
              <w:rPr>
                <w:rFonts w:hint="eastAsia" w:ascii="宋体" w:hAnsi="宋体" w:cs="宋体"/>
                <w:color w:val="000000" w:themeColor="text1"/>
                <w:kern w:val="0"/>
                <w:sz w:val="22"/>
                <w:szCs w:val="22"/>
                <w:highlight w:val="none"/>
                <w14:textFill>
                  <w14:solidFill>
                    <w14:schemeClr w14:val="tx1"/>
                  </w14:solidFill>
                </w14:textFill>
              </w:rPr>
              <w:t>内置≥64GB CLASS10以上SD卡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▲支持不少于5路码流同时输出，支持同时输出不少于2路高清视频图像，高清视频图像分辨率与帧率不小于2560×1440@60帧/s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视频压缩标准：H.265/H.264 / MJPEG</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支持动态范围≥106dB，照度适应范围≥135dB;</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具有三种滤光片，在白天、夜晚及有雾情况下可自动切换不同的滤光片进行成像；</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支持不少于500个预置位；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支持自动巡航功能设备可以按照所设置的预置位完成1024条巡航路径，每条巡航路径可以添加64个预置点；在IE浏览器下，具有一键巡航控制按钮，支持一键巡航功能；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支持设备可按照所设置的轨迹完成1024条模式路径每条路径的最大记录时间应大于16min；</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支持在监视画面上设置40个不规则四边形区域，</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支持快速聚焦功能，分辨率设置为1920*1080，帧率设置为60fps，码率为2Mbps，跟踪行人或机动车等移动目标并录像时，单帧回放录像文件，每1帧画面均应清晰可见；</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▲支持全结构化智能解析（性能参数以卡口场景测试为准）：</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车辆捕获率白天/晚上都不小于99%，支持车牌识别白天/晚上都不小于99%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支持非机动车捕获率白天与夜间均不低于99%；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支持车型识别功能，识别通过监视画面中的机动车车型，包括：轿车、小型轿车、微型车、 客车、中型客车、面包车、大货车、小货车、SUV-MPV、皮卡，共10种，白天识别率99%夜间识别率98%；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支持车牌颜色识别功能，黄、蓝、白、黑、绿（新能源车牌），共5种；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支持车身颜色识别功能，支持车身颜色识别功能，白、灰、黄、粉、紫、绿、 蓝、红、棕、黑，共10种，识别率：≥98%；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支持车辆品标识识别，识别率：白天99%，夜间97%；</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支持人脸检测功能，可对经过设定区域的行人进行人脸检测，当检测到人脸后，可抓拍人脸图片，并报警上传；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水平键控速度最大500°/s，垂直键控速度最大120°/s，垂直范围-35°~90°；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红外距离:≥150米；具备较好的电磁兼容性，支持空气放电15KV，接触放电8KV，8KV防浪涌</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防护等级：≥IP66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功耗:60W max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湿度：10%~90%</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86</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海康、大华、华为</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900W卡口相机</w:t>
            </w:r>
          </w:p>
        </w:tc>
        <w:tc>
          <w:tcPr>
            <w:tcW w:w="7230" w:type="dxa"/>
            <w:shd w:val="clear" w:color="auto" w:fill="auto"/>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900万抓拍单元，</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▲传感元器件： GMOS；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▲靶面尺寸：≥1"</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视频分辨率：4096×2160@25fps；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▲照度：彩色:≤0.0002Lux；黑白：≤0.0001；（参数提供检测报告）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图片分辨率4096*2160、1600*1200、1280*720；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视频压缩支持H.265、H.264、M-JPEG、MPEG4；</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支持SSD存储器，容量支持512G以上；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▲内置≥128GB CLASS10以上SD卡▲设备内置深度学习芯片；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▲支持全结构化智能解析：</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支持主、副驾驶人脸检测功能；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支持车辆捕获功能，白天准确率≥99%，晚上捕获率≥99%；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支持车牌识别功能，白天准确率≥99%，晚上捕获率≥99%；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支持非机动车、行人捕获功能，白天捕获率≥99%，晚上捕获率≥95%；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支持≥13种车身颜色识别，包括：黑、白、灰、红、绿、蓝、黄、粉、紫、棕、青、金、橙，白天准确率99%，晚上准确率95%；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支持对行人和非机动车的人脸检测功能；可对扣取的人脸图片的像素大小、亮度、边框放大倍数进行调节；</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支持前车窗是否有摆件物检测功能；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支持车身颜色、车型、车标、安全带、开车打电话、年检标志等特征识别；</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支持驾驶员行车时打电话动作的检测，是否打电话检测准确率≥80%；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支持机动车、二轮车、三轮车和行人自动区分，区分准确率≥92%；</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支持危险品车检测功能，识别准确率≥90%；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支持驾驶室人脸抠图功能，主驾驶人脸抠图率不小于98%，副驾驶人脸抠图率不小于95%；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支持包括上身和下身衣服颜色、性别、背包、戴帽子、戴口罩、戴眼镜、年龄段、拎东西等人体特征的识别；</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支持非机动车、行人人体和人脸抠取；</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支持透雾自动切换功能，当检测到雾的浓度达到设定的阈值时，可自动在算法透雾和光学透雾之间进行切换；</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支持同时对行人、非机动车、机动车进行检测、跟踪和抓拍功能，支持人脸、车牌的抠图及人脸与人体、车牌与车辆的关联显示；</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在静止场景下，图像质量无明显劣化条件下，设备采用H.264或H.265视频编码方式，当开启智能编码功能后，码流可降低至未开启时的1/30以下；</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外接存储读取速度最高可达15M/s；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支持识别≥车头3000种车辆子品牌，车尾500种车辆子品牌；</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▲内置50mm定焦镜头</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IP防护等级：≥IP66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功耗:53W max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湿度：10%~90%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摄像机（带内置偏振镜）、室外防护罩、内置补光灯、网络防雷器、电源适配器、安装万向节、防水软管等</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164</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海康、大华、华为</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800W人脸抓拍机</w:t>
            </w:r>
          </w:p>
        </w:tc>
        <w:tc>
          <w:tcPr>
            <w:tcW w:w="7230" w:type="dxa"/>
            <w:shd w:val="clear" w:color="auto" w:fill="auto"/>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▲传感元器件： CMOS智能护罩一体化网络摄像机；</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▲靶面尺寸：≥1/1.8”；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▲最低照度彩色：≤0.002lux，黑白:≤0.001lux（参数提供检测报告）；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▲采用GPU的硬件架构（参数提供检测报告）；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视频分辨率：≥3840x2160@25fps；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▲内置光学变焦，自动调节光圈及一键聚焦功能；（根据实际场景需求提供对应镜头焦距）</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视频压缩标准：H.265/H.264 / MJPEG；</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需具≥106dB宽动态；</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内置高效阵列灯，可定时开启，最远达30米；</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▲支持单场景同时检出≥30张人脸图片；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▲支持全结构化智能解析：</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抓拍人体：支持上衣颜色、下装颜色、性别、戴眼镜、背包、拎东西、戴帽子、戴口罩、长短袖、裤裙、发型属性识别</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抓拍人脸：支持对运动人脸进行抓拍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抓拍非机动车：支持上衣颜色、性别、戴眼镜、背包、戴帽子、戴口罩、长短袖、发型、骑车类型、骑车人数属性识别</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抓拍机动车：支持车牌识别并抓拍。支持车型、车牌颜色、车身颜色、车牌类型、子品牌车身颜色属性识别</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支持前端人脸建库、布防和比对</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支持混合抓拍模式，可同时对行人、非机动车、机动车进行检测、跟踪及抓拍。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在混合抓拍模式下，支持行人、非机动车和机动车的分类计数。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在混合抓拍模式下，支持将人脸与人体、车牌与车辆进行关联。</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支持行人、非机动车属性提取</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▲全结构化智能解析性能参数（性能参数以卡口场景测试为准）：</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同时支持非机动车、行人抓拍功能，白天和晚上捕获率都不低于99%；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支持车牌识别功能，白天和晚上识别率都不低于99%；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支持车型识别功能，白天和晚上识别率都不低于95%；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支持车流量统计功能，白天和晚上车流量统计准确率都不低于99%；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可识别≥10种车型，包括轿车、小型轿车、微型轿车、客车、中型客车、面包车、大货车、小货车、SUV-MPV、皮卡。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支持≥11种车身颜色识别，包括：黑、白、灰、红、绿、蓝、黄、粉、紫、棕、青；，白天环境光照度不低于2001x,车身颜色识别率≥95%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车标白天识别准确率≥98%;夜间识别准确率≥95%；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支持区域入侵,物品遗留/搬移,场景变更,徘徊检测,人员聚集,快速移动,停车检测,音频异常检测,虚焦侦测,外部报警,并且可以与报警联动,支持多种触发规则联动动作；</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支持人脸优选抓拍和实时抓拍，开启实时抓拍可对人脸轨迹中每帧进行抓拍，当开启人脸优选功能，能够挑选出人脸轨迹中效果较好的一帧进行抓拍；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支持人脸抓拍图片可分为场景图和人脸图，场景图和人脸图可关联存储，并可通过IE浏览器或客户端检索并查看存储的图片；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防护等级：≥IP66；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▲内置≥64GB CLASS10以上SD卡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功耗:35W max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湿度：10~90</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14</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海康、大华、华为</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枪球一体机</w:t>
            </w:r>
          </w:p>
        </w:tc>
        <w:tc>
          <w:tcPr>
            <w:tcW w:w="7230" w:type="dxa"/>
            <w:shd w:val="clear" w:color="auto" w:fill="auto"/>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全景相机</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▲传感器类型:CMOS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▲靶面尺寸：≥1/1.8＂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▲最低照度:彩色:0.001 Lux 黑白:0.0005Lux；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支持106dB宽动态、透雾、强光抑制、电子防抖、背光补偿</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视频压缩:H.265/H.264/MJPEG，H.264编码支持Baseline/Main/High Profile</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分辨率及帧率:主码流50Hz:25fps(2560×1440) ;60Hz:30fps(2560×1440)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细节相机:</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▲图像传感器:CMOS；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▲靶面尺寸：≥1/1.8＂；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▲最低照度:彩色：0.001Lux，黑白:0.0005Lux；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支持106dB宽动态、透雾、强光抑制、电子防抖、背光补偿；</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4倍光学变倍；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水平速度:水平键控速度：0.1°-200°/s,+K4:L4速度可设； 水平预置点速度：300°/s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垂直速度:垂直键控速度：0.1°-120°/s,速度可设； 垂直预置点速度：120°/s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视频压缩:H.265/H.264/MJPEG，H.264编码支持Baseline/Main/High Profile</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分辨率及帧率:主码流50Hz:25fps(2560×1440);60Hz:30fps(2560×1440)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▲支持全结构化智能解析（性能参数以卡口场景测试为准）：</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行人图像捕获率≥99%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车身颜色识别准确率≥99%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车型识别准确率≥99%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非机动车辆图像捕获率≥99%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人体最远检测距离可达40米，人脸最远检测距离可达30米，车辆最远检测距离15米；</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可对监控画面中的机动车、非机动车、行人同时进行检测及抓图，能同时支持对照片中的100个目标进行检测；</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支持人脸检测、人脸属性提取和人脸识别，支持多种人脸抠图方案设置，包括人脸/单寸照/半身/全身；</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支持目标检测：包括人脸、人体和车辆的检测及抓拍，支持人体属性提取；</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支持视频结构化功能：支持机动车抓拍、机动车属性提取，支持非机动车抓拍、非机动车属性提取，支持人体抓拍、人体属性提取，支持人脸抓拍、人脸属性提取；</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支持区域入侵、穿越围栏、徘徊检测、物品遗留、物品搬移、快速移动、停车检测、人员聚集多种行为检测；</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SD卡接口:内置Micro SD卡插槽，支持Micro SD(即TF卡)/Micro SDHC/Micro SDXC卡（最大支持256G）；</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▲内置≥64GB CLASS10以上SD卡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功耗:56W max；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工作温度和湿度:-40℃-70℃；湿度小于90%；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防护等级:IP66。</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海康、大华、华为</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6</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高空瞭望球机</w:t>
            </w:r>
          </w:p>
        </w:tc>
        <w:tc>
          <w:tcPr>
            <w:tcW w:w="7230" w:type="dxa"/>
            <w:shd w:val="clear" w:color="auto" w:fill="auto"/>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▲球机像素：≥400W</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传感器元器件 CMOS；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▲内置GPU芯片；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▲靶面尺寸：≥1/1.8”；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▲最低照度彩色：≤0.0002lux,黑白:≤0.0001lux；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视频分辨率：2560×1440@25fps；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焦距：5.6-208mm，37倍光学变倍；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▲支持5路码流同时输出，支持同时输出不少于2路高清视频图像，高清视频图像分辨率与帧率不小于2560×1440@60帧/s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视频压缩标准：H.265/H.264 / MJPEG</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支持动态范围≥106dB，照度适应范围≥135dB;</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具有三种滤光片，在白天、夜晚及有雾情况下可自动切换不同的滤光片进行成像；</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支持不少于500个预置位；</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支持自动巡航功能设备可以按照所设置的预置位完成1024条巡航路径，每条巡航路径可以添加64个预置点；在IE浏览器下，具有一键巡航控制按钮，支持一键巡航功能；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支持设备可按照所设置的轨迹完成1024条模式路径每条路径的最大记录时间应大于16min；</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支持在监视画面上设置40个不规则四边形区域；</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支持快速聚焦功能，分辨率设置为1920*1080，帧率设置为60fps，码率为2Mbps，跟踪行人或机动车等移动目标并录像时，单帧回放录像文件，每1帧画面均应清晰可见；</w:t>
            </w:r>
          </w:p>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▲内置≥64GB CLASS10以上SD卡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▲支持全结构化智能解析（性能参数以卡口场景测试为准）：</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车辆捕获率白天/晚上都不小于99%，支持车牌识别白天/晚上都不小于99%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支持非机动车捕获率白天与夜间均不低于99%；</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支持支持≥10种车型识别功能，识别通过监视画面中的机动车车型，包括：轿车、小型轿车、微型车、 客车、中型客车、面包车、大货车、小货车、SUV-MPV、皮卡，白天识别率99%夜间识别率98%；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支持≥5种车牌颜色识别功能，黄、蓝、白、黑、绿（新能源车牌）；</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支持车身颜色识别功能，支持车身颜色识别功能，白、灰、黄、粉、紫、绿、 蓝、红、棕、黑，共10种，识别率：≥98%；</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支持车辆品标识识别，识别率：白天99%，夜间97%；</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支持人脸检测功能，可对经过设定区域的行人进行人脸检测，当检测到人脸后，可抓拍人脸图片，并报警上传；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水平键控速度最大500°/s，垂直键控速度最大120°/s，垂直范围-35°~90°；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红外距离:≥150米；具备较好的电磁兼容性，支持空气放电15KV，接触放电8KV，8KV防浪涌</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防护等级：≥IP66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功耗:60W max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湿度：10%~90%</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海康、大华、华为</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7</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光源</w:t>
            </w:r>
          </w:p>
        </w:tc>
        <w:tc>
          <w:tcPr>
            <w:tcW w:w="1792"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闪光灯</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窄脉冲智能补光灯要求与高清成像设备兼容；</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色温：≥4000K；</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回电时间：≤60ms；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单次闪光曝光指数（1m@ISO100）：≥45；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25米处（抓拍位置）光斑大小：≤7.5m；</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衰减度：补光1000万次以后亮度衰减不高于20%；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能量：≤30焦耳/次(节能及防光污染需要)；</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工作温度：-10°C～+70°；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环保措施：▲带光栅，采用有效隔离措施，防止光污染，对驾驶员视觉无干扰，确保行车安全；</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灯具设计需采用防炫目设计，指向性补光，发射角小。补光区域为基准轴左右10°，基准轴上光照度≥1700 lx，补光区域最小光照度≥1000lx；</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补光装置需保证车辆密集通过时无漏拍，连续两次补光之间的时间间隔＜100ms，点亮时间0-2ms可调。</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234</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海康、大华、莱司特</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8</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补光灯</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16颗原装进口高亮LED；</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支持通过相机远程控制20级亮度等级，控制补光灯点亮和熄灭；</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支持远程显示补光灯故障、正常状态；</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亮补光灯采用内置自动光控设计，环境低照度下自动开启；</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支持相机同步信号输出至LED灯板响应的时间≤45us；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支持环境亮度阀值可调，1～6档可调，6档最低；</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供电 AC90～264V供电；</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最佳照射距离 18～23米；</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色温 ≥5700K；</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响应时间 ≤45us；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工作温度 -30℃~+70℃；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工作湿度 10%~90%；</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功率 ≤40W；</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防护等级 IP66；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▲带光栅，有效减少光污染。</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654</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海康、大华、莱司特</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9</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环保补光灯</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带无光生物危害检测报告，显色指数≥90，无眩目检测报告（需提供证书）、有在线检测功能；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有效补光区域：23m×10m，补光区域内任意点最低照度＞3Lux，平均功耗率≤80W；</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灯具防护等级不小于IP66（IP66检测证书），提供AC220v电源输入口，支持长时间±10%宽范围电压输入；</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能在-25℃～+50℃环境温度下长时间稳定工作；电源跟灯体之间以及电源输入端要求采用防水对接头；</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支持远程参数监测、故障报警、远程开关、中心校时万年历时控（根据不同月份实现精准控制开关灯时间）接口。</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开元、宝迦、威拉德</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10</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存储设备</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存储服务器</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机架式4U 24盘位，支持SAS/SATA硬盘；服务器构架,支持RAID 0，1，10，5，6；</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支持CIFS、NFS、iSCSI；</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冗余电源，冗余风扇，监控专属安全存储单元，流式存储，无文件系统，无磁盘碎片；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支持中心平台统一调度，支持统一网管，支持N+3冗余热备，支持系统断线继续存储；</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支持设备直连存储，支持中心转发存储，支持客户直接访问和跨网访问；</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支持秒级定位和秒级时移回放和下载；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支持1/16~16倍率的回放（例如：1/16x、1/8x、1/4x、1/2x、1 x、2x、4x、8x、16x……），支持视频回退播放；</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支持视频在线剪辑，支持录像按时间下载，支持录像文件高速下载。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含《立元安全存储单元系统软件V1.0》，带防断电模块。AC220V电源。</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▲需无缝接入台州公安天网视频作战侦查平台，出具平台厂家无缝接入证明。保修五年 </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11</w:t>
            </w:r>
          </w:p>
        </w:tc>
        <w:tc>
          <w:tcPr>
            <w:tcW w:w="709" w:type="dxa"/>
            <w:shd w:val="clear" w:color="auto" w:fill="auto"/>
            <w:vAlign w:val="center"/>
          </w:tcPr>
          <w:p>
            <w:pPr>
              <w:widowControl/>
              <w:jc w:val="center"/>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center"/>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立元、海康、大华</w:t>
            </w:r>
          </w:p>
        </w:tc>
        <w:tc>
          <w:tcPr>
            <w:tcW w:w="1211"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▲现场备品备件1台满配6T硬盘存储服务器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11</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6TB企业级硬盘</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含24块6TB企业级存储专用硬盘，缓存≥128MB；能与SSU存储（机架式SSU存储机头）配套，无缝兼容；</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264</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块</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希捷、西数、昱科</w:t>
            </w:r>
          </w:p>
        </w:tc>
        <w:tc>
          <w:tcPr>
            <w:tcW w:w="1211"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12</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L型杆件（八角锥形杆）</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挑2米</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13</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L型杆件（等径圆杆）</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挑臂3米</w:t>
            </w:r>
          </w:p>
        </w:tc>
        <w:tc>
          <w:tcPr>
            <w:tcW w:w="7230" w:type="dxa"/>
            <w:vMerge w:val="restart"/>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高6.5米、立杆¢219，壁厚5mm；横臂¢114，壁厚4mm；钢板厚度±0.25mm，横臂焊接导轨，采用热轧钢板、热镀锌喷塑，建议磨砂黑，含基础件6-M22*1200mm。</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14</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挑臂4米</w:t>
            </w:r>
          </w:p>
        </w:tc>
        <w:tc>
          <w:tcPr>
            <w:tcW w:w="7230" w:type="dxa"/>
            <w:vMerge w:val="continue"/>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15</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挑臂5米</w:t>
            </w:r>
          </w:p>
        </w:tc>
        <w:tc>
          <w:tcPr>
            <w:tcW w:w="7230" w:type="dxa"/>
            <w:vMerge w:val="continue"/>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16</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L型杆件（八角杆）</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挑臂7米</w:t>
            </w:r>
          </w:p>
        </w:tc>
        <w:tc>
          <w:tcPr>
            <w:tcW w:w="7230" w:type="dxa"/>
            <w:vMerge w:val="restart"/>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高6.5米，立杆直径对角320-220，壁厚6mm；横臂直径200-100，壁厚5mm；钢板厚度±0.25mm，横臂焊接导轨，采用热轧钢板、热镀锌喷塑，建议磨砂黑，含基础件8-M24*1500mm。</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17</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挑臂9米</w:t>
            </w:r>
          </w:p>
        </w:tc>
        <w:tc>
          <w:tcPr>
            <w:tcW w:w="7230" w:type="dxa"/>
            <w:vMerge w:val="continue"/>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18</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其他杆件</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特殊杆件</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根据规划设计图纸规范进行制作</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19</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墙装原装支架</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原装支架</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20</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墙装挑臂1米</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挑臂1米</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65</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21</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抱杆原装支架</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原装支架</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22</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抱杆挑臂1米</w:t>
            </w:r>
          </w:p>
        </w:tc>
        <w:tc>
          <w:tcPr>
            <w:tcW w:w="7230" w:type="dxa"/>
            <w:vMerge w:val="restart"/>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横臂杆（借杆）、抱箍挑杆，安装在墙上或电线杆上，直径≥50MM，挑出1-3米，无缝钢管，壁厚≥3MM，表面做热镀锌和静电喷塑处理。根据实际情况选择不同的类型杆和施工方式。</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50</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23</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抱杆挑臂2米</w:t>
            </w:r>
          </w:p>
        </w:tc>
        <w:tc>
          <w:tcPr>
            <w:tcW w:w="7230" w:type="dxa"/>
            <w:vMerge w:val="continue"/>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37</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24</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抱杆挑臂3米</w:t>
            </w:r>
          </w:p>
        </w:tc>
        <w:tc>
          <w:tcPr>
            <w:tcW w:w="7230" w:type="dxa"/>
            <w:vMerge w:val="continue"/>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43</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25</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借杆</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　</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213</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26</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机箱</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利旧</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　</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27</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智能机箱</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2）防护等级要求≥IP55；</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3）箱内电气部分采用导轨式安装，接线方便，每个单元均可独立更换；电气部分安装背板采用≥6mm环氧树脂绝缘板；机箱内部右侧预留DIN导轨，用于运营商光端机固定；机箱底部具有4个内径32mm防水接头。</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4）箱体内部包含≥63A 2P空开、10A自动重合闸、标称20KA电源防雷器、1位维修插座、智能控制终端、4路像机AC220V供电端子4路补光灯AC220V供电端子、1路光端机DC12V供电端子、光纤盘、后备电源模块、风扇、箱门检测开关。</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5）▲具有支持供电电压、电流检测，可通过客户端显示；当供电断开时，在客户端上提示供电异常告警，具有公安部出具检测报告。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6）可通过客户端显示补光灯工作状态并设置定时/手动开启。</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7）提供≥5路AC220V交流输出，最大支持功率≥2000W，提供≥3路12V直流输出、2路干接点输入接口、1路10M/100M电口、1路RS485接口。</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8）▲当箱体受到倾斜时，提示箱体倾斜异常，并显示倾斜角度</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9）▲当箱体受到撞击时，提示箱体撞击异常，并显示受到的撞击加速度值</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10）▲当箱体受到震动时，提示箱体震动告警，并显示受到的震动加速度值</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11）箱门打开时内部辅助工作指示灯自动开启；箱门超时未关闭本地蜂鸣器自动启动告警。</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12）可通过客户端显示摄像机工作状态并设置定时/手动开启，当接入的摄像机断电或网络断开时，可通过客户端提示告警。</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13）▲可支持≥6路外接摄像机状态检测。</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14）▲能够区分补光灯白天异常亮起或晚上无法开启。</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15）▲支持温度检测、防雷状态检测、风扇工作状态检测，支持通过客户端显示箱门状态并设置箱门布防撤防。</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16）交流输出接口具有定时控制、远程控制功能，可远程设定工作模式，具有第三方检测报告。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17）▲支持通过WEB/客户端软件直接查看实时数据、配置IP地址、客户端地址、传输模式、进行远程固件升级，具有公安部出具检测报告。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18）工作温度范围-25℃～+75℃，工作湿度≤90%RH，具有第三方检测报告。</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19）具有后备电源，设备断电时可继续供电。</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20）▲智能设备箱支持SDK二次开发（免费定制和提供）。</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配套运维管理平台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1) 具有实时在线统计视频总数、视频在线率、故障及时修复率（修复阈值时间可设）、视频掉线列表、告警情况功能。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2) 具有在电子地图上标识展示位置信息，并显示设备信息、工作状态，包括正常、异常、离线等情况功能。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3) 具有详细了解单个点位供电情况、环境温度情况及设备工作状态功能，可远程控制设备断电重启、设定设备参数。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4) 具有导出设备和外接摄像机列表功能。具有通过时间、品牌等条件对外接摄像机故障率、在线率以柱状图或折线图展示统计报表功能。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5) 具有声音（短信）通知告警信息、支持设定各种告警的告警等级、支持分区域设定不同告警的处理时效功能。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6) 具有自动派单和手动派单功能，工单记录故障产生时间、派单时间及修复时长等信息。</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437</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29</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线材</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电源线</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YJV2*2.5，国标产品</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30</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PE管</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¢50,壁厚≥2mm</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31</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镀锌管</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¢40，壁厚≥2mm</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32</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电源线</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RVV3*1.5，国标产品</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33</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控制线</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RVVP2*1.5，国标产品</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34</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网线</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室外六类防水，国标产品</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35</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接地</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接地系统</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不小于BVR-10平方双色接地线及40*4毫米镀锌扁铁，连接部位采用铜鼻子，接地电阻小于10Ω</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36</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辅助材料</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含扎带、胶布、标签等</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37</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网络设备</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千兆1光8电光端机</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▲≥1个千兆SFP接口，8个≥10/100M自适应电口</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支持设备端口≥100M不降速可达220米传输，支持多路视频取流</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设备支持基于MAC、802.1x及安防协议（如onvif协议）探测认证等策略进行接入设备安全认证，隔离认证失败设备</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支持冗余端口关闭功能，无设备接入的端口，可关闭，当检测到有设备接入且通过安全评估后启动端口</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支持链路汇聚、IEEE 802.1p、QOS、流量统计、端口镜像、LLDP等功能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 IGMP Snoopig和GMRP过滤多播封包</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支持视频专用通道，保证视频传输通畅</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支持光链路上下级联</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支持无风扇散热，-45~85℃宽温工作</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具备完善的网络诊断功能，具备电源管理</w:t>
            </w:r>
            <w:r>
              <w:rPr>
                <w:rFonts w:hint="eastAsia" w:ascii="宋体" w:hAnsi="宋体" w:cs="宋体"/>
                <w:color w:val="000000" w:themeColor="text1"/>
                <w:kern w:val="0"/>
                <w:sz w:val="22"/>
                <w:szCs w:val="22"/>
                <w:highlight w:val="none"/>
                <w14:textFill>
                  <w14:solidFill>
                    <w14:schemeClr w14:val="tx1"/>
                  </w14:solidFill>
                </w14:textFill>
              </w:rPr>
              <w:t xml:space="preserve">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支持多种配置方式：命令行接口（CLI），SSH、WEB、IVS9100运维管理软件</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支持运维管理平台，能实现设备自发现、自动拓扑功能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支持一键恢复出厂设置功能</w:t>
            </w:r>
          </w:p>
          <w:p>
            <w:pPr>
              <w:pStyle w:val="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12V供电</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437</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中威、海康、大华</w:t>
            </w:r>
          </w:p>
        </w:tc>
        <w:tc>
          <w:tcPr>
            <w:tcW w:w="1211"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38</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24口千兆光4口万兆光交换机</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▲交换容量≥336Gbps；包转发率≥126Mpps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端口类型：24个千兆SFP，4个万兆SFP+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▲配置模块化可插拔双电源</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▲支持静态路由、RIP、RIPng、OSPF、OSPFv3</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支持基于源IPv6地址、目的IPv6地址、四层端口、协议类型等ACL</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支持VLAN内组播转发和组播多VLAN复制；支持基于端口的组播流量统计；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支持IGMP v1/v2/v3、PIM-SM、PIM-DM、PIM-SSM</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支持多个物理端口的流量镜像到一个端口；支持流镜像；支持远程端口镜像（RSPAN）。</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支持对端口入方向、出方向进行速率限制；</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支持报文的802.1p和DSCP优先级重新标记；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支持基于队列限速和端口整形功能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支持防止DOS、ARP攻击功能、ICMP防攻击；支持IP、MAC、端口、VLAN的组合绑定；</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▲支持堆叠，主机堆叠数不小于9台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支持SNMPv1/v2/v3；</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支持网管系统、支持WEB网管特性；</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支持零配置部署</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6</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华为、华三、中兴</w:t>
            </w:r>
          </w:p>
        </w:tc>
        <w:tc>
          <w:tcPr>
            <w:tcW w:w="1211"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39</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48口千兆光4口万兆光交换机</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▲交换容量≥336Gbps；包转发率≥144Mpps</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 xml:space="preserve">端口类型：48个千兆SFP，4个万兆SFP+ </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▲配置模块化可插拔双电源</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▲支持静态路由、RIP、RIPng、OSPF、OSPFv3</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支持基于源IPv6地址、目的IPv6地址、四层端口、协议类型等ACL</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支持VLAN内组播转发和组播多VLAN复制；支持基于端口的组播流量统计；</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支持IGMP v1/v2/v3、PIM-SM、PIM-DM、PIM-SSM</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支持多个物理端口的流量镜像到一个端口；支持流镜像；支持远程端口镜像（RSPAN）。</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支持对端口入方向、出方向进行速率限制；</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支持报文的802.1p和DSCP优先级重新标记；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支持基于队列限速和端口整形功能</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支持防止DOS、ARP攻击功能、ICMP防攻击；支持IP、MAC、端口、VLAN的组合绑定；</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▲支持堆叠，主机堆叠数不小于9台</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支持SNMPv1/v2/v3；</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支持网管系统、支持WEB网管特性；</w:t>
            </w:r>
            <w:r>
              <w:rPr>
                <w:rFonts w:hint="eastAsia" w:ascii="宋体" w:hAnsi="宋体" w:cs="宋体"/>
                <w:color w:val="000000" w:themeColor="text1"/>
                <w:kern w:val="0"/>
                <w:sz w:val="22"/>
                <w:szCs w:val="22"/>
                <w:highlight w:val="none"/>
                <w14:textFill>
                  <w14:solidFill>
                    <w14:schemeClr w14:val="tx1"/>
                  </w14:solidFill>
                </w14:textFill>
              </w:rPr>
              <w:br w:type="textWrapping"/>
            </w:r>
            <w:r>
              <w:rPr>
                <w:rFonts w:hint="eastAsia" w:ascii="宋体" w:hAnsi="宋体" w:cs="宋体"/>
                <w:color w:val="000000" w:themeColor="text1"/>
                <w:kern w:val="0"/>
                <w:sz w:val="22"/>
                <w:szCs w:val="22"/>
                <w:highlight w:val="none"/>
                <w14:textFill>
                  <w14:solidFill>
                    <w14:schemeClr w14:val="tx1"/>
                  </w14:solidFill>
                </w14:textFill>
              </w:rPr>
              <w:t>支持零配置部署</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8</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台</w:t>
            </w:r>
          </w:p>
        </w:tc>
        <w:tc>
          <w:tcPr>
            <w:tcW w:w="1418"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华为、华三、中兴</w:t>
            </w:r>
          </w:p>
        </w:tc>
        <w:tc>
          <w:tcPr>
            <w:tcW w:w="1211"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40</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千兆光模块，≥20公里</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▲兼容本项目所用光端机和光交换机，满足实际传输需求</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437</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华为、华三、中兴</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41</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基础</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挑臂1—3M（H4）</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42</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挑臂1—5M（H6）</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43</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挑臂6—9M（H6）</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6</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45</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挑臂13M（H6）</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2.0*2.0*2.5M、C25商混；混凝土养护时间具体参照《水工混凝土施工规范》（5144-2001）《水泥混凝土路面施工技术规范》（JTG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个</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46</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手井</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含水泥材料井盖</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井盖500*500mm、井深500mm</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国产</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47</w:t>
            </w:r>
          </w:p>
        </w:tc>
        <w:tc>
          <w:tcPr>
            <w:tcW w:w="852" w:type="dxa"/>
            <w:vMerge w:val="restart"/>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取电线路</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绿化</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300*500mm，含审批、开挖和回填及恢复、清理</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48</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水泥</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300*500mm，含审批、开挖和回填及恢复、清理</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49</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方砖</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300*500mm，含审批、开挖和回填及恢复、清理</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50</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顶管DN75</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含恢复，含审批、开挖和回填及恢复、清理</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51</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沿墙敷设DN25</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含PVC套管</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52</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架空DN25</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含恢复</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53</w:t>
            </w:r>
          </w:p>
        </w:tc>
        <w:tc>
          <w:tcPr>
            <w:tcW w:w="852" w:type="dxa"/>
            <w:vMerge w:val="continue"/>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其他</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300*500mm、含恢复</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54</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拆除费</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对前端原模拟设备进行拆移、登记、运输、保管</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批</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55</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测试费</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第三方检测测试</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　</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次</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56</w:t>
            </w:r>
          </w:p>
        </w:tc>
        <w:tc>
          <w:tcPr>
            <w:tcW w:w="852"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运营维护</w:t>
            </w:r>
          </w:p>
        </w:tc>
        <w:tc>
          <w:tcPr>
            <w:tcW w:w="1792" w:type="dxa"/>
            <w:shd w:val="clear" w:color="auto" w:fill="auto"/>
            <w:vAlign w:val="center"/>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1年运营维护</w:t>
            </w:r>
          </w:p>
        </w:tc>
        <w:tc>
          <w:tcPr>
            <w:tcW w:w="7230" w:type="dxa"/>
            <w:shd w:val="clear" w:color="auto" w:fill="auto"/>
            <w:vAlign w:val="center"/>
          </w:tcPr>
          <w:p>
            <w:pPr>
              <w:widowControl/>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　</w:t>
            </w:r>
          </w:p>
        </w:tc>
        <w:tc>
          <w:tcPr>
            <w:tcW w:w="708"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758</w:t>
            </w:r>
          </w:p>
        </w:tc>
        <w:tc>
          <w:tcPr>
            <w:tcW w:w="709" w:type="dxa"/>
            <w:shd w:val="clear" w:color="auto" w:fill="auto"/>
            <w:vAlign w:val="center"/>
          </w:tcPr>
          <w:p>
            <w:pPr>
              <w:widowControl/>
              <w:jc w:val="center"/>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路/年</w:t>
            </w:r>
          </w:p>
        </w:tc>
        <w:tc>
          <w:tcPr>
            <w:tcW w:w="1418"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c>
          <w:tcPr>
            <w:tcW w:w="1211" w:type="dxa"/>
            <w:shd w:val="clear" w:color="auto" w:fill="auto"/>
            <w:vAlign w:val="bottom"/>
          </w:tcPr>
          <w:p>
            <w:pPr>
              <w:widowControl/>
              <w:jc w:val="left"/>
              <w:rPr>
                <w:rFonts w:ascii="等线" w:hAnsi="等线" w:eastAsia="等线" w:cs="宋体"/>
                <w:color w:val="000000" w:themeColor="text1"/>
                <w:kern w:val="0"/>
                <w:sz w:val="22"/>
                <w:szCs w:val="22"/>
                <w:highlight w:val="none"/>
                <w14:textFill>
                  <w14:solidFill>
                    <w14:schemeClr w14:val="tx1"/>
                  </w14:solidFill>
                </w14:textFill>
              </w:rPr>
            </w:pPr>
            <w:r>
              <w:rPr>
                <w:rFonts w:hint="eastAsia" w:ascii="等线" w:hAnsi="等线" w:eastAsia="等线" w:cs="宋体"/>
                <w:color w:val="000000" w:themeColor="text1"/>
                <w:kern w:val="0"/>
                <w:sz w:val="22"/>
                <w:szCs w:val="22"/>
                <w:highlight w:val="none"/>
                <w14:textFill>
                  <w14:solidFill>
                    <w14:schemeClr w14:val="tx1"/>
                  </w14:solidFill>
                </w14:textFill>
              </w:rPr>
              <w:t>　</w:t>
            </w:r>
          </w:p>
        </w:tc>
      </w:tr>
    </w:tbl>
    <w:p>
      <w:pPr>
        <w:rPr>
          <w:color w:val="000000" w:themeColor="text1"/>
          <w:highlight w:val="none"/>
          <w14:textFill>
            <w14:solidFill>
              <w14:schemeClr w14:val="tx1"/>
            </w14:solidFill>
          </w14:textFill>
        </w:rPr>
      </w:pPr>
    </w:p>
    <w:p>
      <w:pPr>
        <w:pStyle w:val="16"/>
        <w:rPr>
          <w:color w:val="000000" w:themeColor="text1"/>
          <w:highlight w:val="none"/>
          <w:lang w:val="zh-CN"/>
          <w14:textFill>
            <w14:solidFill>
              <w14:schemeClr w14:val="tx1"/>
            </w14:solidFill>
          </w14:textFill>
        </w:rPr>
      </w:pPr>
    </w:p>
    <w:p>
      <w:pPr>
        <w:pStyle w:val="16"/>
        <w:rPr>
          <w:rFonts w:ascii="宋体"/>
          <w:color w:val="000000" w:themeColor="text1"/>
          <w:sz w:val="22"/>
          <w:szCs w:val="22"/>
          <w:highlight w:val="none"/>
          <w:u w:val="single"/>
          <w14:textFill>
            <w14:solidFill>
              <w14:schemeClr w14:val="tx1"/>
            </w14:solidFill>
          </w14:textFill>
        </w:rPr>
      </w:pPr>
      <w:r>
        <w:rPr>
          <w:rFonts w:hint="eastAsia" w:ascii="宋体"/>
          <w:color w:val="000000" w:themeColor="text1"/>
          <w:sz w:val="22"/>
          <w:szCs w:val="22"/>
          <w:highlight w:val="none"/>
          <w:u w:val="single"/>
          <w14:textFill>
            <w14:solidFill>
              <w14:schemeClr w14:val="tx1"/>
            </w14:solidFill>
          </w14:textFill>
        </w:rPr>
        <w:t>说明：</w:t>
      </w:r>
    </w:p>
    <w:p>
      <w:pPr>
        <w:pStyle w:val="16"/>
        <w:numPr>
          <w:ilvl w:val="0"/>
          <w:numId w:val="29"/>
        </w:numPr>
        <w:rPr>
          <w:color w:val="000000" w:themeColor="text1"/>
          <w:highlight w:val="none"/>
          <w:lang w:val="zh-CN"/>
          <w14:textFill>
            <w14:solidFill>
              <w14:schemeClr w14:val="tx1"/>
            </w14:solidFill>
          </w14:textFill>
        </w:rPr>
      </w:pPr>
      <w:r>
        <w:rPr>
          <w:rFonts w:hint="eastAsia" w:ascii="宋体"/>
          <w:color w:val="000000" w:themeColor="text1"/>
          <w:sz w:val="22"/>
          <w:szCs w:val="22"/>
          <w:highlight w:val="none"/>
          <w:u w:val="single"/>
          <w14:textFill>
            <w14:solidFill>
              <w14:schemeClr w14:val="tx1"/>
            </w14:solidFill>
          </w14:textFill>
        </w:rPr>
        <w:t>招标文件提供的设备清单可能与工程实际情况不符，以上配置清单仅供参考，投标人应根据自身产品特点和施工要求，派员进行实地勘察，以确保系统设计合理、运行可靠、维护方便及准确的设备配置。除采购人变更安装点位外，若设备清单数量少于实际安装所需数量，供应商需无条件提供，采购人不予调整，请注意报价风险！</w:t>
      </w:r>
    </w:p>
    <w:p>
      <w:pPr>
        <w:pStyle w:val="16"/>
        <w:numPr>
          <w:ilvl w:val="0"/>
          <w:numId w:val="29"/>
        </w:numPr>
        <w:rPr>
          <w:color w:val="000000" w:themeColor="text1"/>
          <w:highlight w:val="none"/>
          <w:lang w:val="zh-CN"/>
          <w14:textFill>
            <w14:solidFill>
              <w14:schemeClr w14:val="tx1"/>
            </w14:solidFill>
          </w14:textFill>
        </w:rPr>
        <w:sectPr>
          <w:pgSz w:w="16838" w:h="11906" w:orient="landscape"/>
          <w:pgMar w:top="1418" w:right="1134" w:bottom="1134" w:left="1134" w:header="851" w:footer="992" w:gutter="0"/>
          <w:cols w:space="0" w:num="1"/>
          <w:docGrid w:type="linesAndChars" w:linePitch="312" w:charSpace="0"/>
        </w:sectPr>
      </w:pPr>
      <w:r>
        <w:rPr>
          <w:rFonts w:hint="eastAsia" w:ascii="宋体"/>
          <w:color w:val="000000" w:themeColor="text1"/>
          <w:sz w:val="22"/>
          <w:szCs w:val="22"/>
          <w:highlight w:val="none"/>
          <w:u w:val="single"/>
          <w14:textFill>
            <w14:solidFill>
              <w14:schemeClr w14:val="tx1"/>
            </w14:solidFill>
          </w14:textFill>
        </w:rPr>
        <w:t>本次供应商提供的设备清单中摄像机、补光设备、机箱、光纤收发设备、交换机、存储、立杆杆件不得少于以上设备数量，否则视为无效标书；</w:t>
      </w:r>
    </w:p>
    <w:p>
      <w:pPr>
        <w:keepNext/>
        <w:keepLines/>
        <w:widowControl/>
        <w:numPr>
          <w:ilvl w:val="0"/>
          <w:numId w:val="4"/>
        </w:numPr>
        <w:spacing w:before="340" w:after="330" w:line="380" w:lineRule="exact"/>
        <w:jc w:val="left"/>
        <w:outlineLvl w:val="0"/>
        <w:rPr>
          <w:rFonts w:ascii="宋体" w:hAnsi="宋体" w:cs="宋体"/>
          <w:snapToGrid w:val="0"/>
          <w:color w:val="000000" w:themeColor="text1"/>
          <w:kern w:val="44"/>
          <w:sz w:val="24"/>
          <w:highlight w:val="none"/>
          <w14:textFill>
            <w14:solidFill>
              <w14:schemeClr w14:val="tx1"/>
            </w14:solidFill>
          </w14:textFill>
        </w:rPr>
      </w:pPr>
      <w:r>
        <w:rPr>
          <w:rFonts w:hint="eastAsia" w:ascii="宋体" w:hAnsi="宋体" w:cs="宋体"/>
          <w:snapToGrid w:val="0"/>
          <w:color w:val="000000" w:themeColor="text1"/>
          <w:kern w:val="44"/>
          <w:sz w:val="24"/>
          <w:highlight w:val="none"/>
          <w14:textFill>
            <w14:solidFill>
              <w14:schemeClr w14:val="tx1"/>
            </w14:solidFill>
          </w14:textFill>
        </w:rPr>
        <w:t>商务条款</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▲项目工期</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在2019年12月15日前完成500路摄像机上线，并在中标通知书发出后150个日历天内完成所有设备采购、安装调试、上线并通过安全技术防范验收并承担有关费用。</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售后服务</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质保期：自验收合格之日起不少于五年。质保期范围为五年内本次采购的货物（包括设备与材料）出现非人为因素破坏造成的损坏、故障，均由供应商负责维修与更换，维修或更换后达到使用要求效果。五年质保期服务费用包含在总价中，供应商注意报价风险。</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保期内设备需维修与更换的，当系统出现一般性故障，接到维修通知后，将在10分钟内响应，并在2小时内赶到现场维修，24小时恢复正常工作。若问题不能现场解决，也将采取相应措施以保证系统正常运行，必要时包括更换必要的软件、硬件或切换线路。若系统出现部分瘫痪等类似的重大事故，应保证在接到维修通知后10分钟做出响应，并在2小时内赶到现场维修。维护结束恢复正常后须由业主书面确认，维护维修记录应当做记录（一式两份）。未履行的每路扣质保金1000元。特殊情况，经采购人书面同意，可以延长修复时间。故障持续未解决的，按1000元/路/天扣除质保金。管道、基础、窨井、线缆等破损的，应2小时内响应，并在48小时内修复，未履行的每次扣除质保金500元。特殊情况，经采购人书面同意，可以延长修复时间。设备拆除返修的，必须提供备件，确保系统正常持续工作，未履行的每路扣质保金5000元。中标供应商必须免费负责与后续项目的衔接。</w:t>
      </w:r>
    </w:p>
    <w:p>
      <w:pPr>
        <w:pStyle w:val="18"/>
        <w:snapToGrid w:val="0"/>
        <w:spacing w:after="120" w:line="380" w:lineRule="exact"/>
        <w:ind w:firstLine="420"/>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2）质保期满后，若原有配件已不销售，中标供应商应承诺为采购人提供升级配件（价格不得高于原设备、配件价格），使系统正常稳定工作。质保期满后投标供应商必须提供质保期备品备件，价格应不高于投标单价，并在本次投标时提供质保期满后的技术服务收费标准。投标文件中写明质保期后的服务承诺。</w:t>
      </w:r>
    </w:p>
    <w:p>
      <w:pPr>
        <w:pStyle w:val="18"/>
        <w:snapToGrid w:val="0"/>
        <w:spacing w:after="120" w:line="380" w:lineRule="exact"/>
        <w:ind w:firstLine="420"/>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（3）中标供应商免费为采购人培训5名操作人员，使其能够熟练运用中心管理软件及路口设备并能进行简单的设备维护。</w:t>
      </w:r>
    </w:p>
    <w:p>
      <w:pPr>
        <w:pStyle w:val="18"/>
        <w:snapToGrid w:val="0"/>
        <w:spacing w:after="120" w:line="380" w:lineRule="exact"/>
        <w:ind w:firstLine="420"/>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（4）投标供应商必须提供24小时售后服务电话，售后服务电话有变更的应提前通知。</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▲付款方式</w:t>
      </w:r>
    </w:p>
    <w:p>
      <w:pPr>
        <w:keepNext/>
        <w:keepLines/>
        <w:numPr>
          <w:ilvl w:val="3"/>
          <w:numId w:val="31"/>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履约保证金</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合同签订前中标供应商须提交合同总价10%的履约保证金；</w:t>
      </w:r>
    </w:p>
    <w:p>
      <w:pPr>
        <w:keepNext/>
        <w:keepLines/>
        <w:numPr>
          <w:ilvl w:val="3"/>
          <w:numId w:val="31"/>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项目建设费付款方式</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1、具备进场施工条件，中标供应商进场施工15个工作日内支付合同项目建设费的30%；</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2、实施完毕，经第三方测试合格，采购人验收合格后，15个工作日内支付至合同项目建设费的85%；</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3、交齐竣工资料后，1个月内办理工程结算，经双方签证决算后，支付至合同项目建设费的100%，履约保证金自动转为五年质保金。</w:t>
      </w:r>
    </w:p>
    <w:p>
      <w:pPr>
        <w:keepNext/>
        <w:keepLines/>
        <w:numPr>
          <w:ilvl w:val="3"/>
          <w:numId w:val="31"/>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运营维护费</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按每半年支付一次。</w:t>
      </w:r>
    </w:p>
    <w:p>
      <w:pPr>
        <w:keepNext/>
        <w:keepLines/>
        <w:numPr>
          <w:ilvl w:val="3"/>
          <w:numId w:val="31"/>
        </w:numPr>
        <w:tabs>
          <w:tab w:val="left" w:pos="0"/>
        </w:tabs>
        <w:spacing w:before="280" w:after="290" w:line="380" w:lineRule="exact"/>
        <w:ind w:left="0" w:firstLine="426"/>
        <w:outlineLvl w:val="4"/>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五年质保金</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1、项目最终验收合格后满二年，无质量与服务问题的，15个工作日内无息退还五年质保金的20%；</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2、项目最终验收合格后满三年，无质量与服务问题的，15个工作日内无息退还五年质保金的20%；</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3、项目最终验收合格后满四年，无质量与服务问题的，15个工作日内无息退还五年质保金的20%；</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4、项目最终验收合格后满五年，无质量与服务问题的，15个工作日内无息退还五年质保金的40%。</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产权归属</w:t>
      </w:r>
    </w:p>
    <w:p>
      <w:pPr>
        <w:spacing w:line="380" w:lineRule="exact"/>
        <w:ind w:firstLine="566" w:firstLineChars="236"/>
        <w:jc w:val="left"/>
        <w:rPr>
          <w:rFonts w:ascii="宋体" w:hAnsi="宋体" w:cs="宋体"/>
          <w:snapToGrid w:val="0"/>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▲本次项目所有采购设备及建设成果</w:t>
      </w:r>
      <w:r>
        <w:rPr>
          <w:rFonts w:hint="eastAsia" w:ascii="宋体" w:hAnsi="宋体" w:cs="宋体"/>
          <w:snapToGrid w:val="0"/>
          <w:color w:val="000000" w:themeColor="text1"/>
          <w:sz w:val="24"/>
          <w:highlight w:val="none"/>
          <w:u w:val="single"/>
          <w14:textFill>
            <w14:solidFill>
              <w14:schemeClr w14:val="tx1"/>
            </w14:solidFill>
          </w14:textFill>
        </w:rPr>
        <w:t>产权归属采购人。</w:t>
      </w:r>
    </w:p>
    <w:p>
      <w:pPr>
        <w:pStyle w:val="16"/>
        <w:spacing w:line="380" w:lineRule="exact"/>
        <w:rPr>
          <w:rFonts w:ascii="宋体" w:hAnsi="宋体" w:cs="宋体"/>
          <w:color w:val="000000" w:themeColor="text1"/>
          <w:highlight w:val="none"/>
          <w14:textFill>
            <w14:solidFill>
              <w14:schemeClr w14:val="tx1"/>
            </w14:solidFill>
          </w14:textFill>
        </w:rPr>
      </w:pPr>
    </w:p>
    <w:p>
      <w:pPr>
        <w:pStyle w:val="16"/>
        <w:spacing w:line="380" w:lineRule="exact"/>
        <w:rPr>
          <w:rFonts w:ascii="宋体" w:hAnsi="宋体" w:cs="宋体"/>
          <w:color w:val="000000" w:themeColor="text1"/>
          <w:highlight w:val="none"/>
          <w14:textFill>
            <w14:solidFill>
              <w14:schemeClr w14:val="tx1"/>
            </w14:solidFill>
          </w14:textFill>
        </w:rPr>
      </w:pP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人员及制度考核</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项目施工期间，中标人违反下列规定产生的扣款，从履约保证金中扣除，若履约保证金不足以支付的，则不足部分由采购人在支付服务费时予以扣除。</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经理考核制度：本工程项目经理要做好人员、质量、进度、设备采购、文档审核和组织协调等方面的管理，在投标书中必须提供对人员团队的详细考核制度，特别是对现场巡查人员的考核制度，要求以镇（街道）为单位配备对应数量的现场巡查人员，负责各镇（街道）施工队的进度、质量、施工安全文明的各项检查任务，做好各对应镇（街道）监理负责人的对接工作，项目经理必须每周对各镇（街道）现场巡查人员进行考核，并在每周例会上提交经审核确认的考核表、上周进度检查表和下周工作进度计划交采购人和监理单位审核，如不及时提交则按500元/次进行扣款。</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施工单位现场巡查考核制度：现场巡查记录表的检查内容必须由技术负责人根据标书、合同、设计方案及相关规范要求制定，内容必须涵盖（检查事项、存在问题、整改措施、复查记录）等方面，且巡查记录表必须有技术负责人的审核确认意见及签字，要求图文结合，必须及时提交，否则按500元/次进行扣款。</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3、文档资料整理及提交制度：资料员应根据项目实施进程及时协调并组织各职能人员整理和收集相应的文档资料，在采购人和监理单位的规定时间内提交审核确认，如不及时提交则按500元/次进行扣款。</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监理工作联系及监理通知单回复等监理指令性文件的回复及执行制度：监理工作联系单及通知单等监理指令性文件必须在监理单位要求的规定时间内回复并按计划执行，如不及时回复或不及时执行则按500元/次进行扣款；对于实施过程中采购人或监理单位发现的问题，如重复出现两次以上，则按500元/次的递增方式进行扣款。</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5、道路、绿化开挖及复原制度：道路、绿化开挖和复原标准必须按市政部门的恢复要求执行，必须承诺设立该修复费用专项资金，做到专款专用，如接到相关部门投诉，按500元/次进行扣款。</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6、安全文明施工制度：建设施工安全技术管理应遵照GB 50870和DB33/T 502的相关要求。如有违反，按500元/次进行扣款。</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7、施工人员及现场巡查人员必须佩戴安全帽、穿反光背心，登高作业人员必须佩戴安全带等防护装置，施工作业时必须按市政要求在醒目位置设置围挡和警示牌、警示灯。</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8、现场泥土及施工垃圾必须及时清理，不能留余土过夜，如有特殊情况必须用袋子把余土装好，摆放在围挡内，隔天进行清运。</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9、施工现场搅拌混凝土时，为避免污染地面，必须在铁皮垫底上进行，并对施工区域进行围栏，施工垃圾、施工用品摆放在围栏内，施工完毕及时进行清理。</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10、其他违反安全文明施工制度的行为。</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技术培训及技术服务</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设备安装、调试结束后，中标人应立即派有经验的工程师对采购人人员进行操作和日常管理的培训；中标人免费为采购人培训至少3名操作人员，并确保采购人参与培训的人员能独立、熟练地运用平台软件及设备并能进行简单的设备维护。现场培训要求至少每年一次，现场培训的场地和人员由采购人安排。培训时间由采购人提出，经双方协商确定，所有培训费用（含交通和食宿）由中标人免费提供。</w:t>
      </w:r>
    </w:p>
    <w:p>
      <w:pPr>
        <w:spacing w:line="380" w:lineRule="exact"/>
        <w:ind w:firstLine="463" w:firstLineChars="193"/>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2、中标人应提供系统所有故障排除服务，确保系统进行实时、有效的视频探测、视频监视，图像显示、记录与回放。</w:t>
      </w:r>
    </w:p>
    <w:p>
      <w:pPr>
        <w:spacing w:line="380" w:lineRule="exact"/>
        <w:ind w:firstLine="463" w:firstLineChars="193"/>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3、中标人应提供系统及网络现状、系统安全及运行测试和评估服务，为客户远程网络视频监控系统提供详细系统测试报告。</w:t>
      </w:r>
    </w:p>
    <w:p>
      <w:pPr>
        <w:spacing w:line="380" w:lineRule="exact"/>
        <w:ind w:firstLine="463" w:firstLineChars="193"/>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4、服务期内，中标人应免费提供设备软件升级服务，在网络和设备扩容及软件升级时，中标方需派技术人员到场免费实施或指导。</w:t>
      </w:r>
    </w:p>
    <w:p>
      <w:pPr>
        <w:spacing w:line="380" w:lineRule="exact"/>
        <w:ind w:firstLine="463" w:firstLineChars="193"/>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5、在系统验收时，中标人应为客户远程网络视频监控系统提供详细的施工文档、设备操作使用指南和维护手册、以及详细的安装调试文档，并提供文档更新服务。</w:t>
      </w:r>
    </w:p>
    <w:p>
      <w:pPr>
        <w:spacing w:line="380" w:lineRule="exact"/>
        <w:ind w:firstLine="463" w:firstLineChars="193"/>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6、在设备投入运行后，如对系统软件有所改进，增加新功能，中标人应免费为客户远程网络视频监控系统提供使用。</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专利权</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采购人不承担由此引起的一切经济和法律责任。</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保密</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1、未经对方书面许可，任何一方不得向第三方提出或披露与对方业务有关的资料和信息，法律另有规定的除外。</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2、甲乙双方通过本协议实施了解到对方的有关网络组织、业务发展、价格策略等商业机密时，双方均有义务为对方保密，并签订保密协议履行保密职责。</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违约责任</w:t>
      </w:r>
    </w:p>
    <w:p>
      <w:pPr>
        <w:pStyle w:val="6"/>
        <w:numPr>
          <w:ilvl w:val="1"/>
          <w:numId w:val="32"/>
        </w:numPr>
        <w:spacing w:line="38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产品质量违约责任</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质量必须达到合格，凡安装调试、设备试运行过程、权威机构检测中发现的设备质量问题，中标人必须无偿修复至符合质量要求，修复达不到承诺要求的更换新机。中标人承担返工所发生的一切费用和采购人的直接经济损失。中标人在接到采购人通知后，及时派人赴现场处理设备质量问题。</w:t>
      </w:r>
    </w:p>
    <w:p>
      <w:pPr>
        <w:pStyle w:val="6"/>
        <w:numPr>
          <w:ilvl w:val="1"/>
          <w:numId w:val="32"/>
        </w:numPr>
        <w:spacing w:line="38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违约赔偿</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除不可抗力和采购人同意的情况外，中标人发生不能按期完成施工任务，则按下列规定支付违约金。违约金从履约保证金中扣除，若履约保证金不足以支付违约金，则不足部分由采购人在支付服务费时予以扣除。</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2、逾期开工、完工</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保证其投资资金按承诺的建设进度计划及时到位，并按承诺的建设进度计划要求，按时完成工程建设，准时投入运行。若是中标人未能按承诺的时间开工，因中标人原因延误开工的，中标人应向采购人按2万元/天支付违约金。如果开工日期延误超过2个月的，采购人有权终止合同,则履约保证金不予退还，损失由中标人自负。若中标人未能按规定的时间完工，中标人应向采购人按100元/摄像机•天支付违约金。如果工期延误超过3个月的，采购人有权终止合同，则履约保证金不予退还，损失由中标人自负。</w:t>
      </w:r>
    </w:p>
    <w:p>
      <w:pPr>
        <w:pStyle w:val="5"/>
        <w:numPr>
          <w:ilvl w:val="0"/>
          <w:numId w:val="30"/>
        </w:numPr>
        <w:spacing w:line="38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技术服务和人员培训</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采购人通过故障保修热线或客户经理报障，使用期内，中标人负责对出现故障的所有设备免费维修和更换，并提供终身优惠维修保养服务，每次维修都将形成必要的记录，为采购人建立一套完整的运行纪要。</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提供系统日巡检服务，确保每台服务器在稳定的工作；服务器出现异常情况应在8小时内解决。</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个季度对整个系统进行现场巡检一次和摄像机镜头擦拭一次，遇重大活动和重要保障任务时，接公安局通知时应立即进行巡检和擦拭，对系统存在的潜在安全或故障隐患进行分析并提出相应的解决方案加以排除。</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提供每周7×24小时电话技术服务、技术咨询或现场技术服务。并根据采购人指定地点派专人驻点维护。</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针对本项目中的所有设备，中标人需在备件库中有高于或等同于本项目设备型号或系列的备品备件，对无法及时修复的故障先免费更换；备品储备量需达到本项目设备的5%。</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中标人应提供系统所有故障排除服务，确保系统进行实时、有效的视频探测、视频监视，图像显示、记录与回放。</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中标人应提供系统及网络现状、系统安全及运行测试和评估服务，为客户远程网络视频监控系统提供详细系统测试报告。</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使用期内，中标人应免费提供设备软件升级服务，在网络和设备扩容及软件升级时，卖方需派技术人员到场免费实施或指导。</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在系统验收时，中标人应为客户远程网络视频监控系统提供详细的施工文档、设备操作使用指南和维护手册、以及详细的安装调试文档，并提供文档更新服务。</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在设备投入运行后，如对系统软件有所改进，增加新功能，中标人应免费为客户远程网络视频监控系统提供使用。</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中标人应具有完整的售后服务。</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设备安装、调试结束后，中标人应立即派有经验的工程师对采购人人员进行操作和日常管理的培训，并确保采购人参与培训的人员能独立、熟练地进行操作。</w:t>
      </w:r>
    </w:p>
    <w:p>
      <w:pPr>
        <w:numPr>
          <w:ilvl w:val="1"/>
          <w:numId w:val="33"/>
        </w:numPr>
        <w:spacing w:line="380" w:lineRule="exact"/>
        <w:ind w:left="0" w:firstLine="42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中标人应每年对采购人提供免费培训。</w:t>
      </w:r>
    </w:p>
    <w:p>
      <w:pPr>
        <w:keepNext/>
        <w:keepLines/>
        <w:widowControl/>
        <w:numPr>
          <w:ilvl w:val="0"/>
          <w:numId w:val="4"/>
        </w:numPr>
        <w:spacing w:before="340" w:after="330" w:line="380" w:lineRule="exact"/>
        <w:jc w:val="left"/>
        <w:outlineLvl w:val="0"/>
        <w:rPr>
          <w:rFonts w:ascii="宋体" w:hAnsi="宋体" w:cs="宋体"/>
          <w:snapToGrid w:val="0"/>
          <w:color w:val="000000" w:themeColor="text1"/>
          <w:kern w:val="44"/>
          <w:sz w:val="24"/>
          <w:highlight w:val="none"/>
          <w14:textFill>
            <w14:solidFill>
              <w14:schemeClr w14:val="tx1"/>
            </w14:solidFill>
          </w14:textFill>
        </w:rPr>
      </w:pPr>
      <w:r>
        <w:rPr>
          <w:rFonts w:hint="eastAsia" w:ascii="宋体" w:hAnsi="宋体" w:cs="宋体"/>
          <w:snapToGrid w:val="0"/>
          <w:color w:val="000000" w:themeColor="text1"/>
          <w:kern w:val="44"/>
          <w:sz w:val="24"/>
          <w:highlight w:val="none"/>
          <w14:textFill>
            <w14:solidFill>
              <w14:schemeClr w14:val="tx1"/>
            </w14:solidFill>
          </w14:textFill>
        </w:rPr>
        <w:t>其他要求</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招标文件技术部分提供的清单作为供应商投标报价的共同基础，其中摄像机、补光设备、机箱、光纤收发设备、交换机、存储、立杆杆件在投标时不得少于招标文件中的设备、材料数量。在工程实施过程中，若投标文件所列清单不足的，均不进行调整。供应商须自行考虑报价风险。</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▲线缆、管线及安装附件（含固定基础、窖井、接地系统）不论招标文件中是否明确数量，在项目实施过程中，均不进行调整（新增点位部分除外）。供应商须自行考虑报价风险。</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期项目前端建设过程中遇原天网前端摄像机、补光设备、机箱、杆件、管线等需拆除的须予以拆除、登记，中标人需提供场所进行集中保管（保管时限至项目验收合格后三个月），中标人需做好拆除设备的管理、防盗、防水、防火工作；</w:t>
      </w:r>
      <w:r>
        <w:rPr>
          <w:rFonts w:hint="eastAsia" w:ascii="宋体" w:hAnsi="宋体" w:cs="宋体"/>
          <w:color w:val="000000" w:themeColor="text1"/>
          <w:sz w:val="24"/>
          <w:highlight w:val="none"/>
          <w14:textFill>
            <w14:solidFill>
              <w14:schemeClr w14:val="tx1"/>
            </w14:solidFill>
          </w14:textFill>
        </w:rPr>
        <w:t>拆除过程中需保持光纤完整性并迁移至新机箱；上述所需费用包含在招标价中</w:t>
      </w:r>
      <w:r>
        <w:rPr>
          <w:rFonts w:hint="eastAsia" w:ascii="宋体" w:hAnsi="宋体" w:cs="宋体"/>
          <w:color w:val="000000" w:themeColor="text1"/>
          <w:sz w:val="24"/>
          <w:highlight w:val="none"/>
          <w14:textFill>
            <w14:solidFill>
              <w14:schemeClr w14:val="tx1"/>
            </w14:solidFill>
          </w14:textFill>
        </w:rPr>
        <w:t>。</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在投标文件中应明确所选用材料、设备的品牌、厂家以及质量等级。其中采购人材料设备参考品牌指的是采购人拟采用的材料、设备的档次。供应商如选用采购人参考品牌之外的产品须在技术偏离表中作出详细技术说明，并提供设备材料选择理由。</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中标供应商需在货物到货时提供货物出厂合格证明，原装正品证明（摄像机、高清镜头、护罩、机房设备须原厂商出具质保函，加盖原厂商合法代表公章），如果供应商不能提供以上证明及质保函，则采购人可以按验收不予通过处理，并按招标文件规定予以处罚。</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5、采购人一旦发现供应商存在提供假冒伪劣货物的情况，供应商必须无条件予以更换，并且承担造成的后果。采购人可以上报政府采购管理部门，将供应商列入黑名单。</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6、中标供应商要制订服务计划并将服务计划送采购人确认；具体服务内容按照经确认的计划进行；</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7、技术服务工程师到达用户现场后，向采购人提交本次技术服务内容清单，交用户确认；</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8、服务过程中形成的服务记录须提交采购人签字确认；</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9、服务完毕，技术服务工程师离开用户之前，必须将本次服务内容完成情况的书面材料交采购人签字确认，在采购人未签字之前不得擅离服务现场；</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10、中标供应商质检部门应不定期对技术服务工程师的服务水平、服务态度和服务效果及采购人满意度进行调查，以便及时发现服务过程中存在的问题并及时解决；</w:t>
      </w:r>
    </w:p>
    <w:p>
      <w:pPr>
        <w:snapToGrid w:val="0"/>
        <w:spacing w:line="380" w:lineRule="exact"/>
        <w:ind w:left="-13" w:leftChars="-6"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11、中标供应商要设立专门电话，采购人随时可就技术服务工程师的服务情况向中标供应商进行投诉。</w:t>
      </w:r>
    </w:p>
    <w:p>
      <w:pPr>
        <w:snapToGrid w:val="0"/>
        <w:spacing w:line="380" w:lineRule="exact"/>
        <w:ind w:firstLine="441" w:firstLineChars="184"/>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12、应遵循开放系统的原则，能提供符合国际标准和软件、硬件、通信、网络、操作系统和数据库管理系统等方面的接口和协议，并为今后的二次开发预留接口和开放协议。</w:t>
      </w:r>
    </w:p>
    <w:p>
      <w:pPr>
        <w:spacing w:line="38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验收合格交付使用时，乙方须提供投标文件中注明的备品备件；设备清单中所摄像机、补光设备、机箱、光纤收发设备、交换机、存储、立杆杆件等数量在项目验收合格后若有剩余的自动转为现场备品备件，但不计入投标文件中注明的备品备件。</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14、工作范围：</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根据招标文件，各供应商须按国家有关标准及规范完成下列工作：</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（1）系统深化设计（须征得采购人同意，并出施工蓝图），提供完整成套的系统需配备的全部软硬件。</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（2）产品及相关附件的提供、运输、装卸、就位、安装、调试、检验检测、通过验收；</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（3）完成各项调试、检验、测试工作，并在采购人的配合下通过的验收；提供各种数据资料；直至通过验收。包括所涉及的软硬件系统调整、配置和调试、维护。</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（4）对最终使用单位的操作人员及维修人员进行技术培训；</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（5）质保期内系统的维保及维修及质保期后终身维修；</w:t>
      </w:r>
    </w:p>
    <w:p>
      <w:pPr>
        <w:autoSpaceDE w:val="0"/>
        <w:autoSpaceDN w:val="0"/>
        <w:adjustRightInd w:val="0"/>
        <w:snapToGrid w:val="0"/>
        <w:spacing w:line="380" w:lineRule="exact"/>
        <w:ind w:left="-13" w:leftChars="-6" w:firstLine="441" w:firstLineChars="184"/>
        <w:textAlignment w:val="bottom"/>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（6）售后服务的措施及承诺。</w:t>
      </w:r>
    </w:p>
    <w:p>
      <w:pPr>
        <w:autoSpaceDE w:val="0"/>
        <w:autoSpaceDN w:val="0"/>
        <w:adjustRightInd w:val="0"/>
        <w:snapToGrid w:val="0"/>
        <w:spacing w:line="380" w:lineRule="exact"/>
        <w:ind w:left="-13" w:leftChars="-6" w:firstLine="441" w:firstLineChars="184"/>
        <w:textAlignment w:val="bottom"/>
        <w:rPr>
          <w:rFonts w:ascii="宋体" w:hAnsi="宋体" w:cs="宋体"/>
          <w:b/>
          <w:bCs/>
          <w:color w:val="000000" w:themeColor="text1"/>
          <w:kern w:val="44"/>
          <w:sz w:val="24"/>
          <w:highlight w:val="none"/>
          <w14:textFill>
            <w14:solidFill>
              <w14:schemeClr w14:val="tx1"/>
            </w14:solidFill>
          </w14:textFill>
        </w:rPr>
      </w:pPr>
      <w:r>
        <w:rPr>
          <w:rFonts w:hint="eastAsia" w:ascii="宋体" w:hAnsi="宋体" w:cs="宋体"/>
          <w:color w:val="000000" w:themeColor="text1"/>
          <w:sz w:val="24"/>
          <w:highlight w:val="none"/>
          <w:u w:val="single"/>
          <w:lang w:val="zh-CN"/>
          <w14:textFill>
            <w14:solidFill>
              <w14:schemeClr w14:val="tx1"/>
            </w14:solidFill>
          </w14:textFill>
        </w:rPr>
        <w:t>以上工作内容的费用均包含在投标总价中。</w:t>
      </w:r>
      <w:r>
        <w:rPr>
          <w:rFonts w:hint="eastAsia" w:ascii="宋体" w:hAnsi="宋体" w:cs="宋体"/>
          <w:color w:val="000000" w:themeColor="text1"/>
          <w:sz w:val="24"/>
          <w:highlight w:val="none"/>
          <w14:textFill>
            <w14:solidFill>
              <w14:schemeClr w14:val="tx1"/>
            </w14:solidFill>
          </w14:textFill>
        </w:rPr>
        <w:br w:type="page"/>
      </w:r>
    </w:p>
    <w:p>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第五章 政府采购合同主要条款指引</w:t>
      </w:r>
    </w:p>
    <w:p>
      <w:pPr>
        <w:widowControl/>
        <w:shd w:val="clear" w:color="auto" w:fill="FFFFFF"/>
        <w:spacing w:after="150" w:line="400" w:lineRule="exact"/>
        <w:ind w:firstLine="48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以下为</w:t>
      </w:r>
      <w:r>
        <w:rPr>
          <w:rFonts w:hint="eastAsia" w:asciiTheme="minorEastAsia" w:hAnsiTheme="minorEastAsia" w:eastAsiaTheme="minorEastAsia"/>
          <w:color w:val="000000" w:themeColor="text1"/>
          <w:sz w:val="24"/>
          <w:highlight w:val="none"/>
          <w14:textFill>
            <w14:solidFill>
              <w14:schemeClr w14:val="tx1"/>
            </w14:solidFill>
          </w14:textFill>
        </w:rPr>
        <w:t>中标</w:t>
      </w:r>
      <w:r>
        <w:rPr>
          <w:rFonts w:asciiTheme="minorEastAsia" w:hAnsiTheme="minorEastAsia" w:eastAsiaTheme="minorEastAsia"/>
          <w:color w:val="000000" w:themeColor="text1"/>
          <w:sz w:val="24"/>
          <w:highlight w:val="none"/>
          <w14:textFill>
            <w14:solidFill>
              <w14:schemeClr w14:val="tx1"/>
            </w14:solidFill>
          </w14:textFill>
        </w:rPr>
        <w:t>后签定本项目合同的通用条款，</w:t>
      </w:r>
      <w:r>
        <w:rPr>
          <w:rFonts w:hint="eastAsia" w:asciiTheme="minorEastAsia" w:hAnsiTheme="minorEastAsia" w:eastAsiaTheme="minorEastAsia"/>
          <w:color w:val="000000" w:themeColor="text1"/>
          <w:sz w:val="24"/>
          <w:highlight w:val="none"/>
          <w14:textFill>
            <w14:solidFill>
              <w14:schemeClr w14:val="tx1"/>
            </w14:solidFill>
          </w14:textFill>
        </w:rPr>
        <w:t>中标供应商</w:t>
      </w:r>
      <w:r>
        <w:rPr>
          <w:rFonts w:asciiTheme="minorEastAsia" w:hAnsiTheme="minorEastAsia" w:eastAsiaTheme="minorEastAsia"/>
          <w:color w:val="000000" w:themeColor="text1"/>
          <w:sz w:val="24"/>
          <w:highlight w:val="none"/>
          <w14:textFill>
            <w14:solidFill>
              <w14:schemeClr w14:val="tx1"/>
            </w14:solidFill>
          </w14:textFill>
        </w:rPr>
        <w:t>不得提出实质性的修改，关于专用条款将由采购人与</w:t>
      </w:r>
      <w:r>
        <w:rPr>
          <w:rFonts w:hint="eastAsia" w:asciiTheme="minorEastAsia" w:hAnsiTheme="minorEastAsia" w:eastAsiaTheme="minorEastAsia"/>
          <w:color w:val="000000" w:themeColor="text1"/>
          <w:sz w:val="24"/>
          <w:highlight w:val="none"/>
          <w14:textFill>
            <w14:solidFill>
              <w14:schemeClr w14:val="tx1"/>
            </w14:solidFill>
          </w14:textFill>
        </w:rPr>
        <w:t>中标供应商</w:t>
      </w:r>
      <w:r>
        <w:rPr>
          <w:rFonts w:asciiTheme="minorEastAsia" w:hAnsiTheme="minorEastAsia" w:eastAsiaTheme="minorEastAsia"/>
          <w:color w:val="000000" w:themeColor="text1"/>
          <w:sz w:val="24"/>
          <w:highlight w:val="none"/>
          <w14:textFill>
            <w14:solidFill>
              <w14:schemeClr w14:val="tx1"/>
            </w14:solidFill>
          </w14:textFill>
        </w:rPr>
        <w:t>结合本项目具体情况协商后签订。</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项目名称：                                       项目编号：</w:t>
      </w:r>
    </w:p>
    <w:p>
      <w:pPr>
        <w:pStyle w:val="18"/>
        <w:snapToGrid w:val="0"/>
        <w:spacing w:before="120" w:after="120" w:line="400" w:lineRule="exac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甲方：（</w:t>
      </w:r>
      <w:r>
        <w:rPr>
          <w:rFonts w:hint="eastAsia" w:hAnsi="宋体"/>
          <w:color w:val="000000" w:themeColor="text1"/>
          <w:sz w:val="24"/>
          <w:highlight w:val="none"/>
          <w14:textFill>
            <w14:solidFill>
              <w14:schemeClr w14:val="tx1"/>
            </w14:solidFill>
          </w14:textFill>
        </w:rPr>
        <w:t>采购单位</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                            所在地：                              </w:t>
      </w:r>
    </w:p>
    <w:p>
      <w:pPr>
        <w:pStyle w:val="18"/>
        <w:snapToGrid w:val="0"/>
        <w:spacing w:before="120" w:after="120" w:line="400" w:lineRule="exac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乙方：（</w:t>
      </w:r>
      <w:r>
        <w:rPr>
          <w:rFonts w:hint="eastAsia" w:hAnsi="宋体"/>
          <w:color w:val="000000" w:themeColor="text1"/>
          <w:sz w:val="24"/>
          <w:highlight w:val="none"/>
          <w14:textFill>
            <w14:solidFill>
              <w14:schemeClr w14:val="tx1"/>
            </w14:solidFill>
          </w14:textFill>
        </w:rPr>
        <w:t>中标供应商</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                          所在地：</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甲、乙双方根据</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(采购组织机构名称）</w:t>
      </w:r>
      <w:r>
        <w:rPr>
          <w:rFonts w:asciiTheme="minorEastAsia" w:hAnsiTheme="minorEastAsia" w:eastAsiaTheme="minorEastAsia"/>
          <w:color w:val="000000" w:themeColor="text1"/>
          <w:sz w:val="24"/>
          <w:highlight w:val="none"/>
          <w14:textFill>
            <w14:solidFill>
              <w14:schemeClr w14:val="tx1"/>
            </w14:solidFill>
          </w14:textFill>
        </w:rPr>
        <w:t>关于</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单位</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项目公开招标的结果，签署本合同。</w:t>
      </w:r>
    </w:p>
    <w:p>
      <w:pPr>
        <w:spacing w:line="400" w:lineRule="exact"/>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 xml:space="preserve">一、合同文件： </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1.合同条款。</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2.中标通知书。</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3.更正补充文件。</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4.招标文件。</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5.中标供应商投标文件。</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6.其他。</w:t>
      </w:r>
    </w:p>
    <w:p>
      <w:pPr>
        <w:pStyle w:val="18"/>
        <w:snapToGrid w:val="0"/>
        <w:spacing w:line="400" w:lineRule="exact"/>
        <w:ind w:firstLine="480" w:firstLineChars="200"/>
        <w:rPr>
          <w:rFonts w:hAnsi="Times New Roman"/>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上述所指合同文件应认为是互相补充和解释的，但是有模棱两可或互相矛盾之处，以其所列内容顺序为准。</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、货物内容</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 货物名称：</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 型号规格：</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 技术参数：</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数量（单位）：</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w:t>
      </w:r>
      <w:r>
        <w:rPr>
          <w:rFonts w:asciiTheme="minorEastAsia" w:hAnsiTheme="minorEastAsia" w:eastAsiaTheme="minorEastAsia"/>
          <w:b/>
          <w:color w:val="000000" w:themeColor="text1"/>
          <w:sz w:val="24"/>
          <w:highlight w:val="none"/>
          <w14:textFill>
            <w14:solidFill>
              <w14:schemeClr w14:val="tx1"/>
            </w14:solidFill>
          </w14:textFill>
        </w:rPr>
        <w:t>、合同金额</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 本合同金额为（大写）：________________________元（￥_______________元）人民币。</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、技术资料</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乙方应按招标文件规定的时间向甲方提供使用货物的有关技术资料。</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8"/>
        <w:snapToGrid w:val="0"/>
        <w:spacing w:before="120" w:after="120" w:line="400" w:lineRule="exact"/>
        <w:ind w:left="412" w:hanging="412" w:hangingChars="17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五</w:t>
      </w:r>
      <w:r>
        <w:rPr>
          <w:rFonts w:asciiTheme="minorEastAsia" w:hAnsiTheme="minorEastAsia" w:eastAsiaTheme="minorEastAsia"/>
          <w:b/>
          <w:color w:val="000000" w:themeColor="text1"/>
          <w:sz w:val="24"/>
          <w:highlight w:val="none"/>
          <w14:textFill>
            <w14:solidFill>
              <w14:schemeClr w14:val="tx1"/>
            </w14:solidFill>
          </w14:textFill>
        </w:rPr>
        <w:t>、知识产权</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乙方应保证所提供的货物或其任何一部分均不会侵犯任何第三方的知识产权。</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2.若侵犯,由乙方赔偿甲方因此遭受的损失（包括但不限于应对及追偿过程中所支付的律师费、差旅费、诉讼费、保全费、鉴定费、评估费等）。</w:t>
      </w:r>
    </w:p>
    <w:p>
      <w:pPr>
        <w:pStyle w:val="18"/>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、产权担保</w:t>
      </w:r>
    </w:p>
    <w:p>
      <w:pPr>
        <w:pStyle w:val="18"/>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乙方保证所交付的货物的所有权完全属于乙方且无任何抵押、查封等产权瑕疵。</w:t>
      </w:r>
    </w:p>
    <w:p>
      <w:pPr>
        <w:pStyle w:val="18"/>
        <w:snapToGrid w:val="0"/>
        <w:spacing w:before="120" w:after="120" w:line="400" w:lineRule="exact"/>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、履约保证金</w:t>
      </w:r>
    </w:p>
    <w:p>
      <w:pPr>
        <w:tabs>
          <w:tab w:val="left" w:pos="1418"/>
        </w:tabs>
        <w:autoSpaceDE w:val="0"/>
        <w:autoSpaceDN w:val="0"/>
        <w:adjustRightInd w:val="0"/>
        <w:spacing w:line="400" w:lineRule="exact"/>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本项目履约保证金为合同金额的</w:t>
      </w:r>
      <w:r>
        <w:rPr>
          <w:rFonts w:asciiTheme="minorEastAsia" w:hAnsiTheme="minorEastAsia" w:eastAsiaTheme="minorEastAsia" w:cstheme="minorBidi"/>
          <w:color w:val="000000" w:themeColor="text1"/>
          <w:sz w:val="24"/>
          <w:highlight w:val="none"/>
          <w:u w:val="single"/>
          <w14:textFill>
            <w14:solidFill>
              <w14:schemeClr w14:val="tx1"/>
            </w14:solidFill>
          </w14:textFill>
        </w:rPr>
        <w:t>__</w:t>
      </w:r>
      <w:r>
        <w:rPr>
          <w:rFonts w:hint="eastAsia" w:asciiTheme="minorEastAsia" w:hAnsiTheme="minorEastAsia" w:eastAsiaTheme="minorEastAsia" w:cstheme="minorBidi"/>
          <w:color w:val="000000" w:themeColor="text1"/>
          <w:sz w:val="24"/>
          <w:highlight w:val="none"/>
          <w:u w:val="single"/>
          <w14:textFill>
            <w14:solidFill>
              <w14:schemeClr w14:val="tx1"/>
            </w14:solidFill>
          </w14:textFill>
        </w:rPr>
        <w:t xml:space="preserve">  </w:t>
      </w:r>
      <w:r>
        <w:rPr>
          <w:rFonts w:asciiTheme="minorEastAsia" w:hAnsiTheme="minorEastAsia" w:eastAsiaTheme="minorEastAsia" w:cstheme="minorBidi"/>
          <w:color w:val="000000" w:themeColor="text1"/>
          <w:sz w:val="24"/>
          <w:highlight w:val="none"/>
          <w:u w:val="single"/>
          <w14:textFill>
            <w14:solidFill>
              <w14:schemeClr w14:val="tx1"/>
            </w14:solidFill>
          </w14:textFill>
        </w:rPr>
        <w:t>_</w:t>
      </w:r>
      <w:r>
        <w:rPr>
          <w:rFonts w:hint="eastAsia" w:asciiTheme="minorEastAsia" w:hAnsiTheme="minorEastAsia" w:eastAsiaTheme="minorEastAsia" w:cstheme="minorBidi"/>
          <w:color w:val="000000" w:themeColor="text1"/>
          <w:sz w:val="24"/>
          <w:highlight w:val="none"/>
          <w14:textFill>
            <w14:solidFill>
              <w14:schemeClr w14:val="tx1"/>
            </w14:solidFill>
          </w14:textFill>
        </w:rPr>
        <w:t>%。</w:t>
      </w:r>
      <w:r>
        <w:rPr>
          <w:rFonts w:hint="eastAsia" w:asciiTheme="minorEastAsia" w:hAnsiTheme="minorEastAsia" w:eastAsiaTheme="minorEastAsia" w:cstheme="minorBidi"/>
          <w:color w:val="000000" w:themeColor="text1"/>
          <w:sz w:val="24"/>
          <w:highlight w:val="none"/>
          <w:lang w:val="zh-CN"/>
          <w14:textFill>
            <w14:solidFill>
              <w14:schemeClr w14:val="tx1"/>
            </w14:solidFill>
          </w14:textFill>
        </w:rPr>
        <w:t>[履约保证金交至采购人处，在合同约定交货验收合格满（</w:t>
      </w:r>
      <w:r>
        <w:rPr>
          <w:rFonts w:hint="eastAsia" w:asciiTheme="minorEastAsia" w:hAnsiTheme="minorEastAsia" w:eastAsiaTheme="minorEastAsia" w:cstheme="minorBidi"/>
          <w:color w:val="000000" w:themeColor="text1"/>
          <w:sz w:val="24"/>
          <w:highlight w:val="none"/>
          <w14:textFill>
            <w14:solidFill>
              <w14:schemeClr w14:val="tx1"/>
            </w14:solidFill>
          </w14:textFill>
        </w:rPr>
        <w:t xml:space="preserve"> </w:t>
      </w:r>
      <w:r>
        <w:rPr>
          <w:rFonts w:hint="eastAsia" w:asciiTheme="minorEastAsia" w:hAnsiTheme="minorEastAsia" w:eastAsiaTheme="minorEastAsia" w:cstheme="minorBidi"/>
          <w:color w:val="000000" w:themeColor="text1"/>
          <w:sz w:val="24"/>
          <w:highlight w:val="none"/>
          <w:lang w:val="zh-CN"/>
          <w14:textFill>
            <w14:solidFill>
              <w14:schemeClr w14:val="tx1"/>
            </w14:solidFill>
          </w14:textFill>
        </w:rPr>
        <w:t>）个月之日起5个工作日内无息退还]</w:t>
      </w:r>
    </w:p>
    <w:p>
      <w:pPr>
        <w:pStyle w:val="18"/>
        <w:snapToGrid w:val="0"/>
        <w:spacing w:before="120" w:after="120" w:line="400" w:lineRule="exact"/>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八、转包或分包</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.本合同范围的货物，应由</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方直接供应，不得转让他人供应；</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.除非得到</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方的书面同意，</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方不得将本合同范围的货物全部或部分分包给他人供应；</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.如有转让和未经</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方同意的分包行为，</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方有权解除合同，没收履约保证金并追究乙方的违约责任。</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九</w:t>
      </w:r>
      <w:r>
        <w:rPr>
          <w:rFonts w:asciiTheme="minorEastAsia" w:hAnsiTheme="minorEastAsia" w:eastAsiaTheme="minorEastAsia"/>
          <w:b/>
          <w:color w:val="000000" w:themeColor="text1"/>
          <w:sz w:val="24"/>
          <w:highlight w:val="none"/>
          <w14:textFill>
            <w14:solidFill>
              <w14:schemeClr w14:val="tx1"/>
            </w14:solidFill>
          </w14:textFill>
        </w:rPr>
        <w:t>、质保期</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质保期</w:t>
      </w:r>
      <w:r>
        <w:rPr>
          <w:rFonts w:hAnsi="宋体" w:cs="Times New Roman"/>
          <w:color w:val="000000" w:themeColor="text1"/>
          <w:sz w:val="24"/>
          <w:highlight w:val="none"/>
          <w14:textFill>
            <w14:solidFill>
              <w14:schemeClr w14:val="tx1"/>
            </w14:solidFill>
          </w14:textFill>
        </w:rPr>
        <w:t>___</w:t>
      </w:r>
      <w:r>
        <w:rPr>
          <w:rFonts w:asciiTheme="minorEastAsia" w:hAnsiTheme="minorEastAsia" w:eastAsiaTheme="minorEastAsia"/>
          <w:color w:val="000000" w:themeColor="text1"/>
          <w:sz w:val="24"/>
          <w:highlight w:val="none"/>
          <w14:textFill>
            <w14:solidFill>
              <w14:schemeClr w14:val="tx1"/>
            </w14:solidFill>
          </w14:textFill>
        </w:rPr>
        <w:t>年。（自交货验收合格之日起计）</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w:t>
      </w:r>
      <w:r>
        <w:rPr>
          <w:rFonts w:asciiTheme="minorEastAsia" w:hAnsiTheme="minorEastAsia" w:eastAsiaTheme="minorEastAsia"/>
          <w:b/>
          <w:color w:val="000000" w:themeColor="text1"/>
          <w:sz w:val="24"/>
          <w:highlight w:val="none"/>
          <w14:textFill>
            <w14:solidFill>
              <w14:schemeClr w14:val="tx1"/>
            </w14:solidFill>
          </w14:textFill>
        </w:rPr>
        <w:t>、交货期、交货方式及交货地点</w:t>
      </w:r>
    </w:p>
    <w:p>
      <w:pPr>
        <w:pStyle w:val="18"/>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交货期：</w:t>
      </w:r>
    </w:p>
    <w:p>
      <w:pPr>
        <w:pStyle w:val="18"/>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交货方式：</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3</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交货地点：</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asciiTheme="minorEastAsia" w:hAnsiTheme="minorEastAsia" w:eastAsiaTheme="minorEastAsia"/>
          <w:b/>
          <w:color w:val="000000" w:themeColor="text1"/>
          <w:sz w:val="24"/>
          <w:highlight w:val="none"/>
          <w14:textFill>
            <w14:solidFill>
              <w14:schemeClr w14:val="tx1"/>
            </w14:solidFill>
          </w14:textFill>
        </w:rPr>
        <w:t>、货款支付</w:t>
      </w:r>
    </w:p>
    <w:p>
      <w:pPr>
        <w:pStyle w:val="18"/>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付款方式：</w:t>
      </w:r>
    </w:p>
    <w:p>
      <w:pPr>
        <w:pStyle w:val="18"/>
        <w:snapToGrid w:val="0"/>
        <w:spacing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hint="eastAsia" w:hAnsi="Times New Roman"/>
          <w:color w:val="000000" w:themeColor="text1"/>
          <w:sz w:val="24"/>
          <w:highlight w:val="none"/>
          <w:lang w:val="zh-CN"/>
          <w14:textFill>
            <w14:solidFill>
              <w14:schemeClr w14:val="tx1"/>
            </w14:solidFill>
          </w14:textFill>
        </w:rPr>
        <w:t>2.当采购数量与实际使用数量不一致时，由采购单位向同级财政部门申请并经批准后，可以由乙方根据实际使用量供货，合同的最终结算金额按实际使用量乘以中标单价进行计算。</w:t>
      </w:r>
    </w:p>
    <w:p>
      <w:pPr>
        <w:snapToGrid w:val="0"/>
        <w:spacing w:before="156" w:beforeLines="50" w:after="156" w:afterLines="5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十二、税费</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本合同执行中相关的一切税费均由</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方负担。</w:t>
      </w:r>
    </w:p>
    <w:p>
      <w:pPr>
        <w:pStyle w:val="18"/>
        <w:snapToGrid w:val="0"/>
        <w:spacing w:before="120" w:after="120" w:line="400" w:lineRule="exact"/>
        <w:ind w:left="412" w:hanging="412"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三</w:t>
      </w:r>
      <w:r>
        <w:rPr>
          <w:rFonts w:asciiTheme="minorEastAsia" w:hAnsiTheme="minorEastAsia" w:eastAsiaTheme="minorEastAsia"/>
          <w:b/>
          <w:color w:val="000000" w:themeColor="text1"/>
          <w:sz w:val="24"/>
          <w:highlight w:val="none"/>
          <w14:textFill>
            <w14:solidFill>
              <w14:schemeClr w14:val="tx1"/>
            </w14:solidFill>
          </w14:textFill>
        </w:rPr>
        <w:t>、质量保证及售后服务</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乙方应按招标文件规定的货物性能、技术要求、质量标准向甲方提供未经使用的全新产品。</w:t>
      </w:r>
    </w:p>
    <w:p>
      <w:pPr>
        <w:pStyle w:val="18"/>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乙方提供的货物在质</w:t>
      </w:r>
      <w:r>
        <w:rPr>
          <w:rFonts w:hint="eastAsia" w:asciiTheme="minorEastAsia" w:hAnsiTheme="minorEastAsia" w:eastAsiaTheme="minorEastAsia"/>
          <w:color w:val="000000" w:themeColor="text1"/>
          <w:sz w:val="24"/>
          <w:highlight w:val="none"/>
          <w14:textFill>
            <w14:solidFill>
              <w14:schemeClr w14:val="tx1"/>
            </w14:solidFill>
          </w14:textFill>
        </w:rPr>
        <w:t>保</w:t>
      </w:r>
      <w:r>
        <w:rPr>
          <w:rFonts w:asciiTheme="minorEastAsia" w:hAnsiTheme="minorEastAsia" w:eastAsiaTheme="minorEastAsia"/>
          <w:color w:val="000000" w:themeColor="text1"/>
          <w:sz w:val="24"/>
          <w:highlight w:val="none"/>
          <w14:textFill>
            <w14:solidFill>
              <w14:schemeClr w14:val="tx1"/>
            </w14:solidFill>
          </w14:textFill>
        </w:rPr>
        <w:t>期内因货物本身的质量问题发生故障，乙方应负责免费更换。对达不到技术要求者，根据实际情况，经双方协商，可按以下办法处理：</w:t>
      </w:r>
    </w:p>
    <w:p>
      <w:pPr>
        <w:pStyle w:val="18"/>
        <w:snapToGrid w:val="0"/>
        <w:spacing w:before="120" w:after="120" w:line="400" w:lineRule="exact"/>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⑴更换：由乙方承担所发生的全部费用。</w:t>
      </w:r>
    </w:p>
    <w:p>
      <w:pPr>
        <w:pStyle w:val="18"/>
        <w:snapToGrid w:val="0"/>
        <w:spacing w:before="120" w:after="120" w:line="400" w:lineRule="exact"/>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⑵贬值处理：由甲乙双方合议定价。</w:t>
      </w:r>
    </w:p>
    <w:p>
      <w:pPr>
        <w:pStyle w:val="18"/>
        <w:snapToGrid w:val="0"/>
        <w:spacing w:before="120" w:after="120" w:line="400" w:lineRule="exact"/>
        <w:ind w:left="420" w:left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⑶退货处理：乙方应退还甲方支付的合同款，同时应承担该货物的直接费用（运输、保险、检验、货款利息及银行手续费等）。</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如在使用过程中发生质量问题，乙方在接到甲方通知后在</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asciiTheme="minorEastAsia" w:hAnsiTheme="minorEastAsia" w:eastAsiaTheme="minorEastAsia"/>
          <w:color w:val="000000" w:themeColor="text1"/>
          <w:sz w:val="24"/>
          <w:highlight w:val="none"/>
          <w14:textFill>
            <w14:solidFill>
              <w14:schemeClr w14:val="tx1"/>
            </w14:solidFill>
          </w14:textFill>
        </w:rPr>
        <w:t>小时内到达甲方现场。</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在质保期内，乙方应对货物出现的质量及安全问题负责处理解决并承担一切费用。</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上述的货物免费保修期为年，因人为因素出现的故障不在免费保修范围内。超过保修期的机器设备，终生维修，维修时只收部件成本费。</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、调试和验收</w:t>
      </w:r>
    </w:p>
    <w:p>
      <w:pPr>
        <w:pStyle w:val="18"/>
        <w:snapToGrid w:val="0"/>
        <w:spacing w:before="120" w:after="120" w:line="40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highlight w:val="none"/>
          <w:u w:val="single"/>
          <w14:textFill>
            <w14:solidFill>
              <w14:schemeClr w14:val="tx1"/>
            </w14:solidFill>
          </w14:textFill>
        </w:rPr>
        <w:t>五</w:t>
      </w:r>
      <w:r>
        <w:rPr>
          <w:rFonts w:hint="eastAsia" w:asciiTheme="minorEastAsia" w:hAnsiTheme="minorEastAsia" w:eastAsiaTheme="minorEastAsia"/>
          <w:color w:val="000000" w:themeColor="text1"/>
          <w:sz w:val="24"/>
          <w:highlight w:val="none"/>
          <w14:textFill>
            <w14:solidFill>
              <w14:schemeClr w14:val="tx1"/>
            </w14:solidFill>
          </w14:textFill>
        </w:rPr>
        <w:t>个</w:t>
      </w:r>
      <w:r>
        <w:rPr>
          <w:rFonts w:asciiTheme="minorEastAsia" w:hAnsiTheme="minorEastAsia" w:eastAsiaTheme="minorEastAsia"/>
          <w:color w:val="000000" w:themeColor="text1"/>
          <w:sz w:val="24"/>
          <w:highlight w:val="none"/>
          <w14:textFill>
            <w14:solidFill>
              <w14:schemeClr w14:val="tx1"/>
            </w14:solidFill>
          </w14:textFill>
        </w:rPr>
        <w:t>工作日内验收。</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乙方交货前应对产品作出全面检查和对验收文件进行整理，并列出清单，作为甲方收货验收和使用的技术条件依据，检验的结果应随货物交甲方。</w:t>
      </w:r>
    </w:p>
    <w:p>
      <w:pPr>
        <w:pStyle w:val="18"/>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甲方对乙方提供的货物在使用前进行调试时，乙方需负责安装并培训甲方的使用操作人员，并协助甲方一起调试，直到符合技术要求，甲方才做最终验收。</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对技术复杂的货物，甲方应请国家认可的专业检测机构参与初步验收及最终验收，并由其出具质量检测报告。</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验收时乙方必须在现场，验收完毕后作出验收结果报告；验收费用由</w:t>
      </w:r>
      <w:r>
        <w:rPr>
          <w:rFonts w:hint="eastAsia" w:asciiTheme="minorEastAsia" w:hAnsiTheme="minorEastAsia" w:eastAsiaTheme="minorEastAsia"/>
          <w:color w:val="000000" w:themeColor="text1"/>
          <w:sz w:val="24"/>
          <w:highlight w:val="none"/>
          <w14:textFill>
            <w14:solidFill>
              <w14:schemeClr w14:val="tx1"/>
            </w14:solidFill>
          </w14:textFill>
        </w:rPr>
        <w:t>甲</w:t>
      </w:r>
      <w:r>
        <w:rPr>
          <w:rFonts w:asciiTheme="minorEastAsia" w:hAnsiTheme="minorEastAsia" w:eastAsiaTheme="minorEastAsia"/>
          <w:color w:val="000000" w:themeColor="text1"/>
          <w:sz w:val="24"/>
          <w:highlight w:val="none"/>
          <w14:textFill>
            <w14:solidFill>
              <w14:schemeClr w14:val="tx1"/>
            </w14:solidFill>
          </w14:textFill>
        </w:rPr>
        <w:t>方负责。</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五</w:t>
      </w:r>
      <w:r>
        <w:rPr>
          <w:rFonts w:asciiTheme="minorEastAsia" w:hAnsiTheme="minorEastAsia" w:eastAsiaTheme="minorEastAsia"/>
          <w:b/>
          <w:color w:val="000000" w:themeColor="text1"/>
          <w:sz w:val="24"/>
          <w:highlight w:val="none"/>
          <w14:textFill>
            <w14:solidFill>
              <w14:schemeClr w14:val="tx1"/>
            </w14:solidFill>
          </w14:textFill>
        </w:rPr>
        <w:t>、货物包装、发运及运输</w:t>
      </w:r>
    </w:p>
    <w:p>
      <w:pPr>
        <w:pStyle w:val="18"/>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乙方应在货物发运前对其进行满足运输距离、防潮、防震、防锈和防破损装卸等要求包装，以保证货物安全运达甲方指定地点。</w:t>
      </w:r>
    </w:p>
    <w:p>
      <w:pPr>
        <w:pStyle w:val="18"/>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使用说明书、质量检验证明书、随配附件和工具以及清单一并附于货物内。</w:t>
      </w:r>
    </w:p>
    <w:p>
      <w:pPr>
        <w:pStyle w:val="18"/>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乙方在货物发运手续办理完毕后24小时内或货到甲方48小时前通知甲方，以准备接货。</w:t>
      </w:r>
    </w:p>
    <w:p>
      <w:pPr>
        <w:pStyle w:val="18"/>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货物在交付甲方前发生的风险均由乙方负责。</w:t>
      </w:r>
    </w:p>
    <w:p>
      <w:pPr>
        <w:pStyle w:val="18"/>
        <w:snapToGrid w:val="0"/>
        <w:spacing w:line="400" w:lineRule="exact"/>
        <w:ind w:left="480" w:right="26"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货物在规定的交付期限内由乙方送达甲方指定的地点视为交付，乙方同时需通知甲方货物已送达。</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、违约责任</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甲方无正当理由拒收货物的，甲方向乙方偿付拒收货款总值的</w:t>
      </w:r>
      <w:r>
        <w:rPr>
          <w:rFonts w:asciiTheme="minorEastAsia" w:hAnsiTheme="minorEastAsia" w:eastAsiaTheme="minorEastAsia"/>
          <w:color w:val="000000" w:themeColor="text1"/>
          <w:sz w:val="24"/>
          <w:highlight w:val="none"/>
          <w:u w:val="single"/>
          <w14:textFill>
            <w14:solidFill>
              <w14:schemeClr w14:val="tx1"/>
            </w14:solidFill>
          </w14:textFill>
        </w:rPr>
        <w:t>百分之五</w:t>
      </w:r>
      <w:r>
        <w:rPr>
          <w:rFonts w:asciiTheme="minorEastAsia" w:hAnsiTheme="minorEastAsia" w:eastAsiaTheme="minorEastAsia"/>
          <w:color w:val="000000" w:themeColor="text1"/>
          <w:sz w:val="24"/>
          <w:highlight w:val="none"/>
          <w14:textFill>
            <w14:solidFill>
              <w14:schemeClr w14:val="tx1"/>
            </w14:solidFill>
          </w14:textFill>
        </w:rPr>
        <w:t>违约金。</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甲方无故逾期验收和办理货款支付手续的,甲方应按逾期付款总额每日</w:t>
      </w:r>
      <w:r>
        <w:rPr>
          <w:rFonts w:asciiTheme="minorEastAsia" w:hAnsiTheme="minorEastAsia" w:eastAsiaTheme="minorEastAsia"/>
          <w:color w:val="000000" w:themeColor="text1"/>
          <w:sz w:val="24"/>
          <w:highlight w:val="none"/>
          <w:u w:val="single"/>
          <w14:textFill>
            <w14:solidFill>
              <w14:schemeClr w14:val="tx1"/>
            </w14:solidFill>
          </w14:textFill>
        </w:rPr>
        <w:t>万分之五</w:t>
      </w:r>
      <w:r>
        <w:rPr>
          <w:rFonts w:asciiTheme="minorEastAsia" w:hAnsiTheme="minorEastAsia" w:eastAsiaTheme="minorEastAsia"/>
          <w:color w:val="000000" w:themeColor="text1"/>
          <w:sz w:val="24"/>
          <w:highlight w:val="none"/>
          <w14:textFill>
            <w14:solidFill>
              <w14:schemeClr w14:val="tx1"/>
            </w14:solidFill>
          </w14:textFill>
        </w:rPr>
        <w:t>向乙方支付违约金。</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乙方逾期交付货物的，乙方应按逾期交货总额每日</w:t>
      </w:r>
      <w:r>
        <w:rPr>
          <w:rFonts w:asciiTheme="minorEastAsia" w:hAnsiTheme="minorEastAsia" w:eastAsiaTheme="minorEastAsia"/>
          <w:color w:val="000000" w:themeColor="text1"/>
          <w:sz w:val="24"/>
          <w:highlight w:val="none"/>
          <w:u w:val="single"/>
          <w14:textFill>
            <w14:solidFill>
              <w14:schemeClr w14:val="tx1"/>
            </w14:solidFill>
          </w14:textFill>
        </w:rPr>
        <w:t>千分之六</w:t>
      </w:r>
      <w:r>
        <w:rPr>
          <w:rFonts w:asciiTheme="minorEastAsia" w:hAnsiTheme="minorEastAsia" w:eastAsiaTheme="minorEastAsia"/>
          <w:color w:val="000000" w:themeColor="text1"/>
          <w:sz w:val="24"/>
          <w:highlight w:val="none"/>
          <w14:textFill>
            <w14:solidFill>
              <w14:schemeClr w14:val="tx1"/>
            </w14:solidFill>
          </w14:textFill>
        </w:rPr>
        <w:t>向甲方支付违约金，由甲方从待付货款中扣除。逾期超过约定日期</w:t>
      </w:r>
      <w:r>
        <w:rPr>
          <w:rFonts w:asciiTheme="minorEastAsia" w:hAnsiTheme="minorEastAsia" w:eastAsiaTheme="minorEastAsia"/>
          <w:color w:val="000000" w:themeColor="text1"/>
          <w:sz w:val="24"/>
          <w:highlight w:val="none"/>
          <w:u w:val="single"/>
          <w14:textFill>
            <w14:solidFill>
              <w14:schemeClr w14:val="tx1"/>
            </w14:solidFill>
          </w14:textFill>
        </w:rPr>
        <w:t>10</w:t>
      </w:r>
      <w:r>
        <w:rPr>
          <w:rFonts w:asciiTheme="minorEastAsia" w:hAnsiTheme="minorEastAsia" w:eastAsiaTheme="minorEastAsia"/>
          <w:color w:val="000000" w:themeColor="text1"/>
          <w:sz w:val="24"/>
          <w:highlight w:val="none"/>
          <w14:textFill>
            <w14:solidFill>
              <w14:schemeClr w14:val="tx1"/>
            </w14:solidFill>
          </w14:textFill>
        </w:rPr>
        <w:t>个工作日不能交货的，甲方可解除本合同。乙方因逾期交货或因其他违约行为导致甲方解除合同的，乙方应向甲方支付合同总值</w:t>
      </w:r>
      <w:r>
        <w:rPr>
          <w:rFonts w:asciiTheme="minorEastAsia" w:hAnsiTheme="minorEastAsia" w:eastAsiaTheme="minorEastAsia"/>
          <w:color w:val="000000" w:themeColor="text1"/>
          <w:sz w:val="24"/>
          <w:highlight w:val="none"/>
          <w:u w:val="singl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 xml:space="preserve">的违约金，如造成甲方损失超过违约金的，超出部分由乙方继续承担赔偿责任。 </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8"/>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5.若发生纠纷，由违约方赔偿守约方因纠纷所支付的费用（包括但不限于律师费、差旅费、诉讼费、保全费、鉴定费、评估费等）</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、不可抗力事件处理</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在合同有效期内，任何一方因不可抗力事件导致不能履行合同，则合同履行期可延长，其延长期与不可抗力影响期相同。</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不可抗力事件发生后，应立即通知对方，并寄送有关权威机构出具的证明。</w:t>
      </w:r>
    </w:p>
    <w:p>
      <w:pPr>
        <w:pStyle w:val="18"/>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不可抗力事件延续120天以上，双方应通过友好协商</w:t>
      </w:r>
      <w:r>
        <w:rPr>
          <w:rFonts w:asciiTheme="minorEastAsia" w:hAnsiTheme="minorEastAsia" w:eastAsiaTheme="minorEastAsia"/>
          <w:color w:val="000000" w:themeColor="text1"/>
          <w:sz w:val="24"/>
          <w:highlight w:val="none"/>
          <w14:textFill>
            <w14:solidFill>
              <w14:schemeClr w14:val="tx1"/>
            </w14:solidFill>
          </w14:textFill>
        </w:rPr>
        <w:t>，确定是否继续履行合同。</w:t>
      </w:r>
    </w:p>
    <w:p>
      <w:pPr>
        <w:pStyle w:val="18"/>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解决争议的方法</w:t>
      </w:r>
    </w:p>
    <w:p>
      <w:pPr>
        <w:widowControl/>
        <w:spacing w:line="400" w:lineRule="exact"/>
        <w:jc w:val="left"/>
        <w:rPr>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 </w:t>
      </w:r>
      <w:r>
        <w:rPr>
          <w:rFonts w:ascii="宋体" w:hAnsi="宋体" w:cs="宋体"/>
          <w:color w:val="000000" w:themeColor="text1"/>
          <w:kern w:val="0"/>
          <w:sz w:val="24"/>
          <w:highlight w:val="none"/>
          <w14:textFill>
            <w14:solidFill>
              <w14:schemeClr w14:val="tx1"/>
            </w14:solidFill>
          </w14:textFill>
        </w:rPr>
        <w:t>如双方在履行合同时发生纠纷，应协商解决；协商不成时，可提请政府采购管理部门调解；调解不成的</w:t>
      </w: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 xml:space="preserve"> 依法向</w:t>
      </w:r>
      <w:r>
        <w:rPr>
          <w:rFonts w:hint="eastAsia" w:ascii="宋体" w:hAnsi="宋体" w:cs="宋体"/>
          <w:color w:val="000000" w:themeColor="text1"/>
          <w:kern w:val="0"/>
          <w:sz w:val="24"/>
          <w:highlight w:val="none"/>
          <w14:textFill>
            <w14:solidFill>
              <w14:schemeClr w14:val="tx1"/>
            </w14:solidFill>
          </w14:textFill>
        </w:rPr>
        <w:t>玉环市</w:t>
      </w:r>
      <w:r>
        <w:rPr>
          <w:rFonts w:ascii="宋体" w:hAnsi="宋体" w:cs="宋体"/>
          <w:color w:val="000000" w:themeColor="text1"/>
          <w:kern w:val="0"/>
          <w:sz w:val="24"/>
          <w:highlight w:val="none"/>
          <w14:textFill>
            <w14:solidFill>
              <w14:schemeClr w14:val="tx1"/>
            </w14:solidFill>
          </w14:textFill>
        </w:rPr>
        <w:t xml:space="preserve">人民法院提起诉讼。 </w:t>
      </w:r>
    </w:p>
    <w:p>
      <w:pPr>
        <w:pStyle w:val="18"/>
        <w:tabs>
          <w:tab w:val="left" w:pos="5790"/>
        </w:tabs>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九</w:t>
      </w:r>
      <w:r>
        <w:rPr>
          <w:rFonts w:asciiTheme="minorEastAsia" w:hAnsiTheme="minorEastAsia" w:eastAsiaTheme="minorEastAsia"/>
          <w:b/>
          <w:color w:val="000000" w:themeColor="text1"/>
          <w:sz w:val="24"/>
          <w:highlight w:val="none"/>
          <w14:textFill>
            <w14:solidFill>
              <w14:schemeClr w14:val="tx1"/>
            </w14:solidFill>
          </w14:textFill>
        </w:rPr>
        <w:t>、合同生效及其它</w:t>
      </w:r>
      <w:r>
        <w:rPr>
          <w:rFonts w:asciiTheme="minorEastAsia" w:hAnsiTheme="minorEastAsia" w:eastAsiaTheme="minorEastAsia"/>
          <w:b/>
          <w:color w:val="000000" w:themeColor="text1"/>
          <w:sz w:val="24"/>
          <w:highlight w:val="none"/>
          <w14:textFill>
            <w14:solidFill>
              <w14:schemeClr w14:val="tx1"/>
            </w14:solidFill>
          </w14:textFill>
        </w:rPr>
        <w:tab/>
      </w:r>
    </w:p>
    <w:p>
      <w:pPr>
        <w:pStyle w:val="16"/>
        <w:widowControl/>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rFonts w:hint="eastAsia" w:asciiTheme="minorEastAsia" w:hAnsiTheme="minorEastAsia" w:eastAsiaTheme="minorEastAsia"/>
          <w:color w:val="000000" w:themeColor="text1"/>
          <w:highlight w:val="none"/>
          <w14:textFill>
            <w14:solidFill>
              <w14:schemeClr w14:val="tx1"/>
            </w14:solidFill>
          </w14:textFill>
        </w:rPr>
        <w:t>.</w:t>
      </w:r>
      <w:r>
        <w:rPr>
          <w:rFonts w:asciiTheme="minorEastAsia" w:hAnsiTheme="minorEastAsia" w:eastAsiaTheme="minorEastAsia"/>
          <w:color w:val="000000" w:themeColor="text1"/>
          <w:highlight w:val="none"/>
          <w14:textFill>
            <w14:solidFill>
              <w14:schemeClr w14:val="tx1"/>
            </w14:solidFill>
          </w14:textFill>
        </w:rPr>
        <w:t xml:space="preserve"> 合同经双方法定代表人或授权代表</w:t>
      </w:r>
      <w:r>
        <w:rPr>
          <w:rFonts w:hint="eastAsia" w:asciiTheme="minorEastAsia" w:hAnsiTheme="minorEastAsia" w:eastAsiaTheme="minorEastAsia"/>
          <w:color w:val="000000" w:themeColor="text1"/>
          <w:highlight w:val="none"/>
          <w14:textFill>
            <w14:solidFill>
              <w14:schemeClr w14:val="tx1"/>
            </w14:solidFill>
          </w14:textFill>
        </w:rPr>
        <w:t>签字</w:t>
      </w:r>
      <w:r>
        <w:rPr>
          <w:rFonts w:asciiTheme="minorEastAsia" w:hAnsiTheme="minorEastAsia" w:eastAsiaTheme="minorEastAsia"/>
          <w:color w:val="000000" w:themeColor="text1"/>
          <w:highlight w:val="none"/>
          <w14:textFill>
            <w14:solidFill>
              <w14:schemeClr w14:val="tx1"/>
            </w14:solidFill>
          </w14:textFill>
        </w:rPr>
        <w:t>并加盖单位公章后生效。</w:t>
      </w:r>
    </w:p>
    <w:p>
      <w:pPr>
        <w:pStyle w:val="16"/>
        <w:widowControl/>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2. </w:t>
      </w:r>
      <w:r>
        <w:rPr>
          <w:rFonts w:asciiTheme="minorEastAsia" w:hAnsiTheme="minorEastAsia" w:eastAsiaTheme="minorEastAsia"/>
          <w:color w:val="000000" w:themeColor="text1"/>
          <w:highlight w:val="none"/>
          <w14:textFill>
            <w14:solidFill>
              <w14:schemeClr w14:val="tx1"/>
            </w14:solidFill>
          </w14:textFill>
        </w:rPr>
        <w:t>本合同未尽事宜，遵照《合同法》有关条文执行。</w:t>
      </w:r>
    </w:p>
    <w:p>
      <w:pPr>
        <w:pStyle w:val="16"/>
        <w:widowControl/>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 本合同一式四份。甲、乙双方各执一份，</w:t>
      </w:r>
      <w:r>
        <w:rPr>
          <w:rFonts w:hint="eastAsia" w:ascii="宋体" w:hAnsi="宋体"/>
          <w:color w:val="000000" w:themeColor="text1"/>
          <w:highlight w:val="none"/>
          <w14:textFill>
            <w14:solidFill>
              <w14:schemeClr w14:val="tx1"/>
            </w14:solidFill>
          </w14:textFill>
        </w:rPr>
        <w:t>采购组织机构及同级人民政府财政部门各执一份</w:t>
      </w:r>
      <w:r>
        <w:rPr>
          <w:rFonts w:hint="eastAsia" w:asciiTheme="minorEastAsia" w:hAnsiTheme="minorEastAsia" w:eastAsiaTheme="minorEastAsia"/>
          <w:color w:val="000000" w:themeColor="text1"/>
          <w:highlight w:val="none"/>
          <w14:textFill>
            <w14:solidFill>
              <w14:schemeClr w14:val="tx1"/>
            </w14:solidFill>
          </w14:textFill>
        </w:rPr>
        <w:t>。本项目未尽事宜以招标文件、投标文件及澄清文件等为准。</w:t>
      </w:r>
    </w:p>
    <w:p>
      <w:pPr>
        <w:widowControl/>
        <w:spacing w:line="400" w:lineRule="exact"/>
        <w:rPr>
          <w:rFonts w:asciiTheme="minorEastAsia" w:hAnsiTheme="minorEastAsia" w:eastAsiaTheme="minorEastAsia"/>
          <w:b/>
          <w:color w:val="000000" w:themeColor="text1"/>
          <w:sz w:val="24"/>
          <w:highlight w:val="none"/>
          <w14:textFill>
            <w14:solidFill>
              <w14:schemeClr w14:val="tx1"/>
            </w14:solidFill>
          </w14:textFill>
        </w:rPr>
      </w:pPr>
    </w:p>
    <w:p>
      <w:pPr>
        <w:widowControl/>
        <w:spacing w:line="400" w:lineRule="exact"/>
        <w:rPr>
          <w:rFonts w:asciiTheme="minorEastAsia" w:hAnsiTheme="minorEastAsia" w:eastAsiaTheme="minorEastAsia"/>
          <w:b/>
          <w:color w:val="000000" w:themeColor="text1"/>
          <w:sz w:val="24"/>
          <w:highlight w:val="none"/>
          <w14:textFill>
            <w14:solidFill>
              <w14:schemeClr w14:val="tx1"/>
            </w14:solidFill>
          </w14:textFill>
        </w:rPr>
      </w:pP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甲方（公章）                                     乙方（公章）</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                                     法定代表人：</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委托代理人：                                     委托代理人：</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联系电话：                                       联系电话：</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开户银行：                                       开户银行：</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帐号：                                           帐号：</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地址及邮编：                                     地址及邮编：</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p>
    <w:p>
      <w:pPr>
        <w:spacing w:line="400" w:lineRule="exact"/>
        <w:ind w:firstLine="4920" w:firstLineChars="205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签订时间：    年   月    日</w:t>
      </w:r>
    </w:p>
    <w:p>
      <w:pPr>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pStyle w:val="16"/>
        <w:rPr>
          <w:rFonts w:asciiTheme="minorEastAsia" w:hAnsiTheme="minorEastAsia" w:eastAsiaTheme="minorEastAsia"/>
          <w:color w:val="000000" w:themeColor="text1"/>
          <w:highlight w:val="none"/>
          <w14:textFill>
            <w14:solidFill>
              <w14:schemeClr w14:val="tx1"/>
            </w14:solidFill>
          </w14:textFill>
        </w:rPr>
      </w:pPr>
    </w:p>
    <w:p>
      <w:pPr>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widowControl/>
        <w:jc w:val="left"/>
        <w:rPr>
          <w:b/>
          <w:bCs/>
          <w:color w:val="000000" w:themeColor="text1"/>
          <w:kern w:val="44"/>
          <w:sz w:val="44"/>
          <w:szCs w:val="44"/>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第六章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投标文件格式附件</w:t>
      </w:r>
    </w:p>
    <w:p>
      <w:pPr>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附件1</w:t>
      </w:r>
      <w:r>
        <w:rPr>
          <w:rFonts w:hint="eastAsia" w:ascii="宋体" w:hAnsi="宋体"/>
          <w:b/>
          <w:color w:val="000000" w:themeColor="text1"/>
          <w:sz w:val="30"/>
          <w:szCs w:val="30"/>
          <w:highlight w:val="none"/>
          <w14:textFill>
            <w14:solidFill>
              <w14:schemeClr w14:val="tx1"/>
            </w14:solidFill>
          </w14:textFill>
        </w:rPr>
        <w:t xml:space="preserve">                             </w:t>
      </w:r>
      <w:r>
        <w:rPr>
          <w:rFonts w:hint="eastAsia" w:ascii="宋体" w:hAnsi="宋体"/>
          <w:color w:val="000000" w:themeColor="text1"/>
          <w:sz w:val="30"/>
          <w:szCs w:val="30"/>
          <w:highlight w:val="none"/>
          <w14:textFill>
            <w14:solidFill>
              <w14:schemeClr w14:val="tx1"/>
            </w14:solidFill>
          </w14:textFill>
        </w:rPr>
        <w:t xml:space="preserve"> 　　　</w:t>
      </w:r>
      <w:r>
        <w:rPr>
          <w:rFonts w:hint="eastAsia" w:ascii="宋体" w:hAnsi="宋体"/>
          <w:b/>
          <w:color w:val="000000" w:themeColor="text1"/>
          <w:sz w:val="28"/>
          <w:highlight w:val="none"/>
          <w14:textFill>
            <w14:solidFill>
              <w14:schemeClr w14:val="tx1"/>
            </w14:solidFill>
          </w14:textFill>
        </w:rPr>
        <w:t xml:space="preserve">        </w:t>
      </w:r>
      <w:r>
        <w:rPr>
          <w:rFonts w:hint="eastAsia" w:ascii="宋体" w:hAnsi="宋体"/>
          <w:b/>
          <w:color w:val="000000" w:themeColor="text1"/>
          <w:sz w:val="28"/>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本</w:t>
      </w:r>
    </w:p>
    <w:p>
      <w:pPr>
        <w:spacing w:line="360" w:lineRule="auto"/>
        <w:rPr>
          <w:rFonts w:asciiTheme="minorEastAsia" w:hAnsiTheme="minorEastAsia" w:eastAsiaTheme="minorEastAsia"/>
          <w:b/>
          <w:color w:val="000000" w:themeColor="text1"/>
          <w:sz w:val="30"/>
          <w:szCs w:val="30"/>
          <w:highlight w:val="none"/>
          <w14:textFill>
            <w14:solidFill>
              <w14:schemeClr w14:val="tx1"/>
            </w14:solidFill>
          </w14:textFill>
        </w:rPr>
      </w:pP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玉环市天网视频监控系统模改数项目项目</w:t>
      </w:r>
    </w:p>
    <w:p>
      <w:pPr>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u w:val="single"/>
          <w14:textFill>
            <w14:solidFill>
              <w14:schemeClr w14:val="tx1"/>
            </w14:solidFill>
          </w14:textFill>
        </w:rPr>
        <w:t>HQ-YHZFCG-2019-95</w:t>
      </w: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autoSpaceDE w:val="0"/>
        <w:autoSpaceDN w:val="0"/>
        <w:adjustRightInd w:val="0"/>
        <w:spacing w:line="360" w:lineRule="auto"/>
        <w:jc w:val="center"/>
        <w:rPr>
          <w:rFonts w:ascii="宋体" w:hAns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pacing w:after="100" w:afterAutospacing="1" w:line="360" w:lineRule="auto"/>
        <w:ind w:right="-108"/>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pacing w:after="100" w:afterAutospacing="1" w:line="360" w:lineRule="auto"/>
        <w:ind w:right="-108"/>
        <w:jc w:val="center"/>
        <w:rPr>
          <w:rFonts w:ascii="宋体" w:hAnsi="宋体"/>
          <w:b/>
          <w:color w:val="000000" w:themeColor="text1"/>
          <w:spacing w:val="40"/>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
          <w:color w:val="000000" w:themeColor="text1"/>
          <w:spacing w:val="40"/>
          <w:sz w:val="28"/>
          <w:szCs w:val="28"/>
          <w:highlight w:val="none"/>
          <w14:textFill>
            <w14:solidFill>
              <w14:schemeClr w14:val="tx1"/>
            </w14:solidFill>
          </w14:textFill>
        </w:rPr>
        <w:t>资格证明文件）</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投标人全称（公章）：</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napToGrid w:val="0"/>
        <w:spacing w:before="50" w:after="50" w:line="360" w:lineRule="auto"/>
        <w:jc w:val="center"/>
        <w:rPr>
          <w:rFonts w:ascii="宋体" w:hAnsi="宋体"/>
          <w:b/>
          <w:bCs/>
          <w:color w:val="000000" w:themeColor="text1"/>
          <w:sz w:val="36"/>
          <w:szCs w:val="36"/>
          <w:highlight w:val="none"/>
          <w14:textFill>
            <w14:solidFill>
              <w14:schemeClr w14:val="tx1"/>
            </w14:solidFill>
          </w14:textFill>
        </w:rPr>
      </w:pPr>
    </w:p>
    <w:p>
      <w:pPr>
        <w:snapToGrid w:val="0"/>
        <w:spacing w:before="50" w:after="50" w:line="360" w:lineRule="auto"/>
        <w:jc w:val="center"/>
        <w:rPr>
          <w:rFonts w:ascii="宋体" w:hAnsi="宋体"/>
          <w:b/>
          <w:bCs/>
          <w:color w:val="000000" w:themeColor="text1"/>
          <w:sz w:val="36"/>
          <w:szCs w:val="36"/>
          <w:highlight w:val="none"/>
          <w14:textFill>
            <w14:solidFill>
              <w14:schemeClr w14:val="tx1"/>
            </w14:solidFill>
          </w14:textFill>
        </w:rPr>
      </w:pPr>
    </w:p>
    <w:p>
      <w:pPr>
        <w:snapToGrid w:val="0"/>
        <w:spacing w:before="50" w:after="50" w:line="360" w:lineRule="auto"/>
        <w:jc w:val="center"/>
        <w:rPr>
          <w:rFonts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资格证明文件目录</w:t>
      </w:r>
    </w:p>
    <w:p>
      <w:pPr>
        <w:snapToGrid w:val="0"/>
        <w:spacing w:before="50" w:after="50" w:line="360" w:lineRule="auto"/>
        <w:jc w:val="center"/>
        <w:rPr>
          <w:rFonts w:ascii="仿宋_GB2312" w:hAnsi="宋体" w:eastAsia="仿宋_GB2312"/>
          <w:b/>
          <w:bCs/>
          <w:color w:val="000000" w:themeColor="text1"/>
          <w:sz w:val="36"/>
          <w:szCs w:val="36"/>
          <w:highlight w:val="none"/>
          <w14:textFill>
            <w14:solidFill>
              <w14:schemeClr w14:val="tx1"/>
            </w14:solidFill>
          </w14:textFill>
        </w:rPr>
      </w:pPr>
    </w:p>
    <w:p>
      <w:pPr>
        <w:numPr>
          <w:ilvl w:val="0"/>
          <w:numId w:val="34"/>
        </w:numPr>
        <w:snapToGrid w:val="0"/>
        <w:spacing w:line="360" w:lineRule="auto"/>
        <w:ind w:firstLine="548" w:firstLineChars="19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声明书（附件2）</w:t>
      </w:r>
    </w:p>
    <w:p>
      <w:pPr>
        <w:numPr>
          <w:ilvl w:val="0"/>
          <w:numId w:val="34"/>
        </w:num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授权</w:t>
      </w:r>
      <w:r>
        <w:rPr>
          <w:rFonts w:hint="eastAsia"/>
          <w:bCs/>
          <w:color w:val="000000" w:themeColor="text1"/>
          <w:sz w:val="28"/>
          <w:szCs w:val="28"/>
          <w:highlight w:val="none"/>
          <w14:textFill>
            <w14:solidFill>
              <w14:schemeClr w14:val="tx1"/>
            </w14:solidFill>
          </w14:textFill>
        </w:rPr>
        <w:t>委托</w:t>
      </w:r>
      <w:r>
        <w:rPr>
          <w:bCs/>
          <w:color w:val="000000" w:themeColor="text1"/>
          <w:sz w:val="28"/>
          <w:szCs w:val="28"/>
          <w:highlight w:val="none"/>
          <w14:textFill>
            <w14:solidFill>
              <w14:schemeClr w14:val="tx1"/>
            </w14:solidFill>
          </w14:textFill>
        </w:rPr>
        <w:t>书</w:t>
      </w:r>
      <w:r>
        <w:rPr>
          <w:rFonts w:hint="eastAsia" w:ascii="宋体" w:hAnsi="宋体"/>
          <w:bCs/>
          <w:color w:val="000000" w:themeColor="text1"/>
          <w:sz w:val="28"/>
          <w:szCs w:val="28"/>
          <w:highlight w:val="none"/>
          <w14:textFill>
            <w14:solidFill>
              <w14:schemeClr w14:val="tx1"/>
            </w14:solidFill>
          </w14:textFill>
        </w:rPr>
        <w:t>（附件3）</w:t>
      </w:r>
    </w:p>
    <w:p>
      <w:pPr>
        <w:numPr>
          <w:ilvl w:val="0"/>
          <w:numId w:val="34"/>
        </w:numPr>
        <w:snapToGrid w:val="0"/>
        <w:spacing w:line="360" w:lineRule="auto"/>
        <w:ind w:left="1050" w:leftChars="259" w:hanging="506" w:hangingChars="181"/>
        <w:rPr>
          <w:rFonts w:ascii="宋体" w:hAnsi="宋体"/>
          <w:color w:val="000000" w:themeColor="text1"/>
          <w:kern w:val="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法人或者其他组织的营业执照等证明文件，自然人的身份证明</w:t>
      </w:r>
    </w:p>
    <w:p>
      <w:pPr>
        <w:snapToGrid w:val="0"/>
        <w:spacing w:line="360" w:lineRule="auto"/>
        <w:ind w:firstLine="560" w:firstLineChars="200"/>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w:t>
      </w:r>
      <w:r>
        <w:rPr>
          <w:color w:val="000000" w:themeColor="text1"/>
          <w:sz w:val="28"/>
          <w:szCs w:val="28"/>
          <w:highlight w:val="none"/>
          <w14:textFill>
            <w14:solidFill>
              <w14:schemeClr w14:val="tx1"/>
            </w14:solidFill>
          </w14:textFill>
        </w:rPr>
        <w:t>财务状况报告，依法缴纳税收和社会保障资金的相关材料</w:t>
      </w:r>
    </w:p>
    <w:p>
      <w:pPr>
        <w:snapToGrid w:val="0"/>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t>具备履行合同所必需的设备和专业技术能力的证明材料</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w:t>
      </w:r>
      <w:r>
        <w:rPr>
          <w:rFonts w:hint="eastAsia" w:ascii="宋体" w:hAnsi="宋体"/>
          <w:color w:val="000000" w:themeColor="text1"/>
          <w:kern w:val="0"/>
          <w:sz w:val="28"/>
          <w:szCs w:val="28"/>
          <w:highlight w:val="none"/>
          <w14:textFill>
            <w14:solidFill>
              <w14:schemeClr w14:val="tx1"/>
            </w14:solidFill>
          </w14:textFill>
        </w:rPr>
        <w:t>本项目要求的特定资质证书</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widowControl/>
        <w:jc w:val="left"/>
        <w:rPr>
          <w:rFonts w:ascii="宋体" w:hAnsi="宋体"/>
          <w:b/>
          <w:color w:val="000000" w:themeColor="text1"/>
          <w:sz w:val="28"/>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p>
    <w:p>
      <w:pPr>
        <w:spacing w:line="380" w:lineRule="exact"/>
        <w:ind w:left="420"/>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附件2</w:t>
      </w:r>
    </w:p>
    <w:p>
      <w:pPr>
        <w:adjustRightInd w:val="0"/>
        <w:snapToGrid w:val="0"/>
        <w:spacing w:line="380" w:lineRule="exact"/>
        <w:ind w:right="480"/>
        <w:jc w:val="center"/>
        <w:rPr>
          <w:rFonts w:ascii="宋体" w:hAnsi="宋体"/>
          <w:b/>
          <w:color w:val="000000" w:themeColor="text1"/>
          <w:kern w:val="0"/>
          <w:sz w:val="32"/>
          <w:szCs w:val="32"/>
          <w:highlight w:val="none"/>
          <w:lang w:val="zh-CN"/>
          <w14:textFill>
            <w14:solidFill>
              <w14:schemeClr w14:val="tx1"/>
            </w14:solidFill>
          </w14:textFill>
        </w:rPr>
      </w:pPr>
      <w:r>
        <w:rPr>
          <w:rFonts w:hint="eastAsia" w:ascii="宋体" w:hAnsi="宋体"/>
          <w:b/>
          <w:color w:val="000000" w:themeColor="text1"/>
          <w:kern w:val="0"/>
          <w:sz w:val="32"/>
          <w:szCs w:val="32"/>
          <w:highlight w:val="none"/>
          <w:lang w:val="zh-CN"/>
          <w14:textFill>
            <w14:solidFill>
              <w14:schemeClr w14:val="tx1"/>
            </w14:solidFill>
          </w14:textFill>
        </w:rPr>
        <w:t>投标声明书</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杭州华旗招标代理有限公司：</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（投标人名称）系中华人民共和国合法企业，经营地址。</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宋体"/>
          <w:color w:val="000000" w:themeColor="text1"/>
          <w:kern w:val="0"/>
          <w:sz w:val="24"/>
          <w:highlight w:val="none"/>
          <w:u w:val="single"/>
          <w14:textFill>
            <w14:solidFill>
              <w14:schemeClr w14:val="tx1"/>
            </w14:solidFill>
          </w14:textFill>
        </w:rPr>
        <w:t xml:space="preserve"> 姓名 </w:t>
      </w:r>
      <w:r>
        <w:rPr>
          <w:rFonts w:hint="eastAsia" w:ascii="宋体" w:hAnsi="宋体" w:cs="宋体"/>
          <w:color w:val="000000" w:themeColor="text1"/>
          <w:kern w:val="0"/>
          <w:sz w:val="24"/>
          <w:highlight w:val="none"/>
          <w14:textFill>
            <w14:solidFill>
              <w14:schemeClr w14:val="tx1"/>
            </w14:solidFill>
          </w14:textFill>
        </w:rPr>
        <w:t>）系（</w:t>
      </w:r>
      <w:r>
        <w:rPr>
          <w:rFonts w:hint="eastAsia" w:ascii="宋体" w:hAnsi="宋体" w:cs="宋体"/>
          <w:color w:val="000000" w:themeColor="text1"/>
          <w:kern w:val="0"/>
          <w:sz w:val="24"/>
          <w:highlight w:val="none"/>
          <w:u w:val="single"/>
          <w14:textFill>
            <w14:solidFill>
              <w14:schemeClr w14:val="tx1"/>
            </w14:solidFill>
          </w14:textFill>
        </w:rPr>
        <w:t xml:space="preserve"> 投标人名称 </w:t>
      </w:r>
      <w:r>
        <w:rPr>
          <w:rFonts w:hint="eastAsia" w:ascii="宋体" w:hAnsi="宋体" w:cs="宋体"/>
          <w:color w:val="000000" w:themeColor="text1"/>
          <w:kern w:val="0"/>
          <w:sz w:val="24"/>
          <w:highlight w:val="none"/>
          <w14:textFill>
            <w14:solidFill>
              <w14:schemeClr w14:val="tx1"/>
            </w14:solidFill>
          </w14:textFill>
        </w:rPr>
        <w:t>）的法定代表人，我公司自愿参加贵方组织的玉环市天网视频监控系统模改数项目项目（HQ-YHZFCG-2019-95）的投标，为此，我公司就本次投标有关事项郑重声明如下：</w:t>
      </w:r>
    </w:p>
    <w:p>
      <w:pPr>
        <w:snapToGrid w:val="0"/>
        <w:spacing w:before="156" w:beforeLines="50" w:after="50" w:line="380" w:lineRule="exact"/>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Arial" w:hAnsi="Arial" w:cs="Arial"/>
          <w:color w:val="000000" w:themeColor="text1"/>
          <w:sz w:val="24"/>
          <w:highlight w:val="none"/>
          <w14:textFill>
            <w14:solidFill>
              <w14:schemeClr w14:val="tx1"/>
            </w14:solidFill>
          </w14:textFill>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2、我公司</w:t>
      </w:r>
      <w:r>
        <w:rPr>
          <w:rFonts w:ascii="宋体" w:hAnsi="宋体" w:cs="宋体"/>
          <w:color w:val="000000" w:themeColor="text1"/>
          <w:kern w:val="0"/>
          <w:sz w:val="24"/>
          <w:highlight w:val="none"/>
          <w14:textFill>
            <w14:solidFill>
              <w14:schemeClr w14:val="tx1"/>
            </w14:solidFill>
          </w14:textFill>
        </w:rPr>
        <w:t>在参与投标前已</w:t>
      </w:r>
      <w:r>
        <w:rPr>
          <w:rFonts w:hint="eastAsia" w:ascii="宋体" w:hAnsi="宋体" w:cs="宋体"/>
          <w:color w:val="000000" w:themeColor="text1"/>
          <w:kern w:val="0"/>
          <w:sz w:val="24"/>
          <w:highlight w:val="none"/>
          <w14:textFill>
            <w14:solidFill>
              <w14:schemeClr w14:val="tx1"/>
            </w14:solidFill>
          </w14:textFill>
        </w:rPr>
        <w:t>详细审查</w:t>
      </w:r>
      <w:r>
        <w:rPr>
          <w:rFonts w:ascii="宋体" w:hAnsi="宋体" w:cs="宋体"/>
          <w:color w:val="000000" w:themeColor="text1"/>
          <w:kern w:val="0"/>
          <w:sz w:val="24"/>
          <w:highlight w:val="none"/>
          <w14:textFill>
            <w14:solidFill>
              <w14:schemeClr w14:val="tx1"/>
            </w14:solidFill>
          </w14:textFill>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000000" w:themeColor="text1"/>
          <w:kern w:val="0"/>
          <w:sz w:val="24"/>
          <w:highlight w:val="none"/>
          <w14:textFill>
            <w14:solidFill>
              <w14:schemeClr w14:val="tx1"/>
            </w14:solidFill>
          </w14:textFill>
        </w:rPr>
        <w:t>利。</w:t>
      </w:r>
    </w:p>
    <w:p>
      <w:pPr>
        <w:numPr>
          <w:ilvl w:val="255"/>
          <w:numId w:val="0"/>
        </w:numPr>
        <w:snapToGrid w:val="0"/>
        <w:spacing w:before="156" w:beforeLines="50" w:after="50" w:line="38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sz w:val="24"/>
          <w:highlight w:val="none"/>
          <w14:textFill>
            <w14:solidFill>
              <w14:schemeClr w14:val="tx1"/>
            </w14:solidFill>
          </w14:textFill>
        </w:rPr>
        <w:t>不是采购人的附属机构；在获知本项目采购信息后，与采购人聘请的为此项目提供咨询服务的公司及其附属机构没有任何联系。</w:t>
      </w:r>
    </w:p>
    <w:p>
      <w:pPr>
        <w:snapToGrid w:val="0"/>
        <w:spacing w:before="156" w:beforeLines="50" w:after="50" w:line="380" w:lineRule="exact"/>
        <w:ind w:firstLine="480" w:firstLineChars="200"/>
        <w:rPr>
          <w:rFonts w:ascii="宋体" w:hAnsi="宋体"/>
          <w:color w:val="000000" w:themeColor="text1"/>
          <w:kern w:val="0"/>
          <w:sz w:val="24"/>
          <w:highlight w:val="none"/>
          <w:lang w:val="af-ZA"/>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s="宋体"/>
          <w:color w:val="000000" w:themeColor="text1"/>
          <w:kern w:val="0"/>
          <w:sz w:val="24"/>
          <w:highlight w:val="none"/>
          <w14:textFill>
            <w14:solidFill>
              <w14:schemeClr w14:val="tx1"/>
            </w14:solidFill>
          </w14:textFill>
        </w:rPr>
        <w:t>保证，</w:t>
      </w:r>
      <w:r>
        <w:rPr>
          <w:rFonts w:hint="eastAsia" w:ascii="宋体" w:hAnsi="宋体"/>
          <w:color w:val="000000" w:themeColor="text1"/>
          <w:kern w:val="0"/>
          <w:sz w:val="24"/>
          <w:highlight w:val="none"/>
          <w:lang w:val="af-ZA"/>
          <w14:textFill>
            <w14:solidFill>
              <w14:schemeClr w14:val="tx1"/>
            </w14:solidFill>
          </w14:textFill>
        </w:rPr>
        <w:t>采购人在中华人民共和国境内使用</w:t>
      </w: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kern w:val="0"/>
          <w:sz w:val="24"/>
          <w:highlight w:val="none"/>
          <w:lang w:val="af-ZA"/>
          <w14:textFill>
            <w14:solidFill>
              <w14:schemeClr w14:val="tx1"/>
            </w14:solidFill>
          </w14:textFill>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000000" w:themeColor="text1"/>
          <w:kern w:val="0"/>
          <w:sz w:val="24"/>
          <w:highlight w:val="none"/>
          <w:lang w:val="af-ZA"/>
          <w14:textFill>
            <w14:solidFill>
              <w14:schemeClr w14:val="tx1"/>
            </w14:solidFill>
          </w14:textFill>
        </w:rPr>
        <w:t>我方</w:t>
      </w:r>
      <w:r>
        <w:rPr>
          <w:rFonts w:hint="eastAsia" w:ascii="宋体" w:hAnsi="宋体"/>
          <w:color w:val="000000" w:themeColor="text1"/>
          <w:kern w:val="0"/>
          <w:sz w:val="24"/>
          <w:highlight w:val="none"/>
          <w:lang w:val="af-ZA"/>
          <w14:textFill>
            <w14:solidFill>
              <w14:schemeClr w14:val="tx1"/>
            </w14:solidFill>
          </w14:textFill>
        </w:rPr>
        <w:t>承担。</w:t>
      </w:r>
      <w:r>
        <w:rPr>
          <w:rFonts w:hint="eastAsia" w:ascii="宋体" w:hAnsi="宋体" w:cs="宋体"/>
          <w:color w:val="000000" w:themeColor="text1"/>
          <w:kern w:val="0"/>
          <w:sz w:val="24"/>
          <w:highlight w:val="none"/>
          <w:lang w:val="af-ZA"/>
          <w14:textFill>
            <w14:solidFill>
              <w14:schemeClr w14:val="tx1"/>
            </w14:solidFill>
          </w14:textFill>
        </w:rPr>
        <w:t>我方的</w:t>
      </w:r>
      <w:r>
        <w:rPr>
          <w:rFonts w:hint="eastAsia" w:ascii="宋体" w:hAnsi="宋体"/>
          <w:color w:val="000000" w:themeColor="text1"/>
          <w:kern w:val="0"/>
          <w:sz w:val="24"/>
          <w:highlight w:val="none"/>
          <w:lang w:val="af-ZA"/>
          <w14:textFill>
            <w14:solidFill>
              <w14:schemeClr w14:val="tx1"/>
            </w14:solidFill>
          </w14:textFill>
        </w:rPr>
        <w:t>投标报价</w:t>
      </w:r>
      <w:r>
        <w:rPr>
          <w:rFonts w:hint="eastAsia" w:ascii="宋体" w:hAnsi="宋体" w:cs="宋体"/>
          <w:color w:val="000000" w:themeColor="text1"/>
          <w:kern w:val="0"/>
          <w:sz w:val="24"/>
          <w:highlight w:val="none"/>
          <w:lang w:val="af-ZA"/>
          <w14:textFill>
            <w14:solidFill>
              <w14:schemeClr w14:val="tx1"/>
            </w14:solidFill>
          </w14:textFill>
        </w:rPr>
        <w:t>已</w:t>
      </w:r>
      <w:r>
        <w:rPr>
          <w:rFonts w:hint="eastAsia" w:ascii="宋体" w:hAnsi="宋体"/>
          <w:color w:val="000000" w:themeColor="text1"/>
          <w:kern w:val="0"/>
          <w:sz w:val="24"/>
          <w:highlight w:val="none"/>
          <w:lang w:val="af-ZA"/>
          <w14:textFill>
            <w14:solidFill>
              <w14:schemeClr w14:val="tx1"/>
            </w14:solidFill>
          </w14:textFill>
        </w:rPr>
        <w:t>包含所有应向所有权人支付的专利权、商标权或其它知识产权的一切相关费用。</w:t>
      </w:r>
    </w:p>
    <w:p>
      <w:pPr>
        <w:snapToGrid w:val="0"/>
        <w:spacing w:before="156" w:beforeLines="50" w:after="50" w:line="38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af-ZA"/>
          <w14:textFill>
            <w14:solidFill>
              <w14:schemeClr w14:val="tx1"/>
            </w14:solidFill>
          </w14:textFill>
        </w:rPr>
        <w:t>5、我</w:t>
      </w:r>
      <w:r>
        <w:rPr>
          <w:rFonts w:hint="eastAsia" w:ascii="宋体" w:hAnsi="宋体" w:cs="宋体"/>
          <w:color w:val="000000" w:themeColor="text1"/>
          <w:kern w:val="0"/>
          <w:sz w:val="24"/>
          <w:highlight w:val="none"/>
          <w:lang w:val="zh-CN"/>
          <w14:textFill>
            <w14:solidFill>
              <w14:schemeClr w14:val="tx1"/>
            </w14:solidFill>
          </w14:textFill>
        </w:rPr>
        <w:t>公司</w:t>
      </w:r>
      <w:r>
        <w:rPr>
          <w:rFonts w:hint="eastAsia" w:ascii="宋体" w:hAnsi="宋体" w:cs="宋体"/>
          <w:color w:val="000000" w:themeColor="text1"/>
          <w:kern w:val="0"/>
          <w:sz w:val="24"/>
          <w:highlight w:val="none"/>
          <w:lang w:val="af-ZA"/>
          <w14:textFill>
            <w14:solidFill>
              <w14:schemeClr w14:val="tx1"/>
            </w14:solidFill>
          </w14:textFill>
        </w:rPr>
        <w:t>严格履行政府采购合同，不降低合同约定的产品质量和服务，不擅自变更、中止、终止合同，或拒绝履行合同义务；</w:t>
      </w:r>
    </w:p>
    <w:p>
      <w:pPr>
        <w:snapToGrid w:val="0"/>
        <w:spacing w:before="156" w:beforeLines="50" w:after="50" w:line="38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6、以上事项如有虚假或隐瞒，我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sz w:val="24"/>
          <w:highlight w:val="none"/>
          <w14:textFill>
            <w14:solidFill>
              <w14:schemeClr w14:val="tx1"/>
            </w14:solidFill>
          </w14:textFill>
        </w:rPr>
        <w:t>愿意承担一切后果，并不再寻求任何旨在减轻或免除法律责任的辩解。</w:t>
      </w:r>
    </w:p>
    <w:p>
      <w:pPr>
        <w:adjustRightInd w:val="0"/>
        <w:snapToGrid w:val="0"/>
        <w:spacing w:line="380" w:lineRule="exact"/>
        <w:ind w:firstLine="480"/>
        <w:rPr>
          <w:rFonts w:ascii="宋体" w:hAnsi="宋体" w:cs="仿宋_GB2312"/>
          <w:color w:val="000000" w:themeColor="text1"/>
          <w:kern w:val="0"/>
          <w:sz w:val="24"/>
          <w:highlight w:val="none"/>
          <w14:textFill>
            <w14:solidFill>
              <w14:schemeClr w14:val="tx1"/>
            </w14:solidFill>
          </w14:textFill>
        </w:rPr>
      </w:pPr>
    </w:p>
    <w:p>
      <w:pPr>
        <w:adjustRightInd w:val="0"/>
        <w:snapToGrid w:val="0"/>
        <w:spacing w:line="380" w:lineRule="exact"/>
        <w:ind w:firstLine="4680" w:firstLineChars="1950"/>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投标人名称(公章)：</w:t>
      </w:r>
    </w:p>
    <w:p>
      <w:pPr>
        <w:adjustRightInd w:val="0"/>
        <w:snapToGrid w:val="0"/>
        <w:spacing w:line="380" w:lineRule="exact"/>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法定代表人或授权委托人(签字)：</w:t>
      </w:r>
    </w:p>
    <w:p>
      <w:pPr>
        <w:adjustRightInd w:val="0"/>
        <w:snapToGrid w:val="0"/>
        <w:spacing w:line="380" w:lineRule="exact"/>
        <w:ind w:right="480"/>
        <w:jc w:val="center"/>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日期：</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年 </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月 </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 日</w:t>
      </w:r>
    </w:p>
    <w:p>
      <w:pPr>
        <w:adjustRightInd w:val="0"/>
        <w:snapToGrid w:val="0"/>
        <w:spacing w:line="380" w:lineRule="exact"/>
        <w:ind w:right="480"/>
        <w:rPr>
          <w:rFonts w:ascii="宋体" w:hAnsi="宋体"/>
          <w:b/>
          <w:color w:val="000000" w:themeColor="text1"/>
          <w:sz w:val="28"/>
          <w:highlight w:val="none"/>
          <w14:textFill>
            <w14:solidFill>
              <w14:schemeClr w14:val="tx1"/>
            </w14:solidFill>
          </w14:textFill>
        </w:rPr>
      </w:pPr>
    </w:p>
    <w:p>
      <w:pPr>
        <w:adjustRightInd w:val="0"/>
        <w:snapToGrid w:val="0"/>
        <w:spacing w:line="360" w:lineRule="auto"/>
        <w:ind w:right="480"/>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adjustRightInd w:val="0"/>
        <w:snapToGrid w:val="0"/>
        <w:spacing w:line="360" w:lineRule="auto"/>
        <w:ind w:right="480"/>
        <w:rPr>
          <w:rFonts w:ascii="宋体" w:hAnsi="宋体"/>
          <w:b/>
          <w:color w:val="000000" w:themeColor="text1"/>
          <w:sz w:val="28"/>
          <w:highlight w:val="none"/>
          <w14:textFill>
            <w14:solidFill>
              <w14:schemeClr w14:val="tx1"/>
            </w14:solidFill>
          </w14:textFill>
        </w:rPr>
      </w:pPr>
    </w:p>
    <w:p>
      <w:pPr>
        <w:adjustRightInd w:val="0"/>
        <w:snapToGrid w:val="0"/>
        <w:spacing w:line="400" w:lineRule="atLeast"/>
        <w:ind w:right="480"/>
        <w:rPr>
          <w:rFonts w:ascii="宋体"/>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附件3</w:t>
      </w:r>
    </w:p>
    <w:p>
      <w:pPr>
        <w:spacing w:line="400" w:lineRule="atLeast"/>
        <w:ind w:firstLine="321" w:firstLineChars="100"/>
        <w:jc w:val="center"/>
        <w:rPr>
          <w:rFonts w:hAnsi="宋体"/>
          <w:b/>
          <w:color w:val="000000" w:themeColor="text1"/>
          <w:sz w:val="32"/>
          <w:szCs w:val="32"/>
          <w:highlight w:val="none"/>
          <w:u w:val="single"/>
          <w14:textFill>
            <w14:solidFill>
              <w14:schemeClr w14:val="tx1"/>
            </w14:solidFill>
          </w14:textFill>
        </w:rPr>
      </w:pPr>
      <w:r>
        <w:rPr>
          <w:b/>
          <w:color w:val="000000" w:themeColor="text1"/>
          <w:sz w:val="32"/>
          <w:szCs w:val="32"/>
          <w:highlight w:val="none"/>
          <w14:textFill>
            <w14:solidFill>
              <w14:schemeClr w14:val="tx1"/>
            </w14:solidFill>
          </w14:textFill>
        </w:rPr>
        <w:t>授权</w:t>
      </w:r>
      <w:r>
        <w:rPr>
          <w:rFonts w:hint="eastAsia"/>
          <w:b/>
          <w:color w:val="000000" w:themeColor="text1"/>
          <w:sz w:val="32"/>
          <w:szCs w:val="32"/>
          <w:highlight w:val="none"/>
          <w14:textFill>
            <w14:solidFill>
              <w14:schemeClr w14:val="tx1"/>
            </w14:solidFill>
          </w14:textFill>
        </w:rPr>
        <w:t>委托</w:t>
      </w:r>
      <w:r>
        <w:rPr>
          <w:b/>
          <w:color w:val="000000" w:themeColor="text1"/>
          <w:sz w:val="32"/>
          <w:szCs w:val="32"/>
          <w:highlight w:val="none"/>
          <w14:textFill>
            <w14:solidFill>
              <w14:schemeClr w14:val="tx1"/>
            </w14:solidFill>
          </w14:textFill>
        </w:rPr>
        <w:t>书</w:t>
      </w:r>
    </w:p>
    <w:p>
      <w:pPr>
        <w:snapToGrid w:val="0"/>
        <w:spacing w:before="156" w:beforeLines="50" w:after="50" w:line="400" w:lineRule="atLeas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杭州华旗招标代理有限公司：</w:t>
      </w:r>
    </w:p>
    <w:p>
      <w:pPr>
        <w:pStyle w:val="18"/>
        <w:spacing w:line="400" w:lineRule="atLeast"/>
        <w:ind w:left="240" w:hanging="240" w:hangingChars="1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 xml:space="preserve">  （投标人全称）  </w:t>
      </w:r>
      <w:r>
        <w:rPr>
          <w:rFonts w:hAnsi="宋体"/>
          <w:color w:val="000000" w:themeColor="text1"/>
          <w:sz w:val="24"/>
          <w:highlight w:val="none"/>
          <w14:textFill>
            <w14:solidFill>
              <w14:schemeClr w14:val="tx1"/>
            </w14:solidFill>
          </w14:textFill>
        </w:rPr>
        <w:t>法定代表人</w:t>
      </w:r>
      <w:r>
        <w:rPr>
          <w:rFonts w:hint="eastAsia" w:ascii="Arial" w:hAnsi="Arial" w:cs="Arial"/>
          <w:color w:val="000000" w:themeColor="text1"/>
          <w:sz w:val="24"/>
          <w:highlight w:val="none"/>
          <w14:textFill>
            <w14:solidFill>
              <w14:schemeClr w14:val="tx1"/>
            </w14:solidFill>
          </w14:textFill>
        </w:rPr>
        <w:t>（或营业执照中单位负责人）</w:t>
      </w:r>
      <w:r>
        <w:rPr>
          <w:rFonts w:hAnsi="宋体"/>
          <w:color w:val="000000" w:themeColor="text1"/>
          <w:sz w:val="24"/>
          <w:highlight w:val="none"/>
          <w:u w:val="single"/>
          <w14:textFill>
            <w14:solidFill>
              <w14:schemeClr w14:val="tx1"/>
            </w14:solidFill>
          </w14:textFill>
        </w:rPr>
        <w:tab/>
      </w:r>
      <w:r>
        <w:rPr>
          <w:rFonts w:hAnsi="宋体"/>
          <w:color w:val="000000" w:themeColor="text1"/>
          <w:sz w:val="24"/>
          <w:highlight w:val="none"/>
          <w:u w:val="single"/>
          <w14:textFill>
            <w14:solidFill>
              <w14:schemeClr w14:val="tx1"/>
            </w14:solidFill>
          </w14:textFill>
        </w:rPr>
        <w:t>（法定代表</w:t>
      </w:r>
      <w:r>
        <w:rPr>
          <w:rFonts w:hint="eastAsia" w:hAnsi="宋体"/>
          <w:color w:val="000000" w:themeColor="text1"/>
          <w:sz w:val="24"/>
          <w:highlight w:val="none"/>
          <w:u w:val="single"/>
          <w14:textFill>
            <w14:solidFill>
              <w14:schemeClr w14:val="tx1"/>
            </w14:solidFill>
          </w14:textFill>
        </w:rPr>
        <w:t>人</w:t>
      </w:r>
      <w:r>
        <w:rPr>
          <w:rFonts w:hint="eastAsia" w:ascii="Arial" w:hAnsi="Arial" w:cs="Arial"/>
          <w:color w:val="000000" w:themeColor="text1"/>
          <w:sz w:val="24"/>
          <w:highlight w:val="none"/>
          <w:u w:val="single"/>
          <w14:textFill>
            <w14:solidFill>
              <w14:schemeClr w14:val="tx1"/>
            </w14:solidFill>
          </w14:textFill>
        </w:rPr>
        <w:t>或营业执照中单位负责人</w:t>
      </w:r>
      <w:r>
        <w:rPr>
          <w:rFonts w:hAnsi="宋体"/>
          <w:color w:val="000000" w:themeColor="text1"/>
          <w:sz w:val="24"/>
          <w:highlight w:val="none"/>
          <w:u w:val="single"/>
          <w14:textFill>
            <w14:solidFill>
              <w14:schemeClr w14:val="tx1"/>
            </w14:solidFill>
          </w14:textFill>
        </w:rPr>
        <w:t xml:space="preserve">姓名） </w:t>
      </w:r>
      <w:r>
        <w:rPr>
          <w:rFonts w:hAnsi="宋体"/>
          <w:color w:val="000000" w:themeColor="text1"/>
          <w:sz w:val="24"/>
          <w:highlight w:val="none"/>
          <w14:textFill>
            <w14:solidFill>
              <w14:schemeClr w14:val="tx1"/>
            </w14:solidFill>
          </w14:textFill>
        </w:rPr>
        <w:t>授权</w:t>
      </w:r>
      <w:r>
        <w:rPr>
          <w:rFonts w:hint="eastAsia" w:hAnsi="宋体"/>
          <w:color w:val="000000" w:themeColor="text1"/>
          <w:sz w:val="24"/>
          <w:highlight w:val="none"/>
          <w:u w:val="single"/>
          <w14:textFill>
            <w14:solidFill>
              <w14:schemeClr w14:val="tx1"/>
            </w14:solidFill>
          </w14:textFill>
        </w:rPr>
        <w:t xml:space="preserve">   （全权代表</w:t>
      </w:r>
      <w:r>
        <w:rPr>
          <w:rFonts w:hAnsi="宋体"/>
          <w:color w:val="000000" w:themeColor="text1"/>
          <w:sz w:val="24"/>
          <w:highlight w:val="none"/>
          <w:u w:val="single"/>
          <w14:textFill>
            <w14:solidFill>
              <w14:schemeClr w14:val="tx1"/>
            </w14:solidFill>
          </w14:textFill>
        </w:rPr>
        <w:t>姓名</w:t>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为</w:t>
      </w:r>
      <w:r>
        <w:rPr>
          <w:rFonts w:hint="eastAsia" w:hAnsi="宋体"/>
          <w:color w:val="000000" w:themeColor="text1"/>
          <w:sz w:val="24"/>
          <w:highlight w:val="none"/>
          <w14:textFill>
            <w14:solidFill>
              <w14:schemeClr w14:val="tx1"/>
            </w14:solidFill>
          </w14:textFill>
        </w:rPr>
        <w:t>全权代表</w:t>
      </w:r>
      <w:r>
        <w:rPr>
          <w:rFonts w:hAnsi="宋体"/>
          <w:color w:val="000000" w:themeColor="text1"/>
          <w:sz w:val="24"/>
          <w:highlight w:val="none"/>
          <w14:textFill>
            <w14:solidFill>
              <w14:schemeClr w14:val="tx1"/>
            </w14:solidFill>
          </w14:textFill>
        </w:rPr>
        <w:t>，参加贵单位组织的</w:t>
      </w:r>
      <w:r>
        <w:rPr>
          <w:rFonts w:hAnsi="宋体"/>
          <w:color w:val="000000" w:themeColor="text1"/>
          <w:sz w:val="24"/>
          <w:highlight w:val="none"/>
          <w:u w:val="single"/>
          <w14:textFill>
            <w14:solidFill>
              <w14:schemeClr w14:val="tx1"/>
            </w14:solidFill>
          </w14:textFill>
        </w:rPr>
        <w:tab/>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项目的采购活动，并代表我方全权办理针对上述项目的投标、开标、评标、签约等具体事务和签署相关文件。</w:t>
      </w:r>
      <w:r>
        <w:rPr>
          <w:rFonts w:hint="eastAsia" w:hAnsi="宋体"/>
          <w:color w:val="000000" w:themeColor="text1"/>
          <w:sz w:val="24"/>
          <w:highlight w:val="none"/>
          <w14:textFill>
            <w14:solidFill>
              <w14:schemeClr w14:val="tx1"/>
            </w14:solidFill>
          </w14:textFill>
        </w:rPr>
        <w:t>我方对全权代表的签字事项负全部责任。</w:t>
      </w:r>
    </w:p>
    <w:p>
      <w:pPr>
        <w:pStyle w:val="18"/>
        <w:spacing w:line="400" w:lineRule="atLeast"/>
        <w:ind w:left="139" w:leftChars="66"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在撤销授权的书面通知以前，本授权书一直有效。全权代表在授权委托书有效期内签署的所有文件不因授权的撤销而失效。</w:t>
      </w:r>
    </w:p>
    <w:p>
      <w:pPr>
        <w:pStyle w:val="18"/>
        <w:spacing w:line="400" w:lineRule="atLeast"/>
        <w:ind w:left="139" w:leftChars="66"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全权代表无转委托权，特此委托。</w:t>
      </w:r>
    </w:p>
    <w:p>
      <w:pPr>
        <w:spacing w:line="400" w:lineRule="atLeast"/>
        <w:rPr>
          <w:color w:val="000000" w:themeColor="text1"/>
          <w:sz w:val="24"/>
          <w:highlight w:val="none"/>
          <w14:textFill>
            <w14:solidFill>
              <w14:schemeClr w14:val="tx1"/>
            </w14:solidFill>
          </w14:textFill>
        </w:rPr>
      </w:pP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法定代表人签字或盖章：</w:t>
      </w:r>
    </w:p>
    <w:p>
      <w:pPr>
        <w:spacing w:line="400" w:lineRule="atLeast"/>
        <w:rPr>
          <w:color w:val="000000" w:themeColor="text1"/>
          <w:sz w:val="24"/>
          <w:highlight w:val="none"/>
          <w14:textFill>
            <w14:solidFill>
              <w14:schemeClr w14:val="tx1"/>
            </w14:solidFill>
          </w14:textFill>
        </w:rPr>
      </w:pP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投标人全称（公章）：                              日期：</w:t>
      </w:r>
    </w:p>
    <w:p>
      <w:pPr>
        <w:spacing w:line="400" w:lineRule="atLeast"/>
        <w:rPr>
          <w:color w:val="000000" w:themeColor="text1"/>
          <w:sz w:val="24"/>
          <w:highlight w:val="none"/>
          <w14:textFill>
            <w14:solidFill>
              <w14:schemeClr w14:val="tx1"/>
            </w14:solidFill>
          </w14:textFill>
        </w:rPr>
      </w:pPr>
    </w:p>
    <w:p>
      <w:pPr>
        <w:spacing w:line="400" w:lineRule="atLeast"/>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w:t>
      </w:r>
    </w:p>
    <w:tbl>
      <w:tblPr>
        <w:tblStyle w:val="2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400" w:lineRule="atLeast"/>
              <w:rPr>
                <w:rFonts w:ascii="宋体"/>
                <w:b/>
                <w:color w:val="000000" w:themeColor="text1"/>
                <w:sz w:val="24"/>
                <w:highlight w:val="none"/>
                <w14:textFill>
                  <w14:solidFill>
                    <w14:schemeClr w14:val="tx1"/>
                  </w14:solidFill>
                </w14:textFill>
              </w:rPr>
            </w:pPr>
          </w:p>
          <w:p>
            <w:pPr>
              <w:spacing w:line="400" w:lineRule="atLeast"/>
              <w:ind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法定代表身份证复印件粘帖处</w:t>
            </w:r>
          </w:p>
        </w:tc>
      </w:tr>
    </w:tbl>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法定代表人姓名：                                 </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pacing w:line="400" w:lineRule="atLeast"/>
        <w:rPr>
          <w:b/>
          <w:color w:val="000000" w:themeColor="text1"/>
          <w:sz w:val="24"/>
          <w:highlight w:val="none"/>
          <w14:textFill>
            <w14:solidFill>
              <w14:schemeClr w14:val="tx1"/>
            </w14:solidFill>
          </w14:textFill>
        </w:rPr>
      </w:pPr>
    </w:p>
    <w:tbl>
      <w:tblPr>
        <w:tblStyle w:val="2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400" w:lineRule="atLeast"/>
              <w:rPr>
                <w:rFonts w:ascii="宋体"/>
                <w:b/>
                <w:color w:val="000000" w:themeColor="text1"/>
                <w:sz w:val="24"/>
                <w:highlight w:val="none"/>
                <w14:textFill>
                  <w14:solidFill>
                    <w14:schemeClr w14:val="tx1"/>
                  </w14:solidFill>
                </w14:textFill>
              </w:rPr>
            </w:pPr>
          </w:p>
          <w:p>
            <w:pPr>
              <w:spacing w:line="400" w:lineRule="atLeast"/>
              <w:ind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全权代表身份证复印件粘帖处</w:t>
            </w:r>
          </w:p>
        </w:tc>
      </w:tr>
    </w:tbl>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全权代表姓名：       </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职务：                           </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napToGrid w:val="0"/>
        <w:spacing w:before="156" w:beforeLines="50" w:after="50" w:line="380" w:lineRule="atLeast"/>
        <w:rPr>
          <w:rFonts w:ascii="仿宋_GB2312" w:hAnsi="宋体" w:eastAsia="仿宋_GB2312"/>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附件4：</w:t>
      </w:r>
    </w:p>
    <w:p>
      <w:pPr>
        <w:snapToGrid w:val="0"/>
        <w:spacing w:before="156" w:beforeLines="50" w:after="50" w:line="360" w:lineRule="auto"/>
        <w:jc w:val="right"/>
        <w:rPr>
          <w:rFonts w:ascii="仿宋_GB2312" w:hAnsi="宋体" w:eastAsia="仿宋_GB2312"/>
          <w:bCs/>
          <w:color w:val="000000" w:themeColor="text1"/>
          <w:sz w:val="30"/>
          <w:szCs w:val="30"/>
          <w:highlight w:val="none"/>
          <w14:textFill>
            <w14:solidFill>
              <w14:schemeClr w14:val="tx1"/>
            </w14:solidFill>
          </w14:textFill>
        </w:rPr>
      </w:pP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玉环市天网视频监控系统模改数项目项目</w:t>
      </w:r>
    </w:p>
    <w:p>
      <w:pPr>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项目编号：HQ-YHZFCG-2019-95</w:t>
      </w:r>
    </w:p>
    <w:p>
      <w:pPr>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autoSpaceDE w:val="0"/>
        <w:autoSpaceDN w:val="0"/>
        <w:adjustRightInd w:val="0"/>
        <w:spacing w:line="360" w:lineRule="auto"/>
        <w:jc w:val="center"/>
        <w:rPr>
          <w:rFonts w:ascii="宋体" w:hAns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pacing w:after="100" w:afterAutospacing="1" w:line="360" w:lineRule="auto"/>
        <w:ind w:right="-108"/>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pacing w:after="100" w:afterAutospacing="1" w:line="360" w:lineRule="auto"/>
        <w:ind w:right="-108"/>
        <w:jc w:val="center"/>
        <w:rPr>
          <w:rFonts w:ascii="宋体" w:hAnsi="宋体"/>
          <w:b/>
          <w:color w:val="000000" w:themeColor="text1"/>
          <w:spacing w:val="40"/>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Cs/>
          <w:color w:val="000000" w:themeColor="text1"/>
          <w:sz w:val="24"/>
          <w:highlight w:val="none"/>
          <w:lang w:val="zh-CN"/>
          <w14:textFill>
            <w14:solidFill>
              <w14:schemeClr w14:val="tx1"/>
            </w14:solidFill>
          </w14:textFill>
        </w:rPr>
        <w:t>商务与技术文件</w:t>
      </w:r>
      <w:r>
        <w:rPr>
          <w:rFonts w:hint="eastAsia" w:ascii="宋体" w:hAnsi="宋体"/>
          <w:b/>
          <w:color w:val="000000" w:themeColor="text1"/>
          <w:spacing w:val="40"/>
          <w:sz w:val="28"/>
          <w:szCs w:val="28"/>
          <w:highlight w:val="none"/>
          <w14:textFill>
            <w14:solidFill>
              <w14:schemeClr w14:val="tx1"/>
            </w14:solidFill>
          </w14:textFill>
        </w:rPr>
        <w:t>）</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投标人全称（公章）：</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napToGrid w:val="0"/>
        <w:spacing w:before="50" w:after="50" w:line="360" w:lineRule="auto"/>
        <w:jc w:val="center"/>
        <w:rPr>
          <w:rFonts w:ascii="宋体" w:hAnsi="宋体"/>
          <w:b/>
          <w:bCs/>
          <w:color w:val="000000" w:themeColor="text1"/>
          <w:sz w:val="32"/>
          <w:szCs w:val="32"/>
          <w:highlight w:val="none"/>
          <w:lang w:val="zh-CN"/>
          <w14:textFill>
            <w14:solidFill>
              <w14:schemeClr w14:val="tx1"/>
            </w14:solidFill>
          </w14:textFill>
        </w:rPr>
      </w:pPr>
    </w:p>
    <w:p>
      <w:pPr>
        <w:snapToGrid w:val="0"/>
        <w:spacing w:before="50" w:after="50"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lang w:val="zh-CN"/>
          <w14:textFill>
            <w14:solidFill>
              <w14:schemeClr w14:val="tx1"/>
            </w14:solidFill>
          </w14:textFill>
        </w:rPr>
        <w:t>商务与技术文件</w:t>
      </w:r>
      <w:r>
        <w:rPr>
          <w:rFonts w:hint="eastAsia" w:ascii="宋体" w:hAnsi="宋体"/>
          <w:b/>
          <w:bCs/>
          <w:color w:val="000000" w:themeColor="text1"/>
          <w:sz w:val="32"/>
          <w:szCs w:val="32"/>
          <w:highlight w:val="none"/>
          <w14:textFill>
            <w14:solidFill>
              <w14:schemeClr w14:val="tx1"/>
            </w14:solidFill>
          </w14:textFill>
        </w:rPr>
        <w:t>目录</w:t>
      </w:r>
    </w:p>
    <w:p>
      <w:pPr>
        <w:snapToGrid w:val="0"/>
        <w:spacing w:line="360" w:lineRule="auto"/>
        <w:rPr>
          <w:rFonts w:ascii="宋体" w:hAnsi="宋体"/>
          <w:color w:val="000000" w:themeColor="text1"/>
          <w:sz w:val="24"/>
          <w:highlight w:val="none"/>
          <w14:textFill>
            <w14:solidFill>
              <w14:schemeClr w14:val="tx1"/>
            </w14:solidFill>
          </w14:textFill>
        </w:rPr>
      </w:pPr>
    </w:p>
    <w:p>
      <w:pPr>
        <w:snapToGrid w:val="0"/>
        <w:spacing w:line="360" w:lineRule="auto"/>
        <w:ind w:firstLine="562" w:firstLineChars="200"/>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第一部分  技术方案描述部分</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投标人情况介绍</w:t>
      </w:r>
      <w:r>
        <w:rPr>
          <w:rFonts w:hint="eastAsia" w:ascii="宋体" w:hAnsi="宋体"/>
          <w:color w:val="000000" w:themeColor="text1"/>
          <w:sz w:val="28"/>
          <w:szCs w:val="28"/>
          <w:highlight w:val="none"/>
          <w14:textFill>
            <w14:solidFill>
              <w14:schemeClr w14:val="tx1"/>
            </w14:solidFill>
          </w14:textFill>
        </w:rPr>
        <w:t>（附件5）；</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项目需求的理解与分析</w:t>
      </w:r>
      <w:r>
        <w:rPr>
          <w:rFonts w:hint="eastAsia" w:ascii="宋体" w:hAnsi="宋体"/>
          <w:color w:val="000000" w:themeColor="text1"/>
          <w:sz w:val="28"/>
          <w:szCs w:val="28"/>
          <w:highlight w:val="none"/>
          <w14:textFill>
            <w14:solidFill>
              <w14:schemeClr w14:val="tx1"/>
            </w14:solidFill>
          </w14:textFill>
        </w:rPr>
        <w:t>；</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项目组织实施方案(附件6、附件7)</w:t>
      </w:r>
      <w:r>
        <w:rPr>
          <w:rFonts w:ascii="宋体" w:hAnsi="宋体"/>
          <w:color w:val="000000" w:themeColor="text1"/>
          <w:sz w:val="28"/>
          <w:szCs w:val="28"/>
          <w:highlight w:val="none"/>
          <w14:textFill>
            <w14:solidFill>
              <w14:schemeClr w14:val="tx1"/>
            </w14:solidFill>
          </w14:textFill>
        </w:rPr>
        <w:t xml:space="preserve">； </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w:t>
      </w:r>
      <w:r>
        <w:rPr>
          <w:rFonts w:asciiTheme="minorEastAsia" w:hAnsiTheme="minorEastAsia" w:eastAsiaTheme="minorEastAsia"/>
          <w:color w:val="000000" w:themeColor="text1"/>
          <w:kern w:val="0"/>
          <w:sz w:val="28"/>
          <w:szCs w:val="28"/>
          <w:highlight w:val="none"/>
          <w14:textFill>
            <w14:solidFill>
              <w14:schemeClr w14:val="tx1"/>
            </w14:solidFill>
          </w14:textFill>
        </w:rPr>
        <w:t>安装、调试及验收方案</w:t>
      </w:r>
      <w:r>
        <w:rPr>
          <w:rFonts w:hint="eastAsia" w:ascii="宋体" w:hAnsi="宋体"/>
          <w:color w:val="000000" w:themeColor="text1"/>
          <w:sz w:val="28"/>
          <w:szCs w:val="28"/>
          <w:highlight w:val="none"/>
          <w14:textFill>
            <w14:solidFill>
              <w14:schemeClr w14:val="tx1"/>
            </w14:solidFill>
          </w14:textFill>
        </w:rPr>
        <w:t>；</w:t>
      </w:r>
    </w:p>
    <w:p>
      <w:pPr>
        <w:snapToGrid w:val="0"/>
        <w:spacing w:line="360" w:lineRule="auto"/>
        <w:ind w:firstLine="562" w:firstLineChars="200"/>
        <w:jc w:val="left"/>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第二部分  投标产品描述部分</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w:t>
      </w:r>
      <w:r>
        <w:rPr>
          <w:rFonts w:hint="eastAsia" w:ascii="宋体" w:hAnsi="宋体"/>
          <w:color w:val="000000" w:themeColor="text1"/>
          <w:kern w:val="0"/>
          <w:sz w:val="28"/>
          <w:szCs w:val="28"/>
          <w:highlight w:val="none"/>
          <w14:textFill>
            <w14:solidFill>
              <w14:schemeClr w14:val="tx1"/>
            </w14:solidFill>
          </w14:textFill>
        </w:rPr>
        <w:t>投标产品描述及相关资料（</w:t>
      </w:r>
      <w:r>
        <w:rPr>
          <w:rFonts w:hint="eastAsia" w:ascii="宋体" w:hAnsi="宋体" w:cs="宋体"/>
          <w:color w:val="000000" w:themeColor="text1"/>
          <w:sz w:val="28"/>
          <w:szCs w:val="28"/>
          <w:highlight w:val="none"/>
          <w14:textFill>
            <w14:solidFill>
              <w14:schemeClr w14:val="tx1"/>
            </w14:solidFill>
          </w14:textFill>
        </w:rPr>
        <w:t>附件8、附件9</w:t>
      </w:r>
      <w:r>
        <w:rPr>
          <w:rFonts w:hint="eastAsia" w:ascii="宋体" w:hAnsi="宋体"/>
          <w:color w:val="000000" w:themeColor="text1"/>
          <w:kern w:val="0"/>
          <w:sz w:val="28"/>
          <w:szCs w:val="28"/>
          <w:highlight w:val="none"/>
          <w14:textFill>
            <w14:solidFill>
              <w14:schemeClr w14:val="tx1"/>
            </w14:solidFill>
          </w14:textFill>
        </w:rPr>
        <w:t>）；</w:t>
      </w:r>
    </w:p>
    <w:p>
      <w:pPr>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w:t>
      </w:r>
      <w:r>
        <w:rPr>
          <w:rFonts w:hint="eastAsia" w:ascii="宋体" w:hAnsi="宋体"/>
          <w:color w:val="000000" w:themeColor="text1"/>
          <w:sz w:val="28"/>
          <w:szCs w:val="28"/>
          <w:highlight w:val="none"/>
          <w14:textFill>
            <w14:solidFill>
              <w14:schemeClr w14:val="tx1"/>
            </w14:solidFill>
          </w14:textFill>
        </w:rPr>
        <w:t>投标人</w:t>
      </w:r>
      <w:r>
        <w:rPr>
          <w:rFonts w:ascii="宋体" w:hAnsi="宋体"/>
          <w:color w:val="000000" w:themeColor="text1"/>
          <w:sz w:val="28"/>
          <w:szCs w:val="28"/>
          <w:highlight w:val="none"/>
          <w14:textFill>
            <w14:solidFill>
              <w14:schemeClr w14:val="tx1"/>
            </w14:solidFill>
          </w14:textFill>
        </w:rPr>
        <w:t>需要说明的其他</w:t>
      </w:r>
      <w:r>
        <w:rPr>
          <w:rFonts w:hint="eastAsia" w:ascii="宋体" w:hAnsi="宋体"/>
          <w:color w:val="000000" w:themeColor="text1"/>
          <w:sz w:val="28"/>
          <w:szCs w:val="28"/>
          <w:highlight w:val="none"/>
          <w14:textFill>
            <w14:solidFill>
              <w14:schemeClr w14:val="tx1"/>
            </w14:solidFill>
          </w14:textFill>
        </w:rPr>
        <w:t>内容；（</w:t>
      </w:r>
      <w:r>
        <w:rPr>
          <w:rFonts w:hint="eastAsia" w:ascii="宋体" w:hAnsi="宋体" w:cs="宋体"/>
          <w:color w:val="000000" w:themeColor="text1"/>
          <w:sz w:val="28"/>
          <w:szCs w:val="28"/>
          <w:highlight w:val="none"/>
          <w14:textFill>
            <w14:solidFill>
              <w14:schemeClr w14:val="tx1"/>
            </w14:solidFill>
          </w14:textFill>
        </w:rPr>
        <w:t>包括可能影响投标人技术性能评分项的各类证明材料）</w:t>
      </w:r>
    </w:p>
    <w:p>
      <w:pPr>
        <w:snapToGrid w:val="0"/>
        <w:spacing w:line="360" w:lineRule="auto"/>
        <w:ind w:firstLine="551" w:firstLineChars="196"/>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第三部分  商务响应部分</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1、证书一览表（附件10）；</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2、近三年来类似项目的成功案例（附件11）</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3、售后服务描述及承诺（附件12，附件13）；</w:t>
      </w:r>
    </w:p>
    <w:p>
      <w:pPr>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4、投标人需要说明的其他内容。（包括可能影响投标人企业实力及信誉评分项以及售后服务评分项的各类证明材料）</w:t>
      </w:r>
    </w:p>
    <w:p>
      <w:pPr>
        <w:snapToGrid w:val="0"/>
        <w:spacing w:line="360" w:lineRule="auto"/>
        <w:ind w:firstLine="562" w:firstLineChars="200"/>
        <w:jc w:val="left"/>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第四部分  其他参考表格（此部分视情况选用）</w:t>
      </w:r>
    </w:p>
    <w:p>
      <w:pPr>
        <w:snapToGrid w:val="0"/>
        <w:spacing w:line="360" w:lineRule="auto"/>
        <w:ind w:firstLine="560" w:firstLineChars="200"/>
        <w:jc w:val="lef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1、主要货物用材响应表(附件14)</w:t>
      </w:r>
    </w:p>
    <w:p>
      <w:pPr>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（以上内容具体描述详见“第三部分投标人须知”中“三、投标文件”的组成说明）</w:t>
      </w:r>
    </w:p>
    <w:p>
      <w:pPr>
        <w:pStyle w:val="52"/>
        <w:shd w:val="clear" w:color="auto" w:fill="FFFFFF"/>
        <w:spacing w:before="0" w:beforeAutospacing="0" w:after="0" w:afterAutospacing="0" w:line="360" w:lineRule="auto"/>
        <w:rPr>
          <w:b/>
          <w:color w:val="000000" w:themeColor="text1"/>
          <w:sz w:val="28"/>
          <w:highlight w:val="none"/>
          <w14:textFill>
            <w14:solidFill>
              <w14:schemeClr w14:val="tx1"/>
            </w14:solidFill>
          </w14:textFill>
        </w:rPr>
      </w:pPr>
    </w:p>
    <w:p>
      <w:pPr>
        <w:pStyle w:val="52"/>
        <w:shd w:val="clear" w:color="auto" w:fill="FFFFFF"/>
        <w:spacing w:before="0" w:beforeAutospacing="0" w:after="0" w:afterAutospacing="0" w:line="360" w:lineRule="auto"/>
        <w:rPr>
          <w:b/>
          <w:color w:val="000000" w:themeColor="text1"/>
          <w:sz w:val="28"/>
          <w:highlight w:val="none"/>
          <w14:textFill>
            <w14:solidFill>
              <w14:schemeClr w14:val="tx1"/>
            </w14:solidFill>
          </w14:textFill>
        </w:rPr>
      </w:pPr>
    </w:p>
    <w:p>
      <w:pPr>
        <w:pStyle w:val="52"/>
        <w:shd w:val="clear" w:color="auto" w:fill="FFFFFF"/>
        <w:spacing w:before="0" w:beforeAutospacing="0" w:after="0" w:afterAutospacing="0" w:line="360" w:lineRule="auto"/>
        <w:rPr>
          <w:b/>
          <w:color w:val="000000" w:themeColor="text1"/>
          <w:sz w:val="28"/>
          <w:highlight w:val="none"/>
          <w14:textFill>
            <w14:solidFill>
              <w14:schemeClr w14:val="tx1"/>
            </w14:solidFill>
          </w14:textFill>
        </w:rPr>
      </w:pPr>
      <w:r>
        <w:rPr>
          <w:rFonts w:hint="eastAsia"/>
          <w:b/>
          <w:color w:val="000000" w:themeColor="text1"/>
          <w:sz w:val="28"/>
          <w:highlight w:val="none"/>
          <w14:textFill>
            <w14:solidFill>
              <w14:schemeClr w14:val="tx1"/>
            </w14:solidFill>
          </w14:textFill>
        </w:rPr>
        <w:t>附件5</w:t>
      </w:r>
    </w:p>
    <w:p>
      <w:pPr>
        <w:pStyle w:val="52"/>
        <w:shd w:val="clear" w:color="auto" w:fill="FFFFFF"/>
        <w:spacing w:before="0" w:beforeAutospacing="0" w:after="0" w:afterAutospacing="0" w:line="360" w:lineRule="auto"/>
        <w:jc w:val="center"/>
        <w:rPr>
          <w:b/>
          <w:bCs/>
          <w:color w:val="000000" w:themeColor="text1"/>
          <w:spacing w:val="2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 xml:space="preserve">  投标</w:t>
      </w:r>
      <w:r>
        <w:rPr>
          <w:rFonts w:hint="eastAsia"/>
          <w:b/>
          <w:bCs/>
          <w:color w:val="000000" w:themeColor="text1"/>
          <w:spacing w:val="21"/>
          <w:sz w:val="32"/>
          <w:szCs w:val="32"/>
          <w:highlight w:val="none"/>
          <w14:textFill>
            <w14:solidFill>
              <w14:schemeClr w14:val="tx1"/>
            </w14:solidFill>
          </w14:textFill>
        </w:rPr>
        <w:t>人基本情况表</w:t>
      </w:r>
    </w:p>
    <w:tbl>
      <w:tblPr>
        <w:tblStyle w:val="27"/>
        <w:tblW w:w="88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82" w:type="dxa"/>
          </w:tcPr>
          <w:p>
            <w:pPr>
              <w:pStyle w:val="52"/>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企业名称</w:t>
            </w:r>
          </w:p>
        </w:tc>
        <w:tc>
          <w:tcPr>
            <w:tcW w:w="3979" w:type="dxa"/>
            <w:gridSpan w:val="6"/>
          </w:tcPr>
          <w:p>
            <w:pPr>
              <w:pStyle w:val="52"/>
              <w:shd w:val="clear" w:color="auto" w:fill="FFFFFF"/>
              <w:spacing w:line="360" w:lineRule="auto"/>
              <w:rPr>
                <w:bCs/>
                <w:color w:val="000000" w:themeColor="text1"/>
                <w:highlight w:val="none"/>
                <w14:textFill>
                  <w14:solidFill>
                    <w14:schemeClr w14:val="tx1"/>
                  </w14:solidFill>
                </w14:textFill>
              </w:rPr>
            </w:pPr>
          </w:p>
        </w:tc>
        <w:tc>
          <w:tcPr>
            <w:tcW w:w="2001" w:type="dxa"/>
            <w:gridSpan w:val="3"/>
          </w:tcPr>
          <w:p>
            <w:pPr>
              <w:pStyle w:val="52"/>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法人代表</w:t>
            </w:r>
          </w:p>
        </w:tc>
        <w:tc>
          <w:tcPr>
            <w:tcW w:w="2151" w:type="dxa"/>
            <w:gridSpan w:val="2"/>
          </w:tcPr>
          <w:p>
            <w:pPr>
              <w:pStyle w:val="52"/>
              <w:shd w:val="clear" w:color="auto" w:fill="FFFFFF"/>
              <w:spacing w:line="360" w:lineRule="auto"/>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82" w:type="dxa"/>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地址</w:t>
            </w:r>
          </w:p>
        </w:tc>
        <w:tc>
          <w:tcPr>
            <w:tcW w:w="3979" w:type="dxa"/>
            <w:gridSpan w:val="6"/>
            <w:tcBorders>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企业性质</w:t>
            </w:r>
          </w:p>
        </w:tc>
        <w:tc>
          <w:tcPr>
            <w:tcW w:w="2151" w:type="dxa"/>
            <w:gridSpan w:val="2"/>
          </w:tcPr>
          <w:p>
            <w:pPr>
              <w:pStyle w:val="52"/>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82" w:type="dxa"/>
            <w:tcBorders>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股东姓名</w:t>
            </w:r>
          </w:p>
        </w:tc>
        <w:tc>
          <w:tcPr>
            <w:tcW w:w="701" w:type="dxa"/>
            <w:tcBorders>
              <w:bottom w:val="single" w:color="auto" w:sz="4" w:space="0"/>
            </w:tcBorders>
          </w:tcPr>
          <w:p>
            <w:pPr>
              <w:pStyle w:val="52"/>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p>
        </w:tc>
        <w:tc>
          <w:tcPr>
            <w:tcW w:w="910" w:type="dxa"/>
            <w:gridSpan w:val="2"/>
            <w:tcBorders>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tcPr>
          <w:p>
            <w:pPr>
              <w:pStyle w:val="52"/>
              <w:shd w:val="clear" w:color="auto" w:fill="FFFFFF"/>
              <w:spacing w:line="360" w:lineRule="auto"/>
              <w:ind w:left="107"/>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股东关系</w:t>
            </w:r>
          </w:p>
        </w:tc>
        <w:tc>
          <w:tcPr>
            <w:tcW w:w="2151" w:type="dxa"/>
            <w:gridSpan w:val="2"/>
          </w:tcPr>
          <w:p>
            <w:pPr>
              <w:pStyle w:val="52"/>
              <w:shd w:val="clear" w:color="auto" w:fill="FFFFFF"/>
              <w:spacing w:line="360" w:lineRule="auto"/>
              <w:ind w:left="107"/>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82" w:type="dxa"/>
            <w:vMerge w:val="restart"/>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联系人</w:t>
            </w:r>
            <w:r>
              <w:rPr>
                <w:rFonts w:hint="eastAsia"/>
                <w:bCs/>
                <w:color w:val="000000" w:themeColor="text1"/>
                <w:spacing w:val="27"/>
                <w:highlight w:val="none"/>
                <w14:textFill>
                  <w14:solidFill>
                    <w14:schemeClr w14:val="tx1"/>
                  </w14:solidFill>
                </w14:textFill>
              </w:rPr>
              <w:t>姓名</w:t>
            </w:r>
          </w:p>
        </w:tc>
        <w:tc>
          <w:tcPr>
            <w:tcW w:w="701" w:type="dxa"/>
            <w:vMerge w:val="restart"/>
            <w:tcBorders>
              <w:top w:val="nil"/>
            </w:tcBorders>
          </w:tcPr>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910" w:type="dxa"/>
            <w:gridSpan w:val="2"/>
            <w:tcBorders>
              <w:top w:val="nil"/>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vMerge w:val="restart"/>
          </w:tcPr>
          <w:p>
            <w:pPr>
              <w:pStyle w:val="52"/>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传真</w:t>
            </w:r>
          </w:p>
        </w:tc>
        <w:tc>
          <w:tcPr>
            <w:tcW w:w="2151" w:type="dxa"/>
            <w:gridSpan w:val="2"/>
            <w:vMerge w:val="restart"/>
          </w:tcPr>
          <w:p>
            <w:pPr>
              <w:pStyle w:val="52"/>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682" w:type="dxa"/>
            <w:vMerge w:val="continue"/>
            <w:tcBorders>
              <w:bottom w:val="single" w:color="auto" w:sz="4" w:space="0"/>
            </w:tcBorders>
          </w:tcPr>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701" w:type="dxa"/>
            <w:vMerge w:val="continue"/>
            <w:tcBorders>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910" w:type="dxa"/>
            <w:gridSpan w:val="2"/>
            <w:tcBorders>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手机</w:t>
            </w:r>
          </w:p>
        </w:tc>
        <w:tc>
          <w:tcPr>
            <w:tcW w:w="2368" w:type="dxa"/>
            <w:gridSpan w:val="3"/>
            <w:tcBorders>
              <w:bottom w:val="single" w:color="auto" w:sz="4" w:space="0"/>
            </w:tcBorders>
          </w:tcPr>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vMerge w:val="continue"/>
          </w:tcPr>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2151" w:type="dxa"/>
            <w:gridSpan w:val="2"/>
            <w:vMerge w:val="continue"/>
          </w:tcPr>
          <w:p>
            <w:pPr>
              <w:pStyle w:val="52"/>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682" w:type="dxa"/>
            <w:vMerge w:val="restart"/>
          </w:tcPr>
          <w:p>
            <w:pPr>
              <w:pStyle w:val="52"/>
              <w:shd w:val="clear" w:color="auto" w:fill="FFFFFF"/>
              <w:spacing w:line="360" w:lineRule="auto"/>
              <w:ind w:left="107"/>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1</w:t>
            </w:r>
            <w:r>
              <w:rPr>
                <w:rFonts w:hint="eastAsia"/>
                <w:bCs/>
                <w:color w:val="000000" w:themeColor="text1"/>
                <w:highlight w:val="none"/>
                <w14:textFill>
                  <w14:solidFill>
                    <w14:schemeClr w14:val="tx1"/>
                  </w14:solidFill>
                </w14:textFill>
              </w:rPr>
              <w:t>.</w:t>
            </w:r>
          </w:p>
          <w:p>
            <w:pPr>
              <w:pStyle w:val="52"/>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p>
          <w:p>
            <w:pPr>
              <w:pStyle w:val="52"/>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业</w:t>
            </w:r>
          </w:p>
          <w:p>
            <w:pPr>
              <w:pStyle w:val="52"/>
              <w:shd w:val="clear" w:color="auto" w:fill="FFFFFF"/>
              <w:spacing w:line="360" w:lineRule="auto"/>
              <w:ind w:left="107"/>
              <w:rPr>
                <w:bCs/>
                <w:color w:val="000000" w:themeColor="text1"/>
                <w:spacing w:val="27"/>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概</w:t>
            </w:r>
          </w:p>
          <w:p>
            <w:pPr>
              <w:pStyle w:val="52"/>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况</w:t>
            </w:r>
          </w:p>
        </w:tc>
        <w:tc>
          <w:tcPr>
            <w:tcW w:w="701" w:type="dxa"/>
            <w:tcBorders>
              <w:top w:val="nil"/>
            </w:tcBorders>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职工人数</w:t>
            </w:r>
          </w:p>
        </w:tc>
        <w:tc>
          <w:tcPr>
            <w:tcW w:w="910" w:type="dxa"/>
            <w:gridSpan w:val="2"/>
            <w:tcBorders>
              <w:top w:val="nil"/>
            </w:tcBorders>
          </w:tcPr>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1163" w:type="dxa"/>
            <w:tcBorders>
              <w:top w:val="nil"/>
            </w:tcBorders>
          </w:tcPr>
          <w:p>
            <w:pPr>
              <w:pStyle w:val="52"/>
              <w:shd w:val="clear" w:color="auto" w:fill="FFFFFF"/>
              <w:spacing w:before="0" w:beforeAutospacing="0" w:after="0" w:afterAutospacing="0" w:line="360" w:lineRule="auto"/>
              <w:rPr>
                <w:bCs/>
                <w:color w:val="000000" w:themeColor="text1"/>
                <w:highlight w:val="none"/>
                <w14:textFill>
                  <w14:solidFill>
                    <w14:schemeClr w14:val="tx1"/>
                  </w14:solidFill>
                </w14:textFill>
              </w:rPr>
            </w:pPr>
            <w:r>
              <w:rPr>
                <w:rFonts w:hint="eastAsia"/>
                <w:bCs/>
                <w:color w:val="000000" w:themeColor="text1"/>
                <w:spacing w:val="18"/>
                <w:highlight w:val="none"/>
                <w14:textFill>
                  <w14:solidFill>
                    <w14:schemeClr w14:val="tx1"/>
                  </w14:solidFill>
                </w14:textFill>
              </w:rPr>
              <w:t>具备大专以</w:t>
            </w:r>
            <w:r>
              <w:rPr>
                <w:rFonts w:hint="eastAsia"/>
                <w:bCs/>
                <w:color w:val="000000" w:themeColor="text1"/>
                <w:spacing w:val="12"/>
                <w:highlight w:val="none"/>
                <w14:textFill>
                  <w14:solidFill>
                    <w14:schemeClr w14:val="tx1"/>
                  </w14:solidFill>
                </w14:textFill>
              </w:rPr>
              <w:t>上学历人数</w:t>
            </w:r>
          </w:p>
        </w:tc>
        <w:tc>
          <w:tcPr>
            <w:tcW w:w="1205" w:type="dxa"/>
            <w:gridSpan w:val="2"/>
            <w:tcBorders>
              <w:top w:val="nil"/>
            </w:tcBorders>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52"/>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65"/>
                <w:highlight w:val="none"/>
                <w14:textFill>
                  <w14:solidFill>
                    <w14:schemeClr w14:val="tx1"/>
                  </w14:solidFill>
                </w14:textFill>
              </w:rPr>
              <w:t>国家授予技</w:t>
            </w:r>
            <w:r>
              <w:rPr>
                <w:rFonts w:hint="eastAsia"/>
                <w:bCs/>
                <w:color w:val="000000" w:themeColor="text1"/>
                <w:spacing w:val="12"/>
                <w:highlight w:val="none"/>
                <w14:textFill>
                  <w14:solidFill>
                    <w14:schemeClr w14:val="tx1"/>
                  </w14:solidFill>
                </w14:textFill>
              </w:rPr>
              <w:t>术职称人数</w:t>
            </w:r>
          </w:p>
        </w:tc>
        <w:tc>
          <w:tcPr>
            <w:tcW w:w="2151" w:type="dxa"/>
            <w:gridSpan w:val="2"/>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52"/>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jc w:val="center"/>
        </w:trPr>
        <w:tc>
          <w:tcPr>
            <w:tcW w:w="682" w:type="dxa"/>
            <w:vMerge w:val="continue"/>
          </w:tcPr>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701" w:type="dxa"/>
          </w:tcPr>
          <w:p>
            <w:pPr>
              <w:pStyle w:val="52"/>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占地面积</w:t>
            </w:r>
          </w:p>
        </w:tc>
        <w:tc>
          <w:tcPr>
            <w:tcW w:w="910" w:type="dxa"/>
            <w:gridSpan w:val="2"/>
          </w:tcPr>
          <w:p>
            <w:pPr>
              <w:pStyle w:val="52"/>
              <w:shd w:val="clear" w:color="auto" w:fill="FFFFFF"/>
              <w:spacing w:line="360" w:lineRule="auto"/>
              <w:rPr>
                <w:bCs/>
                <w:color w:val="000000" w:themeColor="text1"/>
                <w:highlight w:val="none"/>
                <w14:textFill>
                  <w14:solidFill>
                    <w14:schemeClr w14:val="tx1"/>
                  </w14:solidFill>
                </w14:textFill>
              </w:rPr>
            </w:pPr>
          </w:p>
        </w:tc>
        <w:tc>
          <w:tcPr>
            <w:tcW w:w="1163" w:type="dxa"/>
          </w:tcPr>
          <w:p>
            <w:pPr>
              <w:pStyle w:val="52"/>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建筑面积</w:t>
            </w:r>
          </w:p>
        </w:tc>
        <w:tc>
          <w:tcPr>
            <w:tcW w:w="1205" w:type="dxa"/>
            <w:gridSpan w:val="2"/>
          </w:tcPr>
          <w:p>
            <w:pPr>
              <w:pStyle w:val="52"/>
              <w:shd w:val="clear" w:color="auto" w:fill="FFFFFF"/>
              <w:spacing w:line="360" w:lineRule="auto"/>
              <w:ind w:firstLine="480" w:firstLineChars="20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 xml:space="preserve">平方米 </w:t>
            </w:r>
          </w:p>
          <w:p>
            <w:pPr>
              <w:pStyle w:val="52"/>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□自有□租賃</w:t>
            </w:r>
          </w:p>
        </w:tc>
        <w:tc>
          <w:tcPr>
            <w:tcW w:w="2001" w:type="dxa"/>
            <w:gridSpan w:val="3"/>
          </w:tcPr>
          <w:p>
            <w:pPr>
              <w:pStyle w:val="52"/>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生产经营场所及场所的设施与设备</w:t>
            </w:r>
          </w:p>
        </w:tc>
        <w:tc>
          <w:tcPr>
            <w:tcW w:w="2151" w:type="dxa"/>
            <w:gridSpan w:val="2"/>
          </w:tcPr>
          <w:p>
            <w:pPr>
              <w:pStyle w:val="52"/>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682" w:type="dxa"/>
            <w:vMerge w:val="continue"/>
          </w:tcPr>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701" w:type="dxa"/>
          </w:tcPr>
          <w:p>
            <w:pPr>
              <w:pStyle w:val="52"/>
              <w:shd w:val="clear" w:color="auto" w:fill="FFFFFF"/>
              <w:spacing w:line="360" w:lineRule="auto"/>
              <w:ind w:left="2"/>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注册资金</w:t>
            </w:r>
          </w:p>
        </w:tc>
        <w:tc>
          <w:tcPr>
            <w:tcW w:w="910" w:type="dxa"/>
            <w:gridSpan w:val="2"/>
          </w:tcPr>
          <w:p>
            <w:pPr>
              <w:pStyle w:val="52"/>
              <w:shd w:val="clear" w:color="auto" w:fill="FFFFFF"/>
              <w:spacing w:line="360" w:lineRule="auto"/>
              <w:ind w:left="2"/>
              <w:rPr>
                <w:bCs/>
                <w:color w:val="000000" w:themeColor="text1"/>
                <w:highlight w:val="none"/>
                <w14:textFill>
                  <w14:solidFill>
                    <w14:schemeClr w14:val="tx1"/>
                  </w14:solidFill>
                </w14:textFill>
              </w:rPr>
            </w:pPr>
          </w:p>
        </w:tc>
        <w:tc>
          <w:tcPr>
            <w:tcW w:w="1163" w:type="dxa"/>
          </w:tcPr>
          <w:p>
            <w:pPr>
              <w:pStyle w:val="52"/>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注册发证</w:t>
            </w:r>
            <w:r>
              <w:rPr>
                <w:rFonts w:hint="eastAsia"/>
                <w:bCs/>
                <w:color w:val="000000" w:themeColor="text1"/>
                <w:spacing w:val="27"/>
                <w:highlight w:val="none"/>
                <w14:textFill>
                  <w14:solidFill>
                    <w14:schemeClr w14:val="tx1"/>
                  </w14:solidFill>
                </w14:textFill>
              </w:rPr>
              <w:t>机关</w:t>
            </w:r>
          </w:p>
        </w:tc>
        <w:tc>
          <w:tcPr>
            <w:tcW w:w="3206" w:type="dxa"/>
            <w:gridSpan w:val="5"/>
          </w:tcPr>
          <w:p>
            <w:pPr>
              <w:widowControl/>
              <w:spacing w:line="360" w:lineRule="auto"/>
              <w:jc w:val="left"/>
              <w:rPr>
                <w:rFonts w:ascii="宋体" w:hAnsi="宋体" w:cs="宋体"/>
                <w:bCs/>
                <w:color w:val="000000" w:themeColor="text1"/>
                <w:kern w:val="0"/>
                <w:sz w:val="24"/>
                <w:highlight w:val="none"/>
                <w14:textFill>
                  <w14:solidFill>
                    <w14:schemeClr w14:val="tx1"/>
                  </w14:solidFill>
                </w14:textFill>
              </w:rPr>
            </w:pPr>
          </w:p>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1218" w:type="dxa"/>
          </w:tcPr>
          <w:p>
            <w:pPr>
              <w:pStyle w:val="52"/>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公司成</w:t>
            </w:r>
            <w:r>
              <w:rPr>
                <w:rFonts w:hint="eastAsia"/>
                <w:bCs/>
                <w:color w:val="000000" w:themeColor="text1"/>
                <w:spacing w:val="12"/>
                <w:highlight w:val="none"/>
                <w14:textFill>
                  <w14:solidFill>
                    <w14:schemeClr w14:val="tx1"/>
                  </w14:solidFill>
                </w14:textFill>
              </w:rPr>
              <w:t>立时间</w:t>
            </w:r>
          </w:p>
        </w:tc>
        <w:tc>
          <w:tcPr>
            <w:tcW w:w="933" w:type="dxa"/>
          </w:tcPr>
          <w:p>
            <w:pPr>
              <w:pStyle w:val="52"/>
              <w:shd w:val="clear" w:color="auto" w:fill="FFFFFF"/>
              <w:spacing w:line="360" w:lineRule="auto"/>
              <w:ind w:left="107"/>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682" w:type="dxa"/>
            <w:vMerge w:val="continue"/>
          </w:tcPr>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701" w:type="dxa"/>
          </w:tcPr>
          <w:p>
            <w:pPr>
              <w:pStyle w:val="52"/>
              <w:shd w:val="clear" w:color="auto" w:fill="FFFFFF"/>
              <w:spacing w:line="360" w:lineRule="auto"/>
              <w:ind w:left="2"/>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核准经营范围</w:t>
            </w:r>
          </w:p>
        </w:tc>
        <w:tc>
          <w:tcPr>
            <w:tcW w:w="7430" w:type="dxa"/>
            <w:gridSpan w:val="10"/>
          </w:tcPr>
          <w:p>
            <w:pPr>
              <w:pStyle w:val="52"/>
              <w:shd w:val="clear" w:color="auto" w:fill="FFFFFF"/>
              <w:spacing w:line="360" w:lineRule="auto"/>
              <w:ind w:left="107"/>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jc w:val="center"/>
        </w:trPr>
        <w:tc>
          <w:tcPr>
            <w:tcW w:w="682" w:type="dxa"/>
            <w:vMerge w:val="continue"/>
          </w:tcPr>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8131" w:type="dxa"/>
            <w:gridSpan w:val="11"/>
          </w:tcPr>
          <w:p>
            <w:pPr>
              <w:pStyle w:val="52"/>
              <w:shd w:val="clear" w:color="auto" w:fill="FFFFFF"/>
              <w:spacing w:line="360" w:lineRule="auto"/>
              <w:rPr>
                <w:bCs/>
                <w:color w:val="000000" w:themeColor="text1"/>
                <w:spacing w:val="13"/>
                <w:highlight w:val="none"/>
                <w14:textFill>
                  <w14:solidFill>
                    <w14:schemeClr w14:val="tx1"/>
                  </w14:solidFill>
                </w14:textFill>
              </w:rPr>
            </w:pPr>
            <w:r>
              <w:rPr>
                <w:rFonts w:hint="eastAsia"/>
                <w:bCs/>
                <w:color w:val="000000" w:themeColor="text1"/>
                <w:spacing w:val="13"/>
                <w:highlight w:val="none"/>
                <w14:textFill>
                  <w14:solidFill>
                    <w14:schemeClr w14:val="tx1"/>
                  </w14:solidFill>
                </w14:textFill>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682" w:type="dxa"/>
            <w:vMerge w:val="restart"/>
          </w:tcPr>
          <w:p>
            <w:pPr>
              <w:pStyle w:val="52"/>
              <w:shd w:val="clear" w:color="auto" w:fill="FFFFFF"/>
              <w:spacing w:line="360" w:lineRule="auto"/>
              <w:ind w:left="107"/>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w:t>
            </w:r>
            <w:r>
              <w:rPr>
                <w:rFonts w:hint="eastAsia"/>
                <w:bCs/>
                <w:color w:val="000000" w:themeColor="text1"/>
                <w:highlight w:val="none"/>
                <w14:textFill>
                  <w14:solidFill>
                    <w14:schemeClr w14:val="tx1"/>
                  </w14:solidFill>
                </w14:textFill>
              </w:rPr>
              <w:t>．</w:t>
            </w:r>
          </w:p>
          <w:p>
            <w:pPr>
              <w:pStyle w:val="52"/>
              <w:shd w:val="clear" w:color="auto" w:fill="FFFFFF"/>
              <w:spacing w:line="360" w:lineRule="auto"/>
              <w:ind w:left="107"/>
              <w:rPr>
                <w:bCs/>
                <w:color w:val="000000" w:themeColor="text1"/>
                <w:spacing w:val="16"/>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r>
              <w:rPr>
                <w:rFonts w:hint="eastAsia"/>
                <w:bCs/>
                <w:color w:val="000000" w:themeColor="text1"/>
                <w:spacing w:val="12"/>
                <w:highlight w:val="none"/>
                <w14:textFill>
                  <w14:solidFill>
                    <w14:schemeClr w14:val="tx1"/>
                  </w14:solidFill>
                </w14:textFill>
              </w:rPr>
              <w:t>业有关资质获证情况</w:t>
            </w:r>
          </w:p>
        </w:tc>
        <w:tc>
          <w:tcPr>
            <w:tcW w:w="1553" w:type="dxa"/>
            <w:gridSpan w:val="2"/>
            <w:vMerge w:val="restart"/>
          </w:tcPr>
          <w:p>
            <w:pPr>
              <w:pStyle w:val="52"/>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产品生产许可证情况</w:t>
            </w:r>
            <w:r>
              <w:rPr>
                <w:rFonts w:hint="eastAsia"/>
                <w:bCs/>
                <w:color w:val="000000" w:themeColor="text1"/>
                <w:spacing w:val="41"/>
                <w:highlight w:val="none"/>
                <w14:textFill>
                  <w14:solidFill>
                    <w14:schemeClr w14:val="tx1"/>
                  </w14:solidFill>
                </w14:textFill>
              </w:rPr>
              <w:t>（对需获得生产许可证的</w:t>
            </w:r>
            <w:r>
              <w:rPr>
                <w:rFonts w:hint="eastAsia"/>
                <w:bCs/>
                <w:color w:val="000000" w:themeColor="text1"/>
                <w:spacing w:val="11"/>
                <w:highlight w:val="none"/>
                <w14:textFill>
                  <w14:solidFill>
                    <w14:schemeClr w14:val="tx1"/>
                  </w14:solidFill>
                </w14:textFill>
              </w:rPr>
              <w:t>产品要填写此栏）</w:t>
            </w:r>
          </w:p>
        </w:tc>
        <w:tc>
          <w:tcPr>
            <w:tcW w:w="1333" w:type="dxa"/>
            <w:gridSpan w:val="3"/>
          </w:tcPr>
          <w:p>
            <w:pPr>
              <w:pStyle w:val="52"/>
              <w:shd w:val="clear" w:color="auto" w:fill="FFFFFF"/>
              <w:spacing w:line="360" w:lineRule="auto"/>
              <w:ind w:right="-78" w:rightChars="-37"/>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产品名称</w:t>
            </w:r>
          </w:p>
        </w:tc>
        <w:tc>
          <w:tcPr>
            <w:tcW w:w="1418" w:type="dxa"/>
            <w:gridSpan w:val="2"/>
          </w:tcPr>
          <w:p>
            <w:pPr>
              <w:pStyle w:val="52"/>
              <w:shd w:val="clear" w:color="auto" w:fill="FFFFFF"/>
              <w:spacing w:before="0" w:beforeAutospacing="0" w:after="0" w:afterAutospacing="0"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发证机关</w:t>
            </w:r>
          </w:p>
        </w:tc>
        <w:tc>
          <w:tcPr>
            <w:tcW w:w="1276" w:type="dxa"/>
          </w:tcPr>
          <w:p>
            <w:pPr>
              <w:pStyle w:val="52"/>
              <w:shd w:val="clear" w:color="auto" w:fill="FFFFFF"/>
              <w:spacing w:line="360" w:lineRule="auto"/>
              <w:jc w:val="center"/>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编号</w:t>
            </w:r>
          </w:p>
        </w:tc>
        <w:tc>
          <w:tcPr>
            <w:tcW w:w="1618" w:type="dxa"/>
            <w:gridSpan w:val="2"/>
          </w:tcPr>
          <w:p>
            <w:pPr>
              <w:pStyle w:val="52"/>
              <w:shd w:val="clear" w:color="auto" w:fill="FFFFFF"/>
              <w:spacing w:line="360" w:lineRule="auto"/>
              <w:jc w:val="center"/>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发证时间</w:t>
            </w:r>
          </w:p>
        </w:tc>
        <w:tc>
          <w:tcPr>
            <w:tcW w:w="933" w:type="dxa"/>
          </w:tcPr>
          <w:p>
            <w:pPr>
              <w:pStyle w:val="52"/>
              <w:shd w:val="clear" w:color="auto" w:fill="FFFFFF"/>
              <w:spacing w:before="0" w:beforeAutospacing="0" w:after="0" w:afterAutospacing="0" w:line="360" w:lineRule="auto"/>
              <w:jc w:val="center"/>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jc w:val="center"/>
        </w:trPr>
        <w:tc>
          <w:tcPr>
            <w:tcW w:w="682" w:type="dxa"/>
            <w:vMerge w:val="continue"/>
          </w:tcPr>
          <w:p>
            <w:pPr>
              <w:pStyle w:val="52"/>
              <w:shd w:val="clear" w:color="auto" w:fill="FFFFFF"/>
              <w:spacing w:line="360" w:lineRule="auto"/>
              <w:ind w:left="107"/>
              <w:rPr>
                <w:bCs/>
                <w:color w:val="000000" w:themeColor="text1"/>
                <w:highlight w:val="none"/>
                <w14:textFill>
                  <w14:solidFill>
                    <w14:schemeClr w14:val="tx1"/>
                  </w14:solidFill>
                </w14:textFill>
              </w:rPr>
            </w:pPr>
          </w:p>
        </w:tc>
        <w:tc>
          <w:tcPr>
            <w:tcW w:w="1553" w:type="dxa"/>
            <w:gridSpan w:val="2"/>
            <w:vMerge w:val="continue"/>
          </w:tcPr>
          <w:p>
            <w:pPr>
              <w:pStyle w:val="52"/>
              <w:shd w:val="clear" w:color="auto" w:fill="FFFFFF"/>
              <w:spacing w:line="360" w:lineRule="auto"/>
              <w:rPr>
                <w:bCs/>
                <w:color w:val="000000" w:themeColor="text1"/>
                <w:highlight w:val="none"/>
                <w14:textFill>
                  <w14:solidFill>
                    <w14:schemeClr w14:val="tx1"/>
                  </w14:solidFill>
                </w14:textFill>
              </w:rPr>
            </w:pPr>
          </w:p>
        </w:tc>
        <w:tc>
          <w:tcPr>
            <w:tcW w:w="1333" w:type="dxa"/>
            <w:gridSpan w:val="3"/>
          </w:tcPr>
          <w:p>
            <w:pPr>
              <w:pStyle w:val="52"/>
              <w:shd w:val="clear" w:color="auto" w:fill="FFFFFF"/>
              <w:spacing w:line="360" w:lineRule="auto"/>
              <w:rPr>
                <w:bCs/>
                <w:color w:val="000000" w:themeColor="text1"/>
                <w:highlight w:val="none"/>
                <w14:textFill>
                  <w14:solidFill>
                    <w14:schemeClr w14:val="tx1"/>
                  </w14:solidFill>
                </w14:textFill>
              </w:rPr>
            </w:pPr>
          </w:p>
        </w:tc>
        <w:tc>
          <w:tcPr>
            <w:tcW w:w="1418" w:type="dxa"/>
            <w:gridSpan w:val="2"/>
          </w:tcPr>
          <w:p>
            <w:pPr>
              <w:pStyle w:val="52"/>
              <w:shd w:val="clear" w:color="auto" w:fill="FFFFFF"/>
              <w:spacing w:line="360" w:lineRule="auto"/>
              <w:rPr>
                <w:bCs/>
                <w:color w:val="000000" w:themeColor="text1"/>
                <w:highlight w:val="none"/>
                <w14:textFill>
                  <w14:solidFill>
                    <w14:schemeClr w14:val="tx1"/>
                  </w14:solidFill>
                </w14:textFill>
              </w:rPr>
            </w:pPr>
          </w:p>
        </w:tc>
        <w:tc>
          <w:tcPr>
            <w:tcW w:w="1276" w:type="dxa"/>
          </w:tcPr>
          <w:p>
            <w:pPr>
              <w:pStyle w:val="52"/>
              <w:shd w:val="clear" w:color="auto" w:fill="FFFFFF"/>
              <w:spacing w:line="360" w:lineRule="auto"/>
              <w:rPr>
                <w:bCs/>
                <w:color w:val="000000" w:themeColor="text1"/>
                <w:highlight w:val="none"/>
                <w14:textFill>
                  <w14:solidFill>
                    <w14:schemeClr w14:val="tx1"/>
                  </w14:solidFill>
                </w14:textFill>
              </w:rPr>
            </w:pPr>
          </w:p>
        </w:tc>
        <w:tc>
          <w:tcPr>
            <w:tcW w:w="2551" w:type="dxa"/>
            <w:gridSpan w:val="3"/>
          </w:tcPr>
          <w:p>
            <w:pPr>
              <w:pStyle w:val="52"/>
              <w:shd w:val="clear" w:color="auto" w:fill="FFFFFF"/>
              <w:spacing w:line="360" w:lineRule="auto"/>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682" w:type="dxa"/>
            <w:vMerge w:val="continue"/>
          </w:tcPr>
          <w:p>
            <w:pPr>
              <w:pStyle w:val="52"/>
              <w:shd w:val="clear" w:color="auto" w:fill="FFFFFF"/>
              <w:spacing w:line="360" w:lineRule="auto"/>
              <w:ind w:left="107"/>
              <w:rPr>
                <w:bCs/>
                <w:color w:val="000000" w:themeColor="text1"/>
                <w:spacing w:val="16"/>
                <w:highlight w:val="none"/>
                <w14:textFill>
                  <w14:solidFill>
                    <w14:schemeClr w14:val="tx1"/>
                  </w14:solidFill>
                </w14:textFill>
              </w:rPr>
            </w:pPr>
          </w:p>
        </w:tc>
        <w:tc>
          <w:tcPr>
            <w:tcW w:w="1553" w:type="dxa"/>
            <w:gridSpan w:val="2"/>
          </w:tcPr>
          <w:p>
            <w:pPr>
              <w:pStyle w:val="52"/>
              <w:shd w:val="clear" w:color="auto" w:fill="FFFFFF"/>
              <w:spacing w:before="0" w:beforeAutospacing="0" w:after="0" w:afterAutospacing="0" w:line="360" w:lineRule="auto"/>
              <w:ind w:right="-107" w:rightChars="-51"/>
              <w:rPr>
                <w:bCs/>
                <w:color w:val="000000" w:themeColor="text1"/>
                <w:spacing w:val="41"/>
                <w:highlight w:val="none"/>
                <w14:textFill>
                  <w14:solidFill>
                    <w14:schemeClr w14:val="tx1"/>
                  </w14:solidFill>
                </w14:textFill>
              </w:rPr>
            </w:pPr>
            <w:r>
              <w:rPr>
                <w:rFonts w:hint="eastAsia"/>
                <w:bCs/>
                <w:color w:val="000000" w:themeColor="text1"/>
                <w:spacing w:val="41"/>
                <w:highlight w:val="none"/>
                <w14:textFill>
                  <w14:solidFill>
                    <w14:schemeClr w14:val="tx1"/>
                  </w14:solidFill>
                </w14:textFill>
              </w:rPr>
              <w:t>企业通过质量体系、环保</w:t>
            </w:r>
            <w:r>
              <w:rPr>
                <w:rFonts w:hint="eastAsia"/>
                <w:bCs/>
                <w:color w:val="000000" w:themeColor="text1"/>
                <w:spacing w:val="11"/>
                <w:highlight w:val="none"/>
                <w14:textFill>
                  <w14:solidFill>
                    <w14:schemeClr w14:val="tx1"/>
                  </w14:solidFill>
                </w14:textFill>
              </w:rPr>
              <w:t>体系、计量等认证情况</w:t>
            </w:r>
          </w:p>
        </w:tc>
        <w:tc>
          <w:tcPr>
            <w:tcW w:w="6578" w:type="dxa"/>
            <w:gridSpan w:val="9"/>
          </w:tcPr>
          <w:p>
            <w:pPr>
              <w:pStyle w:val="52"/>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682" w:type="dxa"/>
            <w:vMerge w:val="continue"/>
          </w:tcPr>
          <w:p>
            <w:pPr>
              <w:pStyle w:val="52"/>
              <w:shd w:val="clear" w:color="auto" w:fill="FFFFFF"/>
              <w:spacing w:line="360" w:lineRule="auto"/>
              <w:ind w:left="107"/>
              <w:rPr>
                <w:bCs/>
                <w:color w:val="000000" w:themeColor="text1"/>
                <w:spacing w:val="27"/>
                <w:highlight w:val="none"/>
                <w14:textFill>
                  <w14:solidFill>
                    <w14:schemeClr w14:val="tx1"/>
                  </w14:solidFill>
                </w14:textFill>
              </w:rPr>
            </w:pPr>
          </w:p>
        </w:tc>
        <w:tc>
          <w:tcPr>
            <w:tcW w:w="1553" w:type="dxa"/>
            <w:gridSpan w:val="2"/>
          </w:tcPr>
          <w:p>
            <w:pPr>
              <w:pStyle w:val="52"/>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0"/>
                <w:highlight w:val="none"/>
                <w14:textFill>
                  <w14:solidFill>
                    <w14:schemeClr w14:val="tx1"/>
                  </w14:solidFill>
                </w14:textFill>
              </w:rPr>
              <w:t>企业获得专利情况</w:t>
            </w:r>
          </w:p>
        </w:tc>
        <w:tc>
          <w:tcPr>
            <w:tcW w:w="6578" w:type="dxa"/>
            <w:gridSpan w:val="9"/>
          </w:tcPr>
          <w:p>
            <w:pPr>
              <w:pStyle w:val="52"/>
              <w:shd w:val="clear" w:color="auto" w:fill="FFFFFF"/>
              <w:spacing w:line="360" w:lineRule="auto"/>
              <w:rPr>
                <w:bCs/>
                <w:color w:val="000000" w:themeColor="text1"/>
                <w:spacing w:val="16"/>
                <w:highlight w:val="none"/>
                <w14:textFill>
                  <w14:solidFill>
                    <w14:schemeClr w14:val="tx1"/>
                  </w14:solidFill>
                </w14:textFill>
              </w:rPr>
            </w:pPr>
          </w:p>
        </w:tc>
      </w:tr>
    </w:tbl>
    <w:p>
      <w:pPr>
        <w:pStyle w:val="52"/>
        <w:shd w:val="clear" w:color="auto" w:fill="FFFFFF"/>
        <w:spacing w:before="0" w:beforeAutospacing="0" w:after="0" w:afterAutospacing="0" w:line="360" w:lineRule="auto"/>
        <w:rPr>
          <w:rFonts w:ascii="仿宋_GB2312" w:eastAsia="仿宋_GB2312"/>
          <w:color w:val="000000" w:themeColor="text1"/>
          <w:highlight w:val="none"/>
          <w14:textFill>
            <w14:solidFill>
              <w14:schemeClr w14:val="tx1"/>
            </w14:solidFill>
          </w14:textFill>
        </w:rPr>
      </w:pPr>
    </w:p>
    <w:p>
      <w:pPr>
        <w:pStyle w:val="52"/>
        <w:shd w:val="clear" w:color="auto" w:fill="FFFFFF"/>
        <w:spacing w:before="0" w:beforeAutospacing="0" w:after="0" w:afterAutospacing="0" w:line="360" w:lineRule="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要求：</w:t>
      </w:r>
    </w:p>
    <w:p>
      <w:pPr>
        <w:pStyle w:val="52"/>
        <w:shd w:val="clear" w:color="auto" w:fill="FFFFFF"/>
        <w:spacing w:before="0" w:beforeAutospacing="0" w:after="0" w:afterAutospacing="0" w:line="360" w:lineRule="auto"/>
        <w:ind w:firstLine="424" w:firstLineChars="202"/>
        <w:rPr>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姓名栏必须将所有股东都统计在内，若非股份公司此行（第三行）无需填写；</w:t>
      </w: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pStyle w:val="52"/>
        <w:shd w:val="clear" w:color="auto" w:fill="FFFFFF"/>
        <w:spacing w:before="0" w:beforeAutospacing="0" w:after="0" w:afterAutospacing="0" w:line="360" w:lineRule="auto"/>
        <w:ind w:firstLine="424" w:firstLineChars="177"/>
        <w:rPr>
          <w:b/>
          <w:bCs/>
          <w:color w:val="000000" w:themeColor="text1"/>
          <w:spacing w:val="1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spacing w:line="360" w:lineRule="auto"/>
        <w:rPr>
          <w:rFonts w:ascii="宋体" w:hAnsi="宋体"/>
          <w:b/>
          <w:color w:val="000000" w:themeColor="text1"/>
          <w:sz w:val="24"/>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附件6</w:t>
      </w:r>
    </w:p>
    <w:p>
      <w:pPr>
        <w:snapToGrid w:val="0"/>
        <w:spacing w:before="156" w:beforeLines="50" w:after="50"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项目实施人员一览表</w:t>
      </w:r>
    </w:p>
    <w:p>
      <w:pPr>
        <w:snapToGrid w:val="0"/>
        <w:spacing w:before="156" w:beforeLines="50" w:after="50"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（主要从业人员及其技术资格）</w:t>
      </w:r>
    </w:p>
    <w:tbl>
      <w:tblPr>
        <w:tblStyle w:val="27"/>
        <w:tblW w:w="889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pStyle w:val="19"/>
              <w:snapToGrid w:val="0"/>
              <w:spacing w:before="156" w:beforeLines="50" w:after="50" w:line="360" w:lineRule="auto"/>
              <w:ind w:left="5250"/>
              <w:rPr>
                <w:rFonts w:ascii="宋体" w:hAnsi="宋体" w:eastAsia="宋体"/>
                <w:b/>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pStyle w:val="19"/>
              <w:snapToGrid w:val="0"/>
              <w:spacing w:before="156" w:beforeLines="50" w:after="50" w:line="360" w:lineRule="auto"/>
              <w:ind w:left="5250"/>
              <w:rPr>
                <w:rFonts w:ascii="宋体" w:hAnsi="宋体" w:eastAsia="宋体"/>
                <w:b/>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pStyle w:val="19"/>
              <w:spacing w:line="360" w:lineRule="auto"/>
              <w:ind w:left="5250"/>
              <w:rPr>
                <w:rFonts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7"/>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在填写时，如本表格不适合投标单位的实际情况，可根据本表格式自行划表填写。</w:t>
      </w:r>
    </w:p>
    <w:p>
      <w:pPr>
        <w:pStyle w:val="53"/>
        <w:spacing w:line="360" w:lineRule="auto"/>
        <w:ind w:left="424" w:left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2.附人员证书复印件；</w:t>
      </w:r>
    </w:p>
    <w:p>
      <w:pPr>
        <w:pStyle w:val="53"/>
        <w:spacing w:line="360" w:lineRule="auto"/>
        <w:ind w:left="424" w:hanging="424" w:hanging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3.出具上述人员在本单位服务的外部证明，如：</w:t>
      </w:r>
      <w:r>
        <w:rPr>
          <w:rFonts w:ascii="宋体" w:hAnsi="宋体"/>
          <w:color w:val="000000" w:themeColor="text1"/>
          <w:szCs w:val="21"/>
          <w:highlight w:val="none"/>
          <w14:textFill>
            <w14:solidFill>
              <w14:schemeClr w14:val="tx1"/>
            </w14:solidFill>
          </w14:textFill>
        </w:rPr>
        <w:t>投标截止日之前六个月以内的</w:t>
      </w:r>
      <w:r>
        <w:rPr>
          <w:rFonts w:hint="eastAsia" w:ascii="宋体" w:hAnsi="宋体"/>
          <w:color w:val="000000" w:themeColor="text1"/>
          <w:szCs w:val="21"/>
          <w:highlight w:val="none"/>
          <w14:textFill>
            <w14:solidFill>
              <w14:schemeClr w14:val="tx1"/>
            </w14:solidFill>
          </w14:textFill>
        </w:rPr>
        <w:t>代缴个税税单、参加社会保险的《投保单》或《社会保险参保人员证明》等。</w:t>
      </w: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ind w:firstLine="435"/>
        <w:rPr>
          <w:rFonts w:ascii="宋体" w:hAnsi="宋体"/>
          <w:b/>
          <w:color w:val="000000" w:themeColor="text1"/>
          <w:sz w:val="28"/>
          <w:highlight w:val="none"/>
          <w14:textFill>
            <w14:solidFill>
              <w14:schemeClr w14:val="tx1"/>
            </w14:solidFill>
          </w14:textFill>
        </w:rPr>
      </w:pPr>
    </w:p>
    <w:p>
      <w:pPr>
        <w:spacing w:line="360" w:lineRule="auto"/>
        <w:ind w:firstLine="435"/>
        <w:rPr>
          <w:rFonts w:ascii="宋体" w:hAnsi="宋体"/>
          <w:b/>
          <w:color w:val="000000" w:themeColor="text1"/>
          <w:sz w:val="28"/>
          <w:highlight w:val="none"/>
          <w14:textFill>
            <w14:solidFill>
              <w14:schemeClr w14:val="tx1"/>
            </w14:solidFill>
          </w14:textFill>
        </w:rPr>
      </w:pPr>
    </w:p>
    <w:p>
      <w:pPr>
        <w:spacing w:line="360" w:lineRule="auto"/>
        <w:ind w:firstLine="435"/>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附件7</w:t>
      </w:r>
    </w:p>
    <w:p>
      <w:pPr>
        <w:spacing w:before="156" w:beforeLines="50" w:after="156" w:afterLines="50" w:line="360" w:lineRule="auto"/>
        <w:ind w:right="-1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项目负责人资格情况表</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采购项目：                                            采购编号：</w:t>
      </w:r>
    </w:p>
    <w:tbl>
      <w:tblPr>
        <w:tblStyle w:val="27"/>
        <w:tblW w:w="86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注：业绩证明应提供旁证材料</w:t>
            </w:r>
          </w:p>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14:textFill>
                  <w14:solidFill>
                    <w14:schemeClr w14:val="tx1"/>
                  </w14:solidFill>
                </w14:textFill>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bl>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napToGrid w:val="0"/>
        <w:spacing w:before="50" w:after="50" w:line="360" w:lineRule="auto"/>
        <w:rPr>
          <w:rFonts w:ascii="宋体" w:hAnsi="宋体"/>
          <w:b/>
          <w:color w:val="000000" w:themeColor="text1"/>
          <w:sz w:val="28"/>
          <w:highlight w:val="none"/>
          <w14:textFill>
            <w14:solidFill>
              <w14:schemeClr w14:val="tx1"/>
            </w14:solidFill>
          </w14:textFill>
        </w:rPr>
      </w:pPr>
    </w:p>
    <w:p>
      <w:pPr>
        <w:snapToGrid w:val="0"/>
        <w:spacing w:before="50" w:after="50"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附件8</w:t>
      </w:r>
    </w:p>
    <w:p>
      <w:pPr>
        <w:spacing w:line="360" w:lineRule="auto"/>
        <w:ind w:left="48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供货</w:t>
      </w:r>
      <w:r>
        <w:rPr>
          <w:rFonts w:ascii="宋体" w:hAnsi="宋体"/>
          <w:b/>
          <w:color w:val="000000" w:themeColor="text1"/>
          <w:sz w:val="32"/>
          <w:szCs w:val="32"/>
          <w:highlight w:val="none"/>
          <w14:textFill>
            <w14:solidFill>
              <w14:schemeClr w14:val="tx1"/>
            </w14:solidFill>
          </w14:textFill>
        </w:rPr>
        <w:t>清单</w:t>
      </w:r>
    </w:p>
    <w:p>
      <w:pPr>
        <w:spacing w:line="360" w:lineRule="auto"/>
        <w:ind w:left="480"/>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w:t>
      </w:r>
    </w:p>
    <w:p>
      <w:pPr>
        <w:spacing w:line="360" w:lineRule="auto"/>
        <w:ind w:left="420"/>
        <w:rPr>
          <w:rFonts w:ascii="宋体" w:hAnsi="宋体"/>
          <w:color w:val="000000" w:themeColor="text1"/>
          <w:sz w:val="24"/>
          <w:highlight w:val="none"/>
          <w14:textFill>
            <w14:solidFill>
              <w14:schemeClr w14:val="tx1"/>
            </w14:solidFill>
          </w14:textFill>
        </w:rPr>
      </w:pPr>
    </w:p>
    <w:tbl>
      <w:tblPr>
        <w:tblStyle w:val="27"/>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Layout w:type="fixed"/>
        </w:tblPrEx>
        <w:trPr>
          <w:cantSplit/>
          <w:trHeight w:val="640" w:hRule="atLeast"/>
          <w:jc w:val="center"/>
        </w:trPr>
        <w:tc>
          <w:tcPr>
            <w:tcW w:w="52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2169"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993"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产地</w:t>
            </w:r>
          </w:p>
        </w:tc>
        <w:tc>
          <w:tcPr>
            <w:tcW w:w="1559" w:type="dxa"/>
            <w:vAlign w:val="center"/>
          </w:tcPr>
          <w:p>
            <w:pPr>
              <w:spacing w:line="360" w:lineRule="auto"/>
              <w:ind w:left="1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jc w:val="center"/>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bl>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35"/>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5" w:firstLine="559" w:firstLineChars="265"/>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本表中的名称、数量应与报价明细表中相对应的报价名称、数量一致</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firstLine="571" w:firstLineChars="238"/>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napToGrid w:val="0"/>
        <w:spacing w:before="50" w:after="50" w:line="360" w:lineRule="auto"/>
        <w:rPr>
          <w:rFonts w:ascii="宋体" w:hAnsi="宋体"/>
          <w:b/>
          <w:color w:val="000000" w:themeColor="text1"/>
          <w:sz w:val="28"/>
          <w:highlight w:val="none"/>
          <w14:textFill>
            <w14:solidFill>
              <w14:schemeClr w14:val="tx1"/>
            </w14:solidFill>
          </w14:textFill>
        </w:rPr>
      </w:pPr>
    </w:p>
    <w:p>
      <w:pPr>
        <w:snapToGrid w:val="0"/>
        <w:spacing w:before="50" w:after="50" w:line="360" w:lineRule="auto"/>
        <w:rPr>
          <w:rFonts w:ascii="宋体" w:hAnsi="宋体"/>
          <w:b/>
          <w:color w:val="000000" w:themeColor="text1"/>
          <w:sz w:val="28"/>
          <w:highlight w:val="none"/>
          <w14:textFill>
            <w14:solidFill>
              <w14:schemeClr w14:val="tx1"/>
            </w14:solidFill>
          </w14:textFill>
        </w:rPr>
      </w:pPr>
    </w:p>
    <w:p>
      <w:pPr>
        <w:snapToGrid w:val="0"/>
        <w:spacing w:before="50" w:after="50"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附件9</w:t>
      </w:r>
    </w:p>
    <w:p>
      <w:pPr>
        <w:spacing w:line="360" w:lineRule="auto"/>
        <w:ind w:left="480"/>
        <w:jc w:val="center"/>
        <w:rPr>
          <w:rFonts w:ascii="宋体" w:hAnsi="宋体"/>
          <w:b/>
          <w:color w:val="000000" w:themeColor="text1"/>
          <w:sz w:val="32"/>
          <w:szCs w:val="32"/>
          <w:highlight w:val="none"/>
          <w14:textFill>
            <w14:solidFill>
              <w14:schemeClr w14:val="tx1"/>
            </w14:solidFill>
          </w14:textFill>
        </w:rPr>
      </w:pPr>
      <w:r>
        <w:rPr>
          <w:rFonts w:ascii="宋体" w:hAnsi="宋体"/>
          <w:color w:val="000000" w:themeColor="text1"/>
          <w:kern w:val="0"/>
          <w:sz w:val="32"/>
          <w:szCs w:val="32"/>
          <w:highlight w:val="none"/>
          <w14:textFill>
            <w14:solidFill>
              <w14:schemeClr w14:val="tx1"/>
            </w14:solidFill>
          </w14:textFill>
        </w:rPr>
        <w:t>技术</w:t>
      </w:r>
      <w:r>
        <w:rPr>
          <w:rFonts w:hint="eastAsia" w:ascii="宋体" w:hAnsi="宋体"/>
          <w:color w:val="000000" w:themeColor="text1"/>
          <w:kern w:val="0"/>
          <w:sz w:val="32"/>
          <w:szCs w:val="32"/>
          <w:highlight w:val="none"/>
          <w14:textFill>
            <w14:solidFill>
              <w14:schemeClr w14:val="tx1"/>
            </w14:solidFill>
          </w14:textFill>
        </w:rPr>
        <w:t>需求</w:t>
      </w:r>
      <w:r>
        <w:rPr>
          <w:rFonts w:ascii="宋体" w:hAnsi="宋体"/>
          <w:color w:val="000000" w:themeColor="text1"/>
          <w:kern w:val="0"/>
          <w:sz w:val="32"/>
          <w:szCs w:val="32"/>
          <w:highlight w:val="none"/>
          <w14:textFill>
            <w14:solidFill>
              <w14:schemeClr w14:val="tx1"/>
            </w14:solidFill>
          </w14:textFill>
        </w:rPr>
        <w:t>响应表</w:t>
      </w:r>
    </w:p>
    <w:p>
      <w:pPr>
        <w:spacing w:line="360" w:lineRule="auto"/>
        <w:rPr>
          <w:rFonts w:ascii="宋体" w:hAnsi="宋体"/>
          <w:color w:val="000000" w:themeColor="text1"/>
          <w:sz w:val="24"/>
          <w:highlight w:val="none"/>
          <w14:textFill>
            <w14:solidFill>
              <w14:schemeClr w14:val="tx1"/>
            </w14:solidFill>
          </w14:textFill>
        </w:rPr>
      </w:pPr>
    </w:p>
    <w:tbl>
      <w:tblPr>
        <w:tblStyle w:val="27"/>
        <w:tblW w:w="82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73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spacing w:line="360" w:lineRule="auto"/>
              <w:ind w:left="13" w:leftChars="6"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449" w:type="dxa"/>
            <w:vAlign w:val="center"/>
          </w:tcPr>
          <w:p>
            <w:pPr>
              <w:spacing w:line="360" w:lineRule="auto"/>
              <w:ind w:left="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1560" w:type="dxa"/>
            <w:vAlign w:val="center"/>
          </w:tcPr>
          <w:p>
            <w:pPr>
              <w:spacing w:line="360" w:lineRule="auto"/>
              <w:ind w:left="1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招标参数</w:t>
            </w:r>
          </w:p>
        </w:tc>
        <w:tc>
          <w:tcPr>
            <w:tcW w:w="1401"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投标参数</w:t>
            </w:r>
          </w:p>
        </w:tc>
        <w:tc>
          <w:tcPr>
            <w:tcW w:w="136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bl>
    <w:p>
      <w:pPr>
        <w:pStyle w:val="54"/>
        <w:tabs>
          <w:tab w:val="left" w:pos="360"/>
        </w:tabs>
        <w:spacing w:line="360" w:lineRule="auto"/>
        <w:ind w:right="84" w:rightChars="40"/>
        <w:rPr>
          <w:rFonts w:ascii="宋体"/>
          <w:b/>
          <w:color w:val="000000" w:themeColor="text1"/>
          <w:szCs w:val="21"/>
          <w:highlight w:val="none"/>
          <w14:textFill>
            <w14:solidFill>
              <w14:schemeClr w14:val="tx1"/>
            </w14:solidFill>
          </w14:textFill>
        </w:rPr>
      </w:pPr>
      <w:r>
        <w:rPr>
          <w:rFonts w:hint="eastAsia" w:ascii="宋体"/>
          <w:b/>
          <w:color w:val="000000" w:themeColor="text1"/>
          <w:szCs w:val="21"/>
          <w:highlight w:val="none"/>
          <w14:textFill>
            <w14:solidFill>
              <w14:schemeClr w14:val="tx1"/>
            </w14:solidFill>
          </w14:textFill>
        </w:rPr>
        <w:t>要求：</w:t>
      </w:r>
    </w:p>
    <w:p>
      <w:pPr>
        <w:pStyle w:val="54"/>
        <w:tabs>
          <w:tab w:val="left" w:pos="360"/>
        </w:tabs>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 本表的名称须与《报价明细表》一致。</w:t>
      </w:r>
    </w:p>
    <w:p>
      <w:pPr>
        <w:pStyle w:val="54"/>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2.本表参照本招标文件第二部分“招标需求”内第二条“具体技术需求”填制，投标人应根据投标设备的性能指标、服务指标，对照招标文件要求在“偏离情况”栏注明“正偏离”、“负偏离”或“无偏离”。</w:t>
      </w:r>
    </w:p>
    <w:p>
      <w:pPr>
        <w:pStyle w:val="54"/>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pStyle w:val="55"/>
        <w:spacing w:line="360" w:lineRule="auto"/>
        <w:jc w:val="left"/>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附件10</w:t>
      </w:r>
    </w:p>
    <w:p>
      <w:pPr>
        <w:pStyle w:val="56"/>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证书一览表</w:t>
      </w:r>
    </w:p>
    <w:p>
      <w:pPr>
        <w:pStyle w:val="56"/>
        <w:spacing w:line="360" w:lineRule="auto"/>
        <w:jc w:val="center"/>
        <w:rPr>
          <w:rFonts w:ascii="宋体" w:hAnsi="宋体" w:cs="Arial"/>
          <w:color w:val="000000" w:themeColor="text1"/>
          <w:sz w:val="28"/>
          <w:szCs w:val="28"/>
          <w:highlight w:val="none"/>
          <w14:textFill>
            <w14:solidFill>
              <w14:schemeClr w14:val="tx1"/>
            </w14:solidFill>
          </w14:textFill>
        </w:rPr>
      </w:pPr>
    </w:p>
    <w:tbl>
      <w:tblPr>
        <w:tblStyle w:val="27"/>
        <w:tblW w:w="843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56"/>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证书名称</w:t>
            </w:r>
          </w:p>
        </w:tc>
        <w:tc>
          <w:tcPr>
            <w:tcW w:w="2258" w:type="dxa"/>
            <w:tcBorders>
              <w:top w:val="single" w:color="auto" w:sz="4" w:space="0"/>
              <w:bottom w:val="single" w:color="auto" w:sz="4" w:space="0"/>
            </w:tcBorders>
          </w:tcPr>
          <w:p>
            <w:pPr>
              <w:pStyle w:val="56"/>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发证单位</w:t>
            </w:r>
          </w:p>
        </w:tc>
        <w:tc>
          <w:tcPr>
            <w:tcW w:w="2260" w:type="dxa"/>
            <w:tcBorders>
              <w:top w:val="single" w:color="auto" w:sz="4" w:space="0"/>
              <w:bottom w:val="single" w:color="auto" w:sz="4" w:space="0"/>
            </w:tcBorders>
          </w:tcPr>
          <w:p>
            <w:pPr>
              <w:pStyle w:val="56"/>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证书等级</w:t>
            </w:r>
          </w:p>
        </w:tc>
        <w:tc>
          <w:tcPr>
            <w:tcW w:w="2047" w:type="dxa"/>
            <w:tcBorders>
              <w:top w:val="single" w:color="auto" w:sz="4" w:space="0"/>
              <w:bottom w:val="single" w:color="auto" w:sz="4" w:space="0"/>
              <w:right w:val="single" w:color="auto" w:sz="4" w:space="0"/>
            </w:tcBorders>
          </w:tcPr>
          <w:p>
            <w:pPr>
              <w:pStyle w:val="56"/>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Borders>
              <w:top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Borders>
              <w:top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top w:val="single" w:color="auto" w:sz="4" w:space="0"/>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Borders>
              <w:bottom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Borders>
              <w:bottom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bottom w:val="single" w:color="auto" w:sz="4" w:space="0"/>
              <w:right w:val="single" w:color="auto" w:sz="4" w:space="0"/>
            </w:tcBorders>
          </w:tcPr>
          <w:p>
            <w:pPr>
              <w:pStyle w:val="56"/>
              <w:spacing w:line="360" w:lineRule="auto"/>
              <w:jc w:val="center"/>
              <w:rPr>
                <w:rFonts w:ascii="宋体" w:hAnsi="宋体" w:cs="Arial"/>
                <w:color w:val="000000" w:themeColor="text1"/>
                <w:szCs w:val="21"/>
                <w:highlight w:val="none"/>
                <w14:textFill>
                  <w14:solidFill>
                    <w14:schemeClr w14:val="tx1"/>
                  </w14:solidFill>
                </w14:textFill>
              </w:rPr>
            </w:pPr>
          </w:p>
        </w:tc>
      </w:tr>
    </w:tbl>
    <w:p>
      <w:pPr>
        <w:pStyle w:val="56"/>
        <w:tabs>
          <w:tab w:val="left" w:pos="1050"/>
        </w:tabs>
        <w:spacing w:line="360" w:lineRule="auto"/>
        <w:rPr>
          <w:rFonts w:ascii="仿宋_GB2312" w:hAnsi="宋体" w:eastAsia="仿宋_GB2312"/>
          <w:color w:val="000000" w:themeColor="text1"/>
          <w:sz w:val="24"/>
          <w:highlight w:val="none"/>
          <w14:textFill>
            <w14:solidFill>
              <w14:schemeClr w14:val="tx1"/>
            </w14:solidFill>
          </w14:textFill>
        </w:rPr>
      </w:pPr>
    </w:p>
    <w:p>
      <w:pPr>
        <w:pStyle w:val="56"/>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pStyle w:val="56"/>
        <w:tabs>
          <w:tab w:val="left" w:pos="1050"/>
        </w:tabs>
        <w:spacing w:line="360" w:lineRule="auto"/>
        <w:ind w:firstLine="424" w:firstLine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1.填写投标人获得资质、认证或企业信誉证书；</w:t>
      </w:r>
    </w:p>
    <w:p>
      <w:pPr>
        <w:pStyle w:val="56"/>
        <w:tabs>
          <w:tab w:val="left" w:pos="1050"/>
        </w:tabs>
        <w:spacing w:line="360" w:lineRule="auto"/>
        <w:ind w:firstLine="424" w:firstLine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2.附所列证书复印件或其他证明材料。</w:t>
      </w:r>
    </w:p>
    <w:p>
      <w:pPr>
        <w:pStyle w:val="56"/>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pStyle w:val="56"/>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pStyle w:val="56"/>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pStyle w:val="52"/>
        <w:shd w:val="clear" w:color="auto" w:fill="FFFFFF"/>
        <w:spacing w:before="0" w:beforeAutospacing="0" w:after="0" w:afterAutospacing="0" w:line="360" w:lineRule="auto"/>
        <w:ind w:firstLine="424" w:firstLineChars="177"/>
        <w:rPr>
          <w:b/>
          <w:bCs/>
          <w:color w:val="000000" w:themeColor="text1"/>
          <w:spacing w:val="1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附件11</w:t>
      </w:r>
    </w:p>
    <w:p>
      <w:pPr>
        <w:pStyle w:val="55"/>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投标人类似项目实施情况一览表</w:t>
      </w:r>
    </w:p>
    <w:p>
      <w:pPr>
        <w:pStyle w:val="55"/>
        <w:spacing w:line="360" w:lineRule="auto"/>
        <w:jc w:val="center"/>
        <w:rPr>
          <w:rFonts w:ascii="仿宋_GB2312" w:eastAsia="仿宋_GB2312"/>
          <w:b/>
          <w:color w:val="000000" w:themeColor="text1"/>
          <w:sz w:val="28"/>
          <w:szCs w:val="28"/>
          <w:highlight w:val="none"/>
          <w14:textFill>
            <w14:solidFill>
              <w14:schemeClr w14:val="tx1"/>
            </w14:solidFill>
          </w14:textFill>
        </w:rPr>
      </w:pPr>
    </w:p>
    <w:tbl>
      <w:tblPr>
        <w:tblStyle w:val="27"/>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55"/>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w:t>
            </w: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w:t>
            </w: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3</w:t>
            </w: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w:t>
            </w: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55"/>
              <w:spacing w:line="360" w:lineRule="auto"/>
              <w:rPr>
                <w:rFonts w:ascii="宋体" w:hAnsi="宋体" w:cs="Arial"/>
                <w:color w:val="000000" w:themeColor="text1"/>
                <w:sz w:val="24"/>
                <w:highlight w:val="none"/>
                <w14:textFill>
                  <w14:solidFill>
                    <w14:schemeClr w14:val="tx1"/>
                  </w14:solidFill>
                </w14:textFill>
              </w:rPr>
            </w:pPr>
          </w:p>
        </w:tc>
      </w:tr>
    </w:tbl>
    <w:p>
      <w:pPr>
        <w:autoSpaceDE w:val="0"/>
        <w:autoSpaceDN w:val="0"/>
        <w:adjustRightInd w:val="0"/>
        <w:spacing w:before="156" w:beforeLines="50" w:line="360" w:lineRule="auto"/>
        <w:rPr>
          <w:rFonts w:ascii="宋体" w:hAnsi="宋体" w:cs="Arial"/>
          <w:b/>
          <w:color w:val="000000" w:themeColor="text1"/>
          <w:szCs w:val="21"/>
          <w:highlight w:val="none"/>
          <w14:textFill>
            <w14:solidFill>
              <w14:schemeClr w14:val="tx1"/>
            </w14:solidFill>
          </w14:textFill>
        </w:rPr>
      </w:pPr>
      <w:r>
        <w:rPr>
          <w:rFonts w:hint="eastAsia" w:ascii="宋体" w:hAnsi="宋体" w:cs="Arial"/>
          <w:b/>
          <w:color w:val="000000" w:themeColor="text1"/>
          <w:szCs w:val="21"/>
          <w:highlight w:val="none"/>
          <w14:textFill>
            <w14:solidFill>
              <w14:schemeClr w14:val="tx1"/>
            </w14:solidFill>
          </w14:textFill>
        </w:rPr>
        <w:t>要求</w:t>
      </w:r>
      <w:r>
        <w:rPr>
          <w:rFonts w:ascii="宋体" w:hAnsi="宋体" w:cs="Arial"/>
          <w:b/>
          <w:color w:val="000000" w:themeColor="text1"/>
          <w:szCs w:val="21"/>
          <w:highlight w:val="none"/>
          <w14:textFill>
            <w14:solidFill>
              <w14:schemeClr w14:val="tx1"/>
            </w14:solidFill>
          </w14:textFill>
        </w:rPr>
        <w:t>：</w:t>
      </w:r>
    </w:p>
    <w:p>
      <w:pPr>
        <w:autoSpaceDE w:val="0"/>
        <w:autoSpaceDN w:val="0"/>
        <w:adjustRightInd w:val="0"/>
        <w:spacing w:before="156" w:beforeLines="50" w:line="360" w:lineRule="auto"/>
        <w:ind w:firstLine="424" w:firstLineChars="202"/>
        <w:rPr>
          <w:rFonts w:ascii="宋体" w:hAnsi="宋体" w:cs="Arial"/>
          <w:b/>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1</w:t>
      </w:r>
      <w:r>
        <w:rPr>
          <w:rFonts w:hint="eastAsia" w:ascii="宋体" w:hAnsi="宋体" w:cs="Arial"/>
          <w:color w:val="000000" w:themeColor="text1"/>
          <w:szCs w:val="21"/>
          <w:highlight w:val="none"/>
          <w14:textFill>
            <w14:solidFill>
              <w14:schemeClr w14:val="tx1"/>
            </w14:solidFill>
          </w14:textFill>
        </w:rPr>
        <w:t>.</w:t>
      </w:r>
      <w:r>
        <w:rPr>
          <w:rFonts w:ascii="宋体" w:hAnsi="宋体" w:cs="Arial"/>
          <w:color w:val="000000" w:themeColor="text1"/>
          <w:szCs w:val="21"/>
          <w:highlight w:val="none"/>
          <w14:textFill>
            <w14:solidFill>
              <w14:schemeClr w14:val="tx1"/>
            </w14:solidFill>
          </w14:textFill>
        </w:rPr>
        <w:t>业绩证明应提供证明材料（合同</w:t>
      </w:r>
      <w:r>
        <w:rPr>
          <w:rFonts w:hint="eastAsia" w:ascii="宋体" w:hAnsi="宋体" w:cs="Arial"/>
          <w:color w:val="000000" w:themeColor="text1"/>
          <w:szCs w:val="21"/>
          <w:highlight w:val="none"/>
          <w14:textFill>
            <w14:solidFill>
              <w14:schemeClr w14:val="tx1"/>
            </w14:solidFill>
          </w14:textFill>
        </w:rPr>
        <w:t>复印件可只提供首页、含金额页、盖章页并加盖投标人公章</w:t>
      </w:r>
      <w:r>
        <w:rPr>
          <w:rFonts w:ascii="宋体" w:hAnsi="宋体" w:cs="Arial"/>
          <w:color w:val="000000" w:themeColor="text1"/>
          <w:szCs w:val="21"/>
          <w:highlight w:val="none"/>
          <w14:textFill>
            <w14:solidFill>
              <w14:schemeClr w14:val="tx1"/>
            </w14:solidFill>
          </w14:textFill>
        </w:rPr>
        <w:t>）；</w:t>
      </w:r>
    </w:p>
    <w:p>
      <w:pPr>
        <w:spacing w:line="360" w:lineRule="auto"/>
        <w:ind w:firstLine="424" w:firstLineChars="202"/>
        <w:jc w:val="left"/>
        <w:rPr>
          <w:rFonts w:ascii="宋体" w:hAnsi="宋体" w:cs="Arial"/>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2</w:t>
      </w:r>
      <w:r>
        <w:rPr>
          <w:rFonts w:hint="eastAsia" w:ascii="宋体" w:hAnsi="宋体" w:cs="Arial"/>
          <w:color w:val="000000" w:themeColor="text1"/>
          <w:szCs w:val="21"/>
          <w:highlight w:val="none"/>
          <w14:textFill>
            <w14:solidFill>
              <w14:schemeClr w14:val="tx1"/>
            </w14:solidFill>
          </w14:textFill>
        </w:rPr>
        <w:t>.报价供应商</w:t>
      </w:r>
      <w:r>
        <w:rPr>
          <w:rFonts w:ascii="宋体" w:hAnsi="宋体" w:cs="Arial"/>
          <w:color w:val="000000" w:themeColor="text1"/>
          <w:szCs w:val="21"/>
          <w:highlight w:val="none"/>
          <w14:textFill>
            <w14:solidFill>
              <w14:schemeClr w14:val="tx1"/>
            </w14:solidFill>
          </w14:textFill>
        </w:rPr>
        <w:t>可按此表格式复制</w:t>
      </w:r>
      <w:r>
        <w:rPr>
          <w:rFonts w:hint="eastAsia" w:ascii="宋体" w:hAnsi="宋体" w:cs="Arial"/>
          <w:color w:val="000000" w:themeColor="text1"/>
          <w:szCs w:val="21"/>
          <w:highlight w:val="none"/>
          <w14:textFill>
            <w14:solidFill>
              <w14:schemeClr w14:val="tx1"/>
            </w14:solidFill>
          </w14:textFill>
        </w:rPr>
        <w:t>。</w:t>
      </w:r>
    </w:p>
    <w:p>
      <w:pPr>
        <w:spacing w:line="360" w:lineRule="auto"/>
        <w:rPr>
          <w:rFonts w:ascii="宋体" w:hAnsi="宋体"/>
          <w:color w:val="000000" w:themeColor="text1"/>
          <w:sz w:val="22"/>
          <w:szCs w:val="22"/>
          <w:highlight w:val="none"/>
          <w14:textFill>
            <w14:solidFill>
              <w14:schemeClr w14:val="tx1"/>
            </w14:solidFill>
          </w14:textFill>
        </w:rPr>
      </w:pPr>
    </w:p>
    <w:p>
      <w:pPr>
        <w:spacing w:line="360" w:lineRule="auto"/>
        <w:rPr>
          <w:rFonts w:ascii="宋体" w:hAnsi="宋体"/>
          <w:color w:val="000000" w:themeColor="text1"/>
          <w:sz w:val="22"/>
          <w:szCs w:val="22"/>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jc w:val="center"/>
        <w:rPr>
          <w:rFonts w:ascii="仿宋" w:hAnsi="仿宋" w:eastAsia="仿宋"/>
          <w:snapToGrid w:val="0"/>
          <w:color w:val="000000" w:themeColor="text1"/>
          <w:kern w:val="0"/>
          <w:sz w:val="24"/>
          <w:highlight w:val="none"/>
          <w14:textFill>
            <w14:solidFill>
              <w14:schemeClr w14:val="tx1"/>
            </w14:solidFill>
          </w14:textFill>
        </w:rPr>
      </w:pPr>
    </w:p>
    <w:p>
      <w:pPr>
        <w:pStyle w:val="56"/>
        <w:tabs>
          <w:tab w:val="left" w:pos="1050"/>
        </w:tabs>
        <w:spacing w:line="360" w:lineRule="auto"/>
        <w:rPr>
          <w:rFonts w:ascii="宋体" w:hAnsi="宋体"/>
          <w:b/>
          <w:color w:val="000000" w:themeColor="text1"/>
          <w:sz w:val="28"/>
          <w:highlight w:val="none"/>
          <w14:textFill>
            <w14:solidFill>
              <w14:schemeClr w14:val="tx1"/>
            </w14:solidFill>
          </w14:textFill>
        </w:rPr>
      </w:pPr>
    </w:p>
    <w:p>
      <w:pPr>
        <w:pStyle w:val="56"/>
        <w:tabs>
          <w:tab w:val="left" w:pos="1050"/>
        </w:tabs>
        <w:spacing w:line="360" w:lineRule="auto"/>
        <w:rPr>
          <w:rFonts w:ascii="宋体" w:hAnsi="宋体"/>
          <w:b/>
          <w:color w:val="000000" w:themeColor="text1"/>
          <w:sz w:val="28"/>
          <w:highlight w:val="none"/>
          <w14:textFill>
            <w14:solidFill>
              <w14:schemeClr w14:val="tx1"/>
            </w14:solidFill>
          </w14:textFill>
        </w:rPr>
      </w:pPr>
    </w:p>
    <w:p>
      <w:pPr>
        <w:pStyle w:val="56"/>
        <w:tabs>
          <w:tab w:val="left" w:pos="1050"/>
        </w:tabs>
        <w:spacing w:line="360" w:lineRule="auto"/>
        <w:rPr>
          <w:rFonts w:ascii="仿宋_GB2312" w:hAnsi="宋体" w:eastAsia="仿宋_GB2312"/>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附件12</w:t>
      </w:r>
    </w:p>
    <w:p>
      <w:pPr>
        <w:spacing w:line="360" w:lineRule="auto"/>
        <w:ind w:left="549" w:hanging="549" w:hangingChars="171"/>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资信及商务需求响应表(第 标)</w:t>
      </w:r>
    </w:p>
    <w:p>
      <w:pPr>
        <w:spacing w:line="360" w:lineRule="auto"/>
        <w:ind w:left="481" w:leftChars="229" w:firstLine="813" w:firstLineChars="450"/>
        <w:rPr>
          <w:rFonts w:ascii="宋体" w:hAnsi="宋体"/>
          <w:b/>
          <w:color w:val="000000" w:themeColor="text1"/>
          <w:sz w:val="18"/>
          <w:szCs w:val="18"/>
          <w:highlight w:val="none"/>
          <w14:textFill>
            <w14:solidFill>
              <w14:schemeClr w14:val="tx1"/>
            </w14:solidFill>
          </w14:textFill>
        </w:rPr>
      </w:pPr>
    </w:p>
    <w:tbl>
      <w:tblPr>
        <w:tblStyle w:val="27"/>
        <w:tblW w:w="82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jc w:val="center"/>
        </w:trPr>
        <w:tc>
          <w:tcPr>
            <w:tcW w:w="735" w:type="dxa"/>
            <w:vAlign w:val="center"/>
          </w:tcPr>
          <w:p>
            <w:pP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内容</w:t>
            </w:r>
          </w:p>
        </w:tc>
        <w:tc>
          <w:tcPr>
            <w:tcW w:w="1785" w:type="dxa"/>
            <w:vAlign w:val="center"/>
          </w:tcPr>
          <w:p>
            <w:pPr>
              <w:ind w:left="53" w:leftChars="25" w:firstLine="241" w:firstLineChars="1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招标需求</w:t>
            </w:r>
          </w:p>
        </w:tc>
        <w:tc>
          <w:tcPr>
            <w:tcW w:w="1365" w:type="dxa"/>
            <w:vAlign w:val="center"/>
          </w:tcPr>
          <w:p>
            <w:pPr>
              <w:ind w:left="1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是否响应</w:t>
            </w:r>
          </w:p>
        </w:tc>
        <w:tc>
          <w:tcPr>
            <w:tcW w:w="2625" w:type="dxa"/>
            <w:vAlign w:val="center"/>
          </w:tcPr>
          <w:p>
            <w:pPr>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售后服务保障要求</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备品备件及耗材等要求</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质保期</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交货和服务</w:t>
            </w:r>
          </w:p>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时间及地点</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付款条件</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bl>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附件13</w:t>
      </w:r>
      <w:r>
        <w:rPr>
          <w:rFonts w:ascii="宋体" w:hAnsi="宋体"/>
          <w:b/>
          <w:color w:val="000000" w:themeColor="text1"/>
          <w:sz w:val="28"/>
          <w:highlight w:val="none"/>
          <w14:textFill>
            <w14:solidFill>
              <w14:schemeClr w14:val="tx1"/>
            </w14:solidFill>
          </w14:textFill>
        </w:rPr>
        <w:tab/>
      </w:r>
    </w:p>
    <w:p>
      <w:pPr>
        <w:spacing w:line="360" w:lineRule="auto"/>
        <w:ind w:firstLine="435"/>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售后服务情况表</w:t>
      </w:r>
    </w:p>
    <w:p>
      <w:pPr>
        <w:spacing w:line="360" w:lineRule="auto"/>
        <w:ind w:firstLine="435"/>
        <w:jc w:val="center"/>
        <w:rPr>
          <w:rFonts w:ascii="宋体" w:hAnsi="宋体"/>
          <w:b/>
          <w:color w:val="000000" w:themeColor="text1"/>
          <w:sz w:val="36"/>
          <w:szCs w:val="36"/>
          <w:highlight w:val="none"/>
          <w14:textFill>
            <w14:solidFill>
              <w14:schemeClr w14:val="tx1"/>
            </w14:solidFill>
          </w14:textFill>
        </w:rPr>
      </w:pPr>
    </w:p>
    <w:tbl>
      <w:tblPr>
        <w:tblStyle w:val="27"/>
        <w:tblW w:w="852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vAlign w:val="center"/>
          </w:tcPr>
          <w:p>
            <w:pPr>
              <w:pStyle w:val="57"/>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序号</w:t>
            </w:r>
          </w:p>
        </w:tc>
        <w:tc>
          <w:tcPr>
            <w:tcW w:w="2355" w:type="dxa"/>
            <w:vAlign w:val="center"/>
          </w:tcPr>
          <w:p>
            <w:pPr>
              <w:pStyle w:val="57"/>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项目</w:t>
            </w:r>
          </w:p>
        </w:tc>
        <w:tc>
          <w:tcPr>
            <w:tcW w:w="4061" w:type="dxa"/>
            <w:vAlign w:val="center"/>
          </w:tcPr>
          <w:p>
            <w:pPr>
              <w:pStyle w:val="57"/>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投标人情况</w:t>
            </w:r>
          </w:p>
        </w:tc>
        <w:tc>
          <w:tcPr>
            <w:tcW w:w="1373" w:type="dxa"/>
            <w:vAlign w:val="center"/>
          </w:tcPr>
          <w:p>
            <w:pPr>
              <w:pStyle w:val="57"/>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57"/>
              <w:spacing w:line="360" w:lineRule="auto"/>
              <w:jc w:val="center"/>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1</w:t>
            </w:r>
          </w:p>
        </w:tc>
        <w:tc>
          <w:tcPr>
            <w:tcW w:w="2355" w:type="dxa"/>
            <w:vMerge w:val="restart"/>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保修期内售后服务情况(</w:t>
            </w:r>
            <w:r>
              <w:rPr>
                <w:rFonts w:ascii="宋体" w:hAnsi="宋体" w:cs="Arial"/>
                <w:bCs/>
                <w:color w:val="000000" w:themeColor="text1"/>
                <w:sz w:val="24"/>
                <w:highlight w:val="none"/>
                <w14:textFill>
                  <w14:solidFill>
                    <w14:schemeClr w14:val="tx1"/>
                  </w14:solidFill>
                </w14:textFill>
              </w:rPr>
              <w:t>服务</w:t>
            </w:r>
            <w:r>
              <w:rPr>
                <w:rFonts w:hint="eastAsia" w:ascii="宋体" w:hAnsi="宋体" w:cs="Arial"/>
                <w:bCs/>
                <w:color w:val="000000" w:themeColor="text1"/>
                <w:sz w:val="24"/>
                <w:highlight w:val="none"/>
                <w14:textFill>
                  <w14:solidFill>
                    <w14:schemeClr w14:val="tx1"/>
                  </w14:solidFill>
                </w14:textFill>
              </w:rPr>
              <w:t>方式、服务网点</w:t>
            </w:r>
            <w:r>
              <w:rPr>
                <w:rFonts w:ascii="宋体" w:hAnsi="宋体" w:cs="Arial"/>
                <w:bCs/>
                <w:color w:val="000000" w:themeColor="text1"/>
                <w:sz w:val="24"/>
                <w:highlight w:val="none"/>
                <w14:textFill>
                  <w14:solidFill>
                    <w14:schemeClr w14:val="tx1"/>
                  </w14:solidFill>
                </w14:textFill>
              </w:rPr>
              <w:t>、售后服务的内容和措施</w:t>
            </w:r>
            <w:r>
              <w:rPr>
                <w:rFonts w:hint="eastAsia" w:ascii="宋体" w:hAnsi="宋体" w:cs="Arial"/>
                <w:bCs/>
                <w:color w:val="000000" w:themeColor="text1"/>
                <w:sz w:val="24"/>
                <w:highlight w:val="none"/>
                <w14:textFill>
                  <w14:solidFill>
                    <w14:schemeClr w14:val="tx1"/>
                  </w14:solidFill>
                </w14:textFill>
              </w:rPr>
              <w:t>等等，可用附页和宣传材料)</w:t>
            </w:r>
          </w:p>
        </w:tc>
        <w:tc>
          <w:tcPr>
            <w:tcW w:w="4061" w:type="dxa"/>
          </w:tcPr>
          <w:p>
            <w:pPr>
              <w:pStyle w:val="57"/>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生产厂商售后服务情况：</w:t>
            </w:r>
          </w:p>
        </w:tc>
        <w:tc>
          <w:tcPr>
            <w:tcW w:w="1373" w:type="dxa"/>
          </w:tcPr>
          <w:p>
            <w:pPr>
              <w:pStyle w:val="57"/>
              <w:spacing w:line="360" w:lineRule="auto"/>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tc>
        <w:tc>
          <w:tcPr>
            <w:tcW w:w="2355" w:type="dxa"/>
            <w:vMerge w:val="continue"/>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tc>
        <w:tc>
          <w:tcPr>
            <w:tcW w:w="4061" w:type="dxa"/>
          </w:tcPr>
          <w:p>
            <w:pPr>
              <w:pStyle w:val="57"/>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投标人售后服务情况：</w:t>
            </w:r>
          </w:p>
        </w:tc>
        <w:tc>
          <w:tcPr>
            <w:tcW w:w="1373" w:type="dxa"/>
          </w:tcPr>
          <w:p>
            <w:pPr>
              <w:pStyle w:val="57"/>
              <w:spacing w:line="360" w:lineRule="auto"/>
              <w:jc w:val="left"/>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739" w:type="dxa"/>
            <w:vAlign w:val="center"/>
          </w:tcPr>
          <w:p>
            <w:pPr>
              <w:pStyle w:val="57"/>
              <w:spacing w:line="360" w:lineRule="auto"/>
              <w:jc w:val="center"/>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2</w:t>
            </w:r>
          </w:p>
        </w:tc>
        <w:tc>
          <w:tcPr>
            <w:tcW w:w="2355" w:type="dxa"/>
            <w:vAlign w:val="center"/>
          </w:tcPr>
          <w:p>
            <w:pPr>
              <w:pStyle w:val="57"/>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保修期后售后服务</w:t>
            </w:r>
          </w:p>
        </w:tc>
        <w:tc>
          <w:tcPr>
            <w:tcW w:w="4061" w:type="dxa"/>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57"/>
              <w:spacing w:line="360" w:lineRule="auto"/>
              <w:rPr>
                <w:rFonts w:ascii="宋体" w:hAnsi="宋体" w:cs="Arial"/>
                <w:bCs/>
                <w:color w:val="000000" w:themeColor="text1"/>
                <w:sz w:val="24"/>
                <w:highlight w:val="none"/>
                <w14:textFill>
                  <w14:solidFill>
                    <w14:schemeClr w14:val="tx1"/>
                  </w14:solidFill>
                </w14:textFill>
              </w:rPr>
            </w:pPr>
          </w:p>
        </w:tc>
        <w:tc>
          <w:tcPr>
            <w:tcW w:w="1373" w:type="dxa"/>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57"/>
              <w:spacing w:line="360" w:lineRule="auto"/>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jc w:val="center"/>
        </w:trPr>
        <w:tc>
          <w:tcPr>
            <w:tcW w:w="739" w:type="dxa"/>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 xml:space="preserve"> 3</w:t>
            </w:r>
          </w:p>
        </w:tc>
        <w:tc>
          <w:tcPr>
            <w:tcW w:w="2355" w:type="dxa"/>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培训方案（可用附页）</w:t>
            </w:r>
          </w:p>
        </w:tc>
        <w:tc>
          <w:tcPr>
            <w:tcW w:w="4061" w:type="dxa"/>
          </w:tcPr>
          <w:p>
            <w:pPr>
              <w:pStyle w:val="57"/>
              <w:widowControl/>
              <w:spacing w:line="360" w:lineRule="auto"/>
              <w:jc w:val="left"/>
              <w:rPr>
                <w:rFonts w:ascii="宋体" w:hAnsi="宋体" w:cs="Arial"/>
                <w:bCs/>
                <w:i/>
                <w:color w:val="000000" w:themeColor="text1"/>
                <w:sz w:val="24"/>
                <w:highlight w:val="none"/>
                <w14:textFill>
                  <w14:solidFill>
                    <w14:schemeClr w14:val="tx1"/>
                  </w14:solidFill>
                </w14:textFill>
              </w:rPr>
            </w:pPr>
          </w:p>
          <w:p>
            <w:pPr>
              <w:pStyle w:val="57"/>
              <w:widowControl/>
              <w:spacing w:line="360" w:lineRule="auto"/>
              <w:jc w:val="left"/>
              <w:rPr>
                <w:rFonts w:ascii="宋体" w:hAnsi="宋体" w:cs="Arial"/>
                <w:bCs/>
                <w:i/>
                <w:color w:val="000000" w:themeColor="text1"/>
                <w:sz w:val="24"/>
                <w:highlight w:val="none"/>
                <w14:textFill>
                  <w14:solidFill>
                    <w14:schemeClr w14:val="tx1"/>
                  </w14:solidFill>
                </w14:textFill>
              </w:rPr>
            </w:pPr>
          </w:p>
        </w:tc>
        <w:tc>
          <w:tcPr>
            <w:tcW w:w="1373" w:type="dxa"/>
          </w:tcPr>
          <w:p>
            <w:pPr>
              <w:pStyle w:val="57"/>
              <w:widowControl/>
              <w:spacing w:line="360" w:lineRule="auto"/>
              <w:jc w:val="left"/>
              <w:rPr>
                <w:rFonts w:ascii="宋体" w:hAnsi="宋体" w:cs="Arial"/>
                <w:bCs/>
                <w:i/>
                <w:color w:val="000000" w:themeColor="text1"/>
                <w:sz w:val="24"/>
                <w:highlight w:val="none"/>
                <w14:textFill>
                  <w14:solidFill>
                    <w14:schemeClr w14:val="tx1"/>
                  </w14:solidFill>
                </w14:textFill>
              </w:rPr>
            </w:pPr>
          </w:p>
          <w:p>
            <w:pPr>
              <w:pStyle w:val="57"/>
              <w:widowControl/>
              <w:spacing w:line="360" w:lineRule="auto"/>
              <w:jc w:val="left"/>
              <w:rPr>
                <w:rFonts w:ascii="宋体" w:hAnsi="宋体" w:cs="Arial"/>
                <w:bCs/>
                <w:i/>
                <w:color w:val="000000" w:themeColor="text1"/>
                <w:sz w:val="24"/>
                <w:highlight w:val="none"/>
                <w14:textFill>
                  <w14:solidFill>
                    <w14:schemeClr w14:val="tx1"/>
                  </w14:solidFill>
                </w14:textFill>
              </w:rPr>
            </w:pPr>
          </w:p>
          <w:p>
            <w:pPr>
              <w:pStyle w:val="57"/>
              <w:widowControl/>
              <w:spacing w:line="360" w:lineRule="auto"/>
              <w:jc w:val="left"/>
              <w:rPr>
                <w:rFonts w:ascii="宋体" w:hAnsi="宋体" w:cs="Arial"/>
                <w:bCs/>
                <w: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9" w:hRule="exact"/>
          <w:jc w:val="center"/>
        </w:trPr>
        <w:tc>
          <w:tcPr>
            <w:tcW w:w="739" w:type="dxa"/>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w:t>
            </w:r>
          </w:p>
        </w:tc>
        <w:tc>
          <w:tcPr>
            <w:tcW w:w="2355" w:type="dxa"/>
            <w:vAlign w:val="center"/>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w:t>
            </w:r>
          </w:p>
        </w:tc>
        <w:tc>
          <w:tcPr>
            <w:tcW w:w="4061" w:type="dxa"/>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tc>
        <w:tc>
          <w:tcPr>
            <w:tcW w:w="1373" w:type="dxa"/>
          </w:tcPr>
          <w:p>
            <w:pPr>
              <w:pStyle w:val="57"/>
              <w:widowControl/>
              <w:spacing w:line="360" w:lineRule="auto"/>
              <w:jc w:val="left"/>
              <w:rPr>
                <w:rFonts w:ascii="宋体" w:hAnsi="宋体" w:cs="Arial"/>
                <w:bCs/>
                <w:color w:val="000000" w:themeColor="text1"/>
                <w:sz w:val="24"/>
                <w:highlight w:val="none"/>
                <w14:textFill>
                  <w14:solidFill>
                    <w14:schemeClr w14:val="tx1"/>
                  </w14:solidFill>
                </w14:textFill>
              </w:rPr>
            </w:pPr>
          </w:p>
        </w:tc>
      </w:tr>
    </w:tbl>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ind w:firstLine="435"/>
        <w:rPr>
          <w:rFonts w:ascii="宋体" w:hAnsi="宋体"/>
          <w:color w:val="000000" w:themeColor="text1"/>
          <w:sz w:val="24"/>
          <w:highlight w:val="none"/>
          <w:u w:val="single"/>
          <w14:textFill>
            <w14:solidFill>
              <w14:schemeClr w14:val="tx1"/>
            </w14:solidFill>
          </w14:textFill>
        </w:rPr>
      </w:pPr>
    </w:p>
    <w:p>
      <w:pPr>
        <w:pStyle w:val="58"/>
        <w:spacing w:line="360" w:lineRule="auto"/>
        <w:rPr>
          <w:rFonts w:hAnsi="宋体"/>
          <w:b/>
          <w:color w:val="000000" w:themeColor="text1"/>
          <w:sz w:val="28"/>
          <w:szCs w:val="28"/>
          <w:highlight w:val="none"/>
          <w14:textFill>
            <w14:solidFill>
              <w14:schemeClr w14:val="tx1"/>
            </w14:solidFill>
          </w14:textFill>
        </w:rPr>
      </w:pPr>
    </w:p>
    <w:p>
      <w:pPr>
        <w:pStyle w:val="58"/>
        <w:spacing w:line="360" w:lineRule="auto"/>
        <w:rPr>
          <w:rFonts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附件14</w:t>
      </w:r>
    </w:p>
    <w:p>
      <w:pPr>
        <w:pStyle w:val="58"/>
        <w:spacing w:line="360" w:lineRule="auto"/>
        <w:jc w:val="center"/>
        <w:rPr>
          <w:rFonts w:hAnsi="宋体"/>
          <w:b/>
          <w:color w:val="000000" w:themeColor="text1"/>
          <w:sz w:val="32"/>
          <w:szCs w:val="32"/>
          <w:highlight w:val="none"/>
          <w:lang w:val="en-GB"/>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主要货物用材响应表（如有则提供）</w:t>
      </w:r>
    </w:p>
    <w:tbl>
      <w:tblPr>
        <w:tblStyle w:val="27"/>
        <w:tblW w:w="9270"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2"/>
        <w:gridCol w:w="1432"/>
        <w:gridCol w:w="1260"/>
        <w:gridCol w:w="900"/>
        <w:gridCol w:w="781"/>
        <w:gridCol w:w="900"/>
        <w:gridCol w:w="91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序号</w:t>
            </w: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货物名称</w:t>
            </w: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产品配置</w:t>
            </w:r>
          </w:p>
        </w:tc>
        <w:tc>
          <w:tcPr>
            <w:tcW w:w="5686" w:type="dxa"/>
            <w:gridSpan w:val="6"/>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材料规格及参数</w:t>
            </w:r>
          </w:p>
        </w:tc>
        <w:tc>
          <w:tcPr>
            <w:tcW w:w="900" w:type="dxa"/>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品牌</w:t>
            </w:r>
          </w:p>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商标</w:t>
            </w:r>
          </w:p>
        </w:tc>
        <w:tc>
          <w:tcPr>
            <w:tcW w:w="781" w:type="dxa"/>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生产厂家</w:t>
            </w:r>
          </w:p>
        </w:tc>
        <w:tc>
          <w:tcPr>
            <w:tcW w:w="900" w:type="dxa"/>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符合标准</w:t>
            </w:r>
          </w:p>
        </w:tc>
        <w:tc>
          <w:tcPr>
            <w:tcW w:w="915" w:type="dxa"/>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性能说明</w:t>
            </w:r>
          </w:p>
        </w:tc>
        <w:tc>
          <w:tcPr>
            <w:tcW w:w="930" w:type="dxa"/>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57"/>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57"/>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57"/>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pStyle w:val="57"/>
        <w:spacing w:line="360" w:lineRule="auto"/>
        <w:ind w:left="699" w:leftChars="228" w:hanging="220" w:hangingChars="1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1.请列出以上产品的各项主要用材、辅料、油漆、五金件等。</w:t>
      </w:r>
    </w:p>
    <w:p>
      <w:pPr>
        <w:pStyle w:val="57"/>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2.本表所列产品主要用材均为采购人抽样送检的范围。</w:t>
      </w:r>
    </w:p>
    <w:p>
      <w:pPr>
        <w:spacing w:line="360" w:lineRule="auto"/>
        <w:ind w:firstLine="440" w:firstLineChars="200"/>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right="-110"/>
        <w:jc w:val="left"/>
        <w:rPr>
          <w:rFonts w:ascii="宋体" w:hAnsi="宋体"/>
          <w:b/>
          <w:color w:val="000000" w:themeColor="text1"/>
          <w:sz w:val="28"/>
          <w:highlight w:val="none"/>
          <w14:textFill>
            <w14:solidFill>
              <w14:schemeClr w14:val="tx1"/>
            </w14:solidFill>
          </w14:textFill>
        </w:rPr>
      </w:pPr>
    </w:p>
    <w:p>
      <w:pPr>
        <w:spacing w:line="360" w:lineRule="auto"/>
        <w:ind w:right="-110"/>
        <w:jc w:val="left"/>
        <w:rPr>
          <w:rFonts w:ascii="宋体" w:hAnsi="宋体"/>
          <w:b/>
          <w:color w:val="000000" w:themeColor="text1"/>
          <w:sz w:val="28"/>
          <w:highlight w:val="none"/>
          <w14:textFill>
            <w14:solidFill>
              <w14:schemeClr w14:val="tx1"/>
            </w14:solidFill>
          </w14:textFill>
        </w:rPr>
      </w:pPr>
    </w:p>
    <w:p>
      <w:pPr>
        <w:spacing w:line="360" w:lineRule="auto"/>
        <w:ind w:right="-110"/>
        <w:jc w:val="left"/>
        <w:rPr>
          <w:rFonts w:ascii="宋体" w:hAnsi="宋体"/>
          <w:color w:val="000000" w:themeColor="text1"/>
          <w:spacing w:val="40"/>
          <w:sz w:val="52"/>
          <w:szCs w:val="52"/>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附件15</w:t>
      </w:r>
    </w:p>
    <w:p>
      <w:pPr>
        <w:spacing w:before="312" w:beforeLines="100" w:line="360" w:lineRule="auto"/>
        <w:ind w:right="-108"/>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玉环市天网视频监控系统模改数</w:t>
      </w:r>
    </w:p>
    <w:p>
      <w:pPr>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项目编号：HQ-YHZFCG-2019-95</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报</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价</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文</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件</w:t>
      </w:r>
    </w:p>
    <w:p>
      <w:pPr>
        <w:spacing w:line="360" w:lineRule="auto"/>
        <w:ind w:right="532"/>
        <w:rPr>
          <w:rFonts w:ascii="宋体" w:hAnsi="宋体"/>
          <w:color w:val="000000" w:themeColor="text1"/>
          <w:sz w:val="36"/>
          <w:szCs w:val="36"/>
          <w:highlight w:val="none"/>
          <w14:textFill>
            <w14:solidFill>
              <w14:schemeClr w14:val="tx1"/>
            </w14:solidFill>
          </w14:textFill>
        </w:rPr>
      </w:pPr>
    </w:p>
    <w:p>
      <w:pPr>
        <w:spacing w:line="360" w:lineRule="auto"/>
        <w:ind w:right="532"/>
        <w:jc w:val="center"/>
        <w:rPr>
          <w:rFonts w:ascii="宋体" w:hAnsi="宋体"/>
          <w:color w:val="000000" w:themeColor="text1"/>
          <w:sz w:val="36"/>
          <w:szCs w:val="36"/>
          <w:highlight w:val="none"/>
          <w14:textFill>
            <w14:solidFill>
              <w14:schemeClr w14:val="tx1"/>
            </w14:solidFill>
          </w14:textFill>
        </w:rPr>
      </w:pP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供应商全称（公章）：</w:t>
      </w:r>
    </w:p>
    <w:p>
      <w:pPr>
        <w:spacing w:line="360" w:lineRule="auto"/>
        <w:ind w:right="-108"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108"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pacing w:line="360" w:lineRule="auto"/>
        <w:ind w:right="-108"/>
        <w:jc w:val="center"/>
        <w:rPr>
          <w:rFonts w:ascii="宋体" w:hAnsi="宋体"/>
          <w:b/>
          <w:color w:val="000000" w:themeColor="text1"/>
          <w:sz w:val="32"/>
          <w:szCs w:val="32"/>
          <w:highlight w:val="none"/>
          <w14:textFill>
            <w14:solidFill>
              <w14:schemeClr w14:val="tx1"/>
            </w14:solidFill>
          </w14:textFill>
        </w:rPr>
      </w:pPr>
    </w:p>
    <w:p>
      <w:pPr>
        <w:spacing w:line="360" w:lineRule="auto"/>
        <w:ind w:right="-108"/>
        <w:jc w:val="center"/>
        <w:rPr>
          <w:rFonts w:ascii="宋体" w:hAnsi="宋体"/>
          <w:b/>
          <w:color w:val="000000" w:themeColor="text1"/>
          <w:sz w:val="32"/>
          <w:szCs w:val="32"/>
          <w:highlight w:val="none"/>
          <w14:textFill>
            <w14:solidFill>
              <w14:schemeClr w14:val="tx1"/>
            </w14:solidFill>
          </w14:textFill>
        </w:rPr>
      </w:pPr>
    </w:p>
    <w:p>
      <w:pPr>
        <w:spacing w:line="360" w:lineRule="auto"/>
        <w:ind w:right="-108"/>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报价文件目录</w:t>
      </w:r>
    </w:p>
    <w:p>
      <w:pPr>
        <w:spacing w:line="360" w:lineRule="auto"/>
        <w:ind w:right="-108"/>
        <w:jc w:val="center"/>
        <w:rPr>
          <w:rFonts w:ascii="仿宋_GB2312" w:hAnsi="宋体" w:eastAsia="仿宋_GB2312"/>
          <w:b/>
          <w:color w:val="000000" w:themeColor="text1"/>
          <w:sz w:val="36"/>
          <w:szCs w:val="36"/>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1、开标一览表（附件16）；</w:t>
      </w:r>
    </w:p>
    <w:p>
      <w:pPr>
        <w:pStyle w:val="19"/>
        <w:snapToGrid w:val="0"/>
        <w:spacing w:line="360" w:lineRule="auto"/>
        <w:ind w:left="0" w:leftChars="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2、报价明细表</w:t>
      </w:r>
      <w:r>
        <w:rPr>
          <w:rFonts w:hint="eastAsia" w:ascii="宋体" w:hAnsi="宋体"/>
          <w:color w:val="000000" w:themeColor="text1"/>
          <w:sz w:val="24"/>
          <w:highlight w:val="none"/>
          <w14:textFill>
            <w14:solidFill>
              <w14:schemeClr w14:val="tx1"/>
            </w14:solidFill>
          </w14:textFill>
        </w:rPr>
        <w:t>（附件17）</w:t>
      </w:r>
      <w:r>
        <w:rPr>
          <w:rFonts w:hint="eastAsia" w:ascii="宋体" w:hAnsi="宋体" w:eastAsia="宋体"/>
          <w:color w:val="000000" w:themeColor="text1"/>
          <w:sz w:val="24"/>
          <w:szCs w:val="24"/>
          <w:highlight w:val="none"/>
          <w14:textFill>
            <w14:solidFill>
              <w14:schemeClr w14:val="tx1"/>
            </w14:solidFill>
          </w14:textFill>
        </w:rPr>
        <w:t>；</w:t>
      </w:r>
    </w:p>
    <w:p>
      <w:pPr>
        <w:snapToGrid w:val="0"/>
        <w:spacing w:line="360" w:lineRule="auto"/>
        <w:rPr>
          <w:rFonts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针对报价投标人认为其他需要说明的；</w:t>
      </w:r>
    </w:p>
    <w:p>
      <w:pPr>
        <w:pStyle w:val="59"/>
        <w:spacing w:line="360" w:lineRule="auto"/>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小微企业</w:t>
      </w:r>
      <w:r>
        <w:rPr>
          <w:rFonts w:hint="eastAsia" w:hAnsi="宋体"/>
          <w:color w:val="000000" w:themeColor="text1"/>
          <w:sz w:val="24"/>
          <w:highlight w:val="none"/>
          <w14:textFill>
            <w14:solidFill>
              <w14:schemeClr w14:val="tx1"/>
            </w14:solidFill>
          </w14:textFill>
        </w:rPr>
        <w:t>等</w:t>
      </w:r>
      <w:r>
        <w:rPr>
          <w:rFonts w:hAnsi="宋体"/>
          <w:color w:val="000000" w:themeColor="text1"/>
          <w:sz w:val="24"/>
          <w:highlight w:val="none"/>
          <w14:textFill>
            <w14:solidFill>
              <w14:schemeClr w14:val="tx1"/>
            </w14:solidFill>
          </w14:textFill>
        </w:rPr>
        <w:t>声明函</w:t>
      </w:r>
      <w:r>
        <w:rPr>
          <w:rFonts w:hint="eastAsia" w:hAnsi="宋体"/>
          <w:color w:val="000000" w:themeColor="text1"/>
          <w:sz w:val="24"/>
          <w:highlight w:val="none"/>
          <w14:textFill>
            <w14:solidFill>
              <w14:schemeClr w14:val="tx1"/>
            </w14:solidFill>
          </w14:textFill>
        </w:rPr>
        <w:t>（附件18）；</w:t>
      </w:r>
    </w:p>
    <w:p>
      <w:pPr>
        <w:pStyle w:val="60"/>
        <w:spacing w:line="360" w:lineRule="auto"/>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5、产品适用政府采购政策情况表</w:t>
      </w:r>
      <w:r>
        <w:rPr>
          <w:rFonts w:hint="eastAsia" w:ascii="宋体" w:hAnsi="宋体"/>
          <w:color w:val="000000" w:themeColor="text1"/>
          <w:sz w:val="24"/>
          <w:highlight w:val="none"/>
          <w14:textFill>
            <w14:solidFill>
              <w14:schemeClr w14:val="tx1"/>
            </w14:solidFill>
          </w14:textFill>
        </w:rPr>
        <w:t>（附件19）</w:t>
      </w:r>
      <w:r>
        <w:rPr>
          <w:rFonts w:hint="eastAsia" w:ascii="宋体" w:hAnsi="宋体"/>
          <w:color w:val="000000" w:themeColor="text1"/>
          <w:kern w:val="0"/>
          <w:sz w:val="24"/>
          <w:highlight w:val="none"/>
          <w14:textFill>
            <w14:solidFill>
              <w14:schemeClr w14:val="tx1"/>
            </w14:solidFill>
          </w14:textFill>
        </w:rPr>
        <w:t>。</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pStyle w:val="16"/>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附件16</w:t>
      </w:r>
    </w:p>
    <w:p>
      <w:pPr>
        <w:pStyle w:val="4"/>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开标一览表</w:t>
      </w:r>
    </w:p>
    <w:p>
      <w:pPr>
        <w:pStyle w:val="18"/>
        <w:spacing w:line="32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项目编号：</w:t>
      </w:r>
    </w:p>
    <w:p>
      <w:pPr>
        <w:pStyle w:val="61"/>
        <w:spacing w:line="360" w:lineRule="auto"/>
        <w:ind w:right="480"/>
        <w:jc w:val="left"/>
        <w:rPr>
          <w:rFonts w:hAnsi="宋体"/>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 xml:space="preserve">                                     [货币单位：人民币元]</w:t>
      </w:r>
    </w:p>
    <w:tbl>
      <w:tblPr>
        <w:tblStyle w:val="27"/>
        <w:tblW w:w="867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000000" w:themeColor="text1"/>
                <w:sz w:val="24"/>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p>
        </w:tc>
      </w:tr>
    </w:tbl>
    <w:p>
      <w:pPr>
        <w:spacing w:line="360" w:lineRule="auto"/>
        <w:ind w:left="480"/>
        <w:rPr>
          <w:rFonts w:ascii="宋体" w:hAnsi="宋体"/>
          <w:b/>
          <w:color w:val="000000" w:themeColor="text1"/>
          <w:sz w:val="30"/>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填报要求：</w:t>
      </w:r>
    </w:p>
    <w:p>
      <w:pPr>
        <w:pStyle w:val="12"/>
        <w:spacing w:line="360" w:lineRule="auto"/>
        <w:ind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投标总报价是包括货款、标准附件、备品备件、专用工具、包装、运输、装卸、保险、税金、货到就位以及安装、调试、培训、保修、1年运营维护费、合同包含的所有风险责任等各项费用及不可预见费等所需的全部费用。</w:t>
      </w:r>
    </w:p>
    <w:p>
      <w:pPr>
        <w:spacing w:line="360" w:lineRule="auto"/>
        <w:ind w:firstLine="420" w:firstLineChars="200"/>
        <w:rPr>
          <w:rFonts w:ascii="宋体" w:hAnsi="宋体"/>
          <w:b/>
          <w:i/>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2.报价一经涂改，应在涂改处加盖单位公章，或者由法定代表人或全权代表签字或盖章，否则其投标作无效标处理。</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附件17</w:t>
      </w:r>
    </w:p>
    <w:p>
      <w:pPr>
        <w:pStyle w:val="4"/>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分项报价表 </w:t>
      </w:r>
    </w:p>
    <w:p>
      <w:pPr>
        <w:rPr>
          <w:color w:val="000000" w:themeColor="text1"/>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                                    [货币单位：人民币元]</w:t>
      </w:r>
    </w:p>
    <w:tbl>
      <w:tblPr>
        <w:tblStyle w:val="27"/>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10"/>
        <w:gridCol w:w="1845"/>
        <w:gridCol w:w="1416"/>
        <w:gridCol w:w="1558"/>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817"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2410"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报价项目</w:t>
            </w:r>
          </w:p>
        </w:tc>
        <w:tc>
          <w:tcPr>
            <w:tcW w:w="1845"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1416"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1558" w:type="dxa"/>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总价</w:t>
            </w:r>
          </w:p>
        </w:tc>
        <w:tc>
          <w:tcPr>
            <w:tcW w:w="1524" w:type="dxa"/>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817"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w:t>
            </w:r>
          </w:p>
        </w:tc>
        <w:tc>
          <w:tcPr>
            <w:tcW w:w="2410"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项目建设费</w:t>
            </w:r>
          </w:p>
        </w:tc>
        <w:tc>
          <w:tcPr>
            <w:tcW w:w="1845" w:type="dxa"/>
            <w:tcBorders>
              <w:tr2bl w:val="single" w:color="auto" w:sz="4" w:space="0"/>
            </w:tcBorders>
            <w:vAlign w:val="center"/>
          </w:tcPr>
          <w:p>
            <w:pPr>
              <w:spacing w:line="360" w:lineRule="auto"/>
              <w:jc w:val="center"/>
              <w:rPr>
                <w:rFonts w:ascii="宋体" w:hAnsi="宋体"/>
                <w:b/>
                <w:color w:val="000000" w:themeColor="text1"/>
                <w:sz w:val="24"/>
                <w:highlight w:val="none"/>
                <w14:textFill>
                  <w14:solidFill>
                    <w14:schemeClr w14:val="tx1"/>
                  </w14:solidFill>
                </w14:textFill>
              </w:rPr>
            </w:pPr>
          </w:p>
        </w:tc>
        <w:tc>
          <w:tcPr>
            <w:tcW w:w="1416" w:type="dxa"/>
            <w:tcBorders>
              <w:tr2bl w:val="single" w:color="auto" w:sz="4" w:space="0"/>
            </w:tcBorders>
            <w:vAlign w:val="center"/>
          </w:tcPr>
          <w:p>
            <w:pPr>
              <w:spacing w:line="360" w:lineRule="auto"/>
              <w:jc w:val="center"/>
              <w:rPr>
                <w:rFonts w:ascii="宋体" w:hAnsi="宋体"/>
                <w:b/>
                <w:color w:val="000000" w:themeColor="text1"/>
                <w:sz w:val="24"/>
                <w:highlight w:val="none"/>
                <w14:textFill>
                  <w14:solidFill>
                    <w14:schemeClr w14:val="tx1"/>
                  </w14:solidFill>
                </w14:textFill>
              </w:rPr>
            </w:pPr>
          </w:p>
        </w:tc>
        <w:tc>
          <w:tcPr>
            <w:tcW w:w="1558" w:type="dxa"/>
          </w:tcPr>
          <w:p>
            <w:pPr>
              <w:spacing w:line="360" w:lineRule="auto"/>
              <w:jc w:val="center"/>
              <w:rPr>
                <w:rFonts w:ascii="宋体" w:hAnsi="宋体"/>
                <w:b/>
                <w:color w:val="000000" w:themeColor="text1"/>
                <w:sz w:val="24"/>
                <w:highlight w:val="none"/>
                <w14:textFill>
                  <w14:solidFill>
                    <w14:schemeClr w14:val="tx1"/>
                  </w14:solidFill>
                </w14:textFill>
              </w:rPr>
            </w:pPr>
          </w:p>
        </w:tc>
        <w:tc>
          <w:tcPr>
            <w:tcW w:w="1524" w:type="dxa"/>
          </w:tcPr>
          <w:p>
            <w:pPr>
              <w:spacing w:line="360" w:lineRule="auto"/>
              <w:jc w:val="center"/>
              <w:rPr>
                <w:rFonts w:ascii="宋体" w:hAnsi="宋体"/>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817"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w:t>
            </w:r>
          </w:p>
        </w:tc>
        <w:tc>
          <w:tcPr>
            <w:tcW w:w="2410"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1年项目运营维护费</w:t>
            </w:r>
          </w:p>
        </w:tc>
        <w:tc>
          <w:tcPr>
            <w:tcW w:w="1845"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__</w:t>
            </w:r>
            <w:r>
              <w:rPr>
                <w:rFonts w:ascii="宋体" w:hAnsi="宋体"/>
                <w:b/>
                <w:color w:val="000000" w:themeColor="text1"/>
                <w:sz w:val="24"/>
                <w:highlight w:val="none"/>
                <w14:textFill>
                  <w14:solidFill>
                    <w14:schemeClr w14:val="tx1"/>
                  </w14:solidFill>
                </w14:textFill>
              </w:rPr>
              <w:t>__</w:t>
            </w:r>
            <w:r>
              <w:rPr>
                <w:rFonts w:hint="eastAsia" w:ascii="宋体" w:hAnsi="宋体"/>
                <w:b/>
                <w:color w:val="000000" w:themeColor="text1"/>
                <w:sz w:val="24"/>
                <w:highlight w:val="none"/>
                <w14:textFill>
                  <w14:solidFill>
                    <w14:schemeClr w14:val="tx1"/>
                  </w14:solidFill>
                </w14:textFill>
              </w:rPr>
              <w:t>元/路/月</w:t>
            </w:r>
          </w:p>
        </w:tc>
        <w:tc>
          <w:tcPr>
            <w:tcW w:w="1416"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w:t>
            </w:r>
            <w:r>
              <w:rPr>
                <w:rFonts w:ascii="宋体" w:hAnsi="宋体"/>
                <w:b/>
                <w:color w:val="000000" w:themeColor="text1"/>
                <w:sz w:val="24"/>
                <w:highlight w:val="none"/>
                <w14:textFill>
                  <w14:solidFill>
                    <w14:schemeClr w14:val="tx1"/>
                  </w14:solidFill>
                </w14:textFill>
              </w:rPr>
              <w:t>58</w:t>
            </w:r>
            <w:r>
              <w:rPr>
                <w:rFonts w:hint="eastAsia" w:ascii="宋体" w:hAnsi="宋体"/>
                <w:b/>
                <w:color w:val="000000" w:themeColor="text1"/>
                <w:sz w:val="24"/>
                <w:highlight w:val="none"/>
                <w14:textFill>
                  <w14:solidFill>
                    <w14:schemeClr w14:val="tx1"/>
                  </w14:solidFill>
                </w14:textFill>
              </w:rPr>
              <w:t>路</w:t>
            </w:r>
          </w:p>
        </w:tc>
        <w:tc>
          <w:tcPr>
            <w:tcW w:w="1558" w:type="dxa"/>
          </w:tcPr>
          <w:p>
            <w:pPr>
              <w:spacing w:line="360" w:lineRule="auto"/>
              <w:jc w:val="center"/>
              <w:rPr>
                <w:rFonts w:ascii="宋体" w:hAnsi="宋体"/>
                <w:b/>
                <w:color w:val="000000" w:themeColor="text1"/>
                <w:sz w:val="24"/>
                <w:highlight w:val="none"/>
                <w14:textFill>
                  <w14:solidFill>
                    <w14:schemeClr w14:val="tx1"/>
                  </w14:solidFill>
                </w14:textFill>
              </w:rPr>
            </w:pPr>
          </w:p>
        </w:tc>
        <w:tc>
          <w:tcPr>
            <w:tcW w:w="1524" w:type="dxa"/>
          </w:tcPr>
          <w:p>
            <w:pPr>
              <w:spacing w:line="360" w:lineRule="auto"/>
              <w:jc w:val="center"/>
              <w:rPr>
                <w:rFonts w:ascii="宋体" w:hAnsi="宋体"/>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9570" w:type="dxa"/>
            <w:gridSpan w:val="6"/>
            <w:tcBorders>
              <w:bottom w:val="single" w:color="auto" w:sz="4" w:space="0"/>
            </w:tcBorders>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合计人民币：大写                               小写</w:t>
            </w: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本表为《开标一览表》的分项报价表，如有缺项、漏项，视为投标报价中已包含相关费用，采购人无需另外支付任何费用。</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color w:val="000000" w:themeColor="text1"/>
          <w:szCs w:val="21"/>
          <w:highlight w:val="none"/>
          <w:lang w:val="zh-CN"/>
          <w14:textFill>
            <w14:solidFill>
              <w14:schemeClr w14:val="tx1"/>
            </w14:solidFill>
          </w14:textFill>
        </w:rPr>
        <w:t>“分项报价表”中的报价合计应与“开标一览表”中的投标总报价相一致，不一致时，以开标一览表为准。</w:t>
      </w:r>
    </w:p>
    <w:p>
      <w:pPr>
        <w:spacing w:line="360" w:lineRule="auto"/>
        <w:ind w:left="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▲3．“1年项目运营维护费”总价不得超过项目建设费总价的4</w:t>
      </w: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附件18</w:t>
      </w:r>
    </w:p>
    <w:p>
      <w:pPr>
        <w:pStyle w:val="4"/>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报价明细表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                                    [货币单位：人民币元]</w:t>
      </w:r>
    </w:p>
    <w:tbl>
      <w:tblPr>
        <w:tblStyle w:val="27"/>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460" w:type="dxa"/>
            <w:vAlign w:val="center"/>
          </w:tcPr>
          <w:p>
            <w:pPr>
              <w:tabs>
                <w:tab w:val="left" w:pos="8280"/>
              </w:tabs>
              <w:autoSpaceDE w:val="0"/>
              <w:autoSpaceDN w:val="0"/>
              <w:adjustRightInd w:val="0"/>
              <w:spacing w:line="360" w:lineRule="auto"/>
              <w:ind w:right="25"/>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品牌、产地</w:t>
            </w:r>
          </w:p>
        </w:tc>
        <w:tc>
          <w:tcPr>
            <w:tcW w:w="1559"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型号规格</w:t>
            </w:r>
          </w:p>
        </w:tc>
        <w:tc>
          <w:tcPr>
            <w:tcW w:w="851" w:type="dxa"/>
            <w:vAlign w:val="center"/>
          </w:tcPr>
          <w:p>
            <w:pPr>
              <w:spacing w:line="360" w:lineRule="auto"/>
              <w:ind w:left="1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992"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992"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小计</w:t>
            </w:r>
          </w:p>
        </w:tc>
        <w:tc>
          <w:tcPr>
            <w:tcW w:w="709"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合计人民币：大写                               小写</w:t>
            </w: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本表为《开标一览表》的报价明细表，如有缺项、漏项，视为投标报价中已包含相关费用，采购人无需另外支付任何费用。</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color w:val="000000" w:themeColor="text1"/>
          <w:szCs w:val="21"/>
          <w:highlight w:val="none"/>
          <w:lang w:val="zh-CN"/>
          <w14:textFill>
            <w14:solidFill>
              <w14:schemeClr w14:val="tx1"/>
            </w14:solidFill>
          </w14:textFill>
        </w:rPr>
        <w:t>“报价明细表”中的报价合计应与“开标一览表”中的投标总报价相一致，不一致时，以开标一览表为准。</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color w:val="000000" w:themeColor="text1"/>
          <w:szCs w:val="21"/>
          <w:highlight w:val="none"/>
          <w14:textFill>
            <w14:solidFill>
              <w14:schemeClr w14:val="tx1"/>
            </w14:solidFill>
          </w14:textFill>
        </w:rPr>
        <w:t>3.</w:t>
      </w:r>
      <w:r>
        <w:rPr>
          <w:rFonts w:hint="eastAsia" w:ascii="宋体"/>
          <w:color w:val="000000" w:themeColor="text1"/>
          <w:szCs w:val="21"/>
          <w:highlight w:val="none"/>
          <w:lang w:val="zh-CN"/>
          <w14:textFill>
            <w14:solidFill>
              <w14:schemeClr w14:val="tx1"/>
            </w14:solidFill>
          </w14:textFill>
        </w:rPr>
        <w:t>投标报价明细表所填内容按招标文件采购设备清单要求为准。如有漏报的，视同已包含在投标总价内或已作优惠处理。有重大缺项的将作无效标处理。</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color w:val="000000" w:themeColor="text1"/>
          <w:szCs w:val="21"/>
          <w:highlight w:val="none"/>
          <w:lang w:val="zh-CN"/>
          <w14:textFill>
            <w14:solidFill>
              <w14:schemeClr w14:val="tx1"/>
            </w14:solidFill>
          </w14:textFill>
        </w:rPr>
        <w:t>▲4. 本表中的型号规格必须明确，招标文件中明确要求定制的除外。</w:t>
      </w: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napToGrid w:val="0"/>
        <w:spacing w:before="156" w:beforeLines="50" w:after="50" w:line="360" w:lineRule="auto"/>
        <w:rPr>
          <w:rFonts w:ascii="仿宋_GB2312" w:hAnsi="宋体" w:eastAsia="仿宋_GB2312"/>
          <w:bCs/>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附件19</w:t>
      </w:r>
    </w:p>
    <w:p>
      <w:pPr>
        <w:spacing w:line="360" w:lineRule="auto"/>
        <w:ind w:right="-110"/>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小</w:t>
      </w:r>
      <w:r>
        <w:rPr>
          <w:rFonts w:hint="eastAsia" w:ascii="宋体" w:hAnsi="宋体"/>
          <w:b/>
          <w:color w:val="000000" w:themeColor="text1"/>
          <w:sz w:val="32"/>
          <w:szCs w:val="32"/>
          <w:highlight w:val="none"/>
          <w:lang w:val="en-GB"/>
          <w14:textFill>
            <w14:solidFill>
              <w14:schemeClr w14:val="tx1"/>
            </w14:solidFill>
          </w14:textFill>
        </w:rPr>
        <w:t>微</w:t>
      </w:r>
      <w:r>
        <w:rPr>
          <w:rFonts w:hint="eastAsia" w:ascii="宋体" w:hAnsi="宋体"/>
          <w:b/>
          <w:color w:val="000000" w:themeColor="text1"/>
          <w:sz w:val="32"/>
          <w:szCs w:val="32"/>
          <w:highlight w:val="none"/>
          <w14:textFill>
            <w14:solidFill>
              <w14:schemeClr w14:val="tx1"/>
            </w14:solidFill>
          </w14:textFill>
        </w:rPr>
        <w:t>企业声明函</w:t>
      </w:r>
    </w:p>
    <w:p>
      <w:pPr>
        <w:pStyle w:val="62"/>
        <w:spacing w:line="360" w:lineRule="auto"/>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本公司郑重声明，根据《政府采购促进中小企业发展暂行办法》（财库</w:t>
      </w:r>
      <w:r>
        <w:rPr>
          <w:rFonts w:ascii="宋体" w:hAnsi="宋体"/>
          <w:color w:val="000000" w:themeColor="text1"/>
          <w:spacing w:val="6"/>
          <w:sz w:val="24"/>
          <w:highlight w:val="none"/>
          <w14:textFill>
            <w14:solidFill>
              <w14:schemeClr w14:val="tx1"/>
            </w14:solidFill>
          </w14:textFill>
        </w:rPr>
        <w:t>[2011]181</w:t>
      </w:r>
      <w:r>
        <w:rPr>
          <w:rFonts w:hint="eastAsia" w:ascii="宋体" w:hAnsi="宋体"/>
          <w:color w:val="000000" w:themeColor="text1"/>
          <w:spacing w:val="6"/>
          <w:sz w:val="24"/>
          <w:highlight w:val="none"/>
          <w14:textFill>
            <w14:solidFill>
              <w14:schemeClr w14:val="tx1"/>
            </w14:solidFill>
          </w14:textFill>
        </w:rPr>
        <w:t>号）的规定，本公司为</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（请填写：小型、微型）企业。即，本公司同时满足以下条件：</w:t>
      </w:r>
    </w:p>
    <w:p>
      <w:pPr>
        <w:pStyle w:val="62"/>
        <w:spacing w:line="360" w:lineRule="auto"/>
        <w:ind w:firstLine="504" w:firstLineChars="200"/>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1.</w:t>
      </w:r>
      <w:r>
        <w:rPr>
          <w:rFonts w:hint="eastAsia" w:ascii="宋体" w:hAnsi="宋体"/>
          <w:color w:val="000000" w:themeColor="text1"/>
          <w:spacing w:val="6"/>
          <w:sz w:val="24"/>
          <w:highlight w:val="none"/>
          <w14:textFill>
            <w14:solidFill>
              <w14:schemeClr w14:val="tx1"/>
            </w14:solidFill>
          </w14:textFill>
        </w:rPr>
        <w:t>根据《工业和信息化部、国家统计局、国家发展和改革委员会、财政部关于印发中小企业划型标准规定的通知》（工信部联企业</w:t>
      </w:r>
      <w:r>
        <w:rPr>
          <w:rFonts w:ascii="宋体" w:hAnsi="宋体"/>
          <w:color w:val="000000" w:themeColor="text1"/>
          <w:spacing w:val="6"/>
          <w:sz w:val="24"/>
          <w:highlight w:val="none"/>
          <w14:textFill>
            <w14:solidFill>
              <w14:schemeClr w14:val="tx1"/>
            </w14:solidFill>
          </w14:textFill>
        </w:rPr>
        <w:t>[2011]300</w:t>
      </w:r>
      <w:r>
        <w:rPr>
          <w:rFonts w:hint="eastAsia" w:ascii="宋体" w:hAnsi="宋体"/>
          <w:color w:val="000000" w:themeColor="text1"/>
          <w:spacing w:val="6"/>
          <w:sz w:val="24"/>
          <w:highlight w:val="none"/>
          <w14:textFill>
            <w14:solidFill>
              <w14:schemeClr w14:val="tx1"/>
            </w14:solidFill>
          </w14:textFill>
        </w:rPr>
        <w:t>号）规定的划分标准：第四条第</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项</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行业，本公司</w:t>
      </w:r>
      <w:r>
        <w:rPr>
          <w:rFonts w:hint="eastAsia" w:ascii="宋体" w:hAnsi="宋体"/>
          <w:i/>
          <w:color w:val="000000" w:themeColor="text1"/>
          <w:spacing w:val="6"/>
          <w:sz w:val="24"/>
          <w:highlight w:val="none"/>
          <w:u w:val="dash"/>
          <w14:textFill>
            <w14:solidFill>
              <w14:schemeClr w14:val="tx1"/>
            </w14:solidFill>
          </w14:textFill>
        </w:rPr>
        <w:t>（此处填写从业人员和营业收入的具体数据）</w:t>
      </w:r>
      <w:r>
        <w:rPr>
          <w:rFonts w:hint="eastAsia" w:ascii="宋体" w:hAnsi="宋体"/>
          <w:color w:val="000000" w:themeColor="text1"/>
          <w:spacing w:val="6"/>
          <w:sz w:val="24"/>
          <w:highlight w:val="none"/>
          <w14:textFill>
            <w14:solidFill>
              <w14:schemeClr w14:val="tx1"/>
            </w14:solidFill>
          </w14:textFill>
        </w:rPr>
        <w:t>，为</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w:t>
      </w:r>
    </w:p>
    <w:p>
      <w:pPr>
        <w:pStyle w:val="62"/>
        <w:spacing w:line="360" w:lineRule="auto"/>
        <w:ind w:firstLine="504" w:firstLineChars="200"/>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本公司参加</w:t>
      </w:r>
      <w:r>
        <w:rPr>
          <w:rFonts w:hint="eastAsia" w:ascii="宋体" w:hAnsi="宋体"/>
          <w:color w:val="000000" w:themeColor="text1"/>
          <w:sz w:val="24"/>
          <w:highlight w:val="none"/>
          <w14:textFill>
            <w14:solidFill>
              <w14:schemeClr w14:val="tx1"/>
            </w14:solidFill>
          </w14:textFill>
        </w:rPr>
        <w:t>×××政府采购中心组织</w:t>
      </w:r>
      <w:r>
        <w:rPr>
          <w:rFonts w:hint="eastAsia" w:ascii="宋体" w:hAnsi="宋体"/>
          <w:color w:val="000000" w:themeColor="text1"/>
          <w:spacing w:val="6"/>
          <w:sz w:val="24"/>
          <w:highlight w:val="none"/>
          <w14:textFill>
            <w14:solidFill>
              <w14:schemeClr w14:val="tx1"/>
            </w14:solidFill>
          </w14:textFill>
        </w:rPr>
        <w:t>的采购项目（项目编号：</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）采购活动提供本企业制造的货物，由本企业承担工程、提供服务，或者提供其他</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（请填写：小型、微型）企业制造的货物。本条所称货物不包括使用大型企业注册商标的货物。</w:t>
      </w:r>
    </w:p>
    <w:p>
      <w:pPr>
        <w:pStyle w:val="62"/>
        <w:spacing w:line="360" w:lineRule="auto"/>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本公司对上述声明的真实性负责。如有虚假，将依法承担相应责任。</w:t>
      </w:r>
    </w:p>
    <w:p>
      <w:pPr>
        <w:pStyle w:val="62"/>
        <w:spacing w:line="360" w:lineRule="auto"/>
        <w:ind w:left="4253" w:leftChars="202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人（单位公章）：</w:t>
      </w:r>
    </w:p>
    <w:p>
      <w:pPr>
        <w:pStyle w:val="62"/>
        <w:spacing w:line="360" w:lineRule="auto"/>
        <w:ind w:left="4253" w:leftChars="2025" w:right="360"/>
        <w:jc w:val="right"/>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s="Arial"/>
          <w:color w:val="000000" w:themeColor="text1"/>
          <w:sz w:val="24"/>
          <w:highlight w:val="none"/>
          <w14:textFill>
            <w14:solidFill>
              <w14:schemeClr w14:val="tx1"/>
            </w14:solidFill>
          </w14:textFill>
        </w:rPr>
        <w:t>年</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月</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日</w:t>
      </w:r>
    </w:p>
    <w:p>
      <w:pPr>
        <w:pStyle w:val="62"/>
        <w:spacing w:line="360" w:lineRule="auto"/>
        <w:rPr>
          <w:rFonts w:ascii="宋体"/>
          <w:color w:val="000000" w:themeColor="text1"/>
          <w:sz w:val="24"/>
          <w:highlight w:val="none"/>
          <w14:textFill>
            <w14:solidFill>
              <w14:schemeClr w14:val="tx1"/>
            </w14:solidFill>
          </w14:textFill>
        </w:rPr>
      </w:pPr>
    </w:p>
    <w:p>
      <w:pPr>
        <w:spacing w:line="360" w:lineRule="auto"/>
        <w:ind w:right="-11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“国家企业信用信息公示系统---小微企业名录”页面查询结果参考格式</w:t>
      </w:r>
    </w:p>
    <w:p>
      <w:pPr>
        <w:spacing w:before="312" w:beforeLines="100" w:line="440" w:lineRule="atLeast"/>
        <w:ind w:firstLine="440" w:firstLineChars="200"/>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drawing>
          <wp:inline distT="0" distB="0" distL="114300" distR="114300">
            <wp:extent cx="5271770" cy="1976120"/>
            <wp:effectExtent l="0" t="0" r="1143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stretch>
                      <a:fillRect/>
                    </a:stretch>
                  </pic:blipFill>
                  <pic:spPr>
                    <a:xfrm>
                      <a:off x="0" y="0"/>
                      <a:ext cx="5271770" cy="1976120"/>
                    </a:xfrm>
                    <a:prstGeom prst="rect">
                      <a:avLst/>
                    </a:prstGeom>
                    <a:noFill/>
                    <a:ln>
                      <a:noFill/>
                    </a:ln>
                  </pic:spPr>
                </pic:pic>
              </a:graphicData>
            </a:graphic>
          </wp:inline>
        </w:drawing>
      </w:r>
    </w:p>
    <w:p>
      <w:pPr>
        <w:spacing w:line="440" w:lineRule="atLeas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投标供应商全称（盖章）：</w:t>
      </w:r>
    </w:p>
    <w:p>
      <w:pPr>
        <w:spacing w:line="440" w:lineRule="atLeas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日期</w:t>
      </w:r>
    </w:p>
    <w:p>
      <w:pPr>
        <w:pStyle w:val="18"/>
        <w:rPr>
          <w:color w:val="000000" w:themeColor="text1"/>
          <w:highlight w:val="none"/>
          <w:lang w:val="zh-CN"/>
          <w14:textFill>
            <w14:solidFill>
              <w14:schemeClr w14:val="tx1"/>
            </w14:solidFill>
          </w14:textFill>
        </w:rPr>
      </w:pPr>
    </w:p>
    <w:p>
      <w:pPr>
        <w:pStyle w:val="18"/>
        <w:rPr>
          <w:color w:val="000000" w:themeColor="text1"/>
          <w:highlight w:val="none"/>
          <w:lang w:val="zh-CN"/>
          <w14:textFill>
            <w14:solidFill>
              <w14:schemeClr w14:val="tx1"/>
            </w14:solidFill>
          </w14:textFill>
        </w:rPr>
      </w:pPr>
    </w:p>
    <w:p>
      <w:pPr>
        <w:pStyle w:val="18"/>
        <w:jc w:val="center"/>
        <w:rPr>
          <w:b/>
          <w:color w:val="000000" w:themeColor="text1"/>
          <w:sz w:val="36"/>
          <w:highlight w:val="none"/>
          <w14:textFill>
            <w14:solidFill>
              <w14:schemeClr w14:val="tx1"/>
            </w14:solidFill>
          </w14:textFill>
        </w:rPr>
      </w:pPr>
    </w:p>
    <w:p>
      <w:pPr>
        <w:pStyle w:val="18"/>
        <w:jc w:val="center"/>
        <w:rPr>
          <w:b/>
          <w:color w:val="000000" w:themeColor="text1"/>
          <w:sz w:val="36"/>
          <w:highlight w:val="none"/>
          <w14:textFill>
            <w14:solidFill>
              <w14:schemeClr w14:val="tx1"/>
            </w14:solidFill>
          </w14:textFill>
        </w:rPr>
      </w:pPr>
      <w:r>
        <w:rPr>
          <w:rFonts w:hint="eastAsia"/>
          <w:b/>
          <w:color w:val="000000" w:themeColor="text1"/>
          <w:sz w:val="36"/>
          <w:highlight w:val="none"/>
          <w14:textFill>
            <w14:solidFill>
              <w14:schemeClr w14:val="tx1"/>
            </w14:solidFill>
          </w14:textFill>
        </w:rPr>
        <w:t>残疾人福利性单位声明函</w:t>
      </w:r>
    </w:p>
    <w:p>
      <w:pPr>
        <w:pStyle w:val="18"/>
        <w:jc w:val="center"/>
        <w:rPr>
          <w:b/>
          <w:color w:val="000000" w:themeColor="text1"/>
          <w:sz w:val="36"/>
          <w:highlight w:val="none"/>
          <w14:textFill>
            <w14:solidFill>
              <w14:schemeClr w14:val="tx1"/>
            </w14:solidFill>
          </w14:textFill>
        </w:rPr>
      </w:pPr>
    </w:p>
    <w:p>
      <w:pPr>
        <w:spacing w:line="588" w:lineRule="exact"/>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本单位郑重声明，根据《财政部</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民政部</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中国残疾人联合会关于促进残疾人就业政府采购政策的通知》（财库〔</w:t>
      </w:r>
      <w:r>
        <w:rPr>
          <w:rFonts w:ascii="宋体" w:hAnsi="宋体"/>
          <w:color w:val="000000" w:themeColor="text1"/>
          <w:spacing w:val="6"/>
          <w:sz w:val="24"/>
          <w:highlight w:val="none"/>
          <w14:textFill>
            <w14:solidFill>
              <w14:schemeClr w14:val="tx1"/>
            </w14:solidFill>
          </w14:textFill>
        </w:rPr>
        <w:t>2017</w:t>
      </w:r>
      <w:r>
        <w:rPr>
          <w:rFonts w:hint="eastAsia" w:ascii="宋体" w:hAnsi="宋体"/>
          <w:color w:val="000000" w:themeColor="text1"/>
          <w:spacing w:val="6"/>
          <w:sz w:val="24"/>
          <w:highlight w:val="none"/>
          <w14:textFill>
            <w14:solidFill>
              <w14:schemeClr w14:val="tx1"/>
            </w14:solidFill>
          </w14:textFill>
        </w:rPr>
        <w:t>〕</w:t>
      </w:r>
      <w:r>
        <w:rPr>
          <w:rFonts w:ascii="宋体" w:hAnsi="宋体"/>
          <w:color w:val="000000" w:themeColor="text1"/>
          <w:spacing w:val="6"/>
          <w:sz w:val="24"/>
          <w:highlight w:val="none"/>
          <w14:textFill>
            <w14:solidFill>
              <w14:schemeClr w14:val="tx1"/>
            </w14:solidFill>
          </w14:textFill>
        </w:rPr>
        <w:t xml:space="preserve"> 141</w:t>
      </w:r>
      <w:r>
        <w:rPr>
          <w:rFonts w:hint="eastAsia" w:ascii="宋体" w:hAnsi="宋体"/>
          <w:color w:val="000000" w:themeColor="text1"/>
          <w:spacing w:val="6"/>
          <w:sz w:val="24"/>
          <w:highlight w:val="none"/>
          <w14:textFill>
            <w14:solidFill>
              <w14:schemeClr w14:val="tx1"/>
            </w14:solidFill>
          </w14:textFill>
        </w:rPr>
        <w:t>号）的规定，本单位为符合条件的残疾人福利性单位，且本单位参加单位的项目采购活动提供本单位制造的货物（由本单位承担工程</w:t>
      </w:r>
      <w:r>
        <w:rPr>
          <w:rFonts w:ascii="宋体" w:hAnsi="宋体"/>
          <w:color w:val="000000" w:themeColor="text1"/>
          <w:spacing w:val="6"/>
          <w:sz w:val="24"/>
          <w:highlight w:val="none"/>
          <w14:textFill>
            <w14:solidFill>
              <w14:schemeClr w14:val="tx1"/>
            </w14:solidFill>
          </w14:textFill>
        </w:rPr>
        <w:t>/</w:t>
      </w:r>
      <w:r>
        <w:rPr>
          <w:rFonts w:hint="eastAsia" w:ascii="宋体" w:hAnsi="宋体"/>
          <w:color w:val="000000" w:themeColor="text1"/>
          <w:spacing w:val="6"/>
          <w:sz w:val="24"/>
          <w:highlight w:val="none"/>
          <w14:textFill>
            <w14:solidFill>
              <w14:schemeClr w14:val="tx1"/>
            </w14:solidFill>
          </w14:textFill>
        </w:rPr>
        <w:t>提供服务），或者提供其他残疾人福利性单位制造的货物（不包括使用非残疾人福利性单位注册商标的货物）。</w:t>
      </w:r>
    </w:p>
    <w:p>
      <w:pPr>
        <w:spacing w:line="588" w:lineRule="exact"/>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本单位对上述声明的真实性负责。如有虚假，将依法承担相应责任。</w:t>
      </w:r>
    </w:p>
    <w:p>
      <w:pPr>
        <w:tabs>
          <w:tab w:val="left" w:pos="4860"/>
        </w:tabs>
        <w:spacing w:line="588" w:lineRule="exact"/>
        <w:ind w:right="1560" w:firstLine="504" w:firstLineChars="200"/>
        <w:jc w:val="center"/>
        <w:rPr>
          <w:rFonts w:ascii="宋体"/>
          <w:color w:val="000000" w:themeColor="text1"/>
          <w:spacing w:val="6"/>
          <w:sz w:val="24"/>
          <w:highlight w:val="none"/>
          <w14:textFill>
            <w14:solidFill>
              <w14:schemeClr w14:val="tx1"/>
            </w14:solidFill>
          </w14:textFill>
        </w:rPr>
      </w:pPr>
    </w:p>
    <w:p>
      <w:pPr>
        <w:tabs>
          <w:tab w:val="left" w:pos="4860"/>
        </w:tabs>
        <w:spacing w:line="588" w:lineRule="exact"/>
        <w:ind w:right="1560" w:firstLine="504" w:firstLineChars="200"/>
        <w:jc w:val="center"/>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单位名称（盖章）：</w:t>
      </w:r>
    </w:p>
    <w:p>
      <w:pPr>
        <w:tabs>
          <w:tab w:val="left" w:pos="4860"/>
        </w:tabs>
        <w:spacing w:line="588" w:lineRule="exact"/>
        <w:ind w:right="1560" w:firstLine="504" w:firstLineChars="200"/>
        <w:jc w:val="center"/>
        <w:rPr>
          <w:rFonts w:ascii="宋体"/>
          <w:color w:val="000000" w:themeColor="text1"/>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日</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期：</w:t>
      </w: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p>
    <w:p>
      <w:pPr>
        <w:pStyle w:val="62"/>
        <w:spacing w:line="360" w:lineRule="auto"/>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附件20</w:t>
      </w:r>
    </w:p>
    <w:p>
      <w:pPr>
        <w:pStyle w:val="63"/>
        <w:spacing w:line="360" w:lineRule="auto"/>
        <w:rPr>
          <w:color w:val="000000" w:themeColor="text1"/>
          <w:highlight w:val="none"/>
          <w14:textFill>
            <w14:solidFill>
              <w14:schemeClr w14:val="tx1"/>
            </w14:solidFill>
          </w14:textFill>
        </w:rPr>
      </w:pPr>
    </w:p>
    <w:p>
      <w:pPr>
        <w:pStyle w:val="60"/>
        <w:spacing w:line="360" w:lineRule="auto"/>
        <w:jc w:val="center"/>
        <w:rPr>
          <w:rFonts w:ascii="宋体" w:hAnsi="宋体"/>
          <w:b/>
          <w:color w:val="000000" w:themeColor="text1"/>
          <w:sz w:val="32"/>
          <w:szCs w:val="32"/>
          <w:highlight w:val="none"/>
          <w:lang w:val="en-GB"/>
          <w14:textFill>
            <w14:solidFill>
              <w14:schemeClr w14:val="tx1"/>
            </w14:solidFill>
          </w14:textFill>
        </w:rPr>
      </w:pPr>
      <w:r>
        <w:rPr>
          <w:rFonts w:hint="eastAsia" w:ascii="宋体" w:hAnsi="宋体"/>
          <w:b/>
          <w:color w:val="000000" w:themeColor="text1"/>
          <w:sz w:val="32"/>
          <w:szCs w:val="32"/>
          <w:highlight w:val="none"/>
          <w:lang w:val="en-GB"/>
          <w14:textFill>
            <w14:solidFill>
              <w14:schemeClr w14:val="tx1"/>
            </w14:solidFill>
          </w14:textFill>
        </w:rPr>
        <w:t>产品适用政府采购政策情况表</w:t>
      </w:r>
    </w:p>
    <w:p>
      <w:pPr>
        <w:pStyle w:val="60"/>
        <w:spacing w:line="360" w:lineRule="auto"/>
        <w:jc w:val="center"/>
        <w:rPr>
          <w:rFonts w:ascii="宋体" w:hAnsi="宋体"/>
          <w:b/>
          <w:color w:val="000000" w:themeColor="text1"/>
          <w:sz w:val="32"/>
          <w:szCs w:val="32"/>
          <w:highlight w:val="none"/>
          <w:lang w:val="en-GB"/>
          <w14:textFill>
            <w14:solidFill>
              <w14:schemeClr w14:val="tx1"/>
            </w14:solidFill>
          </w14:textFill>
        </w:rPr>
      </w:pPr>
    </w:p>
    <w:tbl>
      <w:tblPr>
        <w:tblStyle w:val="27"/>
        <w:tblW w:w="9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81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restart"/>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小微企业扶持政策</w:t>
            </w:r>
          </w:p>
        </w:tc>
        <w:tc>
          <w:tcPr>
            <w:tcW w:w="8111" w:type="dxa"/>
            <w:gridSpan w:val="3"/>
            <w:vAlign w:val="center"/>
          </w:tcPr>
          <w:tbl>
            <w:tblPr>
              <w:tblStyle w:val="27"/>
              <w:tblW w:w="81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8111" w:type="dxa"/>
                  <w:vAlign w:val="center"/>
                </w:tcPr>
                <w:p>
                  <w:pPr>
                    <w:pStyle w:val="60"/>
                    <w:tabs>
                      <w:tab w:val="left" w:pos="1260"/>
                    </w:tabs>
                    <w:spacing w:line="360" w:lineRule="auto"/>
                    <w:rPr>
                      <w:rFonts w:ascii="宋体" w:hAnsi="宋体"/>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小型、微型企业投标且所投产品（指货物、工程、服务）由本企业制造，或者所投产品（仅指货物）含有其他小型、微型企业制造的，应</w:t>
                  </w:r>
                  <w:r>
                    <w:rPr>
                      <w:rFonts w:hint="eastAsia" w:ascii="宋体" w:hAnsi="宋体"/>
                      <w:b/>
                      <w:bCs/>
                      <w:color w:val="000000" w:themeColor="text1"/>
                      <w:sz w:val="24"/>
                      <w:highlight w:val="none"/>
                      <w:lang w:val="en-GB"/>
                      <w14:textFill>
                        <w14:solidFill>
                          <w14:schemeClr w14:val="tx1"/>
                        </w14:solidFill>
                      </w14:textFill>
                    </w:rPr>
                    <w:t>按要求列出具体产品与金额。</w:t>
                  </w:r>
                </w:p>
              </w:tc>
            </w:tr>
          </w:tbl>
          <w:p>
            <w:pPr>
              <w:pStyle w:val="60"/>
              <w:tabs>
                <w:tab w:val="left" w:pos="1260"/>
              </w:tabs>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产品名称（品牌、型号）</w:t>
            </w:r>
          </w:p>
        </w:tc>
        <w:tc>
          <w:tcPr>
            <w:tcW w:w="381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制造企业名称</w:t>
            </w:r>
          </w:p>
        </w:tc>
        <w:tc>
          <w:tcPr>
            <w:tcW w:w="162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381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162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381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162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381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162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c>
          <w:tcPr>
            <w:tcW w:w="6490" w:type="dxa"/>
            <w:gridSpan w:val="2"/>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小型、微型企业产品</w:t>
            </w:r>
            <w:r>
              <w:rPr>
                <w:rFonts w:hint="eastAsia" w:ascii="宋体" w:hAnsi="宋体"/>
                <w:color w:val="000000" w:themeColor="text1"/>
                <w:sz w:val="24"/>
                <w:highlight w:val="none"/>
                <w:lang w:val="en-GB"/>
                <w14:textFill>
                  <w14:solidFill>
                    <w14:schemeClr w14:val="tx1"/>
                  </w14:solidFill>
                </w14:textFill>
              </w:rPr>
              <w:t>金额合计（元）</w:t>
            </w:r>
          </w:p>
          <w:p>
            <w:pPr>
              <w:rPr>
                <w:color w:val="000000" w:themeColor="text1"/>
                <w:highlight w:val="none"/>
                <w14:textFill>
                  <w14:solidFill>
                    <w14:schemeClr w14:val="tx1"/>
                  </w14:solidFill>
                </w14:textFill>
              </w:rPr>
            </w:pPr>
          </w:p>
        </w:tc>
        <w:tc>
          <w:tcPr>
            <w:tcW w:w="1621" w:type="dxa"/>
            <w:vAlign w:val="center"/>
          </w:tcPr>
          <w:p>
            <w:pPr>
              <w:pStyle w:val="60"/>
              <w:tabs>
                <w:tab w:val="left" w:pos="1260"/>
              </w:tabs>
              <w:jc w:val="center"/>
              <w:rPr>
                <w:rFonts w:ascii="宋体" w:hAnsi="宋体"/>
                <w:color w:val="000000" w:themeColor="text1"/>
                <w:sz w:val="24"/>
                <w:highlight w:val="none"/>
                <w:lang w:val="en-GB"/>
                <w14:textFill>
                  <w14:solidFill>
                    <w14:schemeClr w14:val="tx1"/>
                  </w14:solidFill>
                </w14:textFill>
              </w:rPr>
            </w:pPr>
          </w:p>
        </w:tc>
      </w:tr>
    </w:tbl>
    <w:p>
      <w:pPr>
        <w:pStyle w:val="60"/>
        <w:spacing w:line="360" w:lineRule="auto"/>
        <w:rPr>
          <w:rFonts w:ascii="宋体" w:hAnsi="宋体"/>
          <w:color w:val="000000" w:themeColor="text1"/>
          <w:szCs w:val="21"/>
          <w:highlight w:val="none"/>
          <w:lang w:val="en-GB"/>
          <w14:textFill>
            <w14:solidFill>
              <w14:schemeClr w14:val="tx1"/>
            </w14:solidFill>
          </w14:textFill>
        </w:rPr>
      </w:pPr>
    </w:p>
    <w:p>
      <w:pPr>
        <w:pStyle w:val="60"/>
        <w:spacing w:line="360" w:lineRule="auto"/>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填报要求：</w:t>
      </w:r>
    </w:p>
    <w:p>
      <w:pPr>
        <w:pStyle w:val="60"/>
        <w:widowControl/>
        <w:numPr>
          <w:ilvl w:val="0"/>
          <w:numId w:val="35"/>
        </w:numPr>
        <w:spacing w:line="360" w:lineRule="auto"/>
        <w:ind w:right="84" w:rightChars="40"/>
        <w:jc w:val="left"/>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本表的产品名称、规格型号和注册商标、金额要与《报价明细表》一致。</w:t>
      </w:r>
    </w:p>
    <w:p>
      <w:pPr>
        <w:pStyle w:val="60"/>
        <w:widowControl/>
        <w:numPr>
          <w:ilvl w:val="0"/>
          <w:numId w:val="35"/>
        </w:numPr>
        <w:tabs>
          <w:tab w:val="left" w:pos="360"/>
        </w:tabs>
        <w:spacing w:line="360" w:lineRule="auto"/>
        <w:ind w:left="360" w:right="84" w:rightChars="40" w:hanging="360"/>
        <w:jc w:val="left"/>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制造商为小型或微型企业时才需要填“制造商企业类型”栏，填写内容为“小型”或“微型”。</w:t>
      </w:r>
    </w:p>
    <w:p>
      <w:pPr>
        <w:pStyle w:val="60"/>
        <w:widowControl/>
        <w:numPr>
          <w:ilvl w:val="0"/>
          <w:numId w:val="35"/>
        </w:numPr>
        <w:spacing w:line="360" w:lineRule="auto"/>
        <w:ind w:right="84" w:rightChars="40"/>
        <w:jc w:val="left"/>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pPr>
        <w:tabs>
          <w:tab w:val="left" w:pos="1418"/>
        </w:tabs>
        <w:autoSpaceDE w:val="0"/>
        <w:autoSpaceDN w:val="0"/>
        <w:adjustRightInd w:val="0"/>
        <w:spacing w:line="360" w:lineRule="auto"/>
        <w:ind w:firstLine="480" w:firstLineChars="200"/>
        <w:rPr>
          <w:rFonts w:ascii="宋体"/>
          <w:color w:val="000000" w:themeColor="text1"/>
          <w:kern w:val="0"/>
          <w:sz w:val="24"/>
          <w:highlight w:val="none"/>
          <w:lang w:val="en-GB"/>
          <w14:textFill>
            <w14:solidFill>
              <w14:schemeClr w14:val="tx1"/>
            </w14:solidFill>
          </w14:textFill>
        </w:rPr>
      </w:pPr>
    </w:p>
    <w:p>
      <w:pPr>
        <w:rPr>
          <w:color w:val="000000" w:themeColor="text1"/>
          <w:highlight w:val="none"/>
          <w14:textFill>
            <w14:solidFill>
              <w14:schemeClr w14:val="tx1"/>
            </w14:solidFill>
          </w14:textFill>
        </w:rPr>
      </w:pP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sectPr>
          <w:pgSz w:w="11906" w:h="16838"/>
          <w:pgMar w:top="1134" w:right="1134" w:bottom="1134" w:left="1418" w:header="851" w:footer="992" w:gutter="0"/>
          <w:cols w:space="0" w:num="1"/>
          <w:docGrid w:type="lines" w:linePitch="312" w:charSpace="0"/>
        </w:sectPr>
      </w:pPr>
    </w:p>
    <w:p>
      <w:pPr>
        <w:pStyle w:val="4"/>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附件21：模改数点位清单</w:t>
      </w:r>
    </w:p>
    <w:p>
      <w:pPr>
        <w:pStyle w:val="2"/>
        <w:rPr>
          <w:color w:val="000000" w:themeColor="text1"/>
          <w:highlight w:val="none"/>
          <w14:textFill>
            <w14:solidFill>
              <w14:schemeClr w14:val="tx1"/>
            </w14:solidFill>
          </w14:textFill>
        </w:rPr>
      </w:pPr>
    </w:p>
    <w:tbl>
      <w:tblPr>
        <w:tblStyle w:val="27"/>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50"/>
        <w:gridCol w:w="869"/>
        <w:gridCol w:w="1050"/>
        <w:gridCol w:w="1393"/>
        <w:gridCol w:w="1393"/>
        <w:gridCol w:w="1393"/>
        <w:gridCol w:w="1393"/>
        <w:gridCol w:w="1393"/>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959"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序号</w:t>
            </w:r>
          </w:p>
        </w:tc>
        <w:tc>
          <w:tcPr>
            <w:tcW w:w="3550"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监控名称</w:t>
            </w:r>
          </w:p>
        </w:tc>
        <w:tc>
          <w:tcPr>
            <w:tcW w:w="869"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行政区</w:t>
            </w:r>
          </w:p>
        </w:tc>
        <w:tc>
          <w:tcPr>
            <w:tcW w:w="1050"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相机总数</w:t>
            </w:r>
          </w:p>
        </w:tc>
        <w:tc>
          <w:tcPr>
            <w:tcW w:w="1393"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900W卡口相机</w:t>
            </w:r>
          </w:p>
        </w:tc>
        <w:tc>
          <w:tcPr>
            <w:tcW w:w="1393"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800W人脸相机</w:t>
            </w:r>
          </w:p>
        </w:tc>
        <w:tc>
          <w:tcPr>
            <w:tcW w:w="1393"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高空瞭望球机</w:t>
            </w:r>
          </w:p>
        </w:tc>
        <w:tc>
          <w:tcPr>
            <w:tcW w:w="1393"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400W枪机</w:t>
            </w:r>
          </w:p>
        </w:tc>
        <w:tc>
          <w:tcPr>
            <w:tcW w:w="1393"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400W球机</w:t>
            </w:r>
          </w:p>
        </w:tc>
        <w:tc>
          <w:tcPr>
            <w:tcW w:w="1393" w:type="dxa"/>
            <w:shd w:val="clear" w:color="auto" w:fill="auto"/>
            <w:vAlign w:val="center"/>
          </w:tcPr>
          <w:p>
            <w:pPr>
              <w:widowControl/>
              <w:jc w:val="center"/>
              <w:rPr>
                <w:rFonts w:ascii="宋体" w:hAnsi="宋体" w:cs="Arial"/>
                <w:b/>
                <w:bCs/>
                <w:color w:val="000000" w:themeColor="text1"/>
                <w:kern w:val="0"/>
                <w:sz w:val="20"/>
                <w:szCs w:val="20"/>
                <w:highlight w:val="none"/>
                <w14:textFill>
                  <w14:solidFill>
                    <w14:schemeClr w14:val="tx1"/>
                  </w14:solidFill>
                </w14:textFill>
              </w:rPr>
            </w:pPr>
            <w:r>
              <w:rPr>
                <w:rFonts w:hint="eastAsia" w:ascii="宋体" w:hAnsi="宋体" w:cs="Arial"/>
                <w:b/>
                <w:bCs/>
                <w:color w:val="000000" w:themeColor="text1"/>
                <w:kern w:val="0"/>
                <w:sz w:val="20"/>
                <w:szCs w:val="20"/>
                <w:highlight w:val="none"/>
                <w14:textFill>
                  <w14:solidFill>
                    <w14:schemeClr w14:val="tx1"/>
                  </w14:solidFill>
                </w14:textFill>
              </w:rPr>
              <w:t>枪球一体机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365-玉环大剧院楼顶东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366-玉环大剧院楼顶西</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55-玉兴西路-风暴城对面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125-玉城城区警务室</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10-玉城实验学校门口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18-玉城天河路东城路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117-玉城广陵路-长兴路-丝雨美发会所</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275-县前路-珠城东路2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51-塘河路-园区大道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57-玉城老电大-小巷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58-玉城老电大-小巷2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115-玉城广陵路-市民卡管理中心</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138-城中路-华鸿首府一号门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03-玉城机电园-耐士伦</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05-玉城机电园区-维恩机械</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06-玉城机电园区-凯棋水业</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12-玉城榴岛大道民建路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13-东屏路26号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15-玉城天河路七彩幼儿园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19-玉城东城路宏恩教育</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20-榴岛大道东城路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22-玉城东屏路珠城东路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23-东屏路127号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24-玉城东屏路189号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25-玉城榴岛大道榴园超市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52-解放塘路-园区大道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61-玉城玉兴西路134号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64-玉潭路-秀峰宾馆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66-广陵路-和合书吧</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67-广陵路-玉环商城后门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68-广陵路-县前小区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69-广陵路-县前小区2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70-玉兴东路-玉环大酒店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75-长兴路-13号小区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78-康育路91号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79-康育路131号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86-狮城线-华盛村口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91-长康路-大榕树烧烤</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94-泰安路-13号小区南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95-泰安路-13号小区2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96-泰安路-17号小区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99-长康路-17号小区-十足</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103-玉城金鸡一路58号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105-城中路-体育舞蹈协会</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106-老城中路-小区西2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107-玉城老城中路-小区东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109-玉城城中路-阿诚房产中介</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110-玉城城中路-小渔村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111-玉城长康路12号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114-玉城广陵路-长康路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116-玉城广陵路-长兴路-兴业银行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118-玉城长兴路-邮政局</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119-玉城长兴路21号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120-玉城长兴路28号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121-玉城城中路98号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122-玉城城中路-110号小区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123-玉城城中路-宏陶陶瓷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124-玉城城中路-华硕电脑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126-玉城县前路-城中公园桥头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127-玉城玉兴东路-杭州宝岛眼镜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128-玉城玉兴路-农行东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129-玉城康育路-玉环公园北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130-玉城长治路62号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131-玉城长治路26号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132-玉城新城中路-南一路2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133-长康路-中心幼儿园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135-双潭路-双港路（东）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153-玉城广陵南路安置小区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165-西大线-台州缘分食品</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166-西大线-南大岙隧道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168-青马邮电-三岔路南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169-青马外马村-三岔口东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170-青马外马道村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171-青马外马道村-万家华联北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207-珠港大道法院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220-玉城北山-三合潭小学</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224-玉城南山-中等职业技术学院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250-玉城犁头咀牌坊</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260-玉城瑶岙村口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264-玉城珠城东路-爱尚珠宝</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265-玉城城中路-珠城西路南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266-双港路-中国人寿门口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267-双港路-ABC幼儿园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269-三合潭小区路口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270-广陵路-和天下后</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271-广陵路-战地食堂后1</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272-广陵路-战地食堂后2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273-广陵路-战地食堂后3</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277-玉城东城路-广陵路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278-玉兴东路-康育路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279-玉环公园广场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282-玉城步行街-康育路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283-玉城9号小区-贪吃渔人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284-玉城1号小区-2-3幢之间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285-玉城9号小区-新世纪宾馆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286-玉城长治路-广陵路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287-玉城-玉潭路-嘉乐迪路口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288-玉城-金鸡一路-三叉口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289-玉城-龙潭坑-上口爱火锅</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290-玉城-南山村-润滑设备厂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291-玉城-北山村-一路公交停车店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292-玉城-广陵路-玉环中医馆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294-玉城-康育路-人民医院急诊</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296-玉城-泰安路-建设大楼公交站</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297-玉城-玉环市文化馆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298-玉城-城区-垃圾中转站</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299-玉城-榴岛大道-香格里拉别墅区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300-玉城-榴岛大道-青少年宫</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301-玉城-玉环公园北口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302-玉城-榴岛大道-懂岰里村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303-玉城-绕城路-北一机电中心</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304-玉城榴岛大道别克4s店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305-玉城白岩长坑路口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306-玉城榴岛大道黄泥坎村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307-玉城白岩黄泥坎村南门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308-玉城-黄泥坎村-隧道口南门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309-玉城-榴岛大道-玉坎路口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311-玉城-城南新街-威士宝机械有限公司</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312-后塘垟-泰安南路52号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313-玉城-西大线-小普竹隧道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314-玉城-采桑村-凉亭十字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315-玉城-狮城线-九山村村口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316-玉城-城中路-珠城西路南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317-玉城-西城路-三官堂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12-玉城小普竹村部-路口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19-玉城城南工业园区-路口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55-玉城S226省道-凯凌集团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69-玉城上岙村-11号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95-玉城国税局-门口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16-玉城天河路实验小学</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59-玉兴西路-垟青巷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163-广陵南路-珠港大道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11-玉城县东晶晶幼儿园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280-玉成泰安路-民泰银行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281-玉城泰安路-瑞人堂药店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xj003-延安路延线-绿地名苑前</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22-城关汽摩园大门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24-城关绕城路民警训练基地</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89-城关城中路南二路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92-玉城垟青-警务室</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93-玉城广陵路-泰安路南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94-玉城泰安路-广陵路东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96-城关泰安路豪仕来前</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98-城关珠城东路榴岛大道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99-城关东城路榴岛大道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玉城</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1-海城路128号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18-坎门一中路口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37-东安方向-渝汇隧道出口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52-兴潭东街-120号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63-坎门西台小学</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64-振兴路-红旗路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100-新大街如意大酒店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101-昌贸东路工商局</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140-南沙尾-伍兴路边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4-建工路永寿机械</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5-建洲路-航母机电</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6-振兴路-东风小区南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8-建洲路-入口东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10-交通路-永盛汽修</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11-坎门科技园-天元公司路口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21-康民医药门口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22-阿友排档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27-东风路-振兴路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29-振兴路-建行路口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30-联升路-西潭路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31-海城路-新世纪电脑（永兴村镇银行）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32-东港隧道-入口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36-东安村-村部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66-红旗操场路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68-红旗第二幼儿园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69-操场路-联升路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73-振兴路渝汇广场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75-解放路-振兴路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78-解放南路-中市路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79-解放南路-53号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80-东港隧道海港路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83-海港东路加油站</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88-新大街-开源路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89-新大街红渔女</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90-海港东路环球齿轮厂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92-海港东路02612往气象站</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93-赵三王隧道口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104-海韵救援门口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108-岭头下山路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110-二条岭桥下充电棚</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111-后沙街14号电线杆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112-后沙双林棋牌室</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113-二条岭桥西边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114-二条岭教堂边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115-二条岭路东侧小路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116-二条岭北侧小路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117-许家路三岔口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118-东沙村入口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119-前街和新大街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134-里岙山上陵园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135-双丰村下山路口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137-黄门村路口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138-黄门村-文体活动中心</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141-中兴路-东营路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144-中兴路-里岙社区西</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152-大岭头村-三岔路口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153-坎中社区-居住点门口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154-松树脚-夕阳红敬老院门口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155-东沙村-村部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156-老边防派出所-路口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157-鹰东公园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158-黄坎路-坎门社区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160-建工路-交警队门口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162-解放南闸路口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163-坎门科技园-浙江恒祥</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164-坎门科技园-浙江远东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165-坎门科技园-安澜桥头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167-东风路天灯脚</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168-解放唐路-交通路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169-纬一路金惠超市对面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170-一号支路-心心快餐前</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171-解放唐路-海都花园门口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172-振兴路-兴谭街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173-人本超市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174-环岛南路-蓝湾国际</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175-坎门中心小学</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176-坎门振兴路-围一路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177-坎门灯塔桥下</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178-灯塔社区服务站-前既卫生院边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179-坎门坎台路学头54号—路口东(前端)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180-坎门玉环海洋公司—门口东(前端)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181-坎门老六川菜后</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182-原监控海港公园加个方向(阳光海岸对面)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183-鹰东隧道出口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26-坎门纬一路-恒顺745线3号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29-坎门渝汇小区-渝汇隧道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30-黄门里澳古城交叉口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33-二条岭201－15#桥下</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34-解放路振兴路口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39-坎门振兴路-纬一路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74-泽坎龙王村路口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41-榴岛大道-水龙村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32-坎门赵三王隧道前港口警务室</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239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36-坎门东港隧道_坎鲜线</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坎门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XJ002-直塘路326号后面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33-楚柚路123号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34-山明湖</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35-大渭渚小区6号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36-港北加油站-北边小路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37-泽坎路-直塘路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38-直塘路-141号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39-胡新公共服务中心（胡新沙蟹屋）</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43-兴龙桥-南兴西路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45-楚门医药公司-东门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46-东方路-南大街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47-济理东路-2号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50-环城北路-65号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51-环城北路-120号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53-南大街-83号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54-南大街-83号外墙</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55-南兴街-9号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56-和平街-6号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57-城南路69号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58-和平街-13号杆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59-塘垟村-路口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60-楚门派出所-桥头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61-楚门第一中学门口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65-繁荣路-4号杆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66-繁荣路-1号杆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67-繁荣路-7号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68-楚门职校围墙外</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69-城南路-13号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74-楚柚北路-直塘路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269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75-运管所门口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79-直塘路-胡新菜市场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81-昌业路-直塘路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82-昌业路-直塘路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83-南兴路-溜冰场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84-环城南路-路口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89-南兴西路-125号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93-三角眼-三岔路口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162-山北暂住中心门口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166-新都娱乐会所</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279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167-汽车站后门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170-新高健理发店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174-湖滨路-环保路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180-老第二人民医院门口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181-港北海鲜城</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183-海外海对面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187-76省道复线-筠岭村路口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188-76省道复线丁岙村口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189-76省道复线丁岙村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190-南兴西路-老工商银行边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289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171-环保路楚柚路口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175-唱业路-环保路路口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176-昌业路-环保路路口2</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76-楚门南兴西路步行街-街口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82-楚门金三角酒家</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84-楚门筠岗路口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楚门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115-玉环市大麦屿街道铁龙头工业区苏强格路口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127-玉环市大麦屿街道福昌基天仙府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138-玉环市大麦屿街道尤蒙岙尤顺路229号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10-玉环市大麦屿街道新塘村大榕树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14-玉环市大麦屿街道隔门岭隧道前三岔路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29-玉环市大麦屿街道大麦屿菜场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30-玉环市大麦屿街道大麦屿菜场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31-玉环市大麦屿街道龙山路与海港路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33-玉环市大麦屿街道大顺路与汇丰路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34-玉环市大麦屿街道龙新路52号前</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35-玉环市大麦屿街道大麦屿渔船码头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36-玉环市大麦屿街道蓝天世纪入口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38-玉环市大麦屿街道兴中路农商银行路口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39-玉环市大麦屿街道港台商城广场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309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42-玉环市大麦屿街道港城路与永安路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51-玉环市大麦屿街道东升南路河边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56-玉环市大麦屿街道铁龙头社区天龙路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58-玉环市大麦屿街道黄龙家园210号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61-玉环市大麦屿街道古顺隧道口五一方向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62-玉环市大麦屿街道古顺隧道口十五方向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63-玉环市大麦屿街道长山咀村堤坝路口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68-玉环市大麦屿街道五一村桥头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205-玉环市大麦屿街道永安路80号东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206-玉环市大麦屿街道永丰路佳和宾馆</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319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207-玉环市大麦屿街道五一村永安小区入口东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208-玉环市大麦屿街道五一村工业区路口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209-玉环市大麦屿街道庆澜公园内</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210-玉环市大麦屿街道庆澜公园内舞台</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211-玉环市大麦屿街道陈南与陈北交界处</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212-玉环市大麦屿街道岗仔头三岔路口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213-玉环市大麦屿街道陈屿医院门口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216-玉环市大麦屿街道刘园菜场北门</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217-玉环市大麦屿街道刘园菜场北1</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218-玉环市大麦屿街道刘园菜场东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329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219-玉环市大麦屿街道桥头往北岙交界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220-玉环市大麦屿街道仰天湖岗亭路口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221-玉环市大麦屿街道古城车站岔路口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241-古顺隧道口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08-玉环市大麦屿街道新塘村入口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45-玉环市大麦屿街道兴中路与庆丰路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46-玉环市大麦屿街道双峰路与九峰路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118-玉环市大麦屿街道往中直粮库桥头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199-玉环市大麦屿街道海德曼公司路口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10-大麦屿尤蒙岙-外叶村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339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88-陈屿玉大线陈北村-入口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04-陈屿兴中路-榴榕路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05-陈屿龙山路兴中路口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大麦屿</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6-清港S226省道-凡宏村交界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08-清下凡出租车登记</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14-清港泗边头庙边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25-清港王家村菜场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35-清港盐业工业区玉环健桥</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38-清港苔山海泗塘交界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40-清港苔山三岔路口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349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45-清港凡宏村金多超市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59-清港群兴路十字路口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61-清港消防队路口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67-上湫村路口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86-清港老海联运站</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89-清港双郏塘三木路77号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90-清港双郏塘兴昌超市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96-清港凡宏村宏海巷1号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99-清港培新路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100-清港桥南街公墓桥边</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103-清港后排村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107-清港下湫村后高陈家里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116-清港徐斗村―塘头路23号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122-清港扫帚山村垟根三岔路口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126-清港垟心村三岔路口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129-盐业村―凡海路南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131-清港下湫村砖瓦厂26号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135-清港双郏塘清华北路20号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145-清港可群兴路117号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147-清港中心幼儿园路口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369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20-清港垟心村三岔路口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57-清港凡宏村-清华路北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58-76省道泗头岭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60-清港凡海村-克拉茨机械有限公司</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61-清港凡海村-出口两个池塘间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79-清港上湫与吴家交界处</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清港</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53-沙门镇老政府-门口南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61-水桶岙村桥头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102-沙门镇双斗村楚瑶路161号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103-沙门镇白岭下村-村牌</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379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41-沙门小闾村村内-温岭桥头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42-沙门白岭下-温岭</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43-沙门日岙村-温岭交界处</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47-沙门水桶岙村-龙溪原有监控旁</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40-沙门小闾村村头-温岭桥头</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45-沙门工业区警务室—路口西</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沙门</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03-干江梅岭村-小水库南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07-干江麦莎大道-老傲前村东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18-干江漩门三期-振华阀门南</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20-干江下栈头-车站东</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389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21-干江下栈头-码头停车场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49-干江梅岙村堤坝路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50-漩栈线02变B6</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干江</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101-海山乡学校门口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开发区</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13-风屿东路-谢公路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开发区</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151-漩楚路港南大道</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开发区</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66-金海大道-汽车研究院</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开发区</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110-漩港路与凤屿西路交叉口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开发区</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7</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101-龙翔北路-三岔路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102-龙溪-龙攻门村丁字路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399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111-龙溪-花岩浦隧道出口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151-大密溪村-菜场</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191-龙溪闭塞厄海塘-三岔口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402</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192-龙攻门村部路口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403</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194-梅岙村-祥霞路11号</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404</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195-小密溪村路口</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405</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86-龙溪桩头村-匡土机械厂</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406</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48-龙溪龙翔南路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龙溪</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407</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160-新城尖山百丈村-采桑村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芦浦</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408</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35-S226-漩门加油站旁</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芦浦</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409</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15-新城尖山百丈村-采桑村</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芦浦</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410</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68-新城上金大宅-后湾老路</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芦浦</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411</w:t>
            </w:r>
          </w:p>
        </w:tc>
        <w:tc>
          <w:tcPr>
            <w:tcW w:w="3550"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100-海山学校</w:t>
            </w:r>
          </w:p>
        </w:tc>
        <w:tc>
          <w:tcPr>
            <w:tcW w:w="869" w:type="dxa"/>
            <w:shd w:val="clear" w:color="auto" w:fill="auto"/>
            <w:vAlign w:val="center"/>
          </w:tcPr>
          <w:p>
            <w:pPr>
              <w:widowControl/>
              <w:jc w:val="lef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海山</w:t>
            </w:r>
          </w:p>
        </w:tc>
        <w:tc>
          <w:tcPr>
            <w:tcW w:w="1050"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1</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c>
          <w:tcPr>
            <w:tcW w:w="1393" w:type="dxa"/>
            <w:shd w:val="clear" w:color="auto" w:fill="auto"/>
            <w:vAlign w:val="center"/>
          </w:tcPr>
          <w:p>
            <w:pPr>
              <w:widowControl/>
              <w:jc w:val="right"/>
              <w:rPr>
                <w:rFonts w:ascii="宋体" w:hAnsi="宋体" w:cs="Arial"/>
                <w:color w:val="000000" w:themeColor="text1"/>
                <w:kern w:val="0"/>
                <w:sz w:val="22"/>
                <w:szCs w:val="22"/>
                <w:highlight w:val="none"/>
                <w14:textFill>
                  <w14:solidFill>
                    <w14:schemeClr w14:val="tx1"/>
                  </w14:solidFill>
                </w14:textFill>
              </w:rPr>
            </w:pPr>
            <w:r>
              <w:rPr>
                <w:rFonts w:hint="eastAsia" w:ascii="宋体" w:hAnsi="宋体" w:cs="Arial"/>
                <w:color w:val="000000" w:themeColor="text1"/>
                <w:kern w:val="0"/>
                <w:sz w:val="22"/>
                <w:szCs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959" w:type="dxa"/>
            <w:shd w:val="clear" w:color="auto" w:fill="auto"/>
            <w:vAlign w:val="center"/>
          </w:tcPr>
          <w:p>
            <w:pPr>
              <w:widowControl/>
              <w:jc w:val="lef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合计</w:t>
            </w:r>
          </w:p>
        </w:tc>
        <w:tc>
          <w:tcPr>
            <w:tcW w:w="3550" w:type="dxa"/>
            <w:shd w:val="clear" w:color="auto" w:fill="auto"/>
            <w:vAlign w:val="center"/>
          </w:tcPr>
          <w:p>
            <w:pPr>
              <w:widowControl/>
              <w:jc w:val="lef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　</w:t>
            </w:r>
          </w:p>
        </w:tc>
        <w:tc>
          <w:tcPr>
            <w:tcW w:w="869" w:type="dxa"/>
            <w:shd w:val="clear" w:color="auto" w:fill="auto"/>
            <w:vAlign w:val="center"/>
          </w:tcPr>
          <w:p>
            <w:pPr>
              <w:widowControl/>
              <w:jc w:val="lef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　</w:t>
            </w:r>
          </w:p>
        </w:tc>
        <w:tc>
          <w:tcPr>
            <w:tcW w:w="1050"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758</w:t>
            </w:r>
          </w:p>
        </w:tc>
        <w:tc>
          <w:tcPr>
            <w:tcW w:w="1393"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164</w:t>
            </w:r>
          </w:p>
        </w:tc>
        <w:tc>
          <w:tcPr>
            <w:tcW w:w="1393"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14</w:t>
            </w:r>
          </w:p>
        </w:tc>
        <w:tc>
          <w:tcPr>
            <w:tcW w:w="1393"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2</w:t>
            </w:r>
          </w:p>
        </w:tc>
        <w:tc>
          <w:tcPr>
            <w:tcW w:w="1393"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490</w:t>
            </w:r>
          </w:p>
        </w:tc>
        <w:tc>
          <w:tcPr>
            <w:tcW w:w="1393"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86</w:t>
            </w:r>
          </w:p>
        </w:tc>
        <w:tc>
          <w:tcPr>
            <w:tcW w:w="1393" w:type="dxa"/>
            <w:shd w:val="clear" w:color="auto" w:fill="auto"/>
            <w:vAlign w:val="center"/>
          </w:tcPr>
          <w:p>
            <w:pPr>
              <w:widowControl/>
              <w:jc w:val="right"/>
              <w:rPr>
                <w:rFonts w:ascii="宋体" w:hAnsi="宋体" w:cs="Arial"/>
                <w:color w:val="000000" w:themeColor="text1"/>
                <w:kern w:val="0"/>
                <w:sz w:val="20"/>
                <w:szCs w:val="20"/>
                <w:highlight w:val="none"/>
                <w14:textFill>
                  <w14:solidFill>
                    <w14:schemeClr w14:val="tx1"/>
                  </w14:solidFill>
                </w14:textFill>
              </w:rPr>
            </w:pPr>
            <w:r>
              <w:rPr>
                <w:rFonts w:hint="eastAsia" w:ascii="宋体" w:hAnsi="宋体" w:cs="Arial"/>
                <w:color w:val="000000" w:themeColor="text1"/>
                <w:kern w:val="0"/>
                <w:sz w:val="20"/>
                <w:szCs w:val="20"/>
                <w:highlight w:val="none"/>
                <w14:textFill>
                  <w14:solidFill>
                    <w14:schemeClr w14:val="tx1"/>
                  </w14:solidFill>
                </w14:textFill>
              </w:rPr>
              <w:t>2</w:t>
            </w:r>
          </w:p>
        </w:tc>
      </w:tr>
    </w:tbl>
    <w:p>
      <w:pPr>
        <w:pStyle w:val="2"/>
        <w:rPr>
          <w:color w:val="000000" w:themeColor="text1"/>
          <w:highlight w:val="none"/>
          <w14:textFill>
            <w14:solidFill>
              <w14:schemeClr w14:val="tx1"/>
            </w14:solidFill>
          </w14:textFill>
        </w:rPr>
      </w:pPr>
    </w:p>
    <w:sectPr>
      <w:pgSz w:w="16838" w:h="11906" w:orient="landscape"/>
      <w:pgMar w:top="1418" w:right="1134" w:bottom="1134" w:left="1134"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魏碑简体">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1"/>
                          </w:pPr>
                          <w:r>
                            <w:rPr>
                              <w:rFonts w:hint="eastAsia"/>
                            </w:rPr>
                            <w:t xml:space="preserve">第 </w:t>
                          </w:r>
                          <w:r>
                            <w:fldChar w:fldCharType="begin"/>
                          </w:r>
                          <w:r>
                            <w:instrText xml:space="preserve"> PAGE  \* MERGEFORMAT </w:instrText>
                          </w:r>
                          <w:r>
                            <w:fldChar w:fldCharType="separate"/>
                          </w:r>
                          <w:r>
                            <w:t>71</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kVuwWAgAAFQQAAA4AAABkcnMvZTJvRG9jLnhtbK1TzY7TMBC+I/EO&#10;lu80aStW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M32d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5FbsFgIAABUEAAAOAAAAAAAA&#10;AAEAIAAAAB8BAABkcnMvZTJvRG9jLnhtbFBLBQYAAAAABgAGAFkBAACnBQAAAAA=&#10;">
              <v:fill on="f" focussize="0,0"/>
              <v:stroke on="f" weight="0.5pt"/>
              <v:imagedata o:title=""/>
              <o:lock v:ext="edit" aspectratio="f"/>
              <v:textbox inset="0mm,0mm,0mm,0mm" style="mso-fit-shape-to-text:t;">
                <w:txbxContent>
                  <w:p>
                    <w:pPr>
                      <w:pStyle w:val="21"/>
                    </w:pPr>
                    <w:r>
                      <w:rPr>
                        <w:rFonts w:hint="eastAsia"/>
                      </w:rPr>
                      <w:t xml:space="preserve">第 </w:t>
                    </w:r>
                    <w:r>
                      <w:fldChar w:fldCharType="begin"/>
                    </w:r>
                    <w:r>
                      <w:instrText xml:space="preserve"> PAGE  \* MERGEFORMAT </w:instrText>
                    </w:r>
                    <w:r>
                      <w:fldChar w:fldCharType="separate"/>
                    </w:r>
                    <w:r>
                      <w:t>71</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玉环市政府采购招标文件                                                                                 </w:t>
    </w: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AE2D8F7B"/>
    <w:multiLevelType w:val="singleLevel"/>
    <w:tmpl w:val="AE2D8F7B"/>
    <w:lvl w:ilvl="0" w:tentative="0">
      <w:start w:val="1"/>
      <w:numFmt w:val="decimal"/>
      <w:pStyle w:val="11"/>
      <w:lvlText w:val="%1."/>
      <w:lvlJc w:val="left"/>
      <w:pPr>
        <w:tabs>
          <w:tab w:val="left" w:pos="360"/>
        </w:tabs>
        <w:ind w:left="360" w:hanging="360"/>
      </w:pPr>
    </w:lvl>
  </w:abstractNum>
  <w:abstractNum w:abstractNumId="2">
    <w:nsid w:val="02704159"/>
    <w:multiLevelType w:val="multilevel"/>
    <w:tmpl w:val="02704159"/>
    <w:lvl w:ilvl="0" w:tentative="0">
      <w:start w:val="1"/>
      <w:numFmt w:val="decimal"/>
      <w:lvlText w:val="%1"/>
      <w:lvlJc w:val="left"/>
      <w:pPr>
        <w:ind w:left="425" w:hanging="425"/>
      </w:pPr>
      <w:rPr>
        <w:rFonts w:hint="eastAsia"/>
      </w:rPr>
    </w:lvl>
    <w:lvl w:ilvl="1" w:tentative="0">
      <w:start w:val="1"/>
      <w:numFmt w:val="decimal"/>
      <w:lvlText w:val="2.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2.8.4.%4."/>
      <w:lvlJc w:val="left"/>
      <w:pPr>
        <w:ind w:left="1984" w:hanging="708"/>
      </w:pPr>
      <w:rPr>
        <w:rFonts w:hint="eastAsia"/>
        <w:b w:val="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4667486"/>
    <w:multiLevelType w:val="multilevel"/>
    <w:tmpl w:val="04667486"/>
    <w:lvl w:ilvl="0" w:tentative="0">
      <w:start w:val="1"/>
      <w:numFmt w:val="decimal"/>
      <w:lvlText w:val="%1"/>
      <w:lvlJc w:val="left"/>
      <w:pPr>
        <w:ind w:left="425" w:hanging="425"/>
      </w:pPr>
    </w:lvl>
    <w:lvl w:ilvl="1" w:tentative="0">
      <w:start w:val="1"/>
      <w:numFmt w:val="decimal"/>
      <w:lvlText w:val="2.1.%2"/>
      <w:lvlJc w:val="left"/>
      <w:pPr>
        <w:ind w:left="992" w:hanging="567"/>
      </w:pPr>
      <w:rPr>
        <w:rFonts w:hint="eastAsia"/>
      </w:rPr>
    </w:lvl>
    <w:lvl w:ilvl="2" w:tentative="0">
      <w:start w:val="1"/>
      <w:numFmt w:val="decimal"/>
      <w:lvlText w:val="2.7.%3"/>
      <w:lvlJc w:val="left"/>
      <w:pPr>
        <w:ind w:left="1418" w:hanging="567"/>
      </w:pPr>
      <w:rPr>
        <w:rFonts w:hint="eastAsia"/>
      </w:rPr>
    </w:lvl>
    <w:lvl w:ilvl="3" w:tentative="0">
      <w:start w:val="1"/>
      <w:numFmt w:val="decimal"/>
      <w:lvlText w:val="2.6.4.%4"/>
      <w:lvlJc w:val="left"/>
      <w:pPr>
        <w:ind w:left="1984" w:hanging="708"/>
      </w:pPr>
      <w:rPr>
        <w:rFonts w:hint="eastAsia"/>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0B685329"/>
    <w:multiLevelType w:val="multilevel"/>
    <w:tmpl w:val="0B685329"/>
    <w:lvl w:ilvl="0" w:tentative="0">
      <w:start w:val="1"/>
      <w:numFmt w:val="decimal"/>
      <w:lvlText w:val="%1"/>
      <w:lvlJc w:val="left"/>
      <w:pPr>
        <w:ind w:left="425" w:hanging="425"/>
      </w:pPr>
      <w:rPr>
        <w:rFonts w:hint="eastAsia"/>
      </w:rPr>
    </w:lvl>
    <w:lvl w:ilvl="1" w:tentative="0">
      <w:start w:val="1"/>
      <w:numFmt w:val="decimal"/>
      <w:lvlText w:val="2.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2.8.3.%4."/>
      <w:lvlJc w:val="left"/>
      <w:pPr>
        <w:ind w:left="1984" w:hanging="708"/>
      </w:pPr>
      <w:rPr>
        <w:rFonts w:hint="eastAsia"/>
        <w:b w:val="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CDEA77B"/>
    <w:multiLevelType w:val="singleLevel"/>
    <w:tmpl w:val="0CDEA77B"/>
    <w:lvl w:ilvl="0" w:tentative="0">
      <w:start w:val="8"/>
      <w:numFmt w:val="decimal"/>
      <w:suff w:val="nothing"/>
      <w:lvlText w:val="（%1）"/>
      <w:lvlJc w:val="left"/>
    </w:lvl>
  </w:abstractNum>
  <w:abstractNum w:abstractNumId="6">
    <w:nsid w:val="1BE015A9"/>
    <w:multiLevelType w:val="multilevel"/>
    <w:tmpl w:val="1BE01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2C936FA"/>
    <w:multiLevelType w:val="multilevel"/>
    <w:tmpl w:val="22C936FA"/>
    <w:lvl w:ilvl="0" w:tentative="0">
      <w:start w:val="1"/>
      <w:numFmt w:val="decimal"/>
      <w:lvlText w:val="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40E69C0"/>
    <w:multiLevelType w:val="multilevel"/>
    <w:tmpl w:val="240E69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6E3138B"/>
    <w:multiLevelType w:val="multilevel"/>
    <w:tmpl w:val="26E3138B"/>
    <w:lvl w:ilvl="0" w:tentative="0">
      <w:start w:val="1"/>
      <w:numFmt w:val="decimal"/>
      <w:lvlText w:val="2.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7F81926"/>
    <w:multiLevelType w:val="multilevel"/>
    <w:tmpl w:val="27F8192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28A62B46"/>
    <w:multiLevelType w:val="multilevel"/>
    <w:tmpl w:val="28A62B46"/>
    <w:lvl w:ilvl="0" w:tentative="0">
      <w:start w:val="1"/>
      <w:numFmt w:val="decimal"/>
      <w:lvlText w:val="2.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A7465C9"/>
    <w:multiLevelType w:val="multilevel"/>
    <w:tmpl w:val="2A7465C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CF97CD0"/>
    <w:multiLevelType w:val="multilevel"/>
    <w:tmpl w:val="2CF97CD0"/>
    <w:lvl w:ilvl="0" w:tentative="0">
      <w:start w:val="38"/>
      <w:numFmt w:val="decimal"/>
      <w:lvlText w:val="（%1）"/>
      <w:lvlJc w:val="left"/>
      <w:pPr>
        <w:ind w:left="1144" w:hanging="7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4">
    <w:nsid w:val="2E9535EC"/>
    <w:multiLevelType w:val="multilevel"/>
    <w:tmpl w:val="2E9535EC"/>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38AC5990"/>
    <w:multiLevelType w:val="multilevel"/>
    <w:tmpl w:val="38AC5990"/>
    <w:lvl w:ilvl="0" w:tentative="0">
      <w:start w:val="1"/>
      <w:numFmt w:val="decimal"/>
      <w:lvlText w:val="%1"/>
      <w:lvlJc w:val="left"/>
      <w:pPr>
        <w:ind w:left="425" w:hanging="425"/>
      </w:pPr>
      <w:rPr>
        <w:rFonts w:hint="default"/>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6">
    <w:nsid w:val="3AE94E7B"/>
    <w:multiLevelType w:val="multilevel"/>
    <w:tmpl w:val="3AE94E7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3D4416DA"/>
    <w:multiLevelType w:val="multilevel"/>
    <w:tmpl w:val="3D4416DA"/>
    <w:lvl w:ilvl="0" w:tentative="0">
      <w:start w:val="1"/>
      <w:numFmt w:val="decimal"/>
      <w:lvlText w:val="%1"/>
      <w:lvlJc w:val="left"/>
      <w:pPr>
        <w:ind w:left="425" w:hanging="425"/>
      </w:pPr>
      <w:rPr>
        <w:rFonts w:hint="eastAsia"/>
      </w:rPr>
    </w:lvl>
    <w:lvl w:ilvl="1" w:tentative="0">
      <w:start w:val="1"/>
      <w:numFmt w:val="decimal"/>
      <w:lvlText w:val="2.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3.%4"/>
      <w:lvlJc w:val="left"/>
      <w:pPr>
        <w:ind w:left="1984" w:hanging="708"/>
      </w:pPr>
      <w:rPr>
        <w:rFonts w:hint="eastAsia"/>
        <w:b w:val="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42057BDF"/>
    <w:multiLevelType w:val="multilevel"/>
    <w:tmpl w:val="42057BDF"/>
    <w:lvl w:ilvl="0" w:tentative="0">
      <w:start w:val="1"/>
      <w:numFmt w:val="decimal"/>
      <w:lvlText w:val="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5980B6B"/>
    <w:multiLevelType w:val="multilevel"/>
    <w:tmpl w:val="45980B6B"/>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5EB02E7"/>
    <w:multiLevelType w:val="multilevel"/>
    <w:tmpl w:val="45EB02E7"/>
    <w:lvl w:ilvl="0" w:tentative="0">
      <w:start w:val="1"/>
      <w:numFmt w:val="decimalEnclosedParen"/>
      <w:lvlText w:val="%1"/>
      <w:lvlJc w:val="left"/>
      <w:pPr>
        <w:ind w:left="360" w:hanging="360"/>
      </w:pPr>
      <w:rPr>
        <w:rFonts w:hint="default" w:ascii="宋体"/>
        <w:sz w:val="22"/>
        <w:u w:val="singl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22">
    <w:nsid w:val="497E2EDB"/>
    <w:multiLevelType w:val="multilevel"/>
    <w:tmpl w:val="497E2EDB"/>
    <w:lvl w:ilvl="0" w:tentative="0">
      <w:start w:val="1"/>
      <w:numFmt w:val="decimal"/>
      <w:lvlText w:val="2.%1"/>
      <w:lvlJc w:val="left"/>
      <w:pPr>
        <w:ind w:left="845" w:hanging="420"/>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3">
    <w:nsid w:val="4B24689D"/>
    <w:multiLevelType w:val="multilevel"/>
    <w:tmpl w:val="4B24689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553810DD"/>
    <w:multiLevelType w:val="multilevel"/>
    <w:tmpl w:val="553810D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5433DC1"/>
    <w:multiLevelType w:val="multilevel"/>
    <w:tmpl w:val="55433DC1"/>
    <w:lvl w:ilvl="0" w:tentative="0">
      <w:start w:val="1"/>
      <w:numFmt w:val="decimal"/>
      <w:lvlText w:val="%1"/>
      <w:lvlJc w:val="left"/>
      <w:pPr>
        <w:ind w:left="425" w:hanging="425"/>
      </w:pPr>
    </w:lvl>
    <w:lvl w:ilvl="1" w:tentative="0">
      <w:start w:val="1"/>
      <w:numFmt w:val="decimal"/>
      <w:lvlText w:val="2.1.%2"/>
      <w:lvlJc w:val="left"/>
      <w:pPr>
        <w:ind w:left="992" w:hanging="567"/>
      </w:pPr>
      <w:rPr>
        <w:rFonts w:hint="eastAsia"/>
      </w:rPr>
    </w:lvl>
    <w:lvl w:ilvl="2" w:tentative="0">
      <w:start w:val="1"/>
      <w:numFmt w:val="decimal"/>
      <w:lvlText w:val="2.7.%3"/>
      <w:lvlJc w:val="left"/>
      <w:pPr>
        <w:ind w:left="1418" w:hanging="567"/>
      </w:pPr>
      <w:rPr>
        <w:rFonts w:hint="eastAsia"/>
      </w:rPr>
    </w:lvl>
    <w:lvl w:ilvl="3" w:tentative="0">
      <w:start w:val="1"/>
      <w:numFmt w:val="decimal"/>
      <w:lvlText w:val="2.7.6.%4"/>
      <w:lvlJc w:val="left"/>
      <w:pPr>
        <w:ind w:left="1984" w:hanging="708"/>
      </w:pPr>
      <w:rPr>
        <w:rFonts w:hint="eastAsia"/>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6">
    <w:nsid w:val="594F6210"/>
    <w:multiLevelType w:val="multilevel"/>
    <w:tmpl w:val="594F6210"/>
    <w:lvl w:ilvl="0" w:tentative="0">
      <w:start w:val="1"/>
      <w:numFmt w:val="decimal"/>
      <w:lvlText w:val="4.2.%1"/>
      <w:lvlJc w:val="left"/>
      <w:pPr>
        <w:ind w:left="420" w:hanging="420"/>
      </w:pPr>
      <w:rPr>
        <w:rFonts w:hint="eastAsia"/>
      </w:rPr>
    </w:lvl>
    <w:lvl w:ilvl="1" w:tentative="0">
      <w:start w:val="1"/>
      <w:numFmt w:val="decimal"/>
      <w:lvlText w:val="4.2.3.%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59DC2552"/>
    <w:multiLevelType w:val="multilevel"/>
    <w:tmpl w:val="59DC2552"/>
    <w:lvl w:ilvl="0" w:tentative="0">
      <w:start w:val="1"/>
      <w:numFmt w:val="decimal"/>
      <w:lvlText w:val="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1CE6163"/>
    <w:multiLevelType w:val="multilevel"/>
    <w:tmpl w:val="61CE6163"/>
    <w:lvl w:ilvl="0" w:tentative="0">
      <w:start w:val="1"/>
      <w:numFmt w:val="decimal"/>
      <w:lvlText w:val="2.8.%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640B4283"/>
    <w:multiLevelType w:val="multilevel"/>
    <w:tmpl w:val="640B4283"/>
    <w:lvl w:ilvl="0" w:tentative="0">
      <w:start w:val="1"/>
      <w:numFmt w:val="decimal"/>
      <w:lvlText w:val="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820572D"/>
    <w:multiLevelType w:val="multilevel"/>
    <w:tmpl w:val="6820572D"/>
    <w:lvl w:ilvl="0" w:tentative="0">
      <w:start w:val="1"/>
      <w:numFmt w:val="decimal"/>
      <w:lvlText w:val="%1"/>
      <w:lvlJc w:val="left"/>
      <w:pPr>
        <w:ind w:left="425" w:hanging="425"/>
      </w:pPr>
    </w:lvl>
    <w:lvl w:ilvl="1" w:tentative="0">
      <w:start w:val="1"/>
      <w:numFmt w:val="decimal"/>
      <w:lvlText w:val="2.1.%2"/>
      <w:lvlJc w:val="left"/>
      <w:pPr>
        <w:ind w:left="992" w:hanging="567"/>
      </w:pPr>
      <w:rPr>
        <w:rFonts w:hint="eastAsia"/>
      </w:rPr>
    </w:lvl>
    <w:lvl w:ilvl="2" w:tentative="0">
      <w:start w:val="1"/>
      <w:numFmt w:val="decimal"/>
      <w:lvlText w:val="%1.%2.%3"/>
      <w:lvlJc w:val="left"/>
      <w:pPr>
        <w:ind w:left="1418" w:hanging="567"/>
      </w:pPr>
    </w:lvl>
    <w:lvl w:ilvl="3" w:tentative="0">
      <w:start w:val="1"/>
      <w:numFmt w:val="decimal"/>
      <w:lvlText w:val="2.8.1.%4."/>
      <w:lvlJc w:val="left"/>
      <w:pPr>
        <w:ind w:left="1984" w:hanging="708"/>
      </w:pPr>
      <w:rPr>
        <w:rFonts w:hint="eastAsia"/>
        <w:b w:val="0"/>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1">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abstractNum w:abstractNumId="32">
    <w:nsid w:val="712D23B3"/>
    <w:multiLevelType w:val="multilevel"/>
    <w:tmpl w:val="712D23B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7ACB1603"/>
    <w:multiLevelType w:val="multilevel"/>
    <w:tmpl w:val="7ACB1603"/>
    <w:lvl w:ilvl="0" w:tentative="0">
      <w:start w:val="1"/>
      <w:numFmt w:val="decimal"/>
      <w:lvlText w:val="2.8.4.1.%1."/>
      <w:lvlJc w:val="left"/>
      <w:pPr>
        <w:ind w:left="420" w:hanging="420"/>
      </w:pPr>
      <w:rPr>
        <w:rFonts w:hint="eastAsia"/>
        <w:b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
  </w:num>
  <w:num w:numId="2">
    <w:abstractNumId w:val="21"/>
  </w:num>
  <w:num w:numId="3">
    <w:abstractNumId w:val="16"/>
  </w:num>
  <w:num w:numId="4">
    <w:abstractNumId w:val="15"/>
  </w:num>
  <w:num w:numId="5">
    <w:abstractNumId w:val="13"/>
  </w:num>
  <w:num w:numId="6">
    <w:abstractNumId w:val="22"/>
  </w:num>
  <w:num w:numId="7">
    <w:abstractNumId w:val="7"/>
  </w:num>
  <w:num w:numId="8">
    <w:abstractNumId w:val="18"/>
  </w:num>
  <w:num w:numId="9">
    <w:abstractNumId w:val="27"/>
  </w:num>
  <w:num w:numId="10">
    <w:abstractNumId w:val="5"/>
  </w:num>
  <w:num w:numId="11">
    <w:abstractNumId w:val="6"/>
  </w:num>
  <w:num w:numId="12">
    <w:abstractNumId w:val="32"/>
  </w:num>
  <w:num w:numId="13">
    <w:abstractNumId w:val="29"/>
  </w:num>
  <w:num w:numId="14">
    <w:abstractNumId w:val="11"/>
  </w:num>
  <w:num w:numId="15">
    <w:abstractNumId w:val="9"/>
  </w:num>
  <w:num w:numId="16">
    <w:abstractNumId w:val="3"/>
  </w:num>
  <w:num w:numId="17">
    <w:abstractNumId w:val="25"/>
  </w:num>
  <w:num w:numId="18">
    <w:abstractNumId w:val="28"/>
  </w:num>
  <w:num w:numId="19">
    <w:abstractNumId w:val="10"/>
  </w:num>
  <w:num w:numId="20">
    <w:abstractNumId w:val="8"/>
  </w:num>
  <w:num w:numId="21">
    <w:abstractNumId w:val="24"/>
  </w:num>
  <w:num w:numId="22">
    <w:abstractNumId w:val="30"/>
  </w:num>
  <w:num w:numId="23">
    <w:abstractNumId w:val="12"/>
  </w:num>
  <w:num w:numId="24">
    <w:abstractNumId w:val="28"/>
    <w:lvlOverride w:ilvl="0">
      <w:lvl w:ilvl="0" w:tentative="1">
        <w:start w:val="1"/>
        <w:numFmt w:val="decimal"/>
        <w:lvlText w:val="2.8.%1"/>
        <w:lvlJc w:val="left"/>
        <w:pPr>
          <w:ind w:left="420" w:hanging="420"/>
        </w:pPr>
        <w:rPr>
          <w:rFonts w:hint="eastAsia"/>
        </w:rPr>
      </w:lvl>
    </w:lvlOverride>
    <w:lvlOverride w:ilvl="1">
      <w:lvl w:ilvl="1" w:tentative="1">
        <w:start w:val="1"/>
        <w:numFmt w:val="decimal"/>
        <w:lvlText w:val="2.8.%1.%2"/>
        <w:lvlJc w:val="left"/>
        <w:pPr>
          <w:ind w:left="840" w:hanging="420"/>
        </w:pPr>
        <w:rPr>
          <w:rFonts w:hint="eastAsia"/>
        </w:rPr>
      </w:lvl>
    </w:lvlOverride>
    <w:lvlOverride w:ilvl="2">
      <w:lvl w:ilvl="2" w:tentative="1">
        <w:start w:val="1"/>
        <w:numFmt w:val="decimal"/>
        <w:lvlText w:val="2.8.%1.%2.%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25">
    <w:abstractNumId w:val="4"/>
  </w:num>
  <w:num w:numId="26">
    <w:abstractNumId w:val="2"/>
  </w:num>
  <w:num w:numId="27">
    <w:abstractNumId w:val="33"/>
  </w:num>
  <w:num w:numId="28">
    <w:abstractNumId w:val="23"/>
  </w:num>
  <w:num w:numId="29">
    <w:abstractNumId w:val="20"/>
  </w:num>
  <w:num w:numId="30">
    <w:abstractNumId w:val="14"/>
  </w:num>
  <w:num w:numId="31">
    <w:abstractNumId w:val="17"/>
  </w:num>
  <w:num w:numId="32">
    <w:abstractNumId w:val="26"/>
  </w:num>
  <w:num w:numId="33">
    <w:abstractNumId w:val="19"/>
  </w:num>
  <w:num w:numId="34">
    <w:abstractNumId w:val="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00E80"/>
    <w:rsid w:val="000058BC"/>
    <w:rsid w:val="00012393"/>
    <w:rsid w:val="00012A40"/>
    <w:rsid w:val="00020CF4"/>
    <w:rsid w:val="00023E7F"/>
    <w:rsid w:val="000245C5"/>
    <w:rsid w:val="00027904"/>
    <w:rsid w:val="0004694D"/>
    <w:rsid w:val="00055D80"/>
    <w:rsid w:val="0006294D"/>
    <w:rsid w:val="00062AB3"/>
    <w:rsid w:val="00073600"/>
    <w:rsid w:val="00086282"/>
    <w:rsid w:val="000A5414"/>
    <w:rsid w:val="000C1A1E"/>
    <w:rsid w:val="000C2637"/>
    <w:rsid w:val="000C353A"/>
    <w:rsid w:val="000C68D6"/>
    <w:rsid w:val="000D1A3C"/>
    <w:rsid w:val="000E2BD3"/>
    <w:rsid w:val="000E3907"/>
    <w:rsid w:val="000F410D"/>
    <w:rsid w:val="00107BF6"/>
    <w:rsid w:val="00134169"/>
    <w:rsid w:val="001508E0"/>
    <w:rsid w:val="00151F0A"/>
    <w:rsid w:val="001629EA"/>
    <w:rsid w:val="00165BC1"/>
    <w:rsid w:val="00165F2A"/>
    <w:rsid w:val="00186108"/>
    <w:rsid w:val="001A3866"/>
    <w:rsid w:val="001A6A2F"/>
    <w:rsid w:val="001B20D6"/>
    <w:rsid w:val="001B6A66"/>
    <w:rsid w:val="001B7845"/>
    <w:rsid w:val="001C24D5"/>
    <w:rsid w:val="001C410B"/>
    <w:rsid w:val="001D526A"/>
    <w:rsid w:val="001F17C5"/>
    <w:rsid w:val="001F3700"/>
    <w:rsid w:val="00200D6C"/>
    <w:rsid w:val="00201C40"/>
    <w:rsid w:val="00201D62"/>
    <w:rsid w:val="00206AB1"/>
    <w:rsid w:val="0021318F"/>
    <w:rsid w:val="00230EC1"/>
    <w:rsid w:val="002412CD"/>
    <w:rsid w:val="002575D5"/>
    <w:rsid w:val="002701A5"/>
    <w:rsid w:val="002717A8"/>
    <w:rsid w:val="00274401"/>
    <w:rsid w:val="0027514E"/>
    <w:rsid w:val="0028019C"/>
    <w:rsid w:val="00285B56"/>
    <w:rsid w:val="002A1620"/>
    <w:rsid w:val="002A1C2B"/>
    <w:rsid w:val="002A4AD4"/>
    <w:rsid w:val="002A4D65"/>
    <w:rsid w:val="002A75A5"/>
    <w:rsid w:val="002A77AC"/>
    <w:rsid w:val="002B120D"/>
    <w:rsid w:val="002B208B"/>
    <w:rsid w:val="002C183A"/>
    <w:rsid w:val="002D617A"/>
    <w:rsid w:val="002D6190"/>
    <w:rsid w:val="002E3124"/>
    <w:rsid w:val="002F3339"/>
    <w:rsid w:val="00302FF0"/>
    <w:rsid w:val="003102FB"/>
    <w:rsid w:val="0032059D"/>
    <w:rsid w:val="00330F1B"/>
    <w:rsid w:val="00332E30"/>
    <w:rsid w:val="003357E4"/>
    <w:rsid w:val="0033650E"/>
    <w:rsid w:val="00336BEE"/>
    <w:rsid w:val="0034656E"/>
    <w:rsid w:val="00352052"/>
    <w:rsid w:val="00356B44"/>
    <w:rsid w:val="00360B52"/>
    <w:rsid w:val="00373C6A"/>
    <w:rsid w:val="0037775E"/>
    <w:rsid w:val="0037777A"/>
    <w:rsid w:val="0038058B"/>
    <w:rsid w:val="00382832"/>
    <w:rsid w:val="00386579"/>
    <w:rsid w:val="003975F4"/>
    <w:rsid w:val="003A47B0"/>
    <w:rsid w:val="003A6C2C"/>
    <w:rsid w:val="003A7B6F"/>
    <w:rsid w:val="003B11CE"/>
    <w:rsid w:val="003B1281"/>
    <w:rsid w:val="003B2679"/>
    <w:rsid w:val="003B5317"/>
    <w:rsid w:val="003B541D"/>
    <w:rsid w:val="003C50EA"/>
    <w:rsid w:val="003C5627"/>
    <w:rsid w:val="003C5E00"/>
    <w:rsid w:val="003D152F"/>
    <w:rsid w:val="003D5584"/>
    <w:rsid w:val="003E2E52"/>
    <w:rsid w:val="003F595C"/>
    <w:rsid w:val="003F63BD"/>
    <w:rsid w:val="003F78E0"/>
    <w:rsid w:val="00402DCB"/>
    <w:rsid w:val="0040454D"/>
    <w:rsid w:val="004256C9"/>
    <w:rsid w:val="00430495"/>
    <w:rsid w:val="00440270"/>
    <w:rsid w:val="00441FAE"/>
    <w:rsid w:val="0044426E"/>
    <w:rsid w:val="00446CEF"/>
    <w:rsid w:val="0044732E"/>
    <w:rsid w:val="0046019E"/>
    <w:rsid w:val="00467501"/>
    <w:rsid w:val="00477166"/>
    <w:rsid w:val="004879DE"/>
    <w:rsid w:val="0049101C"/>
    <w:rsid w:val="00491BDF"/>
    <w:rsid w:val="004953BE"/>
    <w:rsid w:val="00495F37"/>
    <w:rsid w:val="00495F70"/>
    <w:rsid w:val="004A3594"/>
    <w:rsid w:val="004A4B0C"/>
    <w:rsid w:val="004A5119"/>
    <w:rsid w:val="004B4165"/>
    <w:rsid w:val="004C0CB2"/>
    <w:rsid w:val="004E1DB5"/>
    <w:rsid w:val="004E6C2F"/>
    <w:rsid w:val="0050170C"/>
    <w:rsid w:val="00513429"/>
    <w:rsid w:val="00515F12"/>
    <w:rsid w:val="00527F47"/>
    <w:rsid w:val="00533C18"/>
    <w:rsid w:val="005405B9"/>
    <w:rsid w:val="0054356E"/>
    <w:rsid w:val="00572743"/>
    <w:rsid w:val="00573A15"/>
    <w:rsid w:val="005B30E5"/>
    <w:rsid w:val="005D1A7E"/>
    <w:rsid w:val="005D7BE7"/>
    <w:rsid w:val="005E5A08"/>
    <w:rsid w:val="005E793E"/>
    <w:rsid w:val="005F5996"/>
    <w:rsid w:val="0060764F"/>
    <w:rsid w:val="00610BC7"/>
    <w:rsid w:val="00616E31"/>
    <w:rsid w:val="006218A9"/>
    <w:rsid w:val="00630845"/>
    <w:rsid w:val="006402DD"/>
    <w:rsid w:val="00655E3C"/>
    <w:rsid w:val="00663731"/>
    <w:rsid w:val="006645F1"/>
    <w:rsid w:val="00671B99"/>
    <w:rsid w:val="006744E6"/>
    <w:rsid w:val="00674C42"/>
    <w:rsid w:val="006969CD"/>
    <w:rsid w:val="006A55BA"/>
    <w:rsid w:val="006A7436"/>
    <w:rsid w:val="006B59B8"/>
    <w:rsid w:val="006C1092"/>
    <w:rsid w:val="006C12D2"/>
    <w:rsid w:val="006D481B"/>
    <w:rsid w:val="006E6DEA"/>
    <w:rsid w:val="006E7272"/>
    <w:rsid w:val="006F0D40"/>
    <w:rsid w:val="006F4DFE"/>
    <w:rsid w:val="006F7F9E"/>
    <w:rsid w:val="0070644E"/>
    <w:rsid w:val="00714065"/>
    <w:rsid w:val="00720DEA"/>
    <w:rsid w:val="00724D69"/>
    <w:rsid w:val="00727B88"/>
    <w:rsid w:val="00733617"/>
    <w:rsid w:val="00735E18"/>
    <w:rsid w:val="007407A1"/>
    <w:rsid w:val="00743662"/>
    <w:rsid w:val="007525D7"/>
    <w:rsid w:val="00757BEA"/>
    <w:rsid w:val="00762447"/>
    <w:rsid w:val="00766F25"/>
    <w:rsid w:val="00790BCE"/>
    <w:rsid w:val="007940D3"/>
    <w:rsid w:val="007A2629"/>
    <w:rsid w:val="007A76C4"/>
    <w:rsid w:val="007B2E30"/>
    <w:rsid w:val="007B767A"/>
    <w:rsid w:val="007C0E91"/>
    <w:rsid w:val="007C1005"/>
    <w:rsid w:val="007D2F7F"/>
    <w:rsid w:val="007D554B"/>
    <w:rsid w:val="007E012A"/>
    <w:rsid w:val="007E66FE"/>
    <w:rsid w:val="007E6F4C"/>
    <w:rsid w:val="007E7D0C"/>
    <w:rsid w:val="007F3E3F"/>
    <w:rsid w:val="007F4461"/>
    <w:rsid w:val="007F739C"/>
    <w:rsid w:val="00802325"/>
    <w:rsid w:val="008159EC"/>
    <w:rsid w:val="008171B0"/>
    <w:rsid w:val="00847BE5"/>
    <w:rsid w:val="00850CC7"/>
    <w:rsid w:val="0085195A"/>
    <w:rsid w:val="00863CA0"/>
    <w:rsid w:val="0087365C"/>
    <w:rsid w:val="008743C7"/>
    <w:rsid w:val="0087683E"/>
    <w:rsid w:val="00880502"/>
    <w:rsid w:val="0088066B"/>
    <w:rsid w:val="008C19EE"/>
    <w:rsid w:val="008C1C38"/>
    <w:rsid w:val="008C69CF"/>
    <w:rsid w:val="008F0714"/>
    <w:rsid w:val="008F319A"/>
    <w:rsid w:val="008F5828"/>
    <w:rsid w:val="00902C2A"/>
    <w:rsid w:val="00912983"/>
    <w:rsid w:val="0091359B"/>
    <w:rsid w:val="00926731"/>
    <w:rsid w:val="009267CD"/>
    <w:rsid w:val="009269E2"/>
    <w:rsid w:val="0093277E"/>
    <w:rsid w:val="00934066"/>
    <w:rsid w:val="00937502"/>
    <w:rsid w:val="0095254F"/>
    <w:rsid w:val="00954CED"/>
    <w:rsid w:val="00955A42"/>
    <w:rsid w:val="00957224"/>
    <w:rsid w:val="00966220"/>
    <w:rsid w:val="009712CC"/>
    <w:rsid w:val="0097495F"/>
    <w:rsid w:val="00976C4A"/>
    <w:rsid w:val="009779BE"/>
    <w:rsid w:val="00985C4E"/>
    <w:rsid w:val="00990D80"/>
    <w:rsid w:val="009922DD"/>
    <w:rsid w:val="009B3E22"/>
    <w:rsid w:val="009B7AAE"/>
    <w:rsid w:val="009C1DB8"/>
    <w:rsid w:val="009C2AC4"/>
    <w:rsid w:val="009C684B"/>
    <w:rsid w:val="009D341F"/>
    <w:rsid w:val="009D6D3A"/>
    <w:rsid w:val="009E4A8F"/>
    <w:rsid w:val="009F3459"/>
    <w:rsid w:val="009F3EC0"/>
    <w:rsid w:val="00A0075F"/>
    <w:rsid w:val="00A2703D"/>
    <w:rsid w:val="00A30B75"/>
    <w:rsid w:val="00A32734"/>
    <w:rsid w:val="00A32E67"/>
    <w:rsid w:val="00A4025E"/>
    <w:rsid w:val="00A452E7"/>
    <w:rsid w:val="00A45DA7"/>
    <w:rsid w:val="00A5438F"/>
    <w:rsid w:val="00A54A5B"/>
    <w:rsid w:val="00A63234"/>
    <w:rsid w:val="00A63AC0"/>
    <w:rsid w:val="00A71B90"/>
    <w:rsid w:val="00A730CA"/>
    <w:rsid w:val="00A83E88"/>
    <w:rsid w:val="00A9419F"/>
    <w:rsid w:val="00A95397"/>
    <w:rsid w:val="00AA01B8"/>
    <w:rsid w:val="00AA1B11"/>
    <w:rsid w:val="00AA5789"/>
    <w:rsid w:val="00AA72CA"/>
    <w:rsid w:val="00AA78AC"/>
    <w:rsid w:val="00AC734B"/>
    <w:rsid w:val="00AD4154"/>
    <w:rsid w:val="00AD57F4"/>
    <w:rsid w:val="00AE1EA1"/>
    <w:rsid w:val="00AF476B"/>
    <w:rsid w:val="00AF6363"/>
    <w:rsid w:val="00B022EA"/>
    <w:rsid w:val="00B16990"/>
    <w:rsid w:val="00B17ECB"/>
    <w:rsid w:val="00B22533"/>
    <w:rsid w:val="00B24802"/>
    <w:rsid w:val="00B329BD"/>
    <w:rsid w:val="00B37337"/>
    <w:rsid w:val="00B377A4"/>
    <w:rsid w:val="00B42F4C"/>
    <w:rsid w:val="00B70F03"/>
    <w:rsid w:val="00B71A88"/>
    <w:rsid w:val="00B76041"/>
    <w:rsid w:val="00B80D31"/>
    <w:rsid w:val="00B9395C"/>
    <w:rsid w:val="00BB0576"/>
    <w:rsid w:val="00BB0F0E"/>
    <w:rsid w:val="00BB3724"/>
    <w:rsid w:val="00BB4261"/>
    <w:rsid w:val="00BC27D1"/>
    <w:rsid w:val="00BC34B0"/>
    <w:rsid w:val="00BC5054"/>
    <w:rsid w:val="00BD47D0"/>
    <w:rsid w:val="00BD57C8"/>
    <w:rsid w:val="00BD644E"/>
    <w:rsid w:val="00BF5473"/>
    <w:rsid w:val="00C03AFE"/>
    <w:rsid w:val="00C05497"/>
    <w:rsid w:val="00C100E7"/>
    <w:rsid w:val="00C20928"/>
    <w:rsid w:val="00C22AEA"/>
    <w:rsid w:val="00C246C1"/>
    <w:rsid w:val="00C4144C"/>
    <w:rsid w:val="00C45FE2"/>
    <w:rsid w:val="00C46477"/>
    <w:rsid w:val="00C5241B"/>
    <w:rsid w:val="00C52E14"/>
    <w:rsid w:val="00C53F93"/>
    <w:rsid w:val="00C56608"/>
    <w:rsid w:val="00C67642"/>
    <w:rsid w:val="00C71A83"/>
    <w:rsid w:val="00C728EC"/>
    <w:rsid w:val="00C7369B"/>
    <w:rsid w:val="00C767D4"/>
    <w:rsid w:val="00C80B2E"/>
    <w:rsid w:val="00C8408C"/>
    <w:rsid w:val="00C876F2"/>
    <w:rsid w:val="00C87B22"/>
    <w:rsid w:val="00CA5BC9"/>
    <w:rsid w:val="00CA6846"/>
    <w:rsid w:val="00CB61F6"/>
    <w:rsid w:val="00CC232E"/>
    <w:rsid w:val="00CD1804"/>
    <w:rsid w:val="00CD2C30"/>
    <w:rsid w:val="00CD3BAE"/>
    <w:rsid w:val="00CD497B"/>
    <w:rsid w:val="00CD5EE5"/>
    <w:rsid w:val="00CE118F"/>
    <w:rsid w:val="00CE1CB9"/>
    <w:rsid w:val="00CF009C"/>
    <w:rsid w:val="00CF2AB2"/>
    <w:rsid w:val="00CF2B72"/>
    <w:rsid w:val="00CF7EDE"/>
    <w:rsid w:val="00D01048"/>
    <w:rsid w:val="00D03F17"/>
    <w:rsid w:val="00D045B7"/>
    <w:rsid w:val="00D05B42"/>
    <w:rsid w:val="00D10114"/>
    <w:rsid w:val="00D12C7B"/>
    <w:rsid w:val="00D13E56"/>
    <w:rsid w:val="00D174FA"/>
    <w:rsid w:val="00D341CA"/>
    <w:rsid w:val="00D37FAB"/>
    <w:rsid w:val="00D54FD2"/>
    <w:rsid w:val="00D573E7"/>
    <w:rsid w:val="00D660ED"/>
    <w:rsid w:val="00D73D20"/>
    <w:rsid w:val="00D7519E"/>
    <w:rsid w:val="00D81B44"/>
    <w:rsid w:val="00D82589"/>
    <w:rsid w:val="00D85BFF"/>
    <w:rsid w:val="00D86F4A"/>
    <w:rsid w:val="00D92469"/>
    <w:rsid w:val="00D9735E"/>
    <w:rsid w:val="00DA6B9B"/>
    <w:rsid w:val="00DC0A9E"/>
    <w:rsid w:val="00DC36E2"/>
    <w:rsid w:val="00DC74BB"/>
    <w:rsid w:val="00DD0861"/>
    <w:rsid w:val="00DD64D6"/>
    <w:rsid w:val="00DE06F4"/>
    <w:rsid w:val="00DE2967"/>
    <w:rsid w:val="00DE346A"/>
    <w:rsid w:val="00DF068A"/>
    <w:rsid w:val="00DF1541"/>
    <w:rsid w:val="00DF2625"/>
    <w:rsid w:val="00DF6E04"/>
    <w:rsid w:val="00E01B62"/>
    <w:rsid w:val="00E03BF6"/>
    <w:rsid w:val="00E05A83"/>
    <w:rsid w:val="00E06EA0"/>
    <w:rsid w:val="00E14214"/>
    <w:rsid w:val="00E176D2"/>
    <w:rsid w:val="00E211FA"/>
    <w:rsid w:val="00E21FA4"/>
    <w:rsid w:val="00E2530F"/>
    <w:rsid w:val="00E27566"/>
    <w:rsid w:val="00E319E7"/>
    <w:rsid w:val="00E32276"/>
    <w:rsid w:val="00E416E9"/>
    <w:rsid w:val="00E460DC"/>
    <w:rsid w:val="00E6610A"/>
    <w:rsid w:val="00E728AE"/>
    <w:rsid w:val="00E80025"/>
    <w:rsid w:val="00E8253A"/>
    <w:rsid w:val="00E92694"/>
    <w:rsid w:val="00E9718C"/>
    <w:rsid w:val="00EA10EF"/>
    <w:rsid w:val="00EA4CF9"/>
    <w:rsid w:val="00EB291A"/>
    <w:rsid w:val="00EB5418"/>
    <w:rsid w:val="00ED1C77"/>
    <w:rsid w:val="00EE41D1"/>
    <w:rsid w:val="00EF2797"/>
    <w:rsid w:val="00EF5354"/>
    <w:rsid w:val="00F064AE"/>
    <w:rsid w:val="00F11BAB"/>
    <w:rsid w:val="00F127FF"/>
    <w:rsid w:val="00F145C4"/>
    <w:rsid w:val="00F23F9C"/>
    <w:rsid w:val="00F273EA"/>
    <w:rsid w:val="00F33324"/>
    <w:rsid w:val="00F508A1"/>
    <w:rsid w:val="00F50BB3"/>
    <w:rsid w:val="00F5255A"/>
    <w:rsid w:val="00F54461"/>
    <w:rsid w:val="00F653AB"/>
    <w:rsid w:val="00F70044"/>
    <w:rsid w:val="00F71417"/>
    <w:rsid w:val="00F75D85"/>
    <w:rsid w:val="00FA410A"/>
    <w:rsid w:val="00FA5FF5"/>
    <w:rsid w:val="00FA6E7D"/>
    <w:rsid w:val="00FB182B"/>
    <w:rsid w:val="00FB1A09"/>
    <w:rsid w:val="00FB5981"/>
    <w:rsid w:val="00FD060A"/>
    <w:rsid w:val="00FD06E7"/>
    <w:rsid w:val="00FD3F61"/>
    <w:rsid w:val="00FE6AE5"/>
    <w:rsid w:val="00FF51D0"/>
    <w:rsid w:val="01935887"/>
    <w:rsid w:val="04CC341D"/>
    <w:rsid w:val="05137CD7"/>
    <w:rsid w:val="05951D14"/>
    <w:rsid w:val="060B26E0"/>
    <w:rsid w:val="06180769"/>
    <w:rsid w:val="09735664"/>
    <w:rsid w:val="09FD456F"/>
    <w:rsid w:val="0A6172EF"/>
    <w:rsid w:val="0AB162CF"/>
    <w:rsid w:val="0C1E2BA0"/>
    <w:rsid w:val="0C765CB2"/>
    <w:rsid w:val="0E970358"/>
    <w:rsid w:val="10392EAE"/>
    <w:rsid w:val="10706EC2"/>
    <w:rsid w:val="12807280"/>
    <w:rsid w:val="13A74261"/>
    <w:rsid w:val="148463E6"/>
    <w:rsid w:val="14D20D9B"/>
    <w:rsid w:val="15A72BED"/>
    <w:rsid w:val="1621170E"/>
    <w:rsid w:val="16903399"/>
    <w:rsid w:val="18B91D2B"/>
    <w:rsid w:val="18C40414"/>
    <w:rsid w:val="1A6A6D44"/>
    <w:rsid w:val="1A817123"/>
    <w:rsid w:val="1A8E3A4E"/>
    <w:rsid w:val="1AC712CA"/>
    <w:rsid w:val="1AF736A3"/>
    <w:rsid w:val="1C0363A2"/>
    <w:rsid w:val="1C093ECB"/>
    <w:rsid w:val="1C26707D"/>
    <w:rsid w:val="1CE4433A"/>
    <w:rsid w:val="1EE84AA8"/>
    <w:rsid w:val="212D37C7"/>
    <w:rsid w:val="228447E5"/>
    <w:rsid w:val="23424F53"/>
    <w:rsid w:val="236E14E2"/>
    <w:rsid w:val="250E55A3"/>
    <w:rsid w:val="2751323E"/>
    <w:rsid w:val="29D148D0"/>
    <w:rsid w:val="2AC803DC"/>
    <w:rsid w:val="30143D85"/>
    <w:rsid w:val="31752B09"/>
    <w:rsid w:val="338B51E4"/>
    <w:rsid w:val="33D3510B"/>
    <w:rsid w:val="341548E3"/>
    <w:rsid w:val="35F0199E"/>
    <w:rsid w:val="374B7290"/>
    <w:rsid w:val="37712A39"/>
    <w:rsid w:val="39380477"/>
    <w:rsid w:val="395862BB"/>
    <w:rsid w:val="3992672C"/>
    <w:rsid w:val="3AE50133"/>
    <w:rsid w:val="3B345EA5"/>
    <w:rsid w:val="3BF00FE7"/>
    <w:rsid w:val="3C6278F9"/>
    <w:rsid w:val="3DB531EC"/>
    <w:rsid w:val="3DCD2427"/>
    <w:rsid w:val="3F6B3E70"/>
    <w:rsid w:val="3FCA700F"/>
    <w:rsid w:val="405A1654"/>
    <w:rsid w:val="410A4299"/>
    <w:rsid w:val="425D2FF7"/>
    <w:rsid w:val="43036342"/>
    <w:rsid w:val="44113009"/>
    <w:rsid w:val="4563730C"/>
    <w:rsid w:val="45953AB9"/>
    <w:rsid w:val="47AF47A3"/>
    <w:rsid w:val="48586DAC"/>
    <w:rsid w:val="48655597"/>
    <w:rsid w:val="48694FA0"/>
    <w:rsid w:val="488E768B"/>
    <w:rsid w:val="49F41D5E"/>
    <w:rsid w:val="4B1E31F7"/>
    <w:rsid w:val="4B816B47"/>
    <w:rsid w:val="4BCB3573"/>
    <w:rsid w:val="4CE75373"/>
    <w:rsid w:val="4E7441FB"/>
    <w:rsid w:val="4EAA1CE9"/>
    <w:rsid w:val="4FD0460B"/>
    <w:rsid w:val="515C6912"/>
    <w:rsid w:val="519F0EDF"/>
    <w:rsid w:val="534F6B27"/>
    <w:rsid w:val="53837659"/>
    <w:rsid w:val="56220332"/>
    <w:rsid w:val="566D4B95"/>
    <w:rsid w:val="572656D4"/>
    <w:rsid w:val="5727721E"/>
    <w:rsid w:val="59AD06A4"/>
    <w:rsid w:val="5A4D586D"/>
    <w:rsid w:val="5A6249B0"/>
    <w:rsid w:val="5D2F57FF"/>
    <w:rsid w:val="5EE84C68"/>
    <w:rsid w:val="60125300"/>
    <w:rsid w:val="621D5BA4"/>
    <w:rsid w:val="62D4544E"/>
    <w:rsid w:val="635B6748"/>
    <w:rsid w:val="638226CA"/>
    <w:rsid w:val="63947A95"/>
    <w:rsid w:val="66D22561"/>
    <w:rsid w:val="67B167D1"/>
    <w:rsid w:val="685F1C50"/>
    <w:rsid w:val="692444CB"/>
    <w:rsid w:val="699022E9"/>
    <w:rsid w:val="6A714498"/>
    <w:rsid w:val="6FAC1718"/>
    <w:rsid w:val="737A32A0"/>
    <w:rsid w:val="745919C6"/>
    <w:rsid w:val="74702A9A"/>
    <w:rsid w:val="761C2BBB"/>
    <w:rsid w:val="769C75C3"/>
    <w:rsid w:val="776A1DE8"/>
    <w:rsid w:val="785D00CA"/>
    <w:rsid w:val="7A72468A"/>
    <w:rsid w:val="7A9A6528"/>
    <w:rsid w:val="7C5813B5"/>
    <w:rsid w:val="7D7D7EB6"/>
    <w:rsid w:val="7D7F697F"/>
    <w:rsid w:val="7DDD6CEA"/>
    <w:rsid w:val="7E636E14"/>
    <w:rsid w:val="7FD45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35"/>
    <w:qFormat/>
    <w:uiPriority w:val="0"/>
    <w:pPr>
      <w:keepNext/>
      <w:keepLines/>
      <w:spacing w:before="280" w:after="290" w:line="374" w:lineRule="auto"/>
      <w:outlineLvl w:val="3"/>
    </w:pPr>
    <w:rPr>
      <w:rFonts w:ascii="Arial" w:hAnsi="Arial" w:eastAsia="黑体"/>
      <w:bCs/>
      <w:sz w:val="28"/>
      <w:szCs w:val="28"/>
    </w:rPr>
  </w:style>
  <w:style w:type="paragraph" w:styleId="7">
    <w:name w:val="heading 5"/>
    <w:basedOn w:val="1"/>
    <w:next w:val="1"/>
    <w:link w:val="36"/>
    <w:qFormat/>
    <w:uiPriority w:val="0"/>
    <w:pPr>
      <w:keepNext/>
      <w:keepLines/>
      <w:tabs>
        <w:tab w:val="left" w:pos="1008"/>
      </w:tabs>
      <w:spacing w:before="280" w:after="290" w:line="374" w:lineRule="auto"/>
      <w:ind w:left="1008" w:hanging="1008"/>
      <w:outlineLvl w:val="4"/>
    </w:pPr>
    <w:rPr>
      <w:bCs/>
      <w:sz w:val="28"/>
      <w:szCs w:val="28"/>
    </w:rPr>
  </w:style>
  <w:style w:type="paragraph" w:styleId="8">
    <w:name w:val="heading 6"/>
    <w:basedOn w:val="1"/>
    <w:next w:val="1"/>
    <w:link w:val="37"/>
    <w:qFormat/>
    <w:uiPriority w:val="0"/>
    <w:pPr>
      <w:keepNext/>
      <w:keepLines/>
      <w:tabs>
        <w:tab w:val="left" w:pos="1152"/>
      </w:tabs>
      <w:spacing w:before="240" w:after="64" w:line="319" w:lineRule="auto"/>
      <w:ind w:left="1152" w:hanging="1152"/>
      <w:outlineLvl w:val="5"/>
    </w:pPr>
    <w:rPr>
      <w:rFonts w:ascii="Arial" w:hAnsi="Arial" w:eastAsia="黑体" w:cs="Arial"/>
      <w:bCs/>
      <w:sz w:val="24"/>
    </w:rPr>
  </w:style>
  <w:style w:type="paragraph" w:styleId="9">
    <w:name w:val="heading 7"/>
    <w:basedOn w:val="1"/>
    <w:next w:val="1"/>
    <w:link w:val="38"/>
    <w:qFormat/>
    <w:uiPriority w:val="0"/>
    <w:pPr>
      <w:keepNext/>
      <w:keepLines/>
      <w:spacing w:before="240" w:after="64" w:line="319" w:lineRule="auto"/>
      <w:outlineLvl w:val="6"/>
    </w:pPr>
    <w:rPr>
      <w:bCs/>
      <w:sz w:val="24"/>
    </w:rPr>
  </w:style>
  <w:style w:type="paragraph" w:styleId="10">
    <w:name w:val="heading 8"/>
    <w:basedOn w:val="1"/>
    <w:next w:val="1"/>
    <w:link w:val="39"/>
    <w:qFormat/>
    <w:uiPriority w:val="0"/>
    <w:pPr>
      <w:keepNext/>
      <w:keepLines/>
      <w:tabs>
        <w:tab w:val="left" w:pos="1440"/>
      </w:tabs>
      <w:spacing w:before="240" w:after="64" w:line="319" w:lineRule="auto"/>
      <w:ind w:left="1440" w:hanging="1440"/>
      <w:outlineLvl w:val="7"/>
    </w:pPr>
    <w:rPr>
      <w:rFonts w:ascii="Arial" w:hAnsi="Arial" w:eastAsia="黑体" w:cs="Arial"/>
      <w:sz w:val="24"/>
    </w:rPr>
  </w:style>
  <w:style w:type="character" w:default="1" w:styleId="29">
    <w:name w:val="Default Paragraph Font"/>
    <w:semiHidden/>
    <w:unhideWhenUsed/>
    <w:uiPriority w:val="1"/>
  </w:style>
  <w:style w:type="table" w:default="1" w:styleId="27">
    <w:name w:val="Normal Table"/>
    <w:semiHidden/>
    <w:unhideWhenUsed/>
    <w:uiPriority w:val="99"/>
    <w:tblPr>
      <w:tblLayout w:type="fixed"/>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textAlignment w:val="baseline"/>
    </w:pPr>
    <w:rPr>
      <w:kern w:val="28"/>
      <w:szCs w:val="20"/>
    </w:rPr>
  </w:style>
  <w:style w:type="paragraph" w:styleId="11">
    <w:name w:val="List Number"/>
    <w:basedOn w:val="1"/>
    <w:qFormat/>
    <w:uiPriority w:val="0"/>
    <w:pPr>
      <w:numPr>
        <w:ilvl w:val="0"/>
        <w:numId w:val="1"/>
      </w:numPr>
    </w:pPr>
  </w:style>
  <w:style w:type="paragraph" w:styleId="12">
    <w:name w:val="Normal Indent"/>
    <w:basedOn w:val="1"/>
    <w:qFormat/>
    <w:uiPriority w:val="0"/>
    <w:pPr>
      <w:ind w:firstLine="420"/>
    </w:pPr>
    <w:rPr>
      <w:szCs w:val="20"/>
    </w:rPr>
  </w:style>
  <w:style w:type="paragraph" w:styleId="13">
    <w:name w:val="caption"/>
    <w:basedOn w:val="1"/>
    <w:next w:val="1"/>
    <w:qFormat/>
    <w:uiPriority w:val="0"/>
    <w:pPr>
      <w:spacing w:before="152" w:after="160"/>
    </w:pPr>
    <w:rPr>
      <w:rFonts w:ascii="Arial" w:hAnsi="Arial" w:eastAsia="黑体" w:cs="Arial"/>
      <w:sz w:val="20"/>
    </w:rPr>
  </w:style>
  <w:style w:type="paragraph" w:styleId="14">
    <w:name w:val="Document Map"/>
    <w:basedOn w:val="1"/>
    <w:link w:val="167"/>
    <w:semiHidden/>
    <w:unhideWhenUsed/>
    <w:uiPriority w:val="0"/>
    <w:rPr>
      <w:rFonts w:ascii="宋体"/>
      <w:sz w:val="18"/>
      <w:szCs w:val="18"/>
    </w:rPr>
  </w:style>
  <w:style w:type="paragraph" w:styleId="15">
    <w:name w:val="annotation text"/>
    <w:basedOn w:val="1"/>
    <w:link w:val="40"/>
    <w:qFormat/>
    <w:uiPriority w:val="0"/>
    <w:pPr>
      <w:jc w:val="left"/>
    </w:pPr>
  </w:style>
  <w:style w:type="paragraph" w:styleId="16">
    <w:name w:val="Body Text"/>
    <w:basedOn w:val="1"/>
    <w:link w:val="41"/>
    <w:qFormat/>
    <w:uiPriority w:val="99"/>
    <w:pPr>
      <w:spacing w:line="360" w:lineRule="exact"/>
    </w:pPr>
    <w:rPr>
      <w:sz w:val="24"/>
    </w:rPr>
  </w:style>
  <w:style w:type="paragraph" w:styleId="17">
    <w:name w:val="Body Text Indent"/>
    <w:basedOn w:val="1"/>
    <w:link w:val="42"/>
    <w:qFormat/>
    <w:uiPriority w:val="0"/>
    <w:pPr>
      <w:spacing w:after="120"/>
      <w:ind w:left="420" w:leftChars="200"/>
    </w:pPr>
  </w:style>
  <w:style w:type="paragraph" w:styleId="18">
    <w:name w:val="Plain Text"/>
    <w:basedOn w:val="1"/>
    <w:link w:val="43"/>
    <w:qFormat/>
    <w:uiPriority w:val="0"/>
    <w:rPr>
      <w:rFonts w:ascii="宋体" w:hAnsi="Courier New" w:cstheme="minorBidi"/>
    </w:rPr>
  </w:style>
  <w:style w:type="paragraph" w:styleId="19">
    <w:name w:val="Date"/>
    <w:basedOn w:val="1"/>
    <w:next w:val="1"/>
    <w:qFormat/>
    <w:uiPriority w:val="0"/>
    <w:pPr>
      <w:ind w:left="2500" w:leftChars="2500"/>
    </w:pPr>
    <w:rPr>
      <w:rFonts w:eastAsia="楷体_GB2312" w:asciiTheme="minorHAnsi" w:hAnsiTheme="minorHAnsi" w:cstheme="minorBidi"/>
      <w:sz w:val="32"/>
      <w:szCs w:val="22"/>
    </w:rPr>
  </w:style>
  <w:style w:type="paragraph" w:styleId="20">
    <w:name w:val="Balloon Text"/>
    <w:basedOn w:val="1"/>
    <w:link w:val="44"/>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4">
    <w:name w:val="Title"/>
    <w:basedOn w:val="1"/>
    <w:next w:val="1"/>
    <w:link w:val="68"/>
    <w:qFormat/>
    <w:uiPriority w:val="0"/>
    <w:pPr>
      <w:spacing w:before="240" w:after="60"/>
      <w:jc w:val="center"/>
      <w:outlineLvl w:val="0"/>
    </w:pPr>
    <w:rPr>
      <w:rFonts w:asciiTheme="majorHAnsi" w:hAnsiTheme="majorHAnsi" w:eastAsiaTheme="majorEastAsia" w:cstheme="majorBidi"/>
      <w:b/>
      <w:bCs/>
      <w:sz w:val="32"/>
      <w:szCs w:val="32"/>
    </w:rPr>
  </w:style>
  <w:style w:type="paragraph" w:styleId="25">
    <w:name w:val="annotation subject"/>
    <w:basedOn w:val="15"/>
    <w:next w:val="15"/>
    <w:link w:val="45"/>
    <w:qFormat/>
    <w:uiPriority w:val="0"/>
    <w:rPr>
      <w:b/>
      <w:bCs/>
    </w:rPr>
  </w:style>
  <w:style w:type="paragraph" w:styleId="26">
    <w:name w:val="Body Text First Indent"/>
    <w:basedOn w:val="16"/>
    <w:link w:val="69"/>
    <w:qFormat/>
    <w:uiPriority w:val="0"/>
    <w:pPr>
      <w:widowControl/>
      <w:spacing w:line="360" w:lineRule="auto"/>
      <w:ind w:firstLine="454"/>
      <w:jc w:val="left"/>
    </w:pPr>
    <w:rPr>
      <w:rFonts w:ascii="黑体" w:hAnsi="Calibri" w:eastAsia="黑体"/>
      <w:b/>
      <w:szCs w:val="22"/>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0">
    <w:name w:val="page number"/>
    <w:basedOn w:val="29"/>
    <w:qFormat/>
    <w:uiPriority w:val="0"/>
  </w:style>
  <w:style w:type="character" w:styleId="31">
    <w:name w:val="FollowedHyperlink"/>
    <w:basedOn w:val="29"/>
    <w:semiHidden/>
    <w:unhideWhenUsed/>
    <w:qFormat/>
    <w:uiPriority w:val="99"/>
    <w:rPr>
      <w:color w:val="954F72"/>
      <w:u w:val="single"/>
    </w:rPr>
  </w:style>
  <w:style w:type="character" w:styleId="32">
    <w:name w:val="Hyperlink"/>
    <w:basedOn w:val="29"/>
    <w:semiHidden/>
    <w:unhideWhenUsed/>
    <w:qFormat/>
    <w:uiPriority w:val="99"/>
    <w:rPr>
      <w:color w:val="0000FF"/>
      <w:u w:val="single"/>
    </w:rPr>
  </w:style>
  <w:style w:type="character" w:styleId="33">
    <w:name w:val="annotation reference"/>
    <w:basedOn w:val="29"/>
    <w:qFormat/>
    <w:uiPriority w:val="0"/>
    <w:rPr>
      <w:sz w:val="21"/>
      <w:szCs w:val="21"/>
    </w:rPr>
  </w:style>
  <w:style w:type="character" w:customStyle="1" w:styleId="34">
    <w:name w:val="标题 1 字符"/>
    <w:basedOn w:val="29"/>
    <w:link w:val="3"/>
    <w:qFormat/>
    <w:uiPriority w:val="0"/>
    <w:rPr>
      <w:b/>
      <w:bCs/>
      <w:kern w:val="44"/>
      <w:sz w:val="44"/>
      <w:szCs w:val="44"/>
    </w:rPr>
  </w:style>
  <w:style w:type="character" w:customStyle="1" w:styleId="35">
    <w:name w:val="标题 4 字符"/>
    <w:basedOn w:val="29"/>
    <w:link w:val="6"/>
    <w:qFormat/>
    <w:uiPriority w:val="0"/>
    <w:rPr>
      <w:rFonts w:ascii="Arial" w:hAnsi="Arial" w:eastAsia="黑体"/>
      <w:bCs/>
      <w:kern w:val="2"/>
      <w:sz w:val="28"/>
      <w:szCs w:val="28"/>
    </w:rPr>
  </w:style>
  <w:style w:type="character" w:customStyle="1" w:styleId="36">
    <w:name w:val="标题 5 字符"/>
    <w:basedOn w:val="29"/>
    <w:link w:val="7"/>
    <w:qFormat/>
    <w:uiPriority w:val="0"/>
    <w:rPr>
      <w:bCs/>
      <w:kern w:val="2"/>
      <w:sz w:val="28"/>
      <w:szCs w:val="28"/>
    </w:rPr>
  </w:style>
  <w:style w:type="character" w:customStyle="1" w:styleId="37">
    <w:name w:val="标题 6 字符"/>
    <w:basedOn w:val="29"/>
    <w:link w:val="8"/>
    <w:qFormat/>
    <w:uiPriority w:val="0"/>
    <w:rPr>
      <w:rFonts w:ascii="Arial" w:hAnsi="Arial" w:eastAsia="黑体" w:cs="Arial"/>
      <w:bCs/>
      <w:kern w:val="2"/>
      <w:sz w:val="24"/>
      <w:szCs w:val="24"/>
    </w:rPr>
  </w:style>
  <w:style w:type="character" w:customStyle="1" w:styleId="38">
    <w:name w:val="标题 7 字符"/>
    <w:basedOn w:val="29"/>
    <w:link w:val="9"/>
    <w:qFormat/>
    <w:uiPriority w:val="0"/>
    <w:rPr>
      <w:bCs/>
      <w:kern w:val="2"/>
      <w:sz w:val="24"/>
      <w:szCs w:val="24"/>
    </w:rPr>
  </w:style>
  <w:style w:type="character" w:customStyle="1" w:styleId="39">
    <w:name w:val="标题 8 字符"/>
    <w:basedOn w:val="29"/>
    <w:link w:val="10"/>
    <w:qFormat/>
    <w:uiPriority w:val="0"/>
    <w:rPr>
      <w:rFonts w:ascii="Arial" w:hAnsi="Arial" w:eastAsia="黑体" w:cs="Arial"/>
      <w:kern w:val="2"/>
      <w:sz w:val="24"/>
      <w:szCs w:val="24"/>
    </w:rPr>
  </w:style>
  <w:style w:type="character" w:customStyle="1" w:styleId="40">
    <w:name w:val="批注文字 字符"/>
    <w:basedOn w:val="29"/>
    <w:link w:val="15"/>
    <w:qFormat/>
    <w:uiPriority w:val="0"/>
    <w:rPr>
      <w:rFonts w:ascii="Times New Roman" w:hAnsi="Times New Roman" w:eastAsia="宋体" w:cs="Times New Roman"/>
      <w:kern w:val="2"/>
      <w:sz w:val="21"/>
      <w:szCs w:val="24"/>
    </w:rPr>
  </w:style>
  <w:style w:type="character" w:customStyle="1" w:styleId="41">
    <w:name w:val="正文文本 字符"/>
    <w:basedOn w:val="29"/>
    <w:link w:val="16"/>
    <w:qFormat/>
    <w:uiPriority w:val="99"/>
    <w:rPr>
      <w:kern w:val="2"/>
      <w:sz w:val="24"/>
      <w:szCs w:val="24"/>
    </w:rPr>
  </w:style>
  <w:style w:type="character" w:customStyle="1" w:styleId="42">
    <w:name w:val="正文文本缩进 字符"/>
    <w:basedOn w:val="29"/>
    <w:link w:val="17"/>
    <w:qFormat/>
    <w:uiPriority w:val="0"/>
    <w:rPr>
      <w:kern w:val="2"/>
      <w:sz w:val="21"/>
      <w:szCs w:val="24"/>
    </w:rPr>
  </w:style>
  <w:style w:type="character" w:customStyle="1" w:styleId="43">
    <w:name w:val="纯文本 字符"/>
    <w:link w:val="18"/>
    <w:qFormat/>
    <w:uiPriority w:val="0"/>
    <w:rPr>
      <w:rFonts w:ascii="宋体" w:hAnsi="Courier New" w:cstheme="minorBidi"/>
      <w:kern w:val="2"/>
      <w:sz w:val="21"/>
      <w:szCs w:val="24"/>
    </w:rPr>
  </w:style>
  <w:style w:type="character" w:customStyle="1" w:styleId="44">
    <w:name w:val="批注框文本 字符"/>
    <w:basedOn w:val="29"/>
    <w:link w:val="20"/>
    <w:qFormat/>
    <w:uiPriority w:val="0"/>
    <w:rPr>
      <w:rFonts w:ascii="Times New Roman" w:hAnsi="Times New Roman" w:eastAsia="宋体" w:cs="Times New Roman"/>
      <w:kern w:val="2"/>
      <w:sz w:val="18"/>
      <w:szCs w:val="18"/>
    </w:rPr>
  </w:style>
  <w:style w:type="character" w:customStyle="1" w:styleId="45">
    <w:name w:val="批注主题 字符"/>
    <w:basedOn w:val="40"/>
    <w:link w:val="25"/>
    <w:qFormat/>
    <w:uiPriority w:val="0"/>
    <w:rPr>
      <w:rFonts w:ascii="Times New Roman" w:hAnsi="Times New Roman" w:eastAsia="宋体" w:cs="Times New Roman"/>
      <w:b/>
      <w:bCs/>
      <w:kern w:val="2"/>
      <w:sz w:val="21"/>
      <w:szCs w:val="24"/>
    </w:rPr>
  </w:style>
  <w:style w:type="paragraph" w:customStyle="1" w:styleId="46">
    <w:name w:val="表格文字"/>
    <w:basedOn w:val="1"/>
    <w:next w:val="16"/>
    <w:qFormat/>
    <w:uiPriority w:val="0"/>
    <w:pPr>
      <w:adjustRightInd w:val="0"/>
      <w:spacing w:line="420" w:lineRule="atLeast"/>
      <w:jc w:val="left"/>
      <w:textAlignment w:val="baseline"/>
    </w:pPr>
    <w:rPr>
      <w:kern w:val="0"/>
    </w:rPr>
  </w:style>
  <w:style w:type="paragraph" w:customStyle="1" w:styleId="47">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48">
    <w:name w:val="List Paragraph"/>
    <w:basedOn w:val="1"/>
    <w:qFormat/>
    <w:uiPriority w:val="34"/>
    <w:pPr>
      <w:ind w:firstLine="420" w:firstLineChars="200"/>
    </w:pPr>
    <w:rPr>
      <w:rFonts w:ascii="Calibri" w:hAnsi="Calibri"/>
      <w:szCs w:val="22"/>
    </w:rPr>
  </w:style>
  <w:style w:type="paragraph" w:customStyle="1" w:styleId="49">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50">
    <w:name w:val="列出段落1"/>
    <w:basedOn w:val="1"/>
    <w:qFormat/>
    <w:uiPriority w:val="0"/>
    <w:pPr>
      <w:ind w:firstLine="420" w:firstLineChars="200"/>
    </w:pPr>
    <w:rPr>
      <w:rFonts w:ascii="Calibri" w:hAnsi="Calibri"/>
      <w:kern w:val="0"/>
      <w:szCs w:val="20"/>
    </w:rPr>
  </w:style>
  <w:style w:type="paragraph" w:customStyle="1" w:styleId="51">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5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正文_14"/>
    <w:qFormat/>
    <w:uiPriority w:val="0"/>
    <w:rPr>
      <w:rFonts w:ascii="Times New Roman" w:hAnsi="Times New Roman" w:eastAsia="宋体" w:cs="Times New Roman"/>
      <w:sz w:val="21"/>
      <w:szCs w:val="22"/>
      <w:lang w:val="en-US" w:eastAsia="zh-CN" w:bidi="ar-SA"/>
    </w:rPr>
  </w:style>
  <w:style w:type="paragraph" w:customStyle="1" w:styleId="55">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纯文本_3"/>
    <w:basedOn w:val="57"/>
    <w:qFormat/>
    <w:uiPriority w:val="0"/>
    <w:pPr>
      <w:widowControl/>
      <w:jc w:val="left"/>
    </w:pPr>
    <w:rPr>
      <w:rFonts w:ascii="宋体" w:hAnsi="Courier New" w:eastAsiaTheme="minorEastAsia" w:cstheme="minorBidi"/>
      <w:szCs w:val="21"/>
    </w:rPr>
  </w:style>
  <w:style w:type="paragraph" w:customStyle="1" w:styleId="59">
    <w:name w:val="纯文本_0_1"/>
    <w:basedOn w:val="1"/>
    <w:qFormat/>
    <w:uiPriority w:val="0"/>
    <w:pPr>
      <w:widowControl/>
      <w:jc w:val="left"/>
    </w:pPr>
    <w:rPr>
      <w:rFonts w:ascii="宋体" w:hAnsi="Courier New" w:eastAsiaTheme="minorEastAsia" w:cstheme="minorBidi"/>
      <w:szCs w:val="21"/>
    </w:rPr>
  </w:style>
  <w:style w:type="paragraph" w:customStyle="1" w:styleId="6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正文 New New New New"/>
    <w:qFormat/>
    <w:uiPriority w:val="0"/>
    <w:pPr>
      <w:widowControl w:val="0"/>
      <w:jc w:val="both"/>
    </w:pPr>
    <w:rPr>
      <w:rFonts w:ascii="Times New Roman" w:hAnsi="Times New Roman" w:eastAsia="Arial Unicode MS" w:cs="Arial Unicode MS"/>
      <w:color w:val="000000"/>
      <w:lang w:val="en-US" w:eastAsia="zh-CN" w:bidi="ar-SA"/>
    </w:rPr>
  </w:style>
  <w:style w:type="paragraph" w:customStyle="1" w:styleId="65">
    <w:name w:val="列出段落2"/>
    <w:qFormat/>
    <w:uiPriority w:val="0"/>
    <w:pPr>
      <w:widowControl w:val="0"/>
      <w:ind w:firstLine="420"/>
      <w:jc w:val="both"/>
    </w:pPr>
    <w:rPr>
      <w:rFonts w:ascii="Calibri" w:hAnsi="Calibri" w:eastAsia="Calibri" w:cs="Calibri"/>
      <w:color w:val="000000"/>
      <w:kern w:val="2"/>
      <w:sz w:val="24"/>
      <w:szCs w:val="24"/>
      <w:lang w:val="en-US" w:eastAsia="zh-CN" w:bidi="ar-SA"/>
    </w:rPr>
  </w:style>
  <w:style w:type="character" w:customStyle="1" w:styleId="66">
    <w:name w:val="font71"/>
    <w:basedOn w:val="29"/>
    <w:qFormat/>
    <w:uiPriority w:val="0"/>
    <w:rPr>
      <w:rFonts w:hint="eastAsia" w:ascii="宋体" w:hAnsi="宋体" w:eastAsia="宋体" w:cs="宋体"/>
      <w:color w:val="000000"/>
      <w:sz w:val="22"/>
      <w:szCs w:val="22"/>
      <w:u w:val="none"/>
    </w:rPr>
  </w:style>
  <w:style w:type="character" w:customStyle="1" w:styleId="67">
    <w:name w:val="font31"/>
    <w:basedOn w:val="29"/>
    <w:qFormat/>
    <w:uiPriority w:val="0"/>
    <w:rPr>
      <w:rFonts w:hint="eastAsia" w:ascii="宋体" w:hAnsi="宋体" w:eastAsia="宋体" w:cs="宋体"/>
      <w:b/>
      <w:color w:val="000000"/>
      <w:sz w:val="22"/>
      <w:szCs w:val="22"/>
      <w:u w:val="none"/>
    </w:rPr>
  </w:style>
  <w:style w:type="character" w:customStyle="1" w:styleId="68">
    <w:name w:val="标题 字符"/>
    <w:basedOn w:val="29"/>
    <w:link w:val="24"/>
    <w:qFormat/>
    <w:uiPriority w:val="0"/>
    <w:rPr>
      <w:rFonts w:asciiTheme="majorHAnsi" w:hAnsiTheme="majorHAnsi" w:eastAsiaTheme="majorEastAsia" w:cstheme="majorBidi"/>
      <w:b/>
      <w:bCs/>
      <w:kern w:val="2"/>
      <w:sz w:val="32"/>
      <w:szCs w:val="32"/>
    </w:rPr>
  </w:style>
  <w:style w:type="character" w:customStyle="1" w:styleId="69">
    <w:name w:val="正文首行缩进 字符"/>
    <w:basedOn w:val="41"/>
    <w:link w:val="26"/>
    <w:qFormat/>
    <w:uiPriority w:val="0"/>
    <w:rPr>
      <w:rFonts w:ascii="黑体" w:hAnsi="Calibri" w:eastAsia="黑体"/>
      <w:b/>
      <w:kern w:val="2"/>
      <w:sz w:val="24"/>
      <w:szCs w:val="22"/>
    </w:rPr>
  </w:style>
  <w:style w:type="paragraph" w:customStyle="1" w:styleId="70">
    <w:name w:val="纯文本2"/>
    <w:basedOn w:val="1"/>
    <w:qFormat/>
    <w:uiPriority w:val="0"/>
    <w:pPr>
      <w:adjustRightInd w:val="0"/>
      <w:spacing w:before="50"/>
      <w:jc w:val="left"/>
      <w:textAlignment w:val="baseline"/>
    </w:pPr>
    <w:rPr>
      <w:rFonts w:ascii="宋体" w:hAnsi="Courier New"/>
      <w:sz w:val="24"/>
      <w:szCs w:val="20"/>
    </w:rPr>
  </w:style>
  <w:style w:type="paragraph" w:styleId="71">
    <w:name w:val="No Spacing"/>
    <w:qFormat/>
    <w:uiPriority w:val="99"/>
    <w:rPr>
      <w:rFonts w:ascii="宋体" w:hAnsi="宋体" w:eastAsia="宋体" w:cs="宋体"/>
      <w:sz w:val="24"/>
      <w:szCs w:val="24"/>
      <w:lang w:val="en-US" w:eastAsia="zh-CN" w:bidi="ar-SA"/>
    </w:rPr>
  </w:style>
  <w:style w:type="paragraph" w:customStyle="1" w:styleId="72">
    <w:name w:val="*正文"/>
    <w:basedOn w:val="1"/>
    <w:qFormat/>
    <w:uiPriority w:val="0"/>
    <w:pPr>
      <w:spacing w:line="300" w:lineRule="auto"/>
      <w:ind w:firstLine="480" w:firstLineChars="200"/>
    </w:pPr>
    <w:rPr>
      <w:rFonts w:ascii="宋体" w:hAnsi="宋体"/>
    </w:rPr>
  </w:style>
  <w:style w:type="paragraph" w:customStyle="1" w:styleId="73">
    <w:name w:val="标准正文"/>
    <w:basedOn w:val="1"/>
    <w:qFormat/>
    <w:uiPriority w:val="0"/>
    <w:pPr>
      <w:spacing w:before="156" w:after="156" w:line="360" w:lineRule="auto"/>
      <w:ind w:firstLine="480" w:firstLineChars="200"/>
    </w:pPr>
    <w:rPr>
      <w:rFonts w:ascii="宋体" w:cs="宋体"/>
      <w:sz w:val="24"/>
    </w:rPr>
  </w:style>
  <w:style w:type="paragraph" w:customStyle="1" w:styleId="74">
    <w:name w:val="样式 首行缩进:  0 字符"/>
    <w:basedOn w:val="1"/>
    <w:qFormat/>
    <w:uiPriority w:val="0"/>
    <w:pPr>
      <w:widowControl/>
      <w:spacing w:line="360" w:lineRule="auto"/>
      <w:ind w:firstLine="200" w:firstLineChars="200"/>
      <w:jc w:val="left"/>
    </w:pPr>
    <w:rPr>
      <w:rFonts w:ascii="宋体" w:cs="宋体"/>
      <w:sz w:val="24"/>
    </w:rPr>
  </w:style>
  <w:style w:type="paragraph" w:customStyle="1" w:styleId="75">
    <w:name w:val="表格表头"/>
    <w:basedOn w:val="1"/>
    <w:qFormat/>
    <w:uiPriority w:val="0"/>
    <w:pPr>
      <w:spacing w:line="360" w:lineRule="auto"/>
      <w:jc w:val="center"/>
    </w:pPr>
    <w:rPr>
      <w:rFonts w:ascii="宋体" w:eastAsia="黑体"/>
      <w:sz w:val="24"/>
      <w:szCs w:val="21"/>
    </w:rPr>
  </w:style>
  <w:style w:type="paragraph" w:customStyle="1" w:styleId="76">
    <w:name w:val="表格正文"/>
    <w:basedOn w:val="1"/>
    <w:qFormat/>
    <w:uiPriority w:val="0"/>
    <w:pPr>
      <w:spacing w:line="360" w:lineRule="auto"/>
      <w:ind w:firstLine="200" w:firstLineChars="200"/>
      <w:jc w:val="left"/>
    </w:pPr>
    <w:rPr>
      <w:rFonts w:ascii="宋体"/>
    </w:rPr>
  </w:style>
  <w:style w:type="paragraph" w:customStyle="1" w:styleId="77">
    <w:name w:val="*GS-正文"/>
    <w:basedOn w:val="1"/>
    <w:qFormat/>
    <w:uiPriority w:val="0"/>
    <w:pPr>
      <w:widowControl/>
      <w:spacing w:line="360" w:lineRule="auto"/>
      <w:ind w:firstLine="200" w:firstLineChars="200"/>
      <w:contextualSpacing/>
    </w:pPr>
    <w:rPr>
      <w:rFonts w:eastAsia="新宋体"/>
      <w:sz w:val="24"/>
      <w:lang w:bidi="en-US"/>
    </w:rPr>
  </w:style>
  <w:style w:type="paragraph" w:customStyle="1" w:styleId="78">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font5"/>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80">
    <w:name w:val="font6"/>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81">
    <w:name w:val="font7"/>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82">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3">
    <w:name w:val="font9"/>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8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8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20"/>
      <w:szCs w:val="20"/>
    </w:rPr>
  </w:style>
  <w:style w:type="paragraph" w:customStyle="1" w:styleId="8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color w:val="000000"/>
      <w:kern w:val="0"/>
      <w:sz w:val="20"/>
      <w:szCs w:val="20"/>
    </w:rPr>
  </w:style>
  <w:style w:type="paragraph" w:customStyle="1" w:styleId="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8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9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rPr>
  </w:style>
  <w:style w:type="paragraph" w:customStyle="1" w:styleId="9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9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9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10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01">
    <w:name w:val="xl9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color w:val="000000"/>
      <w:kern w:val="0"/>
      <w:sz w:val="20"/>
      <w:szCs w:val="20"/>
    </w:rPr>
  </w:style>
  <w:style w:type="paragraph" w:customStyle="1" w:styleId="10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8"/>
      <w:szCs w:val="18"/>
    </w:rPr>
  </w:style>
  <w:style w:type="paragraph" w:customStyle="1" w:styleId="10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0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06">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0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1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11">
    <w:name w:val="xl10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1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1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11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15">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11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17">
    <w:name w:val="xl106"/>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xl107"/>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
    <w:name w:val="xl108"/>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20">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rPr>
  </w:style>
  <w:style w:type="paragraph" w:customStyle="1" w:styleId="121">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2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23">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24">
    <w:name w:val="xl11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微软雅黑" w:hAnsi="微软雅黑" w:eastAsia="微软雅黑" w:cs="宋体"/>
      <w:color w:val="000000"/>
      <w:kern w:val="0"/>
      <w:sz w:val="20"/>
      <w:szCs w:val="20"/>
    </w:rPr>
  </w:style>
  <w:style w:type="paragraph" w:customStyle="1" w:styleId="125">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12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8"/>
      <w:szCs w:val="18"/>
    </w:rPr>
  </w:style>
  <w:style w:type="paragraph" w:customStyle="1" w:styleId="127">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微软雅黑" w:hAnsi="微软雅黑" w:eastAsia="微软雅黑" w:cs="宋体"/>
      <w:kern w:val="0"/>
      <w:sz w:val="16"/>
      <w:szCs w:val="16"/>
    </w:rPr>
  </w:style>
  <w:style w:type="paragraph" w:customStyle="1" w:styleId="128">
    <w:name w:val="xl117"/>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129">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xl119"/>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31">
    <w:name w:val="xl12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2">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134">
    <w:name w:val="xl1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5">
    <w:name w:val="xl124"/>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7">
    <w:name w:val="xl12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rPr>
  </w:style>
  <w:style w:type="paragraph" w:customStyle="1" w:styleId="138">
    <w:name w:val="xl12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9">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0">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41">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42">
    <w:name w:val="xl1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3">
    <w:name w:val="xl13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4">
    <w:name w:val="xl1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5">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6">
    <w:name w:val="xl1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7">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8">
    <w:name w:val="xl1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9">
    <w:name w:val="xl1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0">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51">
    <w:name w:val="xl14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52">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53">
    <w:name w:val="xl1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4">
    <w:name w:val="xl143"/>
    <w:basedOn w:val="1"/>
    <w:qFormat/>
    <w:uiPriority w:val="0"/>
    <w:pPr>
      <w:widowControl/>
      <w:pBdr>
        <w:left w:val="single" w:color="auto" w:sz="4" w:space="0"/>
        <w:right w:val="single" w:color="auto" w:sz="4" w:space="0"/>
      </w:pBdr>
      <w:shd w:val="clear" w:color="000000" w:fill="0070C0"/>
      <w:spacing w:before="100" w:beforeAutospacing="1" w:after="100" w:afterAutospacing="1"/>
      <w:jc w:val="center"/>
      <w:textAlignment w:val="center"/>
    </w:pPr>
    <w:rPr>
      <w:rFonts w:ascii="宋体" w:hAnsi="宋体" w:cs="宋体"/>
      <w:kern w:val="0"/>
      <w:sz w:val="24"/>
    </w:rPr>
  </w:style>
  <w:style w:type="paragraph" w:customStyle="1" w:styleId="155">
    <w:name w:val="xl14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rPr>
  </w:style>
  <w:style w:type="paragraph" w:customStyle="1" w:styleId="15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8"/>
      <w:szCs w:val="18"/>
    </w:rPr>
  </w:style>
  <w:style w:type="paragraph" w:customStyle="1" w:styleId="15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5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59">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0">
    <w:name w:val="xl14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1">
    <w:name w:val="xl1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2">
    <w:name w:val="列出段落3"/>
    <w:basedOn w:val="1"/>
    <w:qFormat/>
    <w:uiPriority w:val="0"/>
    <w:pPr>
      <w:ind w:firstLine="420" w:firstLineChars="200"/>
    </w:pPr>
    <w:rPr>
      <w:rFonts w:ascii="Calibri" w:hAnsi="Calibri"/>
    </w:rPr>
  </w:style>
  <w:style w:type="paragraph" w:customStyle="1" w:styleId="163">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6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16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6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character" w:customStyle="1" w:styleId="167">
    <w:name w:val="文档结构图 字符"/>
    <w:basedOn w:val="29"/>
    <w:link w:val="14"/>
    <w:semiHidden/>
    <w:qFormat/>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128</Pages>
  <Words>12793</Words>
  <Characters>72924</Characters>
  <Lines>607</Lines>
  <Paragraphs>171</Paragraphs>
  <TotalTime>87</TotalTime>
  <ScaleCrop>false</ScaleCrop>
  <LinksUpToDate>false</LinksUpToDate>
  <CharactersWithSpaces>85546</CharactersWithSpaces>
  <Application>WPS Office_11.1.0.9058_F1E327BC-269C-435d-A152-05C5408002CA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2018-06-19T13:33:00Z</dcterms:created>
  <dc:creator>S-mile</dc:creator>
  <cp:lastModifiedBy>Le.YonG.</cp:lastModifiedBy>
  <dcterms:modified xsi:type="dcterms:W3CDTF">2019-10-21T00:54:32Z</dcterms:modified>
  <cp:revision>428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2052-11.1.0.9058</vt:lpwstr>
  </property>
</Properties>
</file>