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HQ-YHZFCG-2019-103</w:t>
      </w:r>
      <w:r>
        <w:rPr>
          <w:rFonts w:hint="eastAsia" w:ascii="宋体" w:hAnsi="宋体" w:cs="宋体"/>
          <w:b/>
          <w:bCs/>
          <w:color w:val="000000" w:themeColor="text1"/>
          <w:kern w:val="0"/>
          <w:sz w:val="32"/>
          <w:szCs w:val="32"/>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hAnsi="宋体" w:cs="宋体"/>
          <w:color w:val="000000" w:themeColor="text1"/>
          <w:kern w:val="0"/>
          <w:sz w:val="28"/>
          <w:szCs w:val="28"/>
          <w14:textFill>
            <w14:solidFill>
              <w14:schemeClr w14:val="tx1"/>
            </w14:solidFill>
          </w14:textFill>
        </w:rPr>
        <w:t>玉环市林权测绘及权属调查项目（一期）</w:t>
      </w:r>
    </w:p>
    <w:p>
      <w:pPr>
        <w:autoSpaceDE w:val="0"/>
        <w:autoSpaceDN w:val="0"/>
        <w:adjustRightInd w:val="0"/>
        <w:spacing w:line="360" w:lineRule="auto"/>
        <w:ind w:left="1441" w:firstLine="2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 xml:space="preserve"> 采购人：</w:t>
      </w:r>
      <w:r>
        <w:rPr>
          <w:rFonts w:hint="eastAsia" w:ascii="宋体" w:hAnsi="宋体" w:cs="宋体"/>
          <w:color w:val="000000" w:themeColor="text1"/>
          <w:kern w:val="0"/>
          <w:sz w:val="28"/>
          <w:szCs w:val="28"/>
          <w14:textFill>
            <w14:solidFill>
              <w14:schemeClr w14:val="tx1"/>
            </w14:solidFill>
          </w14:textFill>
        </w:rPr>
        <w:t>玉环市不动产登记服务中心</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2019年10月2</w:t>
      </w:r>
      <w:r>
        <w:rPr>
          <w:rFonts w:hint="eastAsia" w:ascii="宋体" w:hAnsi="宋体" w:cs="宋体"/>
          <w:color w:val="000000" w:themeColor="text1"/>
          <w:kern w:val="0"/>
          <w:sz w:val="28"/>
          <w:szCs w:val="28"/>
          <w:lang w:val="en-US" w:eastAsia="zh-CN"/>
          <w14:textFill>
            <w14:solidFill>
              <w14:schemeClr w14:val="tx1"/>
            </w14:solidFill>
          </w14:textFill>
        </w:rPr>
        <w:t>9</w:t>
      </w:r>
      <w:r>
        <w:rPr>
          <w:rFonts w:hint="eastAsia" w:ascii="宋体" w:hAnsi="宋体" w:cs="宋体"/>
          <w:color w:val="000000" w:themeColor="text1"/>
          <w:kern w:val="0"/>
          <w:sz w:val="28"/>
          <w:szCs w:val="28"/>
          <w14:textFill>
            <w14:solidFill>
              <w14:schemeClr w14:val="tx1"/>
            </w14:solidFill>
          </w14:textFill>
        </w:rPr>
        <w:t>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pPr>
        <w:spacing w:line="360" w:lineRule="auto"/>
        <w:rPr>
          <w:rFonts w:ascii="新宋体" w:hAnsi="新宋体" w:eastAsia="新宋体"/>
          <w:color w:val="000000" w:themeColor="text1"/>
          <w:sz w:val="28"/>
          <w:szCs w:val="28"/>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投标文件格式附件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kern w:val="0"/>
          <w:sz w:val="36"/>
          <w:szCs w:val="36"/>
          <w14:textFill>
            <w14:solidFill>
              <w14:schemeClr w14:val="tx1"/>
            </w14:solidFill>
          </w14:textFill>
        </w:rPr>
        <w:t>第一章  公开</w:t>
      </w:r>
      <w:r>
        <w:rPr>
          <w:rFonts w:hint="eastAsia" w:asciiTheme="majorEastAsia" w:hAnsiTheme="majorEastAsia" w:eastAsiaTheme="majorEastAsia"/>
          <w:b/>
          <w:color w:val="000000" w:themeColor="text1"/>
          <w:sz w:val="36"/>
          <w:szCs w:val="36"/>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00" w:lineRule="exact"/>
        <w:ind w:right="23" w:firstLine="539"/>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olor w:val="000000" w:themeColor="text1"/>
          <w:kern w:val="0"/>
          <w:sz w:val="24"/>
          <w14:textFill>
            <w14:solidFill>
              <w14:schemeClr w14:val="tx1"/>
            </w14:solidFill>
          </w14:textFill>
        </w:rPr>
        <w:t>受采购人委托，现就</w:t>
      </w:r>
      <w:r>
        <w:rPr>
          <w:rFonts w:hint="eastAsia" w:asciiTheme="minorEastAsia" w:hAnsiTheme="minorEastAsia" w:eastAsiaTheme="minorEastAsia"/>
          <w:color w:val="000000" w:themeColor="text1"/>
          <w:sz w:val="24"/>
          <w14:textFill>
            <w14:solidFill>
              <w14:schemeClr w14:val="tx1"/>
            </w14:solidFill>
          </w14:textFill>
        </w:rPr>
        <w:t>玉环市不动产登记服务中心</w:t>
      </w:r>
      <w:r>
        <w:rPr>
          <w:rFonts w:hint="eastAsia" w:asciiTheme="minorEastAsia" w:hAnsiTheme="minorEastAsia" w:eastAsiaTheme="minorEastAsia"/>
          <w:color w:val="000000" w:themeColor="text1"/>
          <w:kern w:val="0"/>
          <w:sz w:val="24"/>
          <w14:textFill>
            <w14:solidFill>
              <w14:schemeClr w14:val="tx1"/>
            </w14:solidFill>
          </w14:textFill>
        </w:rPr>
        <w:t>玉环市林权测绘及权属调查项目（一期）项目进行公开招标采购，欢迎合格供应商前来投标。</w:t>
      </w:r>
    </w:p>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一、项目编号：</w:t>
      </w:r>
      <w:r>
        <w:rPr>
          <w:rFonts w:hint="eastAsia" w:asciiTheme="minorEastAsia" w:hAnsiTheme="minorEastAsia" w:eastAsiaTheme="minorEastAsia"/>
          <w:b/>
          <w:color w:val="000000" w:themeColor="text1"/>
          <w:kern w:val="0"/>
          <w:sz w:val="24"/>
          <w:lang w:eastAsia="zh-CN"/>
          <w14:textFill>
            <w14:solidFill>
              <w14:schemeClr w14:val="tx1"/>
            </w14:solidFill>
          </w14:textFill>
        </w:rPr>
        <w:t>HQ-YHZFCG-2019-103</w:t>
      </w:r>
      <w:r>
        <w:rPr>
          <w:rFonts w:hint="eastAsia" w:asciiTheme="minorEastAsia" w:hAnsiTheme="minorEastAsia" w:eastAsiaTheme="minorEastAsia"/>
          <w:b/>
          <w:color w:val="000000" w:themeColor="text1"/>
          <w:kern w:val="0"/>
          <w:sz w:val="24"/>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二、招标项目概况：</w:t>
      </w:r>
    </w:p>
    <w:tbl>
      <w:tblPr>
        <w:tblStyle w:val="16"/>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42"/>
        <w:gridCol w:w="1585"/>
        <w:gridCol w:w="817"/>
        <w:gridCol w:w="783"/>
        <w:gridCol w:w="1154"/>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bookmarkStart w:id="0" w:name="EBc3c9f0bc06b6413d849824fe98ba274c"/>
            <w:r>
              <w:rPr>
                <w:rFonts w:hint="eastAsia" w:ascii="宋体" w:hAnsi="宋体"/>
                <w:b/>
                <w:color w:val="000000" w:themeColor="text1"/>
                <w:sz w:val="24"/>
                <w14:textFill>
                  <w14:solidFill>
                    <w14:schemeClr w14:val="tx1"/>
                  </w14:solidFill>
                </w14:textFill>
              </w:rPr>
              <w:t>序号</w:t>
            </w:r>
          </w:p>
        </w:tc>
        <w:tc>
          <w:tcPr>
            <w:tcW w:w="1542"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585" w:type="dxa"/>
            <w:vAlign w:val="center"/>
          </w:tcPr>
          <w:p>
            <w:pPr>
              <w:tabs>
                <w:tab w:val="left" w:pos="8280"/>
              </w:tabs>
              <w:autoSpaceDE w:val="0"/>
              <w:autoSpaceDN w:val="0"/>
              <w:adjustRightInd w:val="0"/>
              <w:spacing w:line="480" w:lineRule="exact"/>
              <w:ind w:right="25"/>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15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tc>
        <w:tc>
          <w:tcPr>
            <w:tcW w:w="227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42"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玉环市林权测绘及权属调查项目（一期）</w:t>
            </w:r>
          </w:p>
        </w:tc>
        <w:tc>
          <w:tcPr>
            <w:tcW w:w="1585"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w:t>
            </w:r>
          </w:p>
        </w:tc>
        <w:tc>
          <w:tcPr>
            <w:tcW w:w="1154" w:type="dxa"/>
            <w:vAlign w:val="center"/>
          </w:tcPr>
          <w:p>
            <w:pPr>
              <w:tabs>
                <w:tab w:val="left" w:pos="8280"/>
              </w:tabs>
              <w:autoSpaceDE w:val="0"/>
              <w:autoSpaceDN w:val="0"/>
              <w:adjustRightInd w:val="0"/>
              <w:spacing w:line="480" w:lineRule="exact"/>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800万元</w:t>
            </w:r>
          </w:p>
        </w:tc>
        <w:tc>
          <w:tcPr>
            <w:tcW w:w="2273" w:type="dxa"/>
            <w:vAlign w:val="center"/>
          </w:tcPr>
          <w:p>
            <w:pPr>
              <w:spacing w:line="440" w:lineRule="exac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2021年6月，完成全市林权测绘及权属调查数据（一期）的整合建库。</w:t>
            </w:r>
          </w:p>
        </w:tc>
      </w:tr>
      <w:bookmarkEnd w:id="0"/>
    </w:tbl>
    <w:p>
      <w:pPr>
        <w:tabs>
          <w:tab w:val="left" w:pos="180"/>
          <w:tab w:val="left" w:pos="360"/>
          <w:tab w:val="left" w:pos="540"/>
          <w:tab w:val="left" w:pos="8280"/>
        </w:tabs>
        <w:autoSpaceDE w:val="0"/>
        <w:autoSpaceDN w:val="0"/>
        <w:adjustRightInd w:val="0"/>
        <w:spacing w:before="100" w:line="400" w:lineRule="exact"/>
        <w:ind w:left="539" w:right="23"/>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三、合格投标人的资格条件：</w:t>
      </w:r>
    </w:p>
    <w:p>
      <w:pPr>
        <w:pStyle w:val="20"/>
        <w:adjustRightInd w:val="0"/>
        <w:snapToGrid w:val="0"/>
        <w:spacing w:before="0" w:line="400" w:lineRule="exact"/>
        <w:ind w:right="10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（一）符合《中华人民共和国政府采购法》第二十二条规定的投标人资格条件。</w:t>
      </w:r>
      <w:r>
        <w:rPr>
          <w:rFonts w:hint="eastAsia" w:asciiTheme="minorEastAsia" w:hAnsiTheme="minorEastAsia" w:eastAsiaTheme="minorEastAsia"/>
          <w:color w:val="000000" w:themeColor="text1"/>
          <w:sz w:val="24"/>
          <w14:textFill>
            <w14:solidFill>
              <w14:schemeClr w14:val="tx1"/>
            </w14:solidFill>
          </w14:textFill>
        </w:rPr>
        <w:t>（二）本项目供应商特定条件：</w:t>
      </w:r>
    </w:p>
    <w:p>
      <w:pPr>
        <w:spacing w:line="400" w:lineRule="exact"/>
        <w:ind w:firstLine="422" w:firstLineChars="1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1．具有国内乙级及以上不动产测绘资质；</w:t>
      </w:r>
    </w:p>
    <w:p>
      <w:pPr>
        <w:spacing w:line="400" w:lineRule="exact"/>
        <w:ind w:firstLine="422" w:firstLineChars="1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2．具有国内乙级及以上地理信息系统工程和摄影测量与遥感资质；</w:t>
      </w:r>
    </w:p>
    <w:p>
      <w:pPr>
        <w:spacing w:line="400" w:lineRule="exact"/>
        <w:ind w:firstLine="422" w:firstLineChars="1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四、招标文件获取的方式、时间：</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1．获取方式：网上免费下载（不接受网上报名），下载地址为</w:t>
      </w:r>
      <w:r>
        <w:rPr>
          <w:rFonts w:ascii="宋体" w:hAnsi="宋体" w:cs="Arial"/>
          <w:color w:val="000000" w:themeColor="text1"/>
          <w:sz w:val="24"/>
          <w14:textFill>
            <w14:solidFill>
              <w14:schemeClr w14:val="tx1"/>
            </w14:solidFill>
          </w14:textFill>
        </w:rPr>
        <w:t>http://www.zjzfcg.gov.cn</w:t>
      </w:r>
      <w:r>
        <w:rPr>
          <w:rFonts w:hint="eastAsia" w:ascii="宋体" w:hAnsi="宋体" w:cs="Arial"/>
          <w:color w:val="000000" w:themeColor="text1"/>
          <w:sz w:val="24"/>
          <w14:textFill>
            <w14:solidFill>
              <w14:schemeClr w14:val="tx1"/>
            </w14:solidFill>
          </w14:textFill>
        </w:rPr>
        <w:t xml:space="preserve">或https://www.yhjyzx.com/home/index </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2．获取（公告）时间：2019年10月</w:t>
      </w:r>
      <w:r>
        <w:rPr>
          <w:rFonts w:hint="eastAsia" w:ascii="宋体" w:hAnsi="宋体" w:cs="Arial"/>
          <w:color w:val="000000" w:themeColor="text1"/>
          <w:sz w:val="24"/>
          <w:lang w:val="en-US" w:eastAsia="zh-CN"/>
          <w14:textFill>
            <w14:solidFill>
              <w14:schemeClr w14:val="tx1"/>
            </w14:solidFill>
          </w14:textFill>
        </w:rPr>
        <w:t>29</w:t>
      </w:r>
      <w:r>
        <w:rPr>
          <w:rFonts w:hint="eastAsia" w:ascii="宋体" w:hAnsi="宋体" w:cs="Arial"/>
          <w:color w:val="000000" w:themeColor="text1"/>
          <w:sz w:val="24"/>
          <w14:textFill>
            <w14:solidFill>
              <w14:schemeClr w14:val="tx1"/>
            </w14:solidFill>
          </w14:textFill>
        </w:rPr>
        <w:t>日至2019年1</w:t>
      </w:r>
      <w:r>
        <w:rPr>
          <w:rFonts w:hint="eastAsia" w:ascii="宋体" w:hAnsi="宋体" w:cs="Arial"/>
          <w:color w:val="000000" w:themeColor="text1"/>
          <w:sz w:val="24"/>
          <w:lang w:val="en-US" w:eastAsia="zh-CN"/>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日</w:t>
      </w:r>
    </w:p>
    <w:p>
      <w:pPr>
        <w:spacing w:line="400" w:lineRule="exact"/>
        <w:ind w:firstLine="1800" w:firstLineChars="7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上午：8:30-12:00      下午：13：30-16:30</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3.报名地点：玉环市李家小区二期3号楼1502室；</w:t>
      </w:r>
    </w:p>
    <w:p>
      <w:pPr>
        <w:spacing w:line="400" w:lineRule="exact"/>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温州市鹿城区牛山北路13号牛山商务大厦9楼；</w:t>
      </w:r>
    </w:p>
    <w:p>
      <w:pPr>
        <w:spacing w:line="400" w:lineRule="exact"/>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杭州市江干区凤起东路189号滨江新城时代广场3幢2206室；</w:t>
      </w:r>
    </w:p>
    <w:p>
      <w:pPr>
        <w:spacing w:line="400" w:lineRule="exact"/>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4、购买标书时应提交的资料：</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（1）政府采购报名申请表（加盖公章）；</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（2）有效的工商营业执照营业执照（副本）复印件；</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（3）不动产测绘资质证书；</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（4）地理信息系统工程和摄影测量与遥感资质证书。</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五、</w:t>
      </w:r>
      <w:r>
        <w:rPr>
          <w:rFonts w:hint="eastAsia" w:asciiTheme="minorEastAsia" w:hAnsiTheme="minorEastAsia" w:eastAsiaTheme="minorEastAsia"/>
          <w:b/>
          <w:color w:val="000000" w:themeColor="text1"/>
          <w:kern w:val="0"/>
          <w:sz w:val="24"/>
          <w14:textFill>
            <w14:solidFill>
              <w14:schemeClr w14:val="tx1"/>
            </w14:solidFill>
          </w14:textFill>
        </w:rPr>
        <w:t>投标截止及开标时间、地点：</w:t>
      </w:r>
    </w:p>
    <w:p>
      <w:pPr>
        <w:snapToGrid w:val="0"/>
        <w:spacing w:line="400" w:lineRule="exact"/>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本次招标将于2019年11月</w:t>
      </w:r>
      <w:r>
        <w:rPr>
          <w:rFonts w:hint="eastAsia" w:cs="Arial" w:asciiTheme="minorEastAsia" w:hAnsiTheme="minorEastAsia" w:eastAsiaTheme="minorEastAsia"/>
          <w:color w:val="000000" w:themeColor="text1"/>
          <w:sz w:val="24"/>
          <w:lang w:val="en-US" w:eastAsia="zh-CN"/>
          <w14:textFill>
            <w14:solidFill>
              <w14:schemeClr w14:val="tx1"/>
            </w14:solidFill>
          </w14:textFill>
        </w:rPr>
        <w:t>19</w:t>
      </w:r>
      <w:r>
        <w:rPr>
          <w:rFonts w:hint="eastAsia" w:cs="Arial" w:asciiTheme="minorEastAsia" w:hAnsiTheme="minorEastAsia" w:eastAsiaTheme="minorEastAsia"/>
          <w:color w:val="000000" w:themeColor="text1"/>
          <w:sz w:val="24"/>
          <w14:textFill>
            <w14:solidFill>
              <w14:schemeClr w14:val="tx1"/>
            </w14:solidFill>
          </w14:textFill>
        </w:rPr>
        <w:t>日星期</w:t>
      </w:r>
      <w:r>
        <w:rPr>
          <w:rFonts w:hint="eastAsia" w:cs="Arial" w:asciiTheme="minorEastAsia" w:hAnsiTheme="minorEastAsia" w:eastAsiaTheme="minorEastAsia"/>
          <w:color w:val="000000" w:themeColor="text1"/>
          <w:sz w:val="24"/>
          <w:lang w:val="en-US" w:eastAsia="zh-CN"/>
          <w14:textFill>
            <w14:solidFill>
              <w14:schemeClr w14:val="tx1"/>
            </w14:solidFill>
          </w14:textFill>
        </w:rPr>
        <w:t>二上</w:t>
      </w:r>
      <w:r>
        <w:rPr>
          <w:rFonts w:hint="eastAsia" w:cs="Arial" w:asciiTheme="minorEastAsia" w:hAnsiTheme="minorEastAsia" w:eastAsiaTheme="minorEastAsia"/>
          <w:color w:val="000000" w:themeColor="text1"/>
          <w:sz w:val="24"/>
          <w14:textFill>
            <w14:solidFill>
              <w14:schemeClr w14:val="tx1"/>
            </w14:solidFill>
          </w14:textFill>
        </w:rPr>
        <w:t>午</w:t>
      </w:r>
      <w:r>
        <w:rPr>
          <w:rFonts w:hint="eastAsia" w:cs="Arial" w:asciiTheme="minorEastAsia" w:hAnsiTheme="minorEastAsia" w:eastAsiaTheme="minorEastAsia"/>
          <w:color w:val="000000" w:themeColor="text1"/>
          <w:sz w:val="24"/>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14:textFill>
            <w14:solidFill>
              <w14:schemeClr w14:val="tx1"/>
            </w14:solidFill>
          </w14:textFill>
        </w:rPr>
        <w:t>点30整在玉环市公共资源交易中心二楼开标室（二）（玉环市新城中路与长治路（南一路）交叉路口）</w:t>
      </w:r>
      <w:r>
        <w:rPr>
          <w:rFonts w:hint="eastAsia" w:asciiTheme="minorEastAsia" w:hAnsiTheme="minorEastAsia" w:eastAsiaTheme="minorEastAsia"/>
          <w:color w:val="000000" w:themeColor="text1"/>
          <w:sz w:val="24"/>
          <w14:textFill>
            <w14:solidFill>
              <w14:schemeClr w14:val="tx1"/>
            </w14:solidFill>
          </w14:textFill>
        </w:rPr>
        <w:t>开</w:t>
      </w:r>
      <w:r>
        <w:rPr>
          <w:rFonts w:hint="eastAsia" w:cs="Arial"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000000" w:themeColor="text1"/>
          <w:kern w:val="0"/>
          <w:sz w:val="24"/>
          <w14:textFill>
            <w14:solidFill>
              <w14:schemeClr w14:val="tx1"/>
            </w14:solidFill>
          </w14:textFill>
        </w:rPr>
        <w:t>请在开标当日09</w:t>
      </w:r>
      <w:r>
        <w:rPr>
          <w:rFonts w:hint="eastAsia" w:cs="Arial" w:asciiTheme="minorEastAsia" w:hAnsiTheme="minorEastAsia" w:eastAsiaTheme="minorEastAsia"/>
          <w:color w:val="000000" w:themeColor="text1"/>
          <w:sz w:val="24"/>
          <w14:textFill>
            <w14:solidFill>
              <w14:schemeClr w14:val="tx1"/>
            </w14:solidFill>
          </w14:textFill>
        </w:rPr>
        <w:t>:00</w:t>
      </w:r>
      <w:r>
        <w:rPr>
          <w:rFonts w:hint="eastAsia" w:asciiTheme="minorEastAsia" w:hAnsiTheme="minorEastAsia" w:eastAsiaTheme="minorEastAsia"/>
          <w:color w:val="000000" w:themeColor="text1"/>
          <w:kern w:val="0"/>
          <w:sz w:val="24"/>
          <w14:textFill>
            <w14:solidFill>
              <w14:schemeClr w14:val="tx1"/>
            </w14:solidFill>
          </w14:textFill>
        </w:rPr>
        <w:t>至09</w:t>
      </w:r>
      <w:r>
        <w:rPr>
          <w:rFonts w:hint="eastAsia" w:cs="Arial" w:asciiTheme="minorEastAsia" w:hAnsiTheme="minorEastAsia" w:eastAsiaTheme="minorEastAsia"/>
          <w:color w:val="000000" w:themeColor="text1"/>
          <w:sz w:val="24"/>
          <w14:textFill>
            <w14:solidFill>
              <w14:schemeClr w14:val="tx1"/>
            </w14:solidFill>
          </w14:textFill>
        </w:rPr>
        <w:t>:30</w:t>
      </w:r>
      <w:r>
        <w:rPr>
          <w:rFonts w:hint="eastAsia" w:asciiTheme="minorEastAsia" w:hAnsiTheme="minorEastAsia" w:eastAsiaTheme="minorEastAsia"/>
          <w:color w:val="000000" w:themeColor="text1"/>
          <w:kern w:val="0"/>
          <w:sz w:val="24"/>
          <w14:textFill>
            <w14:solidFill>
              <w14:schemeClr w14:val="tx1"/>
            </w14:solidFill>
          </w14:textFill>
        </w:rPr>
        <w:t>将投标文件送达开标地点，逾期或不符合规定的投标文件恕不接受。</w:t>
      </w:r>
    </w:p>
    <w:p>
      <w:pPr>
        <w:snapToGrid w:val="0"/>
        <w:spacing w:line="400" w:lineRule="exact"/>
        <w:ind w:firstLine="482" w:firstLineChars="200"/>
        <w:rPr>
          <w:rFonts w:cs="Arial" w:asciiTheme="minorEastAsia" w:hAnsiTheme="minorEastAsia" w:eastAsiaTheme="minorEastAsia"/>
          <w:b/>
          <w:color w:val="000000" w:themeColor="text1"/>
          <w:sz w:val="24"/>
          <w14:textFill>
            <w14:solidFill>
              <w14:schemeClr w14:val="tx1"/>
            </w14:solidFill>
          </w14:textFill>
        </w:rPr>
      </w:pPr>
      <w:r>
        <w:rPr>
          <w:rFonts w:hint="eastAsia" w:cs="Arial" w:asciiTheme="minorEastAsia" w:hAnsiTheme="minorEastAsia" w:eastAsiaTheme="minorEastAsia"/>
          <w:b/>
          <w:color w:val="000000" w:themeColor="text1"/>
          <w:sz w:val="24"/>
          <w14:textFill>
            <w14:solidFill>
              <w14:schemeClr w14:val="tx1"/>
            </w14:solidFill>
          </w14:textFill>
        </w:rPr>
        <w:t>六</w:t>
      </w:r>
      <w:r>
        <w:rPr>
          <w:rFonts w:cs="Arial" w:asciiTheme="minorEastAsia" w:hAnsiTheme="minorEastAsia" w:eastAsiaTheme="minorEastAsia"/>
          <w:b/>
          <w:color w:val="000000" w:themeColor="text1"/>
          <w:sz w:val="24"/>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14:textFill>
            <w14:solidFill>
              <w14:schemeClr w14:val="tx1"/>
            </w14:solidFill>
          </w14:textFill>
        </w:rPr>
        <w:t>：</w:t>
      </w:r>
    </w:p>
    <w:p>
      <w:pPr>
        <w:spacing w:line="400" w:lineRule="exact"/>
        <w:ind w:firstLine="588" w:firstLineChars="245"/>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1、查询渠道：</w:t>
      </w:r>
      <w:r>
        <w:rPr>
          <w:rFonts w:hint="eastAsia" w:ascii="宋体" w:hAnsi="宋体" w:cs="Arial"/>
          <w:color w:val="000000" w:themeColor="text1"/>
          <w:sz w:val="24"/>
          <w14:textFill>
            <w14:solidFill>
              <w14:schemeClr w14:val="tx1"/>
            </w14:solidFill>
          </w14:textFill>
        </w:rPr>
        <w:t>国家企业信用信息公示系统（http://www.gsxt.gov.cn/index.html）。</w:t>
      </w:r>
    </w:p>
    <w:p>
      <w:pPr>
        <w:snapToGrid w:val="0"/>
        <w:spacing w:line="400" w:lineRule="exact"/>
        <w:ind w:firstLine="480" w:firstLineChars="200"/>
        <w:rPr>
          <w:rFonts w:cs="Arial" w:asciiTheme="minorEastAsia" w:hAnsiTheme="minorEastAsia" w:eastAsiaTheme="minorEastAsia"/>
          <w:b/>
          <w:bCs/>
          <w:color w:val="000000" w:themeColor="text1"/>
          <w:sz w:val="24"/>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2、截止时点：开标后评标前。</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3、</w:t>
      </w:r>
      <w:r>
        <w:rPr>
          <w:rFonts w:cs="Arial" w:asciiTheme="minorEastAsia" w:hAnsiTheme="minorEastAsia" w:eastAsiaTheme="minorEastAsia"/>
          <w:color w:val="000000" w:themeColor="text1"/>
          <w:sz w:val="24"/>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14:textFill>
            <w14:solidFill>
              <w14:schemeClr w14:val="tx1"/>
            </w14:solidFill>
          </w14:textFill>
        </w:rPr>
        <w:t>：由采购组织机构在规定查询时间内打印信用信息查询记录并归入项目档案。</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14:textFill>
            <w14:solidFill>
              <w14:schemeClr w14:val="tx1"/>
            </w14:solidFill>
          </w14:textFill>
        </w:rPr>
        <w:t>将被</w:t>
      </w:r>
      <w:r>
        <w:rPr>
          <w:rFonts w:hint="eastAsia" w:cs="Arial" w:asciiTheme="minorEastAsia" w:hAnsiTheme="minorEastAsia" w:eastAsiaTheme="minorEastAsia"/>
          <w:color w:val="000000" w:themeColor="text1"/>
          <w:sz w:val="24"/>
          <w14:textFill>
            <w14:solidFill>
              <w14:schemeClr w14:val="tx1"/>
            </w14:solidFill>
          </w14:textFill>
        </w:rPr>
        <w:t>拒绝其参与政府采购活动。</w:t>
      </w:r>
    </w:p>
    <w:p>
      <w:pPr>
        <w:snapToGrid w:val="0"/>
        <w:spacing w:line="400" w:lineRule="exact"/>
        <w:ind w:firstLine="482" w:firstLineChars="200"/>
        <w:rPr>
          <w:rFonts w:ascii="宋体" w:hAnsi="宋体" w:cs="Arial"/>
          <w:color w:val="000000" w:themeColor="text1"/>
          <w:sz w:val="24"/>
          <w14:textFill>
            <w14:solidFill>
              <w14:schemeClr w14:val="tx1"/>
            </w14:solidFill>
          </w14:textFill>
        </w:rPr>
      </w:pPr>
      <w:r>
        <w:rPr>
          <w:rFonts w:hint="eastAsia" w:cs="Arial" w:asciiTheme="minorEastAsia" w:hAnsiTheme="minorEastAsia" w:eastAsiaTheme="minorEastAsia"/>
          <w:b/>
          <w:bCs/>
          <w:color w:val="000000" w:themeColor="text1"/>
          <w:sz w:val="24"/>
          <w14:textFill>
            <w14:solidFill>
              <w14:schemeClr w14:val="tx1"/>
            </w14:solidFill>
          </w14:textFill>
        </w:rPr>
        <w:t>七</w:t>
      </w:r>
      <w:r>
        <w:rPr>
          <w:rFonts w:cs="Arial" w:asciiTheme="minorEastAsia" w:hAnsiTheme="minorEastAsia" w:eastAsiaTheme="minorEastAsia"/>
          <w:b/>
          <w:bCs/>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pPr>
        <w:snapToGrid w:val="0"/>
        <w:spacing w:line="40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3．参与政府采购活动的供应商，应当先在浙江省政府采购网上申请注册，采购文件可从网上直接下载。</w:t>
      </w:r>
    </w:p>
    <w:p>
      <w:pPr>
        <w:spacing w:line="400" w:lineRule="exact"/>
        <w:ind w:firstLine="588" w:firstLineChars="245"/>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4．本项目所有公告发布网站：“浙江省政府采购网”（http:// www.zjzfcg.gov.cn）和“玉环市公共资源交易中心”（ https://www.yhjyzx.com/News/zcfg/zfcg）。</w:t>
      </w:r>
    </w:p>
    <w:p>
      <w:pPr>
        <w:spacing w:line="400" w:lineRule="exact"/>
        <w:ind w:firstLine="590" w:firstLineChars="245"/>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八、联系方式：</w:t>
      </w:r>
    </w:p>
    <w:p>
      <w:pPr>
        <w:spacing w:line="400" w:lineRule="exact"/>
        <w:ind w:firstLine="566" w:firstLineChars="23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联系人：胡先生</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联系电话：15967041020     </w:t>
      </w:r>
    </w:p>
    <w:p>
      <w:pPr>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w:t>
      </w:r>
      <w:r>
        <w:rPr>
          <w:rFonts w:hint="eastAsia" w:ascii="宋体" w:hAnsi="宋体"/>
          <w:color w:val="000000" w:themeColor="text1"/>
          <w:kern w:val="0"/>
          <w:sz w:val="24"/>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（二）采购人</w:t>
      </w:r>
      <w:r>
        <w:rPr>
          <w:rFonts w:hint="eastAsia" w:ascii="宋体" w:hAnsi="宋体" w:cs="Arial"/>
          <w:color w:val="000000" w:themeColor="text1"/>
          <w:sz w:val="24"/>
          <w14:textFill>
            <w14:solidFill>
              <w14:schemeClr w14:val="tx1"/>
            </w14:solidFill>
          </w14:textFill>
        </w:rPr>
        <w:t xml:space="preserve">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14:textFill>
            <w14:solidFill>
              <w14:schemeClr w14:val="tx1"/>
            </w14:solidFill>
          </w14:textFill>
        </w:rPr>
        <w:t>玉环市不动产登记服务中心</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地址：浙江省台州市玉环市</w:t>
      </w:r>
      <w:r>
        <w:rPr>
          <w:rFonts w:hint="eastAsia" w:ascii="宋体" w:hAnsi="宋体" w:cs="Arial"/>
          <w:color w:val="000000" w:themeColor="text1"/>
          <w:sz w:val="24"/>
          <w14:textFill>
            <w14:solidFill>
              <w14:schemeClr w14:val="tx1"/>
            </w14:solidFill>
          </w14:textFill>
        </w:rPr>
        <w:t>玉城街道双港路187号11层</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联系人：柳</w:t>
      </w:r>
      <w:r>
        <w:rPr>
          <w:rFonts w:hint="eastAsia" w:ascii="宋体" w:hAnsi="宋体" w:cs="Arial"/>
          <w:color w:val="000000" w:themeColor="text1"/>
          <w:sz w:val="24"/>
          <w14:textFill>
            <w14:solidFill>
              <w14:schemeClr w14:val="tx1"/>
            </w14:solidFill>
          </w14:textFill>
        </w:rPr>
        <w:t>先生        联系电话：0576-81751017、</w:t>
      </w:r>
      <w:r>
        <w:rPr>
          <w:rFonts w:ascii="宋体" w:hAnsi="宋体" w:cs="Arial"/>
          <w:color w:val="000000" w:themeColor="text1"/>
          <w:sz w:val="24"/>
          <w14:textFill>
            <w14:solidFill>
              <w14:schemeClr w14:val="tx1"/>
            </w14:solidFill>
          </w14:textFill>
        </w:rPr>
        <w:t>13750627268</w:t>
      </w:r>
    </w:p>
    <w:p>
      <w:pPr>
        <w:spacing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（三）同级政府采购监督管理部门</w:t>
      </w:r>
    </w:p>
    <w:p>
      <w:pPr>
        <w:snapToGrid w:val="0"/>
        <w:spacing w:line="400" w:lineRule="exact"/>
        <w:ind w:left="525" w:left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名称：玉环市财政局</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联系人：谢主任                   </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监督投诉电话：0576-87250185          传真：0576-87250185</w:t>
      </w:r>
    </w:p>
    <w:p>
      <w:pPr>
        <w:snapToGrid w:val="0"/>
        <w:spacing w:line="400" w:lineRule="exact"/>
        <w:ind w:firstLine="600" w:firstLineChars="25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00" w:lineRule="exact"/>
        <w:ind w:right="1800"/>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00" w:lineRule="exact"/>
        <w:ind w:left="1440" w:right="-94"/>
        <w:rPr>
          <w:rFonts w:ascii="宋体"/>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 xml:space="preserve">    杭州华旗招标代理有限公司</w:t>
      </w:r>
      <w:r>
        <w:rPr>
          <w:rFonts w:ascii="宋体"/>
          <w:color w:val="000000" w:themeColor="text1"/>
          <w:kern w:val="0"/>
          <w:sz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center"/>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                           </w:t>
      </w:r>
      <w:r>
        <w:rPr>
          <w:rFonts w:asci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2019</w:t>
      </w:r>
      <w:r>
        <w:rPr>
          <w:rFonts w:hint="eastAsia" w:ascii="宋体"/>
          <w:color w:val="000000" w:themeColor="text1"/>
          <w:kern w:val="0"/>
          <w:sz w:val="24"/>
          <w14:textFill>
            <w14:solidFill>
              <w14:schemeClr w14:val="tx1"/>
            </w14:solidFill>
          </w14:textFill>
        </w:rPr>
        <w:t>年10月</w:t>
      </w:r>
      <w:r>
        <w:rPr>
          <w:rFonts w:hint="eastAsia" w:ascii="宋体"/>
          <w:color w:val="000000" w:themeColor="text1"/>
          <w:kern w:val="0"/>
          <w:sz w:val="24"/>
          <w:lang w:val="en-US" w:eastAsia="zh-CN"/>
          <w14:textFill>
            <w14:solidFill>
              <w14:schemeClr w14:val="tx1"/>
            </w14:solidFill>
          </w14:textFill>
        </w:rPr>
        <w:t>29</w:t>
      </w:r>
      <w:r>
        <w:rPr>
          <w:rFonts w:hint="eastAsia" w:ascii="宋体"/>
          <w:color w:val="000000" w:themeColor="text1"/>
          <w:kern w:val="0"/>
          <w:sz w:val="24"/>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pStyle w:val="2"/>
        <w:spacing w:line="480" w:lineRule="exact"/>
        <w:rPr>
          <w:rFonts w:ascii="宋体"/>
          <w:color w:val="000000" w:themeColor="text1"/>
          <w:kern w:val="0"/>
          <w14:textFill>
            <w14:solidFill>
              <w14:schemeClr w14:val="tx1"/>
            </w14:solidFill>
          </w14:textFill>
        </w:rPr>
      </w:pP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16"/>
        <w:tblW w:w="9205" w:type="dxa"/>
        <w:tblInd w:w="-29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r>
              <w:rPr>
                <w:rFonts w:hint="eastAsia" w:ascii="宋体"/>
                <w:bCs/>
                <w:color w:val="000000" w:themeColor="text1"/>
                <w:sz w:val="22"/>
                <w:szCs w:val="22"/>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14:textFill>
                  <w14:solidFill>
                    <w14:schemeClr w14:val="tx1"/>
                  </w14:solidFill>
                </w14:textFill>
              </w:rPr>
            </w:pPr>
            <w:r>
              <w:rPr>
                <w:rFonts w:hint="eastAsia" w:ascii="宋体" w:hAnsi="宋体"/>
                <w:b/>
                <w:bCs/>
                <w:color w:val="000000" w:themeColor="text1"/>
                <w:kern w:val="0"/>
                <w:sz w:val="22"/>
                <w:szCs w:val="22"/>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不动产测绘资质证书；（复印件加盖公章）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地理信息系统工程和摄影测量与遥感资质证书。</w:t>
            </w:r>
          </w:p>
          <w:p>
            <w:pPr>
              <w:widowControl/>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sz w:val="22"/>
                <w14:textFill>
                  <w14:solidFill>
                    <w14:schemeClr w14:val="tx1"/>
                  </w14:solidFill>
                </w14:textFill>
              </w:rPr>
              <w:t>（复印件加盖公章）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pStyle w:val="2"/>
        <w:rPr>
          <w:rFonts w:ascii="宋体"/>
          <w:color w:val="000000" w:themeColor="text1"/>
          <w:kern w:val="0"/>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1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答疑会或</w:t>
            </w:r>
            <w:r>
              <w:rPr>
                <w:rFonts w:hint="eastAsia" w:asciiTheme="majorEastAsia" w:hAnsiTheme="majorEastAsia" w:eastAsiaTheme="majorEastAsia" w:cstheme="majorEastAsia"/>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领取</w:t>
            </w:r>
            <w:r>
              <w:rPr>
                <w:rFonts w:hint="eastAsia" w:ascii="宋体" w:hAnsi="宋体" w:cs="宋体"/>
                <w:color w:val="000000" w:themeColor="text1"/>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后，各投标供应商请自行踏勘。</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w:t>
            </w:r>
            <w:r>
              <w:rPr>
                <w:rFonts w:ascii="宋体" w:hAnsi="宋体" w:cs="Arial"/>
                <w:color w:val="000000" w:themeColor="text1"/>
                <w:sz w:val="24"/>
                <w14:textFill>
                  <w14:solidFill>
                    <w14:schemeClr w14:val="tx1"/>
                  </w14:solidFill>
                </w14:textFill>
              </w:rPr>
              <w:t>柳</w:t>
            </w:r>
            <w:r>
              <w:rPr>
                <w:rFonts w:hint="eastAsia" w:ascii="宋体" w:hAnsi="宋体" w:cs="Arial"/>
                <w:color w:val="000000" w:themeColor="text1"/>
                <w:sz w:val="24"/>
                <w14:textFill>
                  <w14:solidFill>
                    <w14:schemeClr w14:val="tx1"/>
                  </w14:solidFill>
                </w14:textFill>
              </w:rPr>
              <w:t>先生        联系电话：0576-81751017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投标文件中的报价文件必须与其他文件分开各自密封包装。</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资格证明文件、商务正本</w:t>
            </w:r>
            <w:r>
              <w:rPr>
                <w:rFonts w:hint="eastAsia" w:cs="Arial" w:asciiTheme="minorEastAsia" w:hAnsiTheme="minorEastAsia" w:eastAsiaTheme="minorEastAsia"/>
                <w:color w:val="000000" w:themeColor="text1"/>
                <w:sz w:val="24"/>
                <w14:textFill>
                  <w14:solidFill>
                    <w14:schemeClr w14:val="tx1"/>
                  </w14:solidFill>
                </w14:textFill>
              </w:rPr>
              <w:t>1</w:t>
            </w:r>
            <w:r>
              <w:rPr>
                <w:rFonts w:hint="eastAsia" w:asciiTheme="majorEastAsia" w:hAnsiTheme="majorEastAsia" w:eastAsiaTheme="majorEastAsia" w:cstheme="majorEastAsia"/>
                <w:color w:val="000000" w:themeColor="text1"/>
                <w:sz w:val="24"/>
                <w14:textFill>
                  <w14:solidFill>
                    <w14:schemeClr w14:val="tx1"/>
                  </w14:solidFill>
                </w14:textFill>
              </w:rPr>
              <w:t>份、副本</w:t>
            </w:r>
            <w:r>
              <w:rPr>
                <w:rFonts w:hint="eastAsia" w:cs="Arial" w:asciiTheme="minorEastAsia" w:hAnsiTheme="minorEastAsia" w:eastAsiaTheme="minorEastAsia"/>
                <w:color w:val="000000" w:themeColor="text1"/>
                <w:sz w:val="24"/>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份，</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技术文件正本</w:t>
            </w:r>
            <w:r>
              <w:rPr>
                <w:rFonts w:hint="eastAsia" w:cs="Arial" w:asciiTheme="minorEastAsia" w:hAnsiTheme="minorEastAsia" w:eastAsiaTheme="minorEastAsia"/>
                <w:color w:val="000000" w:themeColor="text1"/>
                <w:sz w:val="24"/>
                <w14:textFill>
                  <w14:solidFill>
                    <w14:schemeClr w14:val="tx1"/>
                  </w14:solidFill>
                </w14:textFill>
              </w:rPr>
              <w:t>1</w:t>
            </w:r>
            <w:r>
              <w:rPr>
                <w:rFonts w:hint="eastAsia" w:asciiTheme="majorEastAsia" w:hAnsiTheme="majorEastAsia" w:eastAsiaTheme="majorEastAsia" w:cstheme="majorEastAsia"/>
                <w:color w:val="000000" w:themeColor="text1"/>
                <w:sz w:val="24"/>
                <w14:textFill>
                  <w14:solidFill>
                    <w14:schemeClr w14:val="tx1"/>
                  </w14:solidFill>
                </w14:textFill>
              </w:rPr>
              <w:t>份、副本</w:t>
            </w:r>
            <w:r>
              <w:rPr>
                <w:rFonts w:hint="eastAsia" w:cs="Arial" w:asciiTheme="minorEastAsia" w:hAnsiTheme="minorEastAsia" w:eastAsiaTheme="minorEastAsia"/>
                <w:color w:val="000000" w:themeColor="text1"/>
                <w:sz w:val="24"/>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份，</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报价文件正本</w:t>
            </w:r>
            <w:r>
              <w:rPr>
                <w:rFonts w:hint="eastAsia" w:cs="Arial" w:asciiTheme="minorEastAsia" w:hAnsiTheme="minorEastAsia" w:eastAsiaTheme="minorEastAsia"/>
                <w:color w:val="000000" w:themeColor="text1"/>
                <w:sz w:val="24"/>
                <w14:textFill>
                  <w14:solidFill>
                    <w14:schemeClr w14:val="tx1"/>
                  </w14:solidFill>
                </w14:textFill>
              </w:rPr>
              <w:t>1</w:t>
            </w:r>
            <w:r>
              <w:rPr>
                <w:rFonts w:hint="eastAsia" w:asciiTheme="majorEastAsia" w:hAnsiTheme="majorEastAsia" w:eastAsiaTheme="majorEastAsia" w:cstheme="majorEastAsia"/>
                <w:color w:val="000000" w:themeColor="text1"/>
                <w:sz w:val="24"/>
                <w14:textFill>
                  <w14:solidFill>
                    <w14:schemeClr w14:val="tx1"/>
                  </w14:solidFill>
                </w14:textFill>
              </w:rPr>
              <w:t>份、副本</w:t>
            </w:r>
            <w:r>
              <w:rPr>
                <w:rFonts w:hint="eastAsia" w:cs="Arial" w:asciiTheme="minorEastAsia" w:hAnsiTheme="minorEastAsia" w:eastAsiaTheme="minorEastAsia"/>
                <w:color w:val="000000" w:themeColor="text1"/>
                <w:sz w:val="24"/>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投标有效期为开标后90天，</w:t>
            </w:r>
            <w:r>
              <w:rPr>
                <w:rFonts w:hint="eastAsia" w:ascii="宋体" w:hAnsi="宋体" w:cs="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截止时间：北京时间2019年</w:t>
            </w:r>
            <w:bookmarkStart w:id="26" w:name="_GoBack"/>
            <w:bookmarkEnd w:id="26"/>
            <w:r>
              <w:rPr>
                <w:rFonts w:hint="eastAsia" w:ascii="宋体" w:hAnsi="宋体" w:cs="宋体"/>
                <w:color w:val="000000" w:themeColor="text1"/>
                <w:sz w:val="24"/>
                <w:lang w:eastAsia="zh-CN"/>
                <w14:textFill>
                  <w14:solidFill>
                    <w14:schemeClr w14:val="tx1"/>
                  </w14:solidFill>
                </w14:textFill>
              </w:rPr>
              <w:t>11月19日</w:t>
            </w:r>
            <w:r>
              <w:rPr>
                <w:rFonts w:hint="eastAsia" w:ascii="宋体" w:hAnsi="宋体" w:cs="宋体"/>
                <w:color w:val="000000" w:themeColor="text1"/>
                <w:sz w:val="24"/>
                <w14:textFill>
                  <w14:solidFill>
                    <w14:schemeClr w14:val="tx1"/>
                  </w14:solidFill>
                </w14:textFill>
              </w:rPr>
              <w:t>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时间：北京时间2019年</w:t>
            </w:r>
            <w:r>
              <w:rPr>
                <w:rFonts w:hint="eastAsia" w:ascii="宋体" w:hAnsi="宋体" w:cs="宋体"/>
                <w:color w:val="000000" w:themeColor="text1"/>
                <w:sz w:val="24"/>
                <w:lang w:eastAsia="zh-CN"/>
                <w14:textFill>
                  <w14:solidFill>
                    <w14:schemeClr w14:val="tx1"/>
                  </w14:solidFill>
                </w14:textFill>
              </w:rPr>
              <w:t>11月19日</w:t>
            </w:r>
            <w:r>
              <w:rPr>
                <w:rFonts w:hint="eastAsia" w:ascii="宋体" w:hAnsi="宋体" w:cs="宋体"/>
                <w:color w:val="000000" w:themeColor="text1"/>
                <w:sz w:val="24"/>
                <w14:textFill>
                  <w14:solidFill>
                    <w14:schemeClr w14:val="tx1"/>
                  </w14:solidFill>
                </w14:textFill>
              </w:rPr>
              <w:t>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供应商在签订合同前须交纳本项目壹拾万元作为履约保证金，服务期（一年）结束后无息退还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lang w:val="zh-CN"/>
                <w14:textFill>
                  <w14:solidFill>
                    <w14:schemeClr w14:val="tx1"/>
                  </w14:solidFill>
                </w14:textFill>
              </w:rPr>
            </w:pPr>
            <w:r>
              <w:rPr>
                <w:rFonts w:hint="eastAsia" w:asciiTheme="majorEastAsia" w:hAnsiTheme="majorEastAsia" w:eastAsiaTheme="majorEastAsia" w:cstheme="majorEastAsia"/>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rPr>
                <w:rFonts w:asciiTheme="majorEastAsia" w:hAnsiTheme="majorEastAsia" w:eastAsiaTheme="majorEastAsia" w:cstheme="majorEastAsia"/>
                <w:color w:val="000000" w:themeColor="text1"/>
                <w:kern w:val="0"/>
                <w:sz w:val="24"/>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zh-CN"/>
                <w14:textFill>
                  <w14:solidFill>
                    <w14:schemeClr w14:val="tx1"/>
                  </w14:solidFill>
                </w14:textFill>
              </w:rPr>
              <w:t>带“</w:t>
            </w:r>
            <w:r>
              <w:rPr>
                <w:rFonts w:hint="eastAsia" w:asciiTheme="majorEastAsia" w:hAnsiTheme="majorEastAsia" w:eastAsiaTheme="majorEastAsia" w:cstheme="majorEastAsia"/>
                <w:bCs/>
                <w:color w:val="000000" w:themeColor="text1"/>
                <w:sz w:val="24"/>
                <w14:textFill>
                  <w14:solidFill>
                    <w14:schemeClr w14:val="tx1"/>
                  </w14:solidFill>
                </w14:textFill>
              </w:rPr>
              <w:t>▲”为重要条款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集中采构机构</w:t>
            </w:r>
            <w:r>
              <w:rPr>
                <w:rFonts w:hint="eastAsia" w:cs="Arial" w:asciiTheme="minorEastAsia" w:hAnsiTheme="minorEastAsia" w:eastAsiaTheme="minorEastAsia"/>
                <w:color w:val="000000" w:themeColor="text1"/>
                <w:sz w:val="24"/>
                <w14:textFill>
                  <w14:solidFill>
                    <w14:schemeClr w14:val="tx1"/>
                  </w14:solidFill>
                </w14:textFill>
              </w:rPr>
              <w:t>/采购代理机构</w:t>
            </w:r>
          </w:p>
        </w:tc>
      </w:tr>
    </w:tbl>
    <w:p>
      <w:pPr>
        <w:pStyle w:val="9"/>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9"/>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p>
    <w:p>
      <w:pPr>
        <w:pStyle w:val="9"/>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snapToGrid w:val="0"/>
        <w:spacing w:line="400" w:lineRule="exact"/>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 xml:space="preserve"> 适用范围</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snapToGrid w:val="0"/>
        <w:spacing w:before="156" w:beforeLines="50" w:line="400" w:lineRule="exact"/>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line="400" w:lineRule="exact"/>
        <w:ind w:firstLine="566" w:firstLineChars="236"/>
        <w:jc w:val="left"/>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lang w:val="zh-CN"/>
          <w14:textFill>
            <w14:solidFill>
              <w14:schemeClr w14:val="tx1"/>
            </w14:solidFill>
          </w14:textFill>
        </w:rPr>
        <w:t>采购代理机构。</w:t>
      </w:r>
    </w:p>
    <w:p>
      <w:pPr>
        <w:snapToGrid w:val="0"/>
        <w:spacing w:line="400" w:lineRule="exact"/>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w:t>
      </w:r>
      <w:r>
        <w:rPr>
          <w:rFonts w:hint="eastAsia" w:ascii="宋体" w:hAnsi="宋体" w:cs="Arial"/>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采购代理机构采购本次项目的国家机关、事业单位和团体组织。</w:t>
      </w:r>
    </w:p>
    <w:p>
      <w:pPr>
        <w:snapToGrid w:val="0"/>
        <w:spacing w:line="400" w:lineRule="exact"/>
        <w:ind w:left="424" w:leftChars="202" w:firstLine="141" w:firstLineChars="5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提交投标文件的单位或个人。</w:t>
      </w:r>
    </w:p>
    <w:p>
      <w:pPr>
        <w:snapToGrid w:val="0"/>
        <w:spacing w:line="400" w:lineRule="exact"/>
        <w:ind w:left="424" w:leftChars="202" w:firstLine="14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snapToGrid w:val="0"/>
        <w:spacing w:line="400" w:lineRule="exact"/>
        <w:ind w:firstLine="566" w:firstLineChars="23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snapToGrid w:val="0"/>
        <w:spacing w:line="40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w:t>
      </w:r>
      <w:r>
        <w:rPr>
          <w:rFonts w:hint="eastAsia" w:asciiTheme="minorEastAsia" w:hAnsiTheme="minorEastAsia" w:eastAsiaTheme="minorEastAsia"/>
          <w:color w:val="000000" w:themeColor="text1"/>
          <w:sz w:val="24"/>
          <w14:textFill>
            <w14:solidFill>
              <w14:schemeClr w14:val="tx1"/>
            </w14:solidFill>
          </w14:textFill>
        </w:rPr>
        <w:t>重要</w:t>
      </w:r>
      <w:r>
        <w:rPr>
          <w:rFonts w:asciiTheme="minorEastAsia" w:hAnsiTheme="minorEastAsia" w:eastAsiaTheme="minorEastAsia"/>
          <w:color w:val="000000" w:themeColor="text1"/>
          <w:sz w:val="24"/>
          <w14:textFill>
            <w14:solidFill>
              <w14:schemeClr w14:val="tx1"/>
            </w14:solidFill>
          </w14:textFill>
        </w:rPr>
        <w:t>条款。</w:t>
      </w:r>
    </w:p>
    <w:p>
      <w:pPr>
        <w:snapToGrid w:val="0"/>
        <w:spacing w:before="156" w:beforeLines="50" w:line="400" w:lineRule="exact"/>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（三）投标费用</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pStyle w:val="9"/>
        <w:snapToGrid w:val="0"/>
        <w:spacing w:line="400" w:lineRule="exact"/>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9"/>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spacing w:line="400" w:lineRule="exact"/>
        <w:ind w:firstLine="480" w:firstLineChars="20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14:textFill>
            <w14:solidFill>
              <w14:schemeClr w14:val="tx1"/>
            </w14:solidFill>
          </w14:textFill>
        </w:rPr>
        <w:tab/>
      </w:r>
    </w:p>
    <w:p>
      <w:pPr>
        <w:pStyle w:val="21"/>
        <w:snapToGrid w:val="0"/>
        <w:spacing w:line="400" w:lineRule="exact"/>
        <w:ind w:firstLineChars="0"/>
        <w:rPr>
          <w:rFonts w:asciiTheme="minorEastAsia" w:hAnsiTheme="minorEastAsia" w:eastAsiaTheme="minorEastAsia" w:cstheme="minorBidi"/>
          <w:color w:val="000000" w:themeColor="text1"/>
          <w:sz w:val="24"/>
          <w:szCs w:val="24"/>
          <w14:textFill>
            <w14:solidFill>
              <w14:schemeClr w14:val="tx1"/>
            </w14:solidFill>
          </w14:textFill>
        </w:rPr>
      </w:pPr>
      <w:r>
        <w:rPr>
          <w:rFonts w:hint="eastAsia" w:asciiTheme="minorEastAsia" w:hAnsiTheme="minorEastAsia" w:eastAsiaTheme="minorEastAsia" w:cstheme="minorBidi"/>
          <w:color w:val="000000" w:themeColor="text1"/>
          <w:sz w:val="24"/>
          <w:szCs w:val="24"/>
          <w14:textFill>
            <w14:solidFill>
              <w14:schemeClr w14:val="tx1"/>
            </w14:solidFill>
          </w14:textFill>
        </w:rPr>
        <w:t>3、</w:t>
      </w:r>
      <w:r>
        <w:rPr>
          <w:rFonts w:asciiTheme="minorEastAsia" w:hAnsiTheme="minorEastAsia" w:eastAsiaTheme="minorEastAsia" w:cstheme="minorBidi"/>
          <w:color w:val="000000" w:themeColor="text1"/>
          <w:sz w:val="24"/>
          <w:szCs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14:textFill>
            <w14:solidFill>
              <w14:schemeClr w14:val="tx1"/>
            </w14:solidFill>
          </w14:textFill>
        </w:rPr>
        <w:t>，</w:t>
      </w:r>
      <w:r>
        <w:rPr>
          <w:rFonts w:asciiTheme="minorEastAsia" w:hAnsiTheme="minorEastAsia" w:eastAsiaTheme="minorEastAsia" w:cstheme="minorBidi"/>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6、投标文件格式中的表格式样可以根据项目差别做适当调整,但应当保持表格样式基本形态不变。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400" w:lineRule="exact"/>
        <w:ind w:firstLine="480" w:firstLineChars="200"/>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二、招标文件</w:t>
      </w:r>
    </w:p>
    <w:p>
      <w:pPr>
        <w:autoSpaceDE w:val="0"/>
        <w:autoSpaceDN w:val="0"/>
        <w:adjustRightInd w:val="0"/>
        <w:spacing w:line="40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autoSpaceDE w:val="0"/>
        <w:autoSpaceDN w:val="0"/>
        <w:adjustRightInd w:val="0"/>
        <w:spacing w:line="40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autoSpaceDE w:val="0"/>
        <w:autoSpaceDN w:val="0"/>
        <w:adjustRightInd w:val="0"/>
        <w:spacing w:line="400" w:lineRule="exact"/>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tabs>
          <w:tab w:val="left" w:pos="1418"/>
        </w:tabs>
        <w:autoSpaceDE w:val="0"/>
        <w:autoSpaceDN w:val="0"/>
        <w:adjustRightInd w:val="0"/>
        <w:spacing w:line="400" w:lineRule="exac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 xml:space="preserve"> 三、投标文件</w:t>
      </w:r>
    </w:p>
    <w:p>
      <w:pPr>
        <w:autoSpaceDE w:val="0"/>
        <w:autoSpaceDN w:val="0"/>
        <w:adjustRightInd w:val="0"/>
        <w:spacing w:line="400" w:lineRule="exact"/>
        <w:ind w:firstLine="482" w:firstLineChars="200"/>
        <w:rPr>
          <w:rFonts w:asciiTheme="minorEastAsia" w:hAnsiTheme="minorEastAsia" w:eastAsiaTheme="minorEastAsia"/>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14:textFill>
            <w14:solidFill>
              <w14:schemeClr w14:val="tx1"/>
            </w14:solidFill>
          </w14:textFill>
        </w:rPr>
        <w:t>投标文件的组成</w:t>
      </w:r>
    </w:p>
    <w:p>
      <w:pPr>
        <w:snapToGrid w:val="0"/>
        <w:spacing w:line="400" w:lineRule="exact"/>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400" w:lineRule="exact"/>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投标声明书；</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授权委托书（法定代表人亲自办理投标事宜的，则无需提交)；</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法人或者其他组织的营业执照等证明文件，自然人的身份证明；</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财务状况报告，依法缴纳税收和社会保障资金的相关材料；</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具备履行合同所必需的设备和专业技术能力的证明材料；</w:t>
      </w:r>
    </w:p>
    <w:p>
      <w:pPr>
        <w:widowControl/>
        <w:numPr>
          <w:ilvl w:val="0"/>
          <w:numId w:val="4"/>
        </w:numPr>
        <w:spacing w:line="400" w:lineRule="exact"/>
        <w:ind w:right="60" w:firstLine="472" w:firstLineChars="197"/>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400" w:lineRule="exact"/>
        <w:ind w:firstLine="482" w:firstLineChars="200"/>
        <w:rPr>
          <w:rFonts w:ascii="宋体" w:hAnsi="宋体" w:cs="宋体"/>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pStyle w:val="6"/>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（1）投标人情况介绍（人员与技术力量、企业规模、经营业绩等）。</w:t>
      </w:r>
    </w:p>
    <w:p>
      <w:pPr>
        <w:pStyle w:val="6"/>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6"/>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hint="eastAsia" w:ascii="宋体" w:hAnsi="宋体"/>
          <w:color w:val="000000" w:themeColor="text1"/>
          <w:sz w:val="24"/>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pStyle w:val="6"/>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（3）投标产品描述及相关资料</w:t>
      </w:r>
      <w:r>
        <w:rPr>
          <w:rFonts w:hint="eastAsia" w:ascii="宋体" w:hAnsi="宋体"/>
          <w:color w:val="000000" w:themeColor="text1"/>
          <w:sz w:val="24"/>
          <w14:textFill>
            <w14:solidFill>
              <w14:schemeClr w14:val="tx1"/>
            </w14:solidFill>
          </w14:textFill>
        </w:rPr>
        <w:t>（投入本项目的仪器设备等）</w:t>
      </w:r>
      <w:r>
        <w:rPr>
          <w:rFonts w:hint="eastAsia" w:ascii="宋体" w:hAnsi="宋体" w:cs="宋体"/>
          <w:color w:val="000000" w:themeColor="text1"/>
          <w:sz w:val="24"/>
          <w:szCs w:val="24"/>
          <w14:textFill>
            <w14:solidFill>
              <w14:schemeClr w14:val="tx1"/>
            </w14:solidFill>
          </w14:textFill>
        </w:rPr>
        <w:t>：</w:t>
      </w:r>
    </w:p>
    <w:p>
      <w:pPr>
        <w:autoSpaceDE w:val="0"/>
        <w:autoSpaceDN w:val="0"/>
        <w:adjustRightInd w:val="0"/>
        <w:spacing w:line="400" w:lineRule="exact"/>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或文件（如有则提供）；</w:t>
      </w:r>
    </w:p>
    <w:p>
      <w:pPr>
        <w:pStyle w:val="6"/>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（5）近三年来类似项目的成功案例（投标人类似项目实施情况一览表、合同复印件及其相应的发票、用户验收报告等；</w:t>
      </w:r>
    </w:p>
    <w:p>
      <w:pPr>
        <w:snapToGrid w:val="0"/>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（6）投标人认为需要提供的其他资料（包括可能影响投标人商务与技术文件评分的各类证明材料）。</w:t>
      </w:r>
    </w:p>
    <w:p>
      <w:pPr>
        <w:pStyle w:val="6"/>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（7）售后服务描述及承诺：</w:t>
      </w:r>
    </w:p>
    <w:p>
      <w:pPr>
        <w:pStyle w:val="6"/>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3、报价文件的组成</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snapToGri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numPr>
          <w:ilvl w:val="0"/>
          <w:numId w:val="5"/>
        </w:numPr>
        <w:spacing w:line="400" w:lineRule="exact"/>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投标文件的</w:t>
      </w:r>
      <w:r>
        <w:rPr>
          <w:rFonts w:hint="eastAsia" w:asciiTheme="minorEastAsia" w:hAnsiTheme="minorEastAsia"/>
          <w:b/>
          <w:bCs/>
          <w:color w:val="000000" w:themeColor="text1"/>
          <w:kern w:val="0"/>
          <w:sz w:val="24"/>
          <w14:textFill>
            <w14:solidFill>
              <w14:schemeClr w14:val="tx1"/>
            </w14:solidFill>
          </w14:textFill>
        </w:rPr>
        <w:t>制作、封装及</w:t>
      </w:r>
      <w:r>
        <w:rPr>
          <w:rFonts w:hint="eastAsia" w:asciiTheme="minorEastAsia" w:hAnsiTheme="minorEastAsia" w:eastAsiaTheme="minorEastAsia"/>
          <w:b/>
          <w:bCs/>
          <w:color w:val="000000" w:themeColor="text1"/>
          <w:kern w:val="0"/>
          <w:sz w:val="24"/>
          <w14:textFill>
            <w14:solidFill>
              <w14:schemeClr w14:val="tx1"/>
            </w14:solidFill>
          </w14:textFill>
        </w:rPr>
        <w:t>递交要求</w:t>
      </w:r>
    </w:p>
    <w:p>
      <w:pPr>
        <w:autoSpaceDE w:val="0"/>
        <w:autoSpaceDN w:val="0"/>
        <w:adjustRightInd w:val="0"/>
        <w:spacing w:line="400" w:lineRule="exact"/>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1、投标文件的制作要求</w:t>
      </w:r>
    </w:p>
    <w:p>
      <w:pPr>
        <w:autoSpaceDE w:val="0"/>
        <w:autoSpaceDN w:val="0"/>
        <w:adjustRightIn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w:t>
      </w:r>
      <w:r>
        <w:rPr>
          <w:rFonts w:hint="eastAsia" w:asciiTheme="minorEastAsia" w:hAnsiTheme="minorEastAsia"/>
          <w:color w:val="000000" w:themeColor="text1"/>
          <w:sz w:val="24"/>
          <w14:textFill>
            <w14:solidFill>
              <w14:schemeClr w14:val="tx1"/>
            </w14:solidFill>
          </w14:textFill>
        </w:rPr>
        <w:t>投标文件组成内容</w:t>
      </w:r>
      <w:r>
        <w:rPr>
          <w:rFonts w:hint="eastAsia" w:asciiTheme="minorEastAsia" w:hAnsiTheme="minorEastAsia" w:eastAsiaTheme="minorEastAsia"/>
          <w:color w:val="000000" w:themeColor="text1"/>
          <w:sz w:val="24"/>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lang w:val="zh-CN"/>
          <w14:textFill>
            <w14:solidFill>
              <w14:schemeClr w14:val="tx1"/>
            </w14:solidFill>
          </w14:textFill>
        </w:rPr>
        <w:t>内</w:t>
      </w:r>
      <w:r>
        <w:rPr>
          <w:rFonts w:hint="eastAsia" w:asciiTheme="minorEastAsia" w:hAnsiTheme="minorEastAsia"/>
          <w:color w:val="000000" w:themeColor="text1"/>
          <w:kern w:val="0"/>
          <w:sz w:val="24"/>
          <w:lang w:val="zh-CN"/>
          <w14:textFill>
            <w14:solidFill>
              <w14:schemeClr w14:val="tx1"/>
            </w14:solidFill>
          </w14:textFill>
        </w:rPr>
        <w:t>容中</w:t>
      </w:r>
      <w:r>
        <w:rPr>
          <w:rFonts w:hint="eastAsia" w:asciiTheme="minorEastAsia" w:hAnsiTheme="minorEastAsia" w:eastAsiaTheme="minorEastAsia"/>
          <w:color w:val="000000" w:themeColor="text1"/>
          <w:kern w:val="0"/>
          <w:sz w:val="24"/>
          <w:lang w:val="zh-CN"/>
          <w14:textFill>
            <w14:solidFill>
              <w14:schemeClr w14:val="tx1"/>
            </w14:solidFill>
          </w14:textFill>
        </w:rPr>
        <w:t>有要求盖章或签字的地方，必须加盖投标人的公章以及法定代表人或全权代表盖章或签字。</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kern w:val="0"/>
          <w:sz w:val="24"/>
          <w:lang w:val="zh-CN"/>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投标文件以及投标人与</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、盖章、专用名称等特殊情形外，以中文汉语以外的文字表述的投标文件视同未提供。</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若投标人不按招标文件的要求提供资格审查材料，其风险由投标人自行承担。</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400" w:lineRule="exact"/>
        <w:ind w:firstLine="48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2、投标文件的封装要求</w:t>
      </w:r>
    </w:p>
    <w:p>
      <w:pPr>
        <w:autoSpaceDE w:val="0"/>
        <w:autoSpaceDN w:val="0"/>
        <w:adjustRightInd w:val="0"/>
        <w:spacing w:line="400" w:lineRule="exact"/>
        <w:ind w:firstLine="475" w:firstLineChars="198"/>
        <w:rPr>
          <w:rFonts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w:t>
      </w:r>
      <w:r>
        <w:rPr>
          <w:rFonts w:hint="eastAsia" w:ascii="宋体" w:hAnsi="宋体"/>
          <w:bCs/>
          <w:color w:val="000000" w:themeColor="text1"/>
          <w:sz w:val="24"/>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lang w:val="zh-CN"/>
          <w14:textFill>
            <w14:solidFill>
              <w14:schemeClr w14:val="tx1"/>
            </w14:solidFill>
          </w14:textFill>
        </w:rPr>
        <w:t>资格证明文件共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，商务与技术文件共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，报价文件共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（4）项目如分标段，各标段投标文件必须分开编制，并按上述份数要求单独密封包装。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asciiTheme="minorEastAsia" w:hAnsiTheme="minorEastAsia" w:eastAsiaTheme="minorEastAsia"/>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投标文件的递交要求</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4、投标文件的补充、修改和撤回。</w:t>
      </w:r>
    </w:p>
    <w:p>
      <w:pPr>
        <w:tabs>
          <w:tab w:val="left" w:pos="960"/>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25"/>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截止时间</w:t>
      </w:r>
      <w:r>
        <w:rPr>
          <w:rFonts w:hint="eastAsia" w:ascii="宋体"/>
          <w:color w:val="000000" w:themeColor="text1"/>
          <w:kern w:val="0"/>
          <w:sz w:val="24"/>
          <w14:textFill>
            <w14:solidFill>
              <w14:schemeClr w14:val="tx1"/>
            </w14:solidFill>
          </w14:textFill>
        </w:rPr>
        <w:t>以前将书面的修改文件或撤消通知送达采购组织机构。</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400" w:lineRule="exac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（三）投标文件的有效期</w:t>
      </w:r>
    </w:p>
    <w:p>
      <w:pPr>
        <w:pStyle w:val="5"/>
        <w:tabs>
          <w:tab w:val="left" w:pos="454"/>
          <w:tab w:val="left" w:pos="720"/>
          <w:tab w:val="left" w:pos="1200"/>
        </w:tabs>
        <w:snapToGrid w:val="0"/>
        <w:spacing w:line="400" w:lineRule="exact"/>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自投标截止日起90天投标文件应保持有效。有效期不足的投标文件将被拒绝。</w:t>
      </w:r>
    </w:p>
    <w:p>
      <w:pPr>
        <w:pStyle w:val="5"/>
        <w:tabs>
          <w:tab w:val="left" w:pos="454"/>
          <w:tab w:val="left" w:pos="720"/>
          <w:tab w:val="left" w:pos="1200"/>
        </w:tabs>
        <w:snapToGrid w:val="0"/>
        <w:spacing w:line="400" w:lineRule="exact"/>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在特殊情况下，采购人可与投标人协商延长投标文件的有效期，这种要求和答复均以书面形式进行。</w:t>
      </w:r>
    </w:p>
    <w:p>
      <w:pPr>
        <w:snapToGrid w:val="0"/>
        <w:spacing w:line="400" w:lineRule="exact"/>
        <w:ind w:firstLine="480" w:firstLineChars="200"/>
        <w:jc w:val="left"/>
        <w:outlineLvl w:val="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中标人的投标文件自开标之日起至合同履行完毕均应保持有效。</w:t>
      </w:r>
    </w:p>
    <w:p>
      <w:pPr>
        <w:snapToGrid w:val="0"/>
        <w:spacing w:line="400" w:lineRule="exact"/>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四、开标</w:t>
      </w:r>
    </w:p>
    <w:p>
      <w:pPr>
        <w:autoSpaceDE w:val="0"/>
        <w:autoSpaceDN w:val="0"/>
        <w:adjustRightInd w:val="0"/>
        <w:spacing w:line="40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（一）开标事项</w:t>
      </w:r>
    </w:p>
    <w:p>
      <w:pPr>
        <w:autoSpaceDE w:val="0"/>
        <w:autoSpaceDN w:val="0"/>
        <w:adjustRightInd w:val="0"/>
        <w:spacing w:line="40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14:textFill>
            <w14:solidFill>
              <w14:schemeClr w14:val="tx1"/>
            </w14:solidFill>
          </w14:textFill>
        </w:rPr>
        <w:t>签字</w:t>
      </w:r>
      <w:r>
        <w:rPr>
          <w:rFonts w:asciiTheme="minorEastAsia" w:hAnsiTheme="minorEastAsia" w:eastAsiaTheme="minorEastAsia"/>
          <w:bCs/>
          <w:color w:val="000000" w:themeColor="text1"/>
          <w:sz w:val="24"/>
          <w14:textFill>
            <w14:solidFill>
              <w14:schemeClr w14:val="tx1"/>
            </w14:solidFill>
          </w14:textFill>
        </w:rPr>
        <w:t>确认。</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14:textFill>
            <w14:solidFill>
              <w14:schemeClr w14:val="tx1"/>
            </w14:solidFill>
          </w14:textFill>
        </w:rPr>
        <w:t>（本次招标</w:t>
      </w:r>
      <w:r>
        <w:rPr>
          <w:rFonts w:cs="Arial" w:asciiTheme="minorEastAsia" w:hAnsiTheme="minorEastAsia" w:eastAsiaTheme="minorEastAsia"/>
          <w:color w:val="000000" w:themeColor="text1"/>
          <w:sz w:val="24"/>
          <w14:textFill>
            <w14:solidFill>
              <w14:schemeClr w14:val="tx1"/>
            </w14:solidFill>
          </w14:textFill>
        </w:rPr>
        <w:t>采用先评审商务资格</w:t>
      </w:r>
      <w:r>
        <w:rPr>
          <w:rFonts w:hint="eastAsia" w:cs="Arial" w:asciiTheme="minorEastAsia" w:hAnsiTheme="minorEastAsia" w:eastAsiaTheme="minorEastAsia"/>
          <w:color w:val="000000" w:themeColor="text1"/>
          <w:sz w:val="24"/>
          <w14:textFill>
            <w14:solidFill>
              <w14:schemeClr w14:val="tx1"/>
            </w14:solidFill>
          </w14:textFill>
        </w:rPr>
        <w:t>和</w:t>
      </w:r>
      <w:r>
        <w:rPr>
          <w:rFonts w:cs="Arial" w:asciiTheme="minorEastAsia" w:hAnsiTheme="minorEastAsia" w:eastAsiaTheme="minorEastAsia"/>
          <w:color w:val="000000" w:themeColor="text1"/>
          <w:sz w:val="24"/>
          <w14:textFill>
            <w14:solidFill>
              <w14:schemeClr w14:val="tx1"/>
            </w14:solidFill>
          </w14:textFill>
        </w:rPr>
        <w:t>技术服务方案</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14:textFill>
            <w14:solidFill>
              <w14:schemeClr w14:val="tx1"/>
            </w14:solidFill>
          </w14:textFill>
        </w:rPr>
        <w:t>实施）。</w:t>
      </w:r>
    </w:p>
    <w:p>
      <w:pPr>
        <w:autoSpaceDE w:val="0"/>
        <w:autoSpaceDN w:val="0"/>
        <w:adjustRightInd w:val="0"/>
        <w:spacing w:line="40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1、开标会由招标项目负责人主持，主持人宣布开标会议开始；</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2、主持人介绍参加开标会的人员名单； </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3、主持人宣布评标期间的有关事项，告知应当回避的情形,提请有关人员回避；</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4、投标人或其当场推荐的代表，检查投标文件密封的完整性；</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14:textFill>
            <w14:solidFill>
              <w14:schemeClr w14:val="tx1"/>
            </w14:solidFill>
          </w14:textFill>
        </w:rPr>
        <w:t>资格证明文件、</w:t>
      </w:r>
      <w:r>
        <w:rPr>
          <w:rFonts w:hint="eastAsia"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sz w:val="24"/>
          <w14:textFill>
            <w14:solidFill>
              <w14:schemeClr w14:val="tx1"/>
            </w14:solidFill>
          </w14:textFill>
        </w:rPr>
        <w:t>后，进入资格审查及符合性审查环节；</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6、完成</w:t>
      </w:r>
      <w:r>
        <w:rPr>
          <w:rFonts w:ascii="Arial" w:hAnsi="Arial" w:cs="Arial"/>
          <w:color w:val="000000" w:themeColor="text1"/>
          <w:sz w:val="24"/>
          <w14:textFill>
            <w14:solidFill>
              <w14:schemeClr w14:val="tx1"/>
            </w14:solidFill>
          </w14:textFill>
        </w:rPr>
        <w:t>综合比较与评价</w:t>
      </w:r>
      <w:r>
        <w:rPr>
          <w:rFonts w:hint="eastAsia" w:ascii="Arial" w:hAnsi="Arial" w:cs="Arial"/>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8、在完成评标后，宣布评标结果，开标会议结束。</w:t>
      </w:r>
    </w:p>
    <w:p>
      <w:pPr>
        <w:pStyle w:val="9"/>
        <w:snapToGrid w:val="0"/>
        <w:spacing w:line="400" w:lineRule="exac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9"/>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9"/>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9"/>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400" w:lineRule="exact"/>
        <w:ind w:firstLine="472" w:firstLineChars="196"/>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14"/>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4"/>
        <w:spacing w:before="0" w:beforeAutospacing="0" w:after="0" w:afterAutospacing="0" w:line="400" w:lineRule="exact"/>
        <w:ind w:firstLine="472" w:firstLineChars="196"/>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2、符合性审查</w:t>
      </w:r>
    </w:p>
    <w:p>
      <w:pPr>
        <w:pStyle w:val="14"/>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4"/>
        <w:spacing w:before="0" w:beforeAutospacing="0" w:after="0" w:afterAutospacing="0" w:line="400" w:lineRule="exact"/>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4"/>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4"/>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400" w:lineRule="exact"/>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9"/>
        <w:snapToGrid w:val="0"/>
        <w:spacing w:line="400" w:lineRule="exact"/>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4"/>
        <w:spacing w:before="0" w:beforeAutospacing="0" w:after="0" w:afterAutospacing="0" w:line="400" w:lineRule="exact"/>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numPr>
          <w:ilvl w:val="255"/>
          <w:numId w:val="0"/>
        </w:numPr>
        <w:snapToGrid w:val="0"/>
        <w:spacing w:line="400" w:lineRule="exact"/>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snapToGrid w:val="0"/>
        <w:spacing w:line="400" w:lineRule="exact"/>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snapToGrid w:val="0"/>
        <w:spacing w:line="40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9"/>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4"/>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投标文件报价出现前后不一致的，除招标文件另有规定外，按照下列规定修正：</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1、投标文件中开标一览表（报价表）内容与投标文件中相应内容不一致的，以开标一览表（报价表）为准；</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4"/>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adjustRightInd w:val="0"/>
        <w:snapToGrid w:val="0"/>
        <w:spacing w:line="400" w:lineRule="exact"/>
        <w:ind w:left="4" w:firstLine="470" w:firstLineChars="196"/>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4"/>
        <w:tabs>
          <w:tab w:val="left" w:pos="7380"/>
        </w:tabs>
        <w:adjustRightInd w:val="0"/>
        <w:snapToGrid w:val="0"/>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4"/>
        <w:adjustRightInd w:val="0"/>
        <w:snapToGrid w:val="0"/>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3、投标文件含有采购人不能接受的附加条件的。</w:t>
      </w:r>
    </w:p>
    <w:p>
      <w:pPr>
        <w:adjustRightInd w:val="0"/>
        <w:snapToGrid w:val="0"/>
        <w:spacing w:line="400" w:lineRule="exact"/>
        <w:ind w:firstLine="470" w:firstLineChars="196"/>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、投标代表人未能出具身份证明或与法定代表人授权委托人身份不符的；</w:t>
      </w:r>
    </w:p>
    <w:p>
      <w:pPr>
        <w:pStyle w:val="14"/>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7、投标参数未如实填写，完全复制粘贴招标参数的。</w:t>
      </w:r>
    </w:p>
    <w:p>
      <w:pPr>
        <w:tabs>
          <w:tab w:val="left" w:pos="1898"/>
        </w:tabs>
        <w:autoSpaceDE w:val="0"/>
        <w:autoSpaceDN w:val="0"/>
        <w:adjustRightInd w:val="0"/>
        <w:snapToGri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8、投标文件提供虚假材料的。 </w:t>
      </w:r>
    </w:p>
    <w:p>
      <w:pPr>
        <w:tabs>
          <w:tab w:val="left" w:pos="1898"/>
        </w:tabs>
        <w:autoSpaceDE w:val="0"/>
        <w:autoSpaceDN w:val="0"/>
        <w:adjustRightInd w:val="0"/>
        <w:snapToGri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（1）不同投标人的投标文件由同一单位或者个人编制；</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（3）不同投标人的投标文件载明的项目管理成员或者联系人员为同一人；</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（4）不同投标人的投标文件异常一致或者投标报价呈规律性差异；</w:t>
      </w:r>
    </w:p>
    <w:p>
      <w:pPr>
        <w:pStyle w:val="14"/>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（5）不同投标人的投标文件相互混装；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10、不符合法律、法规和招标文件中规定的其他实质性要求的（招标文件</w:t>
      </w:r>
    </w:p>
    <w:p>
      <w:pPr>
        <w:tabs>
          <w:tab w:val="right" w:pos="8306"/>
        </w:tabs>
        <w:autoSpaceDE w:val="0"/>
        <w:autoSpaceDN w:val="0"/>
        <w:adjustRightInd w:val="0"/>
        <w:spacing w:line="40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中打“▲”内容及被拒绝的条款）。</w:t>
      </w:r>
    </w:p>
    <w:p>
      <w:pPr>
        <w:autoSpaceDE w:val="0"/>
        <w:autoSpaceDN w:val="0"/>
        <w:adjustRightInd w:val="0"/>
        <w:spacing w:line="400" w:lineRule="exact"/>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4"/>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4"/>
        <w:spacing w:before="0" w:beforeAutospacing="0" w:after="0" w:afterAutospacing="0" w:line="400" w:lineRule="exact"/>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4"/>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4"/>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9"/>
        <w:tabs>
          <w:tab w:val="left" w:pos="630"/>
        </w:tabs>
        <w:snapToGrid w:val="0"/>
        <w:spacing w:line="40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9"/>
        <w:snapToGrid w:val="0"/>
        <w:spacing w:line="40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40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9"/>
        <w:snapToGrid w:val="0"/>
        <w:spacing w:line="40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4"/>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4"/>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4"/>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3、发出中标通知书。采购组织机构在发布中标结果的同时，向中标人发出中标通知书。</w:t>
      </w:r>
    </w:p>
    <w:p>
      <w:pPr>
        <w:spacing w:line="400" w:lineRule="exact"/>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40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4"/>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4"/>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4"/>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3、中标供应商无故拖延、拒签合同的,取消中标资格。</w:t>
      </w:r>
    </w:p>
    <w:p>
      <w:pPr>
        <w:pStyle w:val="14"/>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4"/>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4"/>
        <w:spacing w:line="400" w:lineRule="exact"/>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8"/>
        <w:spacing w:line="400" w:lineRule="exact"/>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8"/>
        <w:spacing w:line="400" w:lineRule="exact"/>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3"/>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八、采购代理费</w:t>
      </w:r>
    </w:p>
    <w:p>
      <w:pPr>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中标供应商在领取中标通知书前须支付</w:t>
      </w:r>
      <w:r>
        <w:rPr>
          <w:rFonts w:hint="eastAsia" w:ascii="宋体" w:hAnsi="宋体" w:cs="Arial"/>
          <w:color w:val="000000" w:themeColor="text1"/>
          <w:sz w:val="24"/>
          <w14:textFill>
            <w14:solidFill>
              <w14:schemeClr w14:val="tx1"/>
            </w14:solidFill>
          </w14:textFill>
        </w:rPr>
        <w:t>采购代理费17000元人民币</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采购代理费</w:t>
      </w:r>
      <w:r>
        <w:rPr>
          <w:rFonts w:hint="eastAsia" w:ascii="宋体" w:hAnsi="宋体"/>
          <w:color w:val="000000" w:themeColor="text1"/>
          <w:sz w:val="24"/>
          <w14:textFill>
            <w14:solidFill>
              <w14:schemeClr w14:val="tx1"/>
            </w14:solidFill>
          </w14:textFill>
        </w:rPr>
        <w:t>包含在投标总价中。招标代理服务费汇入以下账户：</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8"/>
        <w:spacing w:line="360" w:lineRule="auto"/>
        <w:ind w:left="0" w:leftChars="0" w:firstLine="480" w:firstLineChars="200"/>
        <w:rPr>
          <w:rFonts w:ascii="宋体" w:hAnsi="宋体"/>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pStyle w:val="2"/>
        <w:rPr>
          <w:rFonts w:asciiTheme="minorEastAsia" w:hAnsiTheme="minorEastAsia" w:eastAsiaTheme="minorEastAsia"/>
          <w:b/>
          <w:color w:val="000000" w:themeColor="text1"/>
          <w:sz w:val="28"/>
          <w:szCs w:val="28"/>
          <w14:textFill>
            <w14:solidFill>
              <w14:schemeClr w14:val="tx1"/>
            </w14:solidFill>
          </w14:textFill>
        </w:rPr>
      </w:pPr>
    </w:p>
    <w:p>
      <w:pPr>
        <w:pStyle w:val="2"/>
        <w:rPr>
          <w:rFonts w:asciiTheme="minorEastAsia" w:hAnsiTheme="minorEastAsia" w:eastAsiaTheme="minorEastAsia"/>
          <w:b/>
          <w:color w:val="000000" w:themeColor="text1"/>
          <w:sz w:val="28"/>
          <w:szCs w:val="28"/>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评标办法及评分标准</w:t>
      </w:r>
    </w:p>
    <w:p>
      <w:pPr>
        <w:autoSpaceDE w:val="0"/>
        <w:autoSpaceDN w:val="0"/>
        <w:spacing w:line="400" w:lineRule="exact"/>
        <w:ind w:firstLine="480" w:firstLineChars="200"/>
        <w:rPr>
          <w:rFonts w:asciiTheme="minorEastAsia" w:hAnsiTheme="minorEastAsia" w:eastAsiaTheme="minorEastAsia"/>
          <w:b/>
          <w:i/>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一、采购组织机构将组织评标委员会，对投标人提供的投标文件进行综合评审。</w:t>
      </w:r>
    </w:p>
    <w:p>
      <w:pPr>
        <w:autoSpaceDE w:val="0"/>
        <w:autoSpaceDN w:val="0"/>
        <w:adjustRightInd w:val="0"/>
        <w:spacing w:line="400" w:lineRule="exact"/>
        <w:ind w:left="19" w:leftChars="9" w:firstLine="458" w:firstLineChars="191"/>
        <w:jc w:val="left"/>
        <w:rPr>
          <w:rFonts w:ascii="宋体" w:hAnsi="宋体"/>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二、本次招标项目的评标方法为综合评分法，</w:t>
      </w:r>
      <w:r>
        <w:rPr>
          <w:rFonts w:hint="eastAsia" w:ascii="宋体" w:hAnsi="宋体"/>
          <w:color w:val="000000" w:themeColor="text1"/>
          <w:kern w:val="0"/>
          <w:sz w:val="24"/>
          <w14:textFill>
            <w14:solidFill>
              <w14:schemeClr w14:val="tx1"/>
            </w14:solidFill>
          </w14:textFill>
        </w:rPr>
        <w:t>总计100分。商务报价评分20分，技术、服务、资信综合评分 80分。</w:t>
      </w:r>
    </w:p>
    <w:p>
      <w:pPr>
        <w:autoSpaceDE w:val="0"/>
        <w:autoSpaceDN w:val="0"/>
        <w:adjustRightInd w:val="0"/>
        <w:spacing w:line="400" w:lineRule="exact"/>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400" w:lineRule="exact"/>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400" w:lineRule="exact"/>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00" w:lineRule="exact"/>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投标报价得</w:t>
      </w:r>
      <w:r>
        <w:rPr>
          <w:color w:val="000000" w:themeColor="text1"/>
          <w:sz w:val="24"/>
          <w:u w:val="single"/>
          <w14:textFill>
            <w14:solidFill>
              <w14:schemeClr w14:val="tx1"/>
            </w14:solidFill>
          </w14:textFill>
        </w:rPr>
        <w:t>分=(评标基准价／投</w:t>
      </w:r>
      <w:r>
        <w:rPr>
          <w:rFonts w:ascii="宋体" w:hAnsi="宋体"/>
          <w:color w:val="000000" w:themeColor="text1"/>
          <w:sz w:val="24"/>
          <w:u w:val="single"/>
          <w14:textFill>
            <w14:solidFill>
              <w14:schemeClr w14:val="tx1"/>
            </w14:solidFill>
          </w14:textFill>
        </w:rPr>
        <w:t>标报价)×</w:t>
      </w:r>
      <w:r>
        <w:rPr>
          <w:rFonts w:hint="eastAsia" w:ascii="宋体" w:hAnsi="宋体"/>
          <w:color w:val="000000" w:themeColor="text1"/>
          <w:sz w:val="24"/>
          <w:u w:val="single"/>
          <w14:textFill>
            <w14:solidFill>
              <w14:schemeClr w14:val="tx1"/>
            </w14:solidFill>
          </w14:textFill>
        </w:rPr>
        <w:t>20%</w:t>
      </w:r>
      <w:r>
        <w:rPr>
          <w:rFonts w:ascii="宋体" w:hAnsi="宋体"/>
          <w:color w:val="000000" w:themeColor="text1"/>
          <w:sz w:val="24"/>
          <w:u w:val="single"/>
          <w14:textFill>
            <w14:solidFill>
              <w14:schemeClr w14:val="tx1"/>
            </w14:solidFill>
          </w14:textFill>
        </w:rPr>
        <w:t>×100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具体优惠：对于小型微型企业产品的价格给予</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6</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00" w:lineRule="exact"/>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00" w:lineRule="exact"/>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00" w:lineRule="exact"/>
        <w:ind w:firstLine="360" w:firstLineChars="15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六、本次评分具体分值细化条款如下表：</w:t>
      </w:r>
    </w:p>
    <w:p>
      <w:pPr>
        <w:spacing w:line="40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评标内容和标准</w:t>
      </w:r>
    </w:p>
    <w:tbl>
      <w:tblPr>
        <w:tblStyle w:val="1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42"/>
        <w:gridCol w:w="637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0"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7421"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 分 内 容</w:t>
            </w:r>
          </w:p>
        </w:tc>
        <w:tc>
          <w:tcPr>
            <w:tcW w:w="696"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42"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单位资信</w:t>
            </w:r>
          </w:p>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(17分)</w:t>
            </w:r>
          </w:p>
        </w:tc>
        <w:tc>
          <w:tcPr>
            <w:tcW w:w="6379" w:type="dxa"/>
            <w:vAlign w:val="center"/>
          </w:tcPr>
          <w:p>
            <w:pPr>
              <w:numPr>
                <w:ilvl w:val="0"/>
                <w:numId w:val="6"/>
              </w:num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企业信誉：供应商连续4年（含）以上获得省级纳税信用等级为AAA的得3分，连续3年（含）获得省级纳税信用等级为AAA的得2分；连续2年（含）获得省级纳税信用等级为AAA的得1分。</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开标时需同时提供</w:t>
            </w:r>
            <w:r>
              <w:rPr>
                <w:rFonts w:hint="eastAsia" w:ascii="宋体" w:hAnsi="宋体" w:cs="宋体"/>
                <w:b/>
                <w:color w:val="000000" w:themeColor="text1"/>
                <w:sz w:val="24"/>
                <w14:textFill>
                  <w14:solidFill>
                    <w14:schemeClr w14:val="tx1"/>
                  </w14:solidFill>
                </w14:textFill>
              </w:rPr>
              <w:t>原件，否则不得分。）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numPr>
                <w:ilvl w:val="0"/>
                <w:numId w:val="6"/>
              </w:num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供应商获得中国测绘地理信息行业诚信经营示范单位证书的得2分。</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开标时需同时提供证书</w:t>
            </w:r>
            <w:r>
              <w:rPr>
                <w:rFonts w:hint="eastAsia" w:ascii="宋体" w:hAnsi="宋体" w:cs="宋体"/>
                <w:b/>
                <w:color w:val="000000" w:themeColor="text1"/>
                <w:sz w:val="24"/>
                <w14:textFill>
                  <w14:solidFill>
                    <w14:schemeClr w14:val="tx1"/>
                  </w14:solidFill>
                </w14:textFill>
              </w:rPr>
              <w:t>原件，否则不得分。）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numPr>
                <w:ilvl w:val="0"/>
                <w:numId w:val="6"/>
              </w:num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供应商近三年被省级不动产相关协会或机构评为年“度行业诚信规范服务先进单位”荣誉的得2分。</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开标时需同时提供证书</w:t>
            </w:r>
            <w:r>
              <w:rPr>
                <w:rFonts w:hint="eastAsia" w:ascii="宋体" w:hAnsi="宋体" w:cs="宋体"/>
                <w:b/>
                <w:color w:val="000000" w:themeColor="text1"/>
                <w:sz w:val="24"/>
                <w14:textFill>
                  <w14:solidFill>
                    <w14:schemeClr w14:val="tx1"/>
                  </w14:solidFill>
                </w14:textFill>
              </w:rPr>
              <w:t>原件，否则不得分。）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rPr>
                <w:rFonts w:ascii="宋体" w:hAnsi="宋体" w:cs="宋体"/>
                <w:color w:val="000000" w:themeColor="text1"/>
                <w:sz w:val="24"/>
                <w14:textFill>
                  <w14:solidFill>
                    <w14:schemeClr w14:val="tx1"/>
                  </w14:solidFill>
                </w14:textFill>
              </w:rPr>
            </w:pPr>
          </w:p>
        </w:tc>
        <w:tc>
          <w:tcPr>
            <w:tcW w:w="6379" w:type="dxa"/>
            <w:vAlign w:val="center"/>
          </w:tcPr>
          <w:p>
            <w:pPr>
              <w:numPr>
                <w:ilvl w:val="0"/>
                <w:numId w:val="6"/>
              </w:num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认证体系：①具有GB/T19001-2016质量管理体系认证，②GB/T24001-2016环境管理体系认证，③GB/T28001-2011职业健康安全管理体系认证，</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4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④</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GB/T 22080-2016信息安全管理体系认证，</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5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⑤</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ISO/IEC 20000-1:2011信息技术服务管理体系认证等，每项得1分，最多得5分。</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开标时需同时提供</w:t>
            </w:r>
            <w:r>
              <w:rPr>
                <w:rFonts w:hint="eastAsia" w:ascii="宋体" w:hAnsi="宋体" w:cs="宋体"/>
                <w:b/>
                <w:color w:val="000000" w:themeColor="text1"/>
                <w:sz w:val="24"/>
                <w14:textFill>
                  <w14:solidFill>
                    <w14:schemeClr w14:val="tx1"/>
                  </w14:solidFill>
                </w14:textFill>
              </w:rPr>
              <w:t>原件，否则不得分。）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rPr>
                <w:rFonts w:ascii="宋体" w:hAnsi="宋体" w:cs="宋体"/>
                <w:color w:val="000000" w:themeColor="text1"/>
                <w:sz w:val="24"/>
                <w14:textFill>
                  <w14:solidFill>
                    <w14:schemeClr w14:val="tx1"/>
                  </w14:solidFill>
                </w14:textFill>
              </w:rPr>
            </w:pPr>
          </w:p>
        </w:tc>
        <w:tc>
          <w:tcPr>
            <w:tcW w:w="6379" w:type="dxa"/>
            <w:vAlign w:val="center"/>
          </w:tcPr>
          <w:p>
            <w:pPr>
              <w:numPr>
                <w:ilvl w:val="0"/>
                <w:numId w:val="6"/>
              </w:numPr>
              <w:adjustRightInd w:val="0"/>
              <w:snapToGrid w:val="0"/>
              <w:spacing w:line="400" w:lineRule="exact"/>
              <w:jc w:val="left"/>
              <w:rPr>
                <w:rFonts w:ascii="宋体" w:hAnsi="宋体" w:cs="宋体"/>
                <w:color w:val="000000" w:themeColor="text1"/>
                <w:sz w:val="24"/>
                <w14:textFill>
                  <w14:solidFill>
                    <w14:schemeClr w14:val="tx1"/>
                  </w14:solidFill>
                </w14:textFill>
              </w:rPr>
            </w:pPr>
            <w:r>
              <w:rPr>
                <w:rStyle w:val="45"/>
                <w:rFonts w:hint="default" w:cs="宋体"/>
                <w:color w:val="000000" w:themeColor="text1"/>
                <w:sz w:val="24"/>
                <w:szCs w:val="24"/>
                <w14:textFill>
                  <w14:solidFill>
                    <w14:schemeClr w14:val="tx1"/>
                  </w14:solidFill>
                </w14:textFill>
              </w:rPr>
              <w:t>投标人获得工商管理部门颁发的AAA级“守合同重信用”称号的1次得1分，连续2次的，得2分</w:t>
            </w:r>
            <w:r>
              <w:rPr>
                <w:rFonts w:hint="eastAsia" w:ascii="宋体" w:hAnsi="宋体" w:cs="宋体"/>
                <w:color w:val="000000" w:themeColor="text1"/>
                <w:sz w:val="24"/>
                <w14:textFill>
                  <w14:solidFill>
                    <w14:schemeClr w14:val="tx1"/>
                  </w14:solidFill>
                </w14:textFill>
              </w:rPr>
              <w:t>，</w:t>
            </w:r>
            <w:r>
              <w:rPr>
                <w:rStyle w:val="45"/>
                <w:rFonts w:hint="default" w:cs="宋体"/>
                <w:color w:val="000000" w:themeColor="text1"/>
                <w:sz w:val="24"/>
                <w:szCs w:val="24"/>
                <w14:textFill>
                  <w14:solidFill>
                    <w14:schemeClr w14:val="tx1"/>
                  </w14:solidFill>
                </w14:textFill>
              </w:rPr>
              <w:t>连续3次的，得3分</w:t>
            </w:r>
            <w:r>
              <w:rPr>
                <w:rFonts w:hint="eastAsia" w:ascii="宋体" w:hAnsi="宋体" w:cs="宋体"/>
                <w:color w:val="000000" w:themeColor="text1"/>
                <w:sz w:val="24"/>
                <w14:textFill>
                  <w14:solidFill>
                    <w14:schemeClr w14:val="tx1"/>
                  </w14:solidFill>
                </w14:textFill>
              </w:rPr>
              <w:t>，</w:t>
            </w:r>
            <w:r>
              <w:rPr>
                <w:rStyle w:val="45"/>
                <w:rFonts w:hint="default" w:cs="宋体"/>
                <w:color w:val="000000" w:themeColor="text1"/>
                <w:sz w:val="24"/>
                <w:szCs w:val="24"/>
                <w14:textFill>
                  <w14:solidFill>
                    <w14:schemeClr w14:val="tx1"/>
                  </w14:solidFill>
                </w14:textFill>
              </w:rPr>
              <w:t>连续4次及以上的，得4分</w:t>
            </w:r>
            <w:r>
              <w:rPr>
                <w:rFonts w:hint="eastAsia" w:ascii="宋体" w:hAnsi="宋体" w:cs="宋体"/>
                <w:color w:val="000000" w:themeColor="text1"/>
                <w:sz w:val="24"/>
                <w14:textFill>
                  <w14:solidFill>
                    <w14:schemeClr w14:val="tx1"/>
                  </w14:solidFill>
                </w14:textFill>
              </w:rPr>
              <w:t>，没有不得分</w:t>
            </w:r>
            <w:r>
              <w:rPr>
                <w:rStyle w:val="45"/>
                <w:rFonts w:hint="default" w:cs="宋体"/>
                <w:color w:val="000000" w:themeColor="text1"/>
                <w:sz w:val="24"/>
                <w:szCs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投标文件中须提供有效证书复印件，</w:t>
            </w:r>
            <w:r>
              <w:rPr>
                <w:rFonts w:hint="eastAsia" w:ascii="宋体" w:hAnsi="宋体" w:cs="宋体"/>
                <w:b/>
                <w:color w:val="000000" w:themeColor="text1"/>
                <w:kern w:val="0"/>
                <w:sz w:val="24"/>
                <w14:textFill>
                  <w14:solidFill>
                    <w14:schemeClr w14:val="tx1"/>
                  </w14:solidFill>
                </w14:textFill>
              </w:rPr>
              <w:t>开标时需同时提供</w:t>
            </w:r>
            <w:r>
              <w:rPr>
                <w:rFonts w:hint="eastAsia" w:ascii="宋体" w:hAnsi="宋体" w:cs="宋体"/>
                <w:b/>
                <w:color w:val="000000" w:themeColor="text1"/>
                <w:sz w:val="24"/>
                <w14:textFill>
                  <w14:solidFill>
                    <w14:schemeClr w14:val="tx1"/>
                  </w14:solidFill>
                </w14:textFill>
              </w:rPr>
              <w:t>原件，否则不得分。（不连续的按一次计分）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rPr>
                <w:rFonts w:ascii="宋体" w:hAnsi="宋体" w:cs="宋体"/>
                <w:color w:val="000000" w:themeColor="text1"/>
                <w:sz w:val="24"/>
                <w14:textFill>
                  <w14:solidFill>
                    <w14:schemeClr w14:val="tx1"/>
                  </w14:solidFill>
                </w14:textFill>
              </w:rPr>
            </w:pPr>
          </w:p>
        </w:tc>
        <w:tc>
          <w:tcPr>
            <w:tcW w:w="6379" w:type="dxa"/>
            <w:vAlign w:val="center"/>
          </w:tcPr>
          <w:p>
            <w:pPr>
              <w:numPr>
                <w:ilvl w:val="0"/>
                <w:numId w:val="6"/>
              </w:numPr>
              <w:adjustRightInd w:val="0"/>
              <w:snapToGrid w:val="0"/>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具有省级测绘主管部门颁证的测绘成果及资料档案和保密工作（甲级）证书的，得1分。</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开标时需同时提供</w:t>
            </w:r>
            <w:r>
              <w:rPr>
                <w:rFonts w:hint="eastAsia" w:ascii="宋体" w:hAnsi="宋体" w:cs="宋体"/>
                <w:b/>
                <w:color w:val="000000" w:themeColor="text1"/>
                <w:sz w:val="24"/>
                <w14:textFill>
                  <w14:solidFill>
                    <w14:schemeClr w14:val="tx1"/>
                  </w14:solidFill>
                </w14:textFill>
              </w:rPr>
              <w:t>原件，否则不得分。）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042"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同类项目业绩与质量(15分)</w:t>
            </w:r>
          </w:p>
        </w:tc>
        <w:tc>
          <w:tcPr>
            <w:tcW w:w="6379" w:type="dxa"/>
            <w:vAlign w:val="center"/>
          </w:tcPr>
          <w:p>
            <w:pPr>
              <w:adjustRightInd w:val="0"/>
              <w:snapToGrid w:val="0"/>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1、供应商2012年以来取得不动产数据质检系统软件、不动产数据在整理系统软件、不动产数据展示查询系统软件、不动产登记发证管理系统软件著作权的每个得1分，最高得4分。</w:t>
            </w:r>
            <w:r>
              <w:rPr>
                <w:rFonts w:hint="eastAsia" w:ascii="宋体" w:hAnsi="宋体" w:cs="宋体"/>
                <w:b/>
                <w:color w:val="000000" w:themeColor="text1"/>
                <w:sz w:val="24"/>
                <w14:textFill>
                  <w14:solidFill>
                    <w14:schemeClr w14:val="tx1"/>
                  </w14:solidFill>
                </w14:textFill>
              </w:rPr>
              <w:t>（提供软件著作权证明文件原件，不提供不得分）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2、近三年以来承担过不动产权籍（或测绘）调查项目的，每承担一个项目得1分，最高得5分。</w:t>
            </w:r>
            <w:r>
              <w:rPr>
                <w:rFonts w:hint="eastAsia" w:ascii="宋体" w:hAnsi="宋体" w:cs="宋体"/>
                <w:b/>
                <w:color w:val="000000" w:themeColor="text1"/>
                <w:sz w:val="24"/>
                <w14:textFill>
                  <w14:solidFill>
                    <w14:schemeClr w14:val="tx1"/>
                  </w14:solidFill>
                </w14:textFill>
              </w:rPr>
              <w:t>（时间以合同签订时间为准，复印件加盖公章，开标时原件备查，否则不得分。）</w:t>
            </w:r>
          </w:p>
        </w:tc>
        <w:tc>
          <w:tcPr>
            <w:tcW w:w="696"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3、2016年以来承担过不动产数据整合类项目的，单个合同金额在300万（含）以上的每个项目得1.5分，最高得3分。</w:t>
            </w:r>
            <w:r>
              <w:rPr>
                <w:rFonts w:hint="eastAsia" w:ascii="宋体" w:hAnsi="宋体" w:cs="宋体"/>
                <w:b/>
                <w:color w:val="000000" w:themeColor="text1"/>
                <w:sz w:val="24"/>
                <w14:textFill>
                  <w14:solidFill>
                    <w14:schemeClr w14:val="tx1"/>
                  </w14:solidFill>
                </w14:textFill>
              </w:rPr>
              <w:t>（时间以合同签订时间为准，复印件加盖公章，开标时原件备查，否则不得分。）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4、供应商2013年以来承担的项目荣获中国测绘学会或中国地理信息学会科技进步奖的每个得0.5分，最高得3分。</w:t>
            </w:r>
            <w:r>
              <w:rPr>
                <w:rFonts w:hint="eastAsia" w:ascii="宋体" w:hAnsi="宋体" w:cs="宋体"/>
                <w:b/>
                <w:color w:val="000000" w:themeColor="text1"/>
                <w:sz w:val="24"/>
                <w14:textFill>
                  <w14:solidFill>
                    <w14:schemeClr w14:val="tx1"/>
                  </w14:solidFill>
                </w14:textFill>
              </w:rPr>
              <w:t>（以上不包含各协会及其他奖项，必须提供原件，否则不计分）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0"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42"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技术方案</w:t>
            </w:r>
          </w:p>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(18分)</w:t>
            </w: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根据投标人针对本项目提供的技术实施方案，文本结构完善、表述详实等比较打分。一般得0-3分，良好得4-6分，优秀得7-9分。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根据投标人提供的专业水准，而且切合实际情况的方案进行比较打分。一般得0-3分，良好得4-6分，优秀得7-9分。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042"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项目组织与实施</w:t>
            </w:r>
          </w:p>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(24分)</w:t>
            </w: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1、工作措施：根据本项目施工方案：如施测方法、质量保证措施、安全技术措施、文明施测、雨季施测措施等情况酌情评分。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2、机构及人员配置：</w:t>
            </w:r>
          </w:p>
          <w:p>
            <w:pPr>
              <w:tabs>
                <w:tab w:val="left" w:pos="188"/>
              </w:tabs>
              <w:spacing w:line="40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（1）组织机构健全，职责明确：项目负责人、技术负责人。上述负责人需具备教授级高级工程师且具备注册测绘师资格，每个负责人得2分，最高得4分。</w:t>
            </w:r>
          </w:p>
          <w:p>
            <w:pPr>
              <w:tabs>
                <w:tab w:val="left" w:pos="188"/>
              </w:tabs>
              <w:spacing w:line="400" w:lineRule="exact"/>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（2）拟投入项目组成员（除负责人外）获得高级职称40人（及以上）的得5分，获得高级职称20人（及以上）的得3分，获得高级职称10人（及以上）的得1分，获得中级职称少于10人的不得分。</w:t>
            </w:r>
          </w:p>
          <w:p>
            <w:pPr>
              <w:tabs>
                <w:tab w:val="left" w:pos="188"/>
              </w:tabs>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（3）进驻现场项目组成员具有高级信息系统项目管理师的得2分。</w:t>
            </w:r>
          </w:p>
          <w:p>
            <w:pPr>
              <w:tabs>
                <w:tab w:val="left" w:pos="188"/>
              </w:tabs>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（4）进驻现场项目组成员持有涉密测绘成果管理人员岗位培训合格证书6人（及以上）的得3分，3人至5人的得1分， 2人及以下的不得分。</w:t>
            </w:r>
            <w:r>
              <w:rPr>
                <w:rFonts w:hint="eastAsia" w:ascii="宋体" w:hAnsi="宋体" w:cs="宋体"/>
                <w:b/>
                <w:color w:val="000000" w:themeColor="text1"/>
                <w:sz w:val="24"/>
                <w14:textFill>
                  <w14:solidFill>
                    <w14:schemeClr w14:val="tx1"/>
                  </w14:solidFill>
                </w14:textFill>
              </w:rPr>
              <w:t>（以上人员均需要提供相应的证书原件和近三个月的供应商缴纳社保的证明原件，不提供不得分。）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3、工期安排：根据施测工期进度计划及施工方案的安排合理性、科学性等情况进行评分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4、管理制度：根据具有的管理制度，包括质量管理、设备管理、保密管理、档案管理等进行评分。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5、仪器设备：根据投入本项目的仪器设备规格、型号、数量及合理性酌情评分。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42" w:type="dxa"/>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合理化建议（3分）</w:t>
            </w:r>
          </w:p>
        </w:tc>
        <w:tc>
          <w:tcPr>
            <w:tcW w:w="6379" w:type="dxa"/>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给予采购单位合理化建议，有利于工作开展和完善情况酌情评分0-2分。</w:t>
            </w:r>
          </w:p>
        </w:tc>
        <w:tc>
          <w:tcPr>
            <w:tcW w:w="696"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042" w:type="dxa"/>
            <w:vMerge w:val="restart"/>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服务方案和承诺(3分）</w:t>
            </w: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根据服务方案与服务承诺完整性、合理性、针对性等进行酌情评分0-2分。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0"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1042" w:type="dxa"/>
            <w:vMerge w:val="continue"/>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p>
        </w:tc>
        <w:tc>
          <w:tcPr>
            <w:tcW w:w="6379" w:type="dxa"/>
            <w:vAlign w:val="center"/>
          </w:tcPr>
          <w:p>
            <w:pPr>
              <w:adjustRightInd w:val="0"/>
              <w:snapToGrid w:val="0"/>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供应商在台州地区设立有办事处或者分公司或分支机构的得1分。</w:t>
            </w:r>
            <w:r>
              <w:rPr>
                <w:rFonts w:hint="eastAsia" w:ascii="宋体" w:hAnsi="宋体" w:cs="宋体"/>
                <w:b/>
                <w:color w:val="000000" w:themeColor="text1"/>
                <w:sz w:val="24"/>
                <w14:textFill>
                  <w14:solidFill>
                    <w14:schemeClr w14:val="tx1"/>
                  </w14:solidFill>
                </w14:textFill>
              </w:rPr>
              <w:t>（需提供营业执照或办事处房产证证明文件，否则该项不得分。）</w:t>
            </w:r>
          </w:p>
        </w:tc>
        <w:tc>
          <w:tcPr>
            <w:tcW w:w="696" w:type="dxa"/>
            <w:vAlign w:val="center"/>
          </w:tcPr>
          <w:p>
            <w:pPr>
              <w:adjustRightInd w:val="0"/>
              <w:snapToGri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r>
    </w:tbl>
    <w:p>
      <w:pPr>
        <w:spacing w:line="360" w:lineRule="auto"/>
        <w:ind w:left="838" w:leftChars="228" w:hanging="359" w:hangingChars="149"/>
        <w:jc w:val="left"/>
        <w:rPr>
          <w:rFonts w:ascii="宋体" w:hAnsi="宋体"/>
          <w:b/>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公开招标需求</w:t>
      </w:r>
    </w:p>
    <w:p>
      <w:pPr>
        <w:spacing w:line="400" w:lineRule="exact"/>
        <w:ind w:left="105" w:leftChars="50" w:firstLine="361" w:firstLineChars="150"/>
        <w:rPr>
          <w:rFonts w:ascii="宋体" w:hAnsi="宋体"/>
          <w:b/>
          <w:color w:val="000000" w:themeColor="text1"/>
          <w:sz w:val="24"/>
          <w14:textFill>
            <w14:solidFill>
              <w14:schemeClr w14:val="tx1"/>
            </w14:solidFill>
          </w14:textFill>
        </w:rPr>
      </w:pPr>
      <w:bookmarkStart w:id="1" w:name="_Toc157410887"/>
      <w:bookmarkStart w:id="2" w:name="_Toc232392357"/>
      <w:bookmarkStart w:id="3" w:name="_Toc281206744"/>
      <w:r>
        <w:rPr>
          <w:rFonts w:hint="eastAsia" w:ascii="宋体" w:hAnsi="宋体"/>
          <w:b/>
          <w:color w:val="000000" w:themeColor="text1"/>
          <w:sz w:val="24"/>
          <w14:textFill>
            <w14:solidFill>
              <w14:schemeClr w14:val="tx1"/>
            </w14:solidFill>
          </w14:textFill>
        </w:rPr>
        <w:t>一、项目概况</w:t>
      </w:r>
    </w:p>
    <w:p>
      <w:pPr>
        <w:spacing w:line="400" w:lineRule="exact"/>
        <w:ind w:left="105" w:leftChars="50" w:firstLine="360" w:firstLineChars="150"/>
        <w:rPr>
          <w:rFonts w:ascii="宋体" w:hAnsi="宋体"/>
          <w:color w:val="000000" w:themeColor="text1"/>
          <w:sz w:val="24"/>
          <w14:textFill>
            <w14:solidFill>
              <w14:schemeClr w14:val="tx1"/>
            </w14:solidFill>
          </w14:textFill>
        </w:rPr>
      </w:pPr>
      <w:bookmarkStart w:id="4" w:name="_Toc178576790"/>
      <w:bookmarkStart w:id="5" w:name="_Toc160850496"/>
      <w:r>
        <w:rPr>
          <w:rFonts w:hint="eastAsia" w:ascii="宋体" w:hAnsi="宋体"/>
          <w:color w:val="000000" w:themeColor="text1"/>
          <w:sz w:val="24"/>
          <w14:textFill>
            <w14:solidFill>
              <w14:schemeClr w14:val="tx1"/>
            </w14:solidFill>
          </w14:textFill>
        </w:rPr>
        <w:t>（一）项目实施背景</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贯彻落实十八届三中全会明确的“赋予每个农民完整的财产权利”精神，依法明晰产权、让资源变为资本，促进传统林业向现代林业转变，实现“绿水青山就是金山银山”的目标。进行林权勘界，换发配有山块空间数据图的不动产权（林权）证，是为了完善林权证的功能，让山林有了多功能的“身份证”，发挥其在林地征占用、林权流转、林权抵押等多方面用途。进一步解放和发展生产力，调动山区农民的生产积极性。</w:t>
      </w:r>
    </w:p>
    <w:p>
      <w:pPr>
        <w:numPr>
          <w:ilvl w:val="0"/>
          <w:numId w:val="7"/>
        </w:num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项目概况</w:t>
      </w:r>
      <w:bookmarkEnd w:id="4"/>
      <w:bookmarkEnd w:id="5"/>
      <w:bookmarkStart w:id="6" w:name="_Toc160850497"/>
      <w:bookmarkStart w:id="7" w:name="_Toc178576792"/>
    </w:p>
    <w:p>
      <w:pPr>
        <w:spacing w:line="400" w:lineRule="exact"/>
        <w:ind w:left="105" w:leftChars="50"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2006年我市根据省委省政府《关于切实做好延长山林承包期工作的通知》精神，把做好山林延包工作作为当年新农村建设的一项重要工作来抓。按照 “大稳定，不调整”的原则将林业“三定”时期的老证（一张纸）换成现在的林权证。据统计，本次换发林权证涉及全县11个镇（乡、办事处）221个村，面积160992亩，换发林权证29754本，占应发数30674本的97%。其中，换发集体山所有权证应发2074本，实发2074本，换发率100%；换发自留山林权证应换发农户数27680户，实换发农户数27680户，自留山林地确权率100%。本次调查工作，需把玉环市林地所有权、林地使用权、林木所有权、林木使用权，按《不动产权籍调查技术方案》要求对每户、每块林地调查清楚，并建立数据库。</w:t>
      </w:r>
      <w:bookmarkStart w:id="8" w:name="_Toc497291421"/>
    </w:p>
    <w:p>
      <w:pPr>
        <w:spacing w:line="400" w:lineRule="exact"/>
        <w:ind w:left="105" w:leftChars="50" w:firstLine="361" w:firstLineChars="15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二、项目要求</w:t>
      </w:r>
      <w:bookmarkEnd w:id="8"/>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1、收集户籍资料、农户林权登记资料、权利人身份信息，利用1:2000正射影像图和1: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000地形图，以镇、村、组、户的顺利调查清楚每块承包林的详细信息。</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、确定每块承包林地的面积、位置（宗地）、形状、权属和空间分布等情况，并按照不动产单元统一编码进行标识，建立全覆盖农村林地承包信息数据库，并顺利导入不动产登记管理信息系统。</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、在实地调查承包林地权属边界时，要注意林地与其他用地的数据接边。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4、通过建立数据库及地形图，以村为单位按照1:2000正射影像图和1: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000地形图制作1: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000林地林权地形图。以1: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000比例地形图的底图，制作以户为单位的1:2000比例（宗地）分布地形图。</w:t>
      </w:r>
    </w:p>
    <w:bookmarkEnd w:id="6"/>
    <w:bookmarkEnd w:id="7"/>
    <w:p>
      <w:pPr>
        <w:spacing w:line="400" w:lineRule="exact"/>
        <w:ind w:left="105" w:leftChars="50" w:firstLine="361" w:firstLineChars="150"/>
        <w:rPr>
          <w:rFonts w:ascii="宋体" w:hAnsi="宋体"/>
          <w:b/>
          <w:color w:val="000000" w:themeColor="text1"/>
          <w:sz w:val="24"/>
          <w14:textFill>
            <w14:solidFill>
              <w14:schemeClr w14:val="tx1"/>
            </w14:solidFill>
          </w14:textFill>
        </w:rPr>
      </w:pPr>
      <w:bookmarkStart w:id="9" w:name="_Toc444688502"/>
      <w:bookmarkStart w:id="10" w:name="_Toc357679211"/>
      <w:bookmarkStart w:id="11" w:name="_Toc358105145"/>
      <w:bookmarkStart w:id="12" w:name="_Toc497291422"/>
      <w:bookmarkStart w:id="13" w:name="_Toc391132356"/>
      <w:bookmarkStart w:id="14" w:name="_Toc233536834"/>
      <w:r>
        <w:rPr>
          <w:rFonts w:hint="eastAsia" w:ascii="宋体" w:hAnsi="宋体"/>
          <w:b/>
          <w:color w:val="000000" w:themeColor="text1"/>
          <w:sz w:val="24"/>
          <w14:textFill>
            <w14:solidFill>
              <w14:schemeClr w14:val="tx1"/>
            </w14:solidFill>
          </w14:textFill>
        </w:rPr>
        <w:t>三、项目主要工作内容</w:t>
      </w:r>
      <w:bookmarkEnd w:id="9"/>
      <w:bookmarkEnd w:id="10"/>
      <w:bookmarkEnd w:id="11"/>
      <w:bookmarkEnd w:id="12"/>
      <w:bookmarkEnd w:id="13"/>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1、资料收集：负责收集林权持有人身份证信息及户籍证明，填写登记申请表，收集农户林权登记花名册、影像资料、权属资料。</w:t>
      </w:r>
    </w:p>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2、以村为单位调查核实村边界，确认农户林权宗地四至边界。</w:t>
      </w:r>
      <w:r>
        <w:rPr>
          <w:rFonts w:hint="eastAsia" w:ascii="宋体" w:hAnsi="宋体" w:cs="宋体"/>
          <w:color w:val="000000" w:themeColor="text1"/>
          <w:kern w:val="0"/>
          <w:sz w:val="24"/>
          <w14:textFill>
            <w14:solidFill>
              <w14:schemeClr w14:val="tx1"/>
            </w14:solidFill>
          </w14:textFill>
        </w:rPr>
        <w:t>将林地所有权、使用权落实到</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米分辨率1:2000正射影像</w:t>
      </w:r>
      <w:r>
        <w:rPr>
          <w:rFonts w:hint="eastAsia" w:ascii="宋体" w:hAnsi="宋体" w:cs="宋体"/>
          <w:color w:val="000000" w:themeColor="text1"/>
          <w:kern w:val="0"/>
          <w:sz w:val="24"/>
          <w14:textFill>
            <w14:solidFill>
              <w14:schemeClr w14:val="tx1"/>
            </w14:solidFill>
          </w14:textFill>
        </w:rPr>
        <w:t>图上作为调查工作底图</w:t>
      </w:r>
      <w:r>
        <w:rPr>
          <w:rFonts w:hint="eastAsia" w:ascii="宋体" w:hAnsi="宋体"/>
          <w:color w:val="000000" w:themeColor="text1"/>
          <w:sz w:val="24"/>
          <w14:textFill>
            <w14:solidFill>
              <w14:schemeClr w14:val="tx1"/>
            </w14:solidFill>
          </w14:textFill>
        </w:rPr>
        <w:t>。</w:t>
      </w:r>
    </w:p>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3、利用调查工作底图，以村为单位逐户、逐地块实地调查承包林地的权属信息（含小地名、面积、四至边界、林种、树种），形成承包林地林权地形图。</w:t>
      </w:r>
    </w:p>
    <w:p>
      <w:pPr>
        <w:spacing w:line="40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4、对调查形成的林地空间位置、面积、权属信息进行检查，检查无误后建立林权调查数据库，并顺利导入不动产登记信息系统。</w:t>
      </w:r>
    </w:p>
    <w:p>
      <w:pPr>
        <w:spacing w:line="40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5、以宗地为单位输出不动产测绘报告。</w:t>
      </w:r>
    </w:p>
    <w:p>
      <w:pPr>
        <w:pStyle w:val="2"/>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根据省自然资源厅对存量林权不动产登记数据（共85408条）整合要求，健全不动产登记数据库。通过将省厅下发的林权不动产登记数据进行规范整合，依据《不动产登记数据库标准》的总体要求，建立林权登记数据库，包括以下工作内容：</w:t>
      </w:r>
    </w:p>
    <w:p>
      <w:pPr>
        <w:pStyle w:val="2"/>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⑴对省厅下发的简易林地登记数据按现行的数据标准和技术规范进行梳理与规范，结合本次林权测绘权调成果，形成符合相关技术标准的数据，依据不动产登记数据库标准，建立林权不动产登记数据库。</w:t>
      </w:r>
    </w:p>
    <w:p>
      <w:pPr>
        <w:pStyle w:val="2"/>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⑵对建立的林权不动产登记数据库里的登记数据对应的原有简易林权档案扫描电子数据进行入库，并与林地登记属性数据挂接，建立档案扫描影像库。</w:t>
      </w:r>
    </w:p>
    <w:p>
      <w:pPr>
        <w:pStyle w:val="2"/>
        <w:ind w:firstLine="424"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7、负责与不动产登记信息平台开发单位进行技术衔接，在林权不动产登记数据建库后，满足现行（包括升级）不动产登记信息平台的运行要求。</w:t>
      </w:r>
    </w:p>
    <w:p>
      <w:pPr>
        <w:pStyle w:val="2"/>
        <w:ind w:firstLine="424" w:firstLineChars="17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8、负责项目期內日常群众登记申请的资料收集整理和技术服务</w:t>
      </w:r>
    </w:p>
    <w:p>
      <w:pPr>
        <w:spacing w:line="400" w:lineRule="exact"/>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bookmarkEnd w:id="14"/>
      <w:bookmarkStart w:id="15" w:name="_Toc391132355"/>
      <w:bookmarkStart w:id="16" w:name="_Toc497291423"/>
      <w:bookmarkStart w:id="17" w:name="_Toc444688501"/>
      <w:r>
        <w:rPr>
          <w:rFonts w:hint="eastAsia" w:ascii="宋体" w:hAnsi="宋体"/>
          <w:b/>
          <w:color w:val="000000" w:themeColor="text1"/>
          <w:sz w:val="24"/>
          <w14:textFill>
            <w14:solidFill>
              <w14:schemeClr w14:val="tx1"/>
            </w14:solidFill>
          </w14:textFill>
        </w:rPr>
        <w:t>四、技术规范及要求</w:t>
      </w:r>
      <w:bookmarkEnd w:id="15"/>
      <w:bookmarkEnd w:id="16"/>
      <w:bookmarkEnd w:id="17"/>
    </w:p>
    <w:p>
      <w:pPr>
        <w:spacing w:line="400" w:lineRule="exact"/>
        <w:ind w:firstLine="480" w:firstLineChars="200"/>
        <w:rPr>
          <w:rFonts w:ascii="宋体" w:hAnsi="宋体"/>
          <w:color w:val="000000" w:themeColor="text1"/>
          <w:sz w:val="24"/>
          <w14:textFill>
            <w14:solidFill>
              <w14:schemeClr w14:val="tx1"/>
            </w14:solidFill>
          </w14:textFill>
        </w:rPr>
      </w:pPr>
      <w:bookmarkStart w:id="18" w:name="_Toc346358448"/>
      <w:r>
        <w:rPr>
          <w:rFonts w:hint="eastAsia" w:ascii="宋体" w:hAnsi="宋体"/>
          <w:color w:val="000000" w:themeColor="text1"/>
          <w:sz w:val="24"/>
          <w14:textFill>
            <w14:solidFill>
              <w14:schemeClr w14:val="tx1"/>
            </w14:solidFill>
          </w14:textFill>
        </w:rPr>
        <w:t>（一）主要作业依据</w:t>
      </w:r>
      <w:bookmarkEnd w:id="18"/>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(1)．《中华人民共和国物权法》；</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(2)．《中华人民共和国土地管理法》；</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(3)．《不动产登记暂行条例》；</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(4)．《地籍调查规程》TD/T 1001；</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(5)．《森林资源规划设计调查技术规程》GB/T 26424；</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(6)．《土地利用现状分类》GB/T21010</w:t>
      </w:r>
      <w:r>
        <w:rPr>
          <w:rFonts w:ascii="宋体" w:hAnsi="宋体"/>
          <w:color w:val="000000" w:themeColor="text1"/>
          <w:sz w:val="24"/>
          <w14:textFill>
            <w14:solidFill>
              <w14:schemeClr w14:val="tx1"/>
            </w14:solidFill>
          </w14:textFill>
        </w:rPr>
        <w:t>-2017</w:t>
      </w:r>
      <w:r>
        <w:rPr>
          <w:rFonts w:hint="eastAsia" w:ascii="宋体" w:hAnsi="宋体"/>
          <w:color w:val="000000" w:themeColor="text1"/>
          <w:sz w:val="24"/>
          <w14:textFill>
            <w14:solidFill>
              <w14:schemeClr w14:val="tx1"/>
            </w14:solidFill>
          </w14:textFill>
        </w:rPr>
        <w:t>；</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(7)．《全球定位系统实时动态测量(RTK)技术规范》(CH/T 2009-2010)；</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(8)．国土部《关于做好不动产权籍调查工作的通知》；</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(9)．国土部《关于启用不动产登记簿证样式（试行）的通知》；</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(10)．《浙江省(不动产登记暂行条例)实施细则》。</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11).</w:t>
      </w:r>
      <w:bookmarkStart w:id="19" w:name="_Hlk534815412"/>
      <w:r>
        <w:rPr>
          <w:rFonts w:hint="eastAsia" w:ascii="宋体" w:hAnsi="宋体"/>
          <w:color w:val="000000" w:themeColor="text1"/>
          <w:sz w:val="24"/>
          <w14:textFill>
            <w14:solidFill>
              <w14:schemeClr w14:val="tx1"/>
            </w14:solidFill>
          </w14:textFill>
        </w:rPr>
        <w:t>《不动产权籍调查技术方案》</w:t>
      </w:r>
      <w:bookmarkEnd w:id="19"/>
      <w:r>
        <w:rPr>
          <w:rFonts w:hint="eastAsia" w:ascii="宋体" w:hAnsi="宋体"/>
          <w:color w:val="000000" w:themeColor="text1"/>
          <w:sz w:val="24"/>
          <w14:textFill>
            <w14:solidFill>
              <w14:schemeClr w14:val="tx1"/>
            </w14:solidFill>
          </w14:textFill>
        </w:rPr>
        <w:t>（试行）；（国土资发〔2015〕41号）</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12).</w:t>
      </w:r>
      <w:r>
        <w:rPr>
          <w:rFonts w:hint="eastAsia" w:ascii="宋体"/>
          <w:color w:val="000000" w:themeColor="text1"/>
          <w:sz w:val="24"/>
          <w14:textFill>
            <w14:solidFill>
              <w14:schemeClr w14:val="tx1"/>
            </w14:solidFill>
          </w14:textFill>
        </w:rPr>
        <w:t>《浙江省不动产登记数据库标准（试行）》；</w:t>
      </w:r>
    </w:p>
    <w:p>
      <w:pPr>
        <w:spacing w:line="400" w:lineRule="exact"/>
        <w:ind w:firstLine="480" w:firstLineChars="200"/>
        <w:rPr>
          <w:rFonts w:ascii="宋体" w:hAnsi="宋体"/>
          <w:color w:val="000000" w:themeColor="text1"/>
          <w:sz w:val="24"/>
          <w14:textFill>
            <w14:solidFill>
              <w14:schemeClr w14:val="tx1"/>
            </w14:solidFill>
          </w14:textFill>
        </w:rPr>
      </w:pPr>
      <w:bookmarkStart w:id="20" w:name="_Toc346358449"/>
      <w:r>
        <w:rPr>
          <w:rFonts w:hint="eastAsia" w:ascii="宋体" w:hAnsi="宋体"/>
          <w:color w:val="000000" w:themeColor="text1"/>
          <w:sz w:val="24"/>
          <w14:textFill>
            <w14:solidFill>
              <w14:schemeClr w14:val="tx1"/>
            </w14:solidFill>
          </w14:textFill>
        </w:rPr>
        <w:t>（二）执行的技术参数</w:t>
      </w:r>
      <w:bookmarkEnd w:id="20"/>
    </w:p>
    <w:p>
      <w:pPr>
        <w:pStyle w:val="46"/>
        <w:spacing w:line="40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1、坐标系统</w:t>
      </w:r>
    </w:p>
    <w:p>
      <w:pPr>
        <w:autoSpaceDE w:val="0"/>
        <w:autoSpaceDN w:val="0"/>
        <w:adjustRightInd w:val="0"/>
        <w:spacing w:line="400" w:lineRule="exact"/>
        <w:ind w:right="422" w:rightChars="201"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本次林权不动产调查与现有不动产登记数据库坐标系统一致，平面坐标系统采用台州2</w:t>
      </w:r>
      <w:r>
        <w:rPr>
          <w:rFonts w:ascii="宋体" w:hAnsi="宋体"/>
          <w:color w:val="000000" w:themeColor="text1"/>
          <w:sz w:val="24"/>
          <w14:textFill>
            <w14:solidFill>
              <w14:schemeClr w14:val="tx1"/>
            </w14:solidFill>
          </w14:textFill>
        </w:rPr>
        <w:t>000</w:t>
      </w:r>
      <w:r>
        <w:rPr>
          <w:rFonts w:hint="eastAsia" w:ascii="宋体" w:hAnsi="宋体"/>
          <w:color w:val="000000" w:themeColor="text1"/>
          <w:sz w:val="24"/>
          <w14:textFill>
            <w14:solidFill>
              <w14:schemeClr w14:val="tx1"/>
            </w14:solidFill>
          </w14:textFill>
        </w:rPr>
        <w:t>坐标系，高斯-克吕格投影，中央子午线为12</w:t>
      </w:r>
      <w:r>
        <w:rPr>
          <w:rFonts w:ascii="宋体" w:hAnsi="宋体"/>
          <w:color w:val="000000" w:themeColor="text1"/>
          <w:sz w:val="24"/>
          <w14:textFill>
            <w14:solidFill>
              <w14:schemeClr w14:val="tx1"/>
            </w14:solidFill>
          </w14:textFill>
        </w:rPr>
        <w:t>1°21</w:t>
      </w:r>
      <w:r>
        <w:rPr>
          <w:rFonts w:hint="eastAsia" w:ascii="宋体" w:hAnsi="宋体"/>
          <w:color w:val="000000" w:themeColor="text1"/>
          <w:sz w:val="24"/>
          <w14:textFill>
            <w14:solidFill>
              <w14:schemeClr w14:val="tx1"/>
            </w14:solidFill>
          </w14:textFill>
        </w:rPr>
        <w:t>′00″。</w:t>
      </w:r>
    </w:p>
    <w:p>
      <w:pPr>
        <w:pStyle w:val="46"/>
        <w:spacing w:line="40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2、计量单位</w:t>
      </w:r>
    </w:p>
    <w:p>
      <w:pPr>
        <w:autoSpaceDE w:val="0"/>
        <w:autoSpaceDN w:val="0"/>
        <w:adjustRightInd w:val="0"/>
        <w:spacing w:line="400" w:lineRule="exact"/>
        <w:ind w:right="422" w:rightChars="201"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（1）长度和高度单位用米（</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长度数据保留两位小数。</w:t>
      </w:r>
    </w:p>
    <w:p>
      <w:pPr>
        <w:autoSpaceDE w:val="0"/>
        <w:autoSpaceDN w:val="0"/>
        <w:adjustRightInd w:val="0"/>
        <w:spacing w:line="400" w:lineRule="exact"/>
        <w:ind w:right="422" w:rightChars="201" w:firstLine="360" w:firstLineChars="1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（2）面积单位采用平方米（</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²）</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保留两位小数；面积汇总采用“公顷”（</w:t>
      </w:r>
      <w:r>
        <w:rPr>
          <w:rFonts w:ascii="宋体" w:hAnsi="宋体"/>
          <w:color w:val="000000" w:themeColor="text1"/>
          <w:sz w:val="24"/>
          <w14:textFill>
            <w14:solidFill>
              <w14:schemeClr w14:val="tx1"/>
            </w14:solidFill>
          </w14:textFill>
        </w:rPr>
        <w:t>hm</w:t>
      </w:r>
      <w:r>
        <w:rPr>
          <w:rFonts w:hint="eastAsia" w:ascii="宋体" w:hAnsi="宋体"/>
          <w:color w:val="000000" w:themeColor="text1"/>
          <w:sz w:val="24"/>
          <w14:textFill>
            <w14:solidFill>
              <w14:schemeClr w14:val="tx1"/>
            </w14:solidFill>
          </w14:textFill>
        </w:rPr>
        <w:t>²）</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保留四位小数。</w:t>
      </w:r>
    </w:p>
    <w:p>
      <w:pPr>
        <w:pStyle w:val="46"/>
        <w:spacing w:line="400" w:lineRule="exact"/>
        <w:ind w:firstLine="480" w:firstLineChars="200"/>
        <w:rPr>
          <w:rFonts w:ascii="宋体" w:hAnsi="宋体" w:eastAsia="宋体"/>
          <w:b w:val="0"/>
          <w:bCs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3、界址点精度</w:t>
      </w:r>
    </w:p>
    <w:p>
      <w:pPr>
        <w:autoSpaceDE w:val="0"/>
        <w:autoSpaceDN w:val="0"/>
        <w:adjustRightInd w:val="0"/>
        <w:spacing w:line="400" w:lineRule="exact"/>
        <w:ind w:right="422" w:rightChars="201"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界址点采集主要以图解法为主，解析法为辅。以最新0.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米分辨率1:2000DOM、森林资源二类调查成果为基础，核实和确定权属界线和界址点，利用数据库计算宗地面积。并在备注栏中标注面积精度说明。</w:t>
      </w:r>
    </w:p>
    <w:p>
      <w:pPr>
        <w:autoSpaceDE w:val="0"/>
        <w:autoSpaceDN w:val="0"/>
        <w:adjustRightInd w:val="0"/>
        <w:spacing w:line="400" w:lineRule="exact"/>
        <w:ind w:right="422" w:rightChars="201"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（1）解析法界址点精度按下表中</w:t>
      </w:r>
      <w:r>
        <w:rPr>
          <w:rFonts w:hint="eastAsia" w:ascii="宋体" w:hAnsi="宋体"/>
          <w:b/>
          <w:color w:val="000000" w:themeColor="text1"/>
          <w:sz w:val="24"/>
          <w14:textFill>
            <w14:solidFill>
              <w14:schemeClr w14:val="tx1"/>
            </w14:solidFill>
          </w14:textFill>
        </w:rPr>
        <w:t>三类界址点</w:t>
      </w:r>
      <w:r>
        <w:rPr>
          <w:rFonts w:hint="eastAsia" w:ascii="宋体" w:hAnsi="宋体"/>
          <w:color w:val="000000" w:themeColor="text1"/>
          <w:sz w:val="24"/>
          <w14:textFill>
            <w14:solidFill>
              <w14:schemeClr w14:val="tx1"/>
            </w14:solidFill>
          </w14:textFill>
        </w:rPr>
        <w:t>执行</w:t>
      </w:r>
    </w:p>
    <w:p>
      <w:pPr>
        <w:spacing w:line="40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解析</w:t>
      </w:r>
      <w:r>
        <w:rPr>
          <w:rFonts w:ascii="宋体" w:hAnsi="宋体"/>
          <w:b/>
          <w:color w:val="000000" w:themeColor="text1"/>
          <w:sz w:val="24"/>
          <w14:textFill>
            <w14:solidFill>
              <w14:schemeClr w14:val="tx1"/>
            </w14:solidFill>
          </w14:textFill>
        </w:rPr>
        <w:t>界址点</w:t>
      </w:r>
      <w:r>
        <w:rPr>
          <w:rFonts w:hint="eastAsia" w:ascii="宋体" w:hAnsi="宋体"/>
          <w:b/>
          <w:color w:val="000000" w:themeColor="text1"/>
          <w:sz w:val="24"/>
          <w14:textFill>
            <w14:solidFill>
              <w14:schemeClr w14:val="tx1"/>
            </w14:solidFill>
          </w14:textFill>
        </w:rPr>
        <w:t>的</w:t>
      </w:r>
      <w:r>
        <w:rPr>
          <w:rFonts w:ascii="宋体" w:hAnsi="宋体"/>
          <w:b/>
          <w:color w:val="000000" w:themeColor="text1"/>
          <w:sz w:val="24"/>
          <w14:textFill>
            <w14:solidFill>
              <w14:schemeClr w14:val="tx1"/>
            </w14:solidFill>
          </w14:textFill>
        </w:rPr>
        <w:t>精度</w:t>
      </w:r>
    </w:p>
    <w:tbl>
      <w:tblPr>
        <w:tblStyle w:val="16"/>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70"/>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6" w:type="dxa"/>
            <w:vMerge w:val="restart"/>
            <w:textDirection w:val="tbRlV"/>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级别</w:t>
            </w:r>
          </w:p>
        </w:tc>
        <w:tc>
          <w:tcPr>
            <w:tcW w:w="8436"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界址点相对于邻近控制点的点位误差</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相邻界址点</w:t>
            </w:r>
            <w:r>
              <w:rPr>
                <w:rFonts w:hint="eastAsia" w:ascii="宋体" w:hAnsi="宋体"/>
                <w:color w:val="000000" w:themeColor="text1"/>
                <w:sz w:val="24"/>
                <w14:textFill>
                  <w14:solidFill>
                    <w14:schemeClr w14:val="tx1"/>
                  </w14:solidFill>
                </w14:textFill>
              </w:rPr>
              <w:t xml:space="preserve">间距误差 </w:t>
            </w:r>
            <w:r>
              <w:rPr>
                <w:rFonts w:ascii="宋体" w:hAnsi="宋体"/>
                <w:color w:val="000000" w:themeColor="text1"/>
                <w:sz w:val="24"/>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96" w:type="dxa"/>
            <w:vMerge w:val="continue"/>
            <w:vAlign w:val="center"/>
          </w:tcPr>
          <w:p>
            <w:pPr>
              <w:spacing w:line="360" w:lineRule="auto"/>
              <w:ind w:firstLine="420"/>
              <w:jc w:val="center"/>
              <w:rPr>
                <w:rFonts w:ascii="宋体" w:hAnsi="宋体"/>
                <w:color w:val="000000" w:themeColor="text1"/>
                <w:sz w:val="24"/>
                <w14:textFill>
                  <w14:solidFill>
                    <w14:schemeClr w14:val="tx1"/>
                  </w14:solidFill>
                </w14:textFill>
              </w:rPr>
            </w:pPr>
          </w:p>
        </w:tc>
        <w:tc>
          <w:tcPr>
            <w:tcW w:w="397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中误差</w:t>
            </w:r>
          </w:p>
        </w:tc>
        <w:tc>
          <w:tcPr>
            <w:tcW w:w="4466"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6"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w:t>
            </w:r>
          </w:p>
        </w:tc>
        <w:tc>
          <w:tcPr>
            <w:tcW w:w="397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±0.05</w:t>
            </w:r>
          </w:p>
        </w:tc>
        <w:tc>
          <w:tcPr>
            <w:tcW w:w="4466"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w:t>
            </w:r>
          </w:p>
        </w:tc>
        <w:tc>
          <w:tcPr>
            <w:tcW w:w="397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±0.075</w:t>
            </w:r>
          </w:p>
        </w:tc>
        <w:tc>
          <w:tcPr>
            <w:tcW w:w="4466"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p>
        </w:tc>
        <w:tc>
          <w:tcPr>
            <w:tcW w:w="397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±0.10</w:t>
            </w:r>
          </w:p>
        </w:tc>
        <w:tc>
          <w:tcPr>
            <w:tcW w:w="4466"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2" w:type="dxa"/>
            <w:gridSpan w:val="3"/>
            <w:vAlign w:val="center"/>
          </w:tcPr>
          <w:p>
            <w:pPr>
              <w:pStyle w:val="47"/>
              <w:spacing w:line="360" w:lineRule="auto"/>
              <w:ind w:left="811" w:hanging="448"/>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土地使用权</w:t>
            </w:r>
            <w:r>
              <w:rPr>
                <w:rFonts w:hAnsi="宋体"/>
                <w:color w:val="000000" w:themeColor="text1"/>
                <w:sz w:val="24"/>
                <w:szCs w:val="24"/>
                <w14:textFill>
                  <w14:solidFill>
                    <w14:schemeClr w14:val="tx1"/>
                  </w14:solidFill>
                </w14:textFill>
              </w:rPr>
              <w:t>明显</w:t>
            </w:r>
            <w:r>
              <w:rPr>
                <w:rFonts w:hint="eastAsia" w:hAnsi="宋体"/>
                <w:color w:val="000000" w:themeColor="text1"/>
                <w:sz w:val="24"/>
                <w:szCs w:val="24"/>
                <w14:textFill>
                  <w14:solidFill>
                    <w14:schemeClr w14:val="tx1"/>
                  </w14:solidFill>
                </w14:textFill>
              </w:rPr>
              <w:t>界址点</w:t>
            </w:r>
            <w:r>
              <w:rPr>
                <w:rFonts w:hAnsi="宋体"/>
                <w:color w:val="000000" w:themeColor="text1"/>
                <w:sz w:val="24"/>
                <w:szCs w:val="24"/>
                <w14:textFill>
                  <w14:solidFill>
                    <w14:schemeClr w14:val="tx1"/>
                  </w14:solidFill>
                </w14:textFill>
              </w:rPr>
              <w:t>精度</w:t>
            </w:r>
            <w:r>
              <w:rPr>
                <w:rFonts w:hint="eastAsia" w:hAnsi="宋体"/>
                <w:color w:val="000000" w:themeColor="text1"/>
                <w:sz w:val="24"/>
                <w:szCs w:val="24"/>
                <w14:textFill>
                  <w14:solidFill>
                    <w14:schemeClr w14:val="tx1"/>
                  </w14:solidFill>
                </w14:textFill>
              </w:rPr>
              <w:t>不低于</w:t>
            </w:r>
            <w:r>
              <w:rPr>
                <w:rFonts w:hAnsi="宋体"/>
                <w:color w:val="000000" w:themeColor="text1"/>
                <w:sz w:val="24"/>
                <w:szCs w:val="24"/>
                <w14:textFill>
                  <w14:solidFill>
                    <w14:schemeClr w14:val="tx1"/>
                  </w14:solidFill>
                </w14:textFill>
              </w:rPr>
              <w:t>一级</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隐蔽界址点精度不低于二级。</w:t>
            </w:r>
          </w:p>
          <w:p>
            <w:pPr>
              <w:pStyle w:val="47"/>
              <w:spacing w:line="360" w:lineRule="auto"/>
              <w:ind w:left="811" w:hanging="448"/>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土地所有权界址点可选择一、二、三级精度。</w:t>
            </w:r>
          </w:p>
        </w:tc>
      </w:tr>
    </w:tbl>
    <w:p>
      <w:pPr>
        <w:spacing w:line="40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00" w:lineRule="exact"/>
        <w:ind w:right="422" w:rightChars="201"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（2）图解法界址点精度</w:t>
      </w:r>
    </w:p>
    <w:p>
      <w:pPr>
        <w:spacing w:line="400" w:lineRule="exact"/>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图解界址点的精度</w:t>
      </w:r>
    </w:p>
    <w:tbl>
      <w:tblPr>
        <w:tblStyle w:val="16"/>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349"/>
        <w:gridCol w:w="1998"/>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序号</w:t>
            </w:r>
          </w:p>
        </w:tc>
        <w:tc>
          <w:tcPr>
            <w:tcW w:w="4349"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   目</w:t>
            </w:r>
          </w:p>
        </w:tc>
        <w:tc>
          <w:tcPr>
            <w:tcW w:w="1998"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图上中误差（mm</w:t>
            </w:r>
            <w:r>
              <w:rPr>
                <w:rFonts w:ascii="宋体" w:hAnsi="宋体"/>
                <w:bCs/>
                <w:color w:val="000000" w:themeColor="text1"/>
                <w:sz w:val="24"/>
                <w14:textFill>
                  <w14:solidFill>
                    <w14:schemeClr w14:val="tx1"/>
                  </w14:solidFill>
                </w14:textFill>
              </w:rPr>
              <w:t>）</w:t>
            </w:r>
          </w:p>
        </w:tc>
        <w:tc>
          <w:tcPr>
            <w:tcW w:w="2235"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图上允许误差（mm</w:t>
            </w:r>
            <w:r>
              <w:rPr>
                <w:rFonts w:ascii="宋体" w:hAnsi="宋体"/>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p>
        </w:tc>
        <w:tc>
          <w:tcPr>
            <w:tcW w:w="4349"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相邻界址点的间距误差</w:t>
            </w:r>
          </w:p>
        </w:tc>
        <w:tc>
          <w:tcPr>
            <w:tcW w:w="1998"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±0.6</w:t>
            </w:r>
          </w:p>
        </w:tc>
        <w:tc>
          <w:tcPr>
            <w:tcW w:w="2235"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p>
        </w:tc>
        <w:tc>
          <w:tcPr>
            <w:tcW w:w="4349"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界址点相对于邻近控制点的点位误差</w:t>
            </w:r>
          </w:p>
        </w:tc>
        <w:tc>
          <w:tcPr>
            <w:tcW w:w="1998"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±0.6</w:t>
            </w:r>
          </w:p>
        </w:tc>
        <w:tc>
          <w:tcPr>
            <w:tcW w:w="2235"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4"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w:t>
            </w:r>
          </w:p>
        </w:tc>
        <w:tc>
          <w:tcPr>
            <w:tcW w:w="4349"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界址点相对于邻近地物点的间距误差</w:t>
            </w:r>
          </w:p>
        </w:tc>
        <w:tc>
          <w:tcPr>
            <w:tcW w:w="1998"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±0.6</w:t>
            </w:r>
          </w:p>
        </w:tc>
        <w:tc>
          <w:tcPr>
            <w:tcW w:w="2235" w:type="dxa"/>
            <w:vAlign w:val="bottom"/>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±1.2</w:t>
            </w:r>
          </w:p>
        </w:tc>
      </w:tr>
    </w:tbl>
    <w:p>
      <w:pPr>
        <w:spacing w:line="400" w:lineRule="exact"/>
        <w:ind w:firstLine="482" w:firstLineChars="200"/>
        <w:rPr>
          <w:rFonts w:ascii="宋体" w:hAnsi="宋体"/>
          <w:color w:val="000000" w:themeColor="text1"/>
          <w:sz w:val="24"/>
          <w14:textFill>
            <w14:solidFill>
              <w14:schemeClr w14:val="tx1"/>
            </w14:solidFill>
          </w14:textFill>
        </w:rPr>
      </w:pPr>
      <w:bookmarkStart w:id="21" w:name="_Toc444688504"/>
      <w:bookmarkStart w:id="22" w:name="_Toc497291424"/>
      <w:r>
        <w:rPr>
          <w:rFonts w:hint="eastAsia" w:ascii="宋体" w:hAnsi="宋体"/>
          <w:b/>
          <w:color w:val="000000" w:themeColor="text1"/>
          <w:sz w:val="24"/>
          <w14:textFill>
            <w14:solidFill>
              <w14:schemeClr w14:val="tx1"/>
            </w14:solidFill>
          </w14:textFill>
        </w:rPr>
        <w:t>五、项目实施及质量要求</w:t>
      </w:r>
      <w:bookmarkEnd w:id="21"/>
      <w:bookmarkEnd w:id="22"/>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1、自签订本合同之日起7日内组织作业队伍进场作业，人员到场率达采购人要求的90％以上。</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2、中标供应商应当根据技术设计书中的要求按合同工期确保项目完成。</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3、中标供应商</w:t>
      </w:r>
      <w:r>
        <w:rPr>
          <w:rFonts w:hint="eastAsia" w:ascii="宋体" w:hAnsi="宋体" w:cs="宋体"/>
          <w:color w:val="000000" w:themeColor="text1"/>
          <w:sz w:val="24"/>
          <w14:textFill>
            <w14:solidFill>
              <w14:schemeClr w14:val="tx1"/>
            </w14:solidFill>
          </w14:textFill>
        </w:rPr>
        <w:t>不得将本合同标的的全部或部分转包给第三方，一经发现，采购人有权单方面解除合同，其所有损失和费用由中标供应商全额承担。</w:t>
      </w:r>
    </w:p>
    <w:p>
      <w:pPr>
        <w:spacing w:line="400" w:lineRule="exact"/>
        <w:ind w:firstLine="470" w:firstLineChars="196"/>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4、在实施林权确权登记发证项目过程中，须按国家规定的工作规范、规程操作，权属调查成果须通过业主组织的检查验收</w:t>
      </w:r>
      <w:r>
        <w:rPr>
          <w:rFonts w:hint="eastAsia" w:ascii="宋体" w:hAnsi="宋体"/>
          <w:bCs/>
          <w:color w:val="000000" w:themeColor="text1"/>
          <w:sz w:val="24"/>
          <w14:textFill>
            <w14:solidFill>
              <w14:schemeClr w14:val="tx1"/>
            </w14:solidFill>
          </w14:textFill>
        </w:rPr>
        <w:t>。</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六、付款方式及要求</w:t>
      </w:r>
    </w:p>
    <w:p>
      <w:pPr>
        <w:spacing w:line="400" w:lineRule="exact"/>
        <w:ind w:firstLine="470" w:firstLineChars="196"/>
        <w:jc w:val="left"/>
        <w:rPr>
          <w:rFonts w:ascii="宋体" w:hAnsi="宋体"/>
          <w:bCs/>
          <w:color w:val="000000" w:themeColor="text1"/>
          <w:sz w:val="24"/>
          <w14:textFill>
            <w14:solidFill>
              <w14:schemeClr w14:val="tx1"/>
            </w14:solidFill>
          </w14:textFill>
        </w:rPr>
      </w:pPr>
      <w:bookmarkStart w:id="23" w:name="_Toc391132358"/>
      <w:bookmarkStart w:id="24" w:name="_Toc444688505"/>
      <w:bookmarkStart w:id="25" w:name="_Toc497291425"/>
      <w:r>
        <w:rPr>
          <w:rFonts w:hint="eastAsia" w:ascii="宋体" w:hAnsi="宋体"/>
          <w:bCs/>
          <w:color w:val="000000" w:themeColor="text1"/>
          <w:sz w:val="24"/>
          <w14:textFill>
            <w14:solidFill>
              <w14:schemeClr w14:val="tx1"/>
            </w14:solidFill>
          </w14:textFill>
        </w:rPr>
        <w:t>对①林权测绘；②权属调查；③林权数据建库及检查、收集不动产（林权）登记可申请资料，包括填写登记申请表、收集申请人身份证明及户籍证明、收集已有的权源依据证明、制作宗地图、界址表等，对应建立可调用的资料影像库；④整合存量林权不动产登记数据，建立林权登记数据库等4项工作分别按单价进行投标报价。</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按采购人要求完成指定工作后，根据实际工作量核计实际价款。</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1、合同签订前，中标供应商应向采购人支付壹拾万元作为履约保证金。签订合同后，履约保证金自动转为服务质量保证金，待项目验收通过后，服务期（一年）后无质量和服务问题采购人无息退还。</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合同签订后，中标供应商进场作业后15个工作日内，采购人向中标供应商支付预付款50万元（含整合存量林权登记数据20万元）；中标供应商每季度应对外业测绘及权籍调查工作进行汇总统计，交采购人审核确认后，采购人将在15个工作日内支付上季度的项目费用。季度汇总金额合计超出预付款后，采购人支付超出部分工程费用。</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七、项目时间要求</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服务期为二年（2019年-2021年6月底）</w:t>
      </w:r>
    </w:p>
    <w:p>
      <w:pPr>
        <w:snapToGrid w:val="0"/>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（1）第一阶段：2019年12月31日前，完成试点村林权测绘及权属调查项目，调查率要达到10%；</w:t>
      </w:r>
    </w:p>
    <w:p>
      <w:pPr>
        <w:snapToGrid w:val="0"/>
        <w:spacing w:line="40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（2）第二阶段：2020年12月31日前，完成全市11个乡镇各村林权测绘及权属调查项目，调查率至少达到40%；</w:t>
      </w:r>
    </w:p>
    <w:p>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（3）第三阶段：2021年6月底前，完成林权测绘及权属调查数据的整合建库。</w:t>
      </w:r>
    </w:p>
    <w:p>
      <w:pPr>
        <w:pStyle w:val="2"/>
        <w:spacing w:line="400" w:lineRule="exact"/>
        <w:ind w:firstLine="482"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八、范围及预估工作量</w:t>
      </w:r>
    </w:p>
    <w:p>
      <w:pPr>
        <w:pStyle w:val="2"/>
        <w:spacing w:line="400" w:lineRule="exact"/>
        <w:ind w:firstLine="482" w:firstLineChars="200"/>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预估换发林权证12937本，林权面积为70000亩，涉及全市11个镇（乡、街道）221个村。</w:t>
      </w:r>
    </w:p>
    <w:p>
      <w:pPr>
        <w:spacing w:line="40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九、售后服务</w:t>
      </w:r>
      <w:bookmarkEnd w:id="23"/>
      <w:bookmarkEnd w:id="24"/>
      <w:r>
        <w:rPr>
          <w:rFonts w:hint="eastAsia" w:ascii="宋体" w:hAnsi="宋体"/>
          <w:b/>
          <w:color w:val="000000" w:themeColor="text1"/>
          <w:sz w:val="24"/>
          <w14:textFill>
            <w14:solidFill>
              <w14:schemeClr w14:val="tx1"/>
            </w14:solidFill>
          </w14:textFill>
        </w:rPr>
        <w:t>及要求</w:t>
      </w:r>
      <w:bookmarkEnd w:id="25"/>
    </w:p>
    <w:p>
      <w:pPr>
        <w:spacing w:line="400" w:lineRule="exact"/>
        <w:ind w:firstLine="480" w:firstLineChars="200"/>
        <w:rPr>
          <w:rFonts w:ascii="宋体" w:hAnsi="宋体" w:cs="Courier New"/>
          <w:color w:val="000000" w:themeColor="text1"/>
          <w:sz w:val="24"/>
          <w:highlight w:val="green"/>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1.维护期：合同签订后三年，供应商应确保三年免费维护期内的现场服务响应，做好与系统的衔接工作。</w:t>
      </w:r>
    </w:p>
    <w:p>
      <w:pPr>
        <w:spacing w:line="400" w:lineRule="exact"/>
        <w:ind w:firstLine="480"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2.中标人负责对采购人进行项目成果日常操作应用的免费培训。</w:t>
      </w:r>
    </w:p>
    <w:p>
      <w:pPr>
        <w:spacing w:line="400" w:lineRule="exact"/>
        <w:ind w:firstLine="480"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3.中标人负责免费对项目成果错误进行及时更正。</w:t>
      </w:r>
    </w:p>
    <w:p>
      <w:pPr>
        <w:spacing w:line="400" w:lineRule="exact"/>
        <w:ind w:firstLine="480" w:firstLineChars="200"/>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4.中标人能提供快速的售后服务响应，保证在12小时内到达服务现场。</w:t>
      </w:r>
    </w:p>
    <w:p>
      <w:pPr>
        <w:spacing w:line="360" w:lineRule="auto"/>
        <w:ind w:firstLine="540" w:firstLineChars="225"/>
        <w:rPr>
          <w:rFonts w:ascii="宋体" w:hAnsi="宋体"/>
          <w:color w:val="000000" w:themeColor="text1"/>
          <w:kern w:val="0"/>
          <w:sz w:val="24"/>
          <w14:textFill>
            <w14:solidFill>
              <w14:schemeClr w14:val="tx1"/>
            </w14:solidFill>
          </w14:textFill>
        </w:rPr>
      </w:pPr>
    </w:p>
    <w:bookmarkEnd w:id="1"/>
    <w:bookmarkEnd w:id="2"/>
    <w:bookmarkEnd w:id="3"/>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政府采购合同主要条款指引</w:t>
      </w:r>
    </w:p>
    <w:p>
      <w:pPr>
        <w:widowControl/>
        <w:shd w:val="clear" w:color="auto" w:fill="FFFFFF"/>
        <w:spacing w:after="150" w:line="375" w:lineRule="atLeas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w:t>
      </w:r>
      <w:r>
        <w:rPr>
          <w:rFonts w:hint="eastAsia" w:ascii="宋体" w:hAnsi="宋体"/>
          <w:color w:val="000000" w:themeColor="text1"/>
          <w:sz w:val="24"/>
          <w14:textFill>
            <w14:solidFill>
              <w14:schemeClr w14:val="tx1"/>
            </w14:solidFill>
          </w14:textFill>
        </w:rPr>
        <w:t>中标</w:t>
      </w:r>
      <w:r>
        <w:rPr>
          <w:rFonts w:ascii="宋体" w:hAnsi="宋体"/>
          <w:color w:val="000000" w:themeColor="text1"/>
          <w:sz w:val="24"/>
          <w14:textFill>
            <w14:solidFill>
              <w14:schemeClr w14:val="tx1"/>
            </w14:solidFill>
          </w14:textFill>
        </w:rPr>
        <w:t>后签定本项目合同的通用条款，</w:t>
      </w:r>
      <w:r>
        <w:rPr>
          <w:rFonts w:hint="eastAsia" w:ascii="宋体" w:hAnsi="宋体"/>
          <w:color w:val="000000" w:themeColor="text1"/>
          <w:sz w:val="24"/>
          <w14:textFill>
            <w14:solidFill>
              <w14:schemeClr w14:val="tx1"/>
            </w14:solidFill>
          </w14:textFill>
        </w:rPr>
        <w:t>中标</w:t>
      </w:r>
      <w:r>
        <w:rPr>
          <w:rFonts w:ascii="宋体" w:hAnsi="宋体"/>
          <w:color w:val="000000" w:themeColor="text1"/>
          <w:sz w:val="24"/>
          <w14:textFill>
            <w14:solidFill>
              <w14:schemeClr w14:val="tx1"/>
            </w14:solidFill>
          </w14:textFill>
        </w:rPr>
        <w:t>供应商不得提出实质性的修改，关于专用条款将由采购人与</w:t>
      </w:r>
      <w:r>
        <w:rPr>
          <w:rFonts w:hint="eastAsia" w:ascii="宋体" w:hAnsi="宋体"/>
          <w:color w:val="000000" w:themeColor="text1"/>
          <w:sz w:val="24"/>
          <w14:textFill>
            <w14:solidFill>
              <w14:schemeClr w14:val="tx1"/>
            </w14:solidFill>
          </w14:textFill>
        </w:rPr>
        <w:t>中标</w:t>
      </w:r>
      <w:r>
        <w:rPr>
          <w:rFonts w:ascii="宋体" w:hAnsi="宋体"/>
          <w:color w:val="000000" w:themeColor="text1"/>
          <w:sz w:val="24"/>
          <w14:textFill>
            <w14:solidFill>
              <w14:schemeClr w14:val="tx1"/>
            </w14:solidFill>
          </w14:textFill>
        </w:rPr>
        <w:t>供应商结合本项目具体情况协商后签订。</w:t>
      </w:r>
    </w:p>
    <w:p>
      <w:pPr>
        <w:pStyle w:val="9"/>
        <w:snapToGrid w:val="0"/>
        <w:spacing w:before="120" w:after="120" w:line="360" w:lineRule="auto"/>
        <w:rPr>
          <w:rFonts w:hAnsi="宋体"/>
          <w:color w:val="000000" w:themeColor="text1"/>
          <w:sz w:val="24"/>
          <w14:textFill>
            <w14:solidFill>
              <w14:schemeClr w14:val="tx1"/>
            </w14:solidFill>
          </w14:textFill>
        </w:rPr>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玉环市不动产登记服务中心</w:t>
      </w:r>
    </w:p>
    <w:p>
      <w:pPr>
        <w:pStyle w:val="9"/>
        <w:snapToGrid w:val="0"/>
        <w:spacing w:before="120" w:after="120" w:line="360" w:lineRule="auto"/>
        <w:jc w:val="center"/>
        <w:rPr>
          <w:rFonts w:hAnsi="宋体"/>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林权调查试点服务单位采购项目</w:t>
      </w:r>
    </w:p>
    <w:p>
      <w:pPr>
        <w:pStyle w:val="9"/>
        <w:snapToGrid w:val="0"/>
        <w:spacing w:before="120" w:after="120" w:line="360" w:lineRule="auto"/>
        <w:rPr>
          <w:rFonts w:hAnsi="宋体"/>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合</w:t>
      </w:r>
    </w:p>
    <w:p>
      <w:pPr>
        <w:jc w:val="center"/>
        <w:rPr>
          <w:b/>
          <w:bCs/>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同</w:t>
      </w:r>
    </w:p>
    <w:p>
      <w:pPr>
        <w:jc w:val="center"/>
        <w:rPr>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书</w:t>
      </w:r>
    </w:p>
    <w:p>
      <w:pPr>
        <w:ind w:firstLine="5783" w:firstLineChars="1600"/>
        <w:rPr>
          <w:b/>
          <w:bCs/>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p>
    <w:p>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采购单位：玉环市不动产登记服务中心</w:t>
      </w:r>
    </w:p>
    <w:p>
      <w:pPr>
        <w:jc w:val="center"/>
        <w:rPr>
          <w:b/>
          <w:bCs/>
          <w:color w:val="000000" w:themeColor="text1"/>
          <w:sz w:val="36"/>
          <w:szCs w:val="36"/>
          <w14:textFill>
            <w14:solidFill>
              <w14:schemeClr w14:val="tx1"/>
            </w14:solidFill>
          </w14:textFill>
        </w:rPr>
      </w:pPr>
    </w:p>
    <w:p>
      <w:pPr>
        <w:pStyle w:val="9"/>
        <w:snapToGrid w:val="0"/>
        <w:spacing w:before="120" w:after="120" w:line="360" w:lineRule="auto"/>
        <w:ind w:firstLine="3614" w:firstLineChars="1000"/>
        <w:rPr>
          <w:rFonts w:hAnsi="宋体"/>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供货单位：</w:t>
      </w:r>
    </w:p>
    <w:p>
      <w:pPr>
        <w:pStyle w:val="9"/>
        <w:snapToGrid w:val="0"/>
        <w:spacing w:before="120" w:after="120" w:line="360" w:lineRule="auto"/>
        <w:rPr>
          <w:rFonts w:hAnsi="宋体"/>
          <w:color w:val="000000" w:themeColor="text1"/>
          <w:sz w:val="24"/>
          <w14:textFill>
            <w14:solidFill>
              <w14:schemeClr w14:val="tx1"/>
            </w14:solidFill>
          </w14:textFill>
        </w:rPr>
      </w:pPr>
    </w:p>
    <w:p>
      <w:pPr>
        <w:pStyle w:val="9"/>
        <w:snapToGrid w:val="0"/>
        <w:spacing w:before="120" w:after="120" w:line="360" w:lineRule="auto"/>
        <w:rPr>
          <w:rFonts w:hAnsi="宋体"/>
          <w:color w:val="000000" w:themeColor="text1"/>
          <w:sz w:val="24"/>
          <w14:textFill>
            <w14:solidFill>
              <w14:schemeClr w14:val="tx1"/>
            </w14:solidFill>
          </w14:textFill>
        </w:rPr>
      </w:pPr>
    </w:p>
    <w:p>
      <w:pPr>
        <w:pStyle w:val="9"/>
        <w:snapToGrid w:val="0"/>
        <w:spacing w:before="120" w:after="120" w:line="360" w:lineRule="auto"/>
        <w:rPr>
          <w:rFonts w:hAnsi="宋体"/>
          <w:color w:val="000000" w:themeColor="text1"/>
          <w:sz w:val="24"/>
          <w14:textFill>
            <w14:solidFill>
              <w14:schemeClr w14:val="tx1"/>
            </w14:solidFill>
          </w14:textFill>
        </w:rPr>
      </w:pPr>
    </w:p>
    <w:p>
      <w:pPr>
        <w:pStyle w:val="9"/>
        <w:snapToGrid w:val="0"/>
        <w:spacing w:before="120" w:after="120" w:line="360" w:lineRule="auto"/>
        <w:rPr>
          <w:rFonts w:hAnsi="宋体"/>
          <w:color w:val="000000" w:themeColor="text1"/>
          <w:sz w:val="24"/>
          <w14:textFill>
            <w14:solidFill>
              <w14:schemeClr w14:val="tx1"/>
            </w14:solidFill>
          </w14:textFill>
        </w:rPr>
      </w:pPr>
    </w:p>
    <w:p>
      <w:pPr>
        <w:pStyle w:val="9"/>
        <w:snapToGrid w:val="0"/>
        <w:spacing w:before="120" w:after="120" w:line="360" w:lineRule="auto"/>
        <w:rPr>
          <w:rFonts w:hAnsi="宋体"/>
          <w:color w:val="000000" w:themeColor="text1"/>
          <w:sz w:val="24"/>
          <w14:textFill>
            <w14:solidFill>
              <w14:schemeClr w14:val="tx1"/>
            </w14:solidFill>
          </w14:textFill>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23"/>
        <w:gridCol w:w="1384"/>
        <w:gridCol w:w="1384"/>
        <w:gridCol w:w="138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223"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工作内容</w:t>
            </w:r>
          </w:p>
        </w:tc>
        <w:tc>
          <w:tcPr>
            <w:tcW w:w="1384"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384" w:type="dxa"/>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384" w:type="dxa"/>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预估数量</w:t>
            </w:r>
          </w:p>
        </w:tc>
        <w:tc>
          <w:tcPr>
            <w:tcW w:w="1386"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23" w:type="dxa"/>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林权测绘</w:t>
            </w:r>
          </w:p>
        </w:tc>
        <w:tc>
          <w:tcPr>
            <w:tcW w:w="1384" w:type="dxa"/>
            <w:vAlign w:val="center"/>
          </w:tcPr>
          <w:p>
            <w:pPr>
              <w:spacing w:line="40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元/亩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70000</w:t>
            </w:r>
          </w:p>
        </w:tc>
        <w:tc>
          <w:tcPr>
            <w:tcW w:w="1386"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223" w:type="dxa"/>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权属调查</w:t>
            </w:r>
          </w:p>
        </w:tc>
        <w:tc>
          <w:tcPr>
            <w:tcW w:w="1384" w:type="dxa"/>
            <w:vAlign w:val="center"/>
          </w:tcPr>
          <w:p>
            <w:pPr>
              <w:spacing w:line="40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元/亩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70000</w:t>
            </w:r>
          </w:p>
        </w:tc>
        <w:tc>
          <w:tcPr>
            <w:tcW w:w="1386"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1"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223"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权调数据建库、检查、权证制作，档案建立</w:t>
            </w:r>
          </w:p>
        </w:tc>
        <w:tc>
          <w:tcPr>
            <w:tcW w:w="1384" w:type="dxa"/>
            <w:vAlign w:val="center"/>
          </w:tcPr>
          <w:p>
            <w:pPr>
              <w:spacing w:line="40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元/亩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亩</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70000</w:t>
            </w:r>
          </w:p>
        </w:tc>
        <w:tc>
          <w:tcPr>
            <w:tcW w:w="1386"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1"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223" w:type="dxa"/>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整合存量林权不动产登记数据，建立林权登记数据库</w:t>
            </w:r>
          </w:p>
        </w:tc>
        <w:tc>
          <w:tcPr>
            <w:tcW w:w="1384" w:type="dxa"/>
            <w:vAlign w:val="center"/>
          </w:tcPr>
          <w:p>
            <w:pPr>
              <w:spacing w:line="400" w:lineRule="exact"/>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元/条</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w:t>
            </w:r>
          </w:p>
        </w:tc>
        <w:tc>
          <w:tcPr>
            <w:tcW w:w="1384"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85408</w:t>
            </w:r>
          </w:p>
        </w:tc>
        <w:tc>
          <w:tcPr>
            <w:tcW w:w="1386" w:type="dxa"/>
            <w:vAlign w:val="center"/>
          </w:tcPr>
          <w:p>
            <w:pPr>
              <w:spacing w:line="400" w:lineRule="exact"/>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合计金额：大写：人民币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元。</w:t>
            </w:r>
          </w:p>
        </w:tc>
      </w:tr>
    </w:tbl>
    <w:p>
      <w:pPr>
        <w:spacing w:line="40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最终根据实际工作量按上表单价进行结算。</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一</w:t>
      </w:r>
      <w:r>
        <w:rPr>
          <w:rFonts w:hint="eastAsia" w:ascii="宋体" w:hAnsi="宋体" w:cs="宋体"/>
          <w:b/>
          <w:bCs/>
          <w:color w:val="000000" w:themeColor="text1"/>
          <w:sz w:val="24"/>
          <w14:textFill>
            <w14:solidFill>
              <w14:schemeClr w14:val="tx1"/>
            </w14:solidFill>
          </w14:textFill>
        </w:rPr>
        <w:t>条  甲、乙双方的义务</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1、甲方义务:</w:t>
      </w:r>
    </w:p>
    <w:p>
      <w:pPr>
        <w:spacing w:line="400" w:lineRule="exact"/>
        <w:ind w:left="0" w:leftChars="0" w:firstLine="638" w:firstLineChars="266"/>
        <w:jc w:val="lef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（1）负责做好林权调查工作的组织、指导和协调工作</w:t>
      </w:r>
      <w:r>
        <w:rPr>
          <w:rFonts w:hint="eastAsia" w:ascii="宋体" w:hAnsi="宋体" w:cs="宋体"/>
          <w:color w:val="000000" w:themeColor="text1"/>
          <w:sz w:val="24"/>
          <w:lang w:eastAsia="zh-CN"/>
          <w14:textFill>
            <w14:solidFill>
              <w14:schemeClr w14:val="tx1"/>
            </w14:solidFill>
          </w14:textFill>
        </w:rPr>
        <w:t>；</w:t>
      </w:r>
    </w:p>
    <w:p>
      <w:pPr>
        <w:spacing w:line="400" w:lineRule="exact"/>
        <w:ind w:left="0" w:leftChars="0" w:firstLine="638" w:firstLineChars="26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（2）负责协助乙方的作业队伍顺利进入现场工作,井对乙方进场人员的工作，生活提供方便的条件；</w:t>
      </w:r>
    </w:p>
    <w:p>
      <w:pPr>
        <w:spacing w:line="400" w:lineRule="exact"/>
        <w:ind w:left="0" w:leftChars="0" w:firstLine="638" w:firstLineChars="266"/>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（3）负贵协调试点村林权谓查与本项目相关工作</w:t>
      </w:r>
      <w:r>
        <w:rPr>
          <w:rFonts w:hint="eastAsia" w:ascii="宋体" w:hAnsi="宋体" w:cs="宋体"/>
          <w:color w:val="000000" w:themeColor="text1"/>
          <w:sz w:val="24"/>
          <w:lang w:eastAsia="zh-CN"/>
          <w14:textFill>
            <w14:solidFill>
              <w14:schemeClr w14:val="tx1"/>
            </w14:solidFill>
          </w14:textFill>
        </w:rPr>
        <w:t>；</w:t>
      </w:r>
    </w:p>
    <w:p>
      <w:pPr>
        <w:spacing w:line="400" w:lineRule="exact"/>
        <w:ind w:left="0" w:leftChars="0" w:firstLine="638" w:firstLineChars="26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（4）组织审核、验收相关成果；</w:t>
      </w:r>
    </w:p>
    <w:p>
      <w:pPr>
        <w:spacing w:line="400" w:lineRule="exact"/>
        <w:ind w:left="0" w:leftChars="0" w:firstLine="638" w:firstLineChars="26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（5）按合同规定及时向乙方支付款项。</w:t>
      </w:r>
    </w:p>
    <w:p>
      <w:pPr>
        <w:spacing w:line="400" w:lineRule="exact"/>
        <w:ind w:left="63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2、乙方义务:</w:t>
      </w:r>
    </w:p>
    <w:p>
      <w:pPr>
        <w:numPr>
          <w:ilvl w:val="0"/>
          <w:numId w:val="0"/>
        </w:numPr>
        <w:spacing w:line="40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自签订本合同之日起7日内按甲方要求组织作业队伍进场作业，人员到场率90%以上；</w:t>
      </w:r>
    </w:p>
    <w:p>
      <w:pPr>
        <w:numPr>
          <w:ilvl w:val="0"/>
          <w:numId w:val="0"/>
        </w:numPr>
        <w:spacing w:line="40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乙方应当根据技术设计书中的婴求按合同工明确保项目完成；</w:t>
      </w:r>
    </w:p>
    <w:p>
      <w:pPr>
        <w:numPr>
          <w:ilvl w:val="0"/>
          <w:numId w:val="0"/>
        </w:numPr>
        <w:spacing w:line="40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乙方不得将本合同标的的全部或部分转包给第三方，一经发现， 甲方有权中止并单方面解除合同，其所有损失和费用由乙方全额承担；</w:t>
      </w:r>
    </w:p>
    <w:p>
      <w:pPr>
        <w:numPr>
          <w:ilvl w:val="0"/>
          <w:numId w:val="0"/>
        </w:numPr>
        <w:spacing w:line="40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对甲方提供的工作资料，未经同意不得向第三方转让或复制；</w:t>
      </w:r>
    </w:p>
    <w:p>
      <w:pPr>
        <w:numPr>
          <w:ilvl w:val="0"/>
          <w:numId w:val="0"/>
        </w:numPr>
        <w:spacing w:line="400" w:lineRule="exact"/>
        <w:ind w:left="0" w:leftChars="0" w:firstLine="420" w:firstLineChars="1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无条件服从甲方有X项目实施的工作安排，在项目实施过程中与甲方密切配合；</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二</w:t>
      </w:r>
      <w:r>
        <w:rPr>
          <w:rFonts w:hint="eastAsia" w:ascii="宋体" w:hAnsi="宋体" w:cs="宋体"/>
          <w:b/>
          <w:bCs/>
          <w:color w:val="000000" w:themeColor="text1"/>
          <w:sz w:val="24"/>
          <w14:textFill>
            <w14:solidFill>
              <w14:schemeClr w14:val="tx1"/>
            </w14:solidFill>
          </w14:textFill>
        </w:rPr>
        <w:t>条  质量保证和成果权属</w:t>
      </w:r>
    </w:p>
    <w:p>
      <w:pPr>
        <w:spacing w:line="40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1.乙方能确保驻场建设和二年免费质保期内的现场服务响应。</w:t>
      </w:r>
    </w:p>
    <w:p>
      <w:pPr>
        <w:spacing w:line="400" w:lineRule="exact"/>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2.乙方调查成果的所有权、使用权和著作权归甲方所有。</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 xml:space="preserve">条 </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合同款项支付</w:t>
      </w:r>
    </w:p>
    <w:p>
      <w:pPr>
        <w:spacing w:line="400" w:lineRule="exact"/>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1、合同签订后乙方进场开展工作，甲方向乙方支付</w:t>
      </w:r>
      <w:r>
        <w:rPr>
          <w:rFonts w:hint="eastAsia" w:ascii="宋体" w:hAnsi="宋体" w:cs="宋体"/>
          <w:color w:val="000000" w:themeColor="text1"/>
          <w:sz w:val="24"/>
          <w:lang w:val="en-US" w:eastAsia="zh-CN"/>
          <w14:textFill>
            <w14:solidFill>
              <w14:schemeClr w14:val="tx1"/>
            </w14:solidFill>
          </w14:textFill>
        </w:rPr>
        <w:t>伍拾万元</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500000.00</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2、乙方完成测绘成果并通过甲方确认后十五个工作日内，再付至合同总价款结算金额的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3、项目交付后再付至合同总价款结算金额的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四</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履约保证金</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为保证木合同的顺利执行，本项目的履约保证金为</w:t>
      </w:r>
      <w:r>
        <w:rPr>
          <w:rFonts w:hint="eastAsia" w:ascii="宋体" w:hAnsi="宋体" w:cs="宋体"/>
          <w:b/>
          <w:bCs/>
          <w:color w:val="000000" w:themeColor="text1"/>
          <w:sz w:val="24"/>
          <w:u w:val="single"/>
          <w14:textFill>
            <w14:solidFill>
              <w14:schemeClr w14:val="tx1"/>
            </w14:solidFill>
          </w14:textFill>
        </w:rPr>
        <w:t>壹拾万元整</w:t>
      </w:r>
      <w:r>
        <w:rPr>
          <w:rFonts w:hint="eastAsia" w:ascii="宋体" w:hAnsi="宋体" w:cs="宋体"/>
          <w:color w:val="000000" w:themeColor="text1"/>
          <w:sz w:val="24"/>
          <w14:textFill>
            <w14:solidFill>
              <w14:schemeClr w14:val="tx1"/>
            </w14:solidFill>
          </w14:textFill>
        </w:rPr>
        <w:t>。采购人将在合同到期或依法解除、协议解除后7个工作日内无息退还履约保证金;</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乙方向甲方交付成果</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1、调查文字成果</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(1)调查技术设计书</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(2)调查技术总结</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(3)调查检查报告</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(4)测绘产品检验报告</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以上成果包括电子、纸质两种存储方式。</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2、图件成果</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(1）调查工作底图</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(2)林地林权地形图</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(3)农户地块分布图</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3、数据成果</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(1)林地确权数据库</w:t>
      </w:r>
    </w:p>
    <w:p>
      <w:pPr>
        <w:spacing w:line="400" w:lineRule="exact"/>
        <w:ind w:left="0" w:leftChars="0" w:firstLine="1478" w:firstLineChars="61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(2)权属数据</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4、其它成果</w:t>
      </w:r>
    </w:p>
    <w:p>
      <w:pPr>
        <w:spacing w:line="400" w:lineRule="exact"/>
        <w:ind w:left="0" w:leftChars="0" w:firstLine="1058" w:firstLineChars="44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扫描数据库等。</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甲方违约责任</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合同签订后,乙方未进入现场工作前由于甲方原因工程停止而终止合同时，甲方应向乙方支付项目合同总款价5%的违约金</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乙方已进场开展工作，由于甲方原因工程停止而终止合同时，甲方应向乙方支付项目总款价5%的违约金及实际完成的工作量价款。</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甲方未能按合同规定的口期向乙方支付款项时,应向乙方偿付延期损失费，每天的延期损失费按合同约定的工程总价款的0.5%计算,因不可抗拒及乙方原因除外。</w:t>
      </w:r>
    </w:p>
    <w:p>
      <w:pPr>
        <w:numPr>
          <w:ilvl w:val="0"/>
          <w:numId w:val="8"/>
        </w:num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因甲方原因而造成停工的，项目工期顺延。</w:t>
      </w:r>
    </w:p>
    <w:p>
      <w:pPr>
        <w:spacing w:line="400" w:lineRule="exac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乙方违约责任</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1、合同生效后，如乙方擅自中途停止或解除合同，乙方应退还所有已付的工程款，并向甲方支付项目总款价5%的违约金。如甲方重新招标，重新组织招标的所需费用由原中标人承担。</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2、乙方未能按合同规定的8期提交所有成果时，应向甲方偿付拖期损失费，每天的拖期损失费按合同约定的工程总价款的0. 5%计算，因不可抗拒及甲方原因除外。</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3、乙方提供的调查成果质量不合格，乙方应负责无偿给予重测或采取补救措施，以达到质量要求。</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4、对于甲方提供的图纸、技术资料和档案资料以及属于甲方的测绘调查成果，乙方有义务保密，不得向第三方转让，否则，甲方有权对因此造成的损失追究乙方责任。</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w:t>
      </w:r>
      <w:r>
        <w:rPr>
          <w:rFonts w:hint="eastAsia" w:ascii="宋体" w:hAnsi="宋体" w:cs="宋体"/>
          <w:color w:val="000000" w:themeColor="text1"/>
          <w:sz w:val="24"/>
          <w:lang w:val="en-US" w:eastAsia="zh-CN"/>
          <w14:textFill>
            <w14:solidFill>
              <w14:schemeClr w14:val="tx1"/>
            </w14:solidFill>
          </w14:textFill>
        </w:rPr>
        <w:t>八</w:t>
      </w:r>
      <w:r>
        <w:rPr>
          <w:rFonts w:hint="eastAsia" w:ascii="宋体" w:hAnsi="宋体" w:cs="宋体"/>
          <w:color w:val="000000" w:themeColor="text1"/>
          <w:sz w:val="24"/>
          <w14:textFill>
            <w14:solidFill>
              <w14:schemeClr w14:val="tx1"/>
            </w14:solidFill>
          </w14:textFill>
        </w:rPr>
        <w:t>条 由于不可抗力，致使合同无法履行时，双方应按有关法律规定处理。</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w:t>
      </w:r>
      <w:r>
        <w:rPr>
          <w:rFonts w:hint="eastAsia" w:ascii="宋体" w:hAnsi="宋体" w:cs="宋体"/>
          <w:color w:val="000000" w:themeColor="text1"/>
          <w:sz w:val="24"/>
          <w:lang w:val="en-US" w:eastAsia="zh-CN"/>
          <w14:textFill>
            <w14:solidFill>
              <w14:schemeClr w14:val="tx1"/>
            </w14:solidFill>
          </w14:textFill>
        </w:rPr>
        <w:t>九</w:t>
      </w:r>
      <w:r>
        <w:rPr>
          <w:rFonts w:hint="eastAsia" w:ascii="宋体" w:hAnsi="宋体" w:cs="宋体"/>
          <w:color w:val="000000" w:themeColor="text1"/>
          <w:sz w:val="24"/>
          <w14:textFill>
            <w14:solidFill>
              <w14:schemeClr w14:val="tx1"/>
            </w14:solidFill>
          </w14:textFill>
        </w:rPr>
        <w:t>条 其它约定：在调查过程中，乙方应加强安全管理，杜绝安全事故的发生。</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第十条 本合同执行过程中的未尽事宜，双方应本着实事求是、友好协商的态度加以解决。</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第十</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cs="宋体"/>
          <w:color w:val="000000" w:themeColor="text1"/>
          <w:sz w:val="24"/>
          <w14:textFill>
            <w14:solidFill>
              <w14:schemeClr w14:val="tx1"/>
            </w14:solidFill>
          </w14:textFill>
        </w:rPr>
        <w:t>条 因合同执行过程中发生纠纷，可由双方协商解决或由双方主管部门调解，协商(调解)结果可签订补充协议书，该协议与本合同具有相司效力，若达不成协议，双方任何一方均可向合同签订所在地人民法院提起诉讼,</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第十</w:t>
      </w:r>
      <w:r>
        <w:rPr>
          <w:rFonts w:hint="eastAsia" w:ascii="宋体" w:hAnsi="宋体" w:cs="宋体"/>
          <w:color w:val="000000" w:themeColor="text1"/>
          <w:sz w:val="24"/>
          <w:lang w:val="en-US" w:eastAsia="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条 附则</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1、本合同经甲、乙双方法定代表人或其委托人签字并加盖公章或合同专用章即生效。全部成果交接完毕和项目工程费结算完成、免费质保期到期后，本合同终止;</w:t>
      </w:r>
    </w:p>
    <w:p>
      <w:pPr>
        <w:numPr>
          <w:ilvl w:val="0"/>
          <w:numId w:val="9"/>
        </w:num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本合同一式陆份，甲、乙双方各执三份。</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委托方（甲方）单位名称              承揽方（乙方）单位名称</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（盖章）                                   （盖章）</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                                      地址：</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                                法定代表人：</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或委托代理人：                              或委托代理人：                          </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                                      电话：</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                                  邮政编码：</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开户银行：</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                                      账号：</w:t>
      </w:r>
    </w:p>
    <w:p>
      <w:pPr>
        <w:spacing w:line="400" w:lineRule="exact"/>
        <w:ind w:lef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合同签订时间：  年  月  日                 合同签订地点：</w:t>
      </w:r>
    </w:p>
    <w:p>
      <w:pPr>
        <w:spacing w:line="400" w:lineRule="exact"/>
        <w:rPr>
          <w:rFonts w:ascii="宋体" w:hAnsi="宋体" w:cs="宋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投标文件格式附件</w:t>
      </w:r>
    </w:p>
    <w:p>
      <w:pPr>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r>
        <w:rPr>
          <w:rFonts w:hint="eastAsia" w:ascii="宋体" w:hAnsi="宋体"/>
          <w:b/>
          <w:color w:val="000000" w:themeColor="text1"/>
          <w:sz w:val="28"/>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玉环市不动产登记服务中心</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玉环市林权测绘及权属调查项目（一期）</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lang w:eastAsia="zh-CN"/>
          <w14:textFill>
            <w14:solidFill>
              <w14:schemeClr w14:val="tx1"/>
            </w14:solidFill>
          </w14:textFill>
        </w:rPr>
        <w:t>HQ-YHZFCG-2019-103</w:t>
      </w:r>
      <w:r>
        <w:rPr>
          <w:rFonts w:hint="eastAsia" w:ascii="宋体" w:hAnsi="宋体"/>
          <w:color w:val="000000" w:themeColor="text1"/>
          <w:sz w:val="36"/>
          <w:szCs w:val="36"/>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14:textFill>
            <w14:solidFill>
              <w14:schemeClr w14:val="tx1"/>
            </w14:solidFill>
          </w14:textFill>
        </w:rPr>
      </w:pPr>
    </w:p>
    <w:p>
      <w:pPr>
        <w:numPr>
          <w:ilvl w:val="0"/>
          <w:numId w:val="10"/>
        </w:numPr>
        <w:snapToGrid w:val="0"/>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声明书（附件2）</w:t>
      </w:r>
    </w:p>
    <w:p>
      <w:pPr>
        <w:numPr>
          <w:ilvl w:val="0"/>
          <w:numId w:val="10"/>
        </w:num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bCs/>
          <w:color w:val="000000" w:themeColor="text1"/>
          <w:sz w:val="28"/>
          <w:szCs w:val="28"/>
          <w14:textFill>
            <w14:solidFill>
              <w14:schemeClr w14:val="tx1"/>
            </w14:solidFill>
          </w14:textFill>
        </w:rPr>
        <w:t>授权</w:t>
      </w:r>
      <w:r>
        <w:rPr>
          <w:rFonts w:hint="eastAsia"/>
          <w:bCs/>
          <w:color w:val="000000" w:themeColor="text1"/>
          <w:sz w:val="28"/>
          <w:szCs w:val="28"/>
          <w14:textFill>
            <w14:solidFill>
              <w14:schemeClr w14:val="tx1"/>
            </w14:solidFill>
          </w14:textFill>
        </w:rPr>
        <w:t>委托</w:t>
      </w:r>
      <w:r>
        <w:rPr>
          <w:bCs/>
          <w:color w:val="000000" w:themeColor="text1"/>
          <w:sz w:val="28"/>
          <w:szCs w:val="28"/>
          <w14:textFill>
            <w14:solidFill>
              <w14:schemeClr w14:val="tx1"/>
            </w14:solidFill>
          </w14:textFill>
        </w:rPr>
        <w:t>书</w:t>
      </w:r>
      <w:r>
        <w:rPr>
          <w:rFonts w:hint="eastAsia" w:ascii="宋体" w:hAnsi="宋体"/>
          <w:bCs/>
          <w:color w:val="000000" w:themeColor="text1"/>
          <w:sz w:val="28"/>
          <w:szCs w:val="28"/>
          <w14:textFill>
            <w14:solidFill>
              <w14:schemeClr w14:val="tx1"/>
            </w14:solidFill>
          </w14:textFill>
        </w:rPr>
        <w:t>（附件3）</w:t>
      </w:r>
    </w:p>
    <w:p>
      <w:pPr>
        <w:numPr>
          <w:ilvl w:val="0"/>
          <w:numId w:val="10"/>
        </w:numPr>
        <w:snapToGrid w:val="0"/>
        <w:spacing w:line="360" w:lineRule="auto"/>
        <w:ind w:left="1050" w:leftChars="259" w:hanging="506" w:hangingChars="181"/>
        <w:rPr>
          <w:rFonts w:ascii="宋体" w:hAnsi="宋体"/>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r>
        <w:rPr>
          <w:color w:val="000000" w:themeColor="text1"/>
          <w:sz w:val="28"/>
          <w:szCs w:val="28"/>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本项目要求的特定资质证书</w:t>
      </w:r>
    </w:p>
    <w:p>
      <w:pPr>
        <w:spacing w:line="360" w:lineRule="auto"/>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80" w:lineRule="exac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）的法定代表人，我公司自愿参加贵方组织的玉环市不动产登记服务中心玉环市林权测绘及权属调查项目（一期）（</w:t>
      </w:r>
      <w:r>
        <w:rPr>
          <w:rFonts w:hint="eastAsia" w:ascii="宋体" w:hAnsi="宋体" w:cs="宋体"/>
          <w:color w:val="000000" w:themeColor="text1"/>
          <w:kern w:val="0"/>
          <w:sz w:val="24"/>
          <w:lang w:eastAsia="zh-CN"/>
          <w14:textFill>
            <w14:solidFill>
              <w14:schemeClr w14:val="tx1"/>
            </w14:solidFill>
          </w14:textFill>
        </w:rPr>
        <w:t>HQ-YHZFCG-2019-103</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400" w:lineRule="atLeast"/>
        <w:ind w:right="480"/>
        <w:rPr>
          <w:rFonts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pStyle w:val="9"/>
        <w:spacing w:line="400" w:lineRule="atLeas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9"/>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9"/>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400" w:lineRule="atLeast"/>
        <w:rPr>
          <w:color w:val="000000" w:themeColor="text1"/>
          <w:sz w:val="24"/>
          <w14:textFill>
            <w14:solidFill>
              <w14:schemeClr w14:val="tx1"/>
            </w14:solidFill>
          </w14:textFill>
        </w:rPr>
      </w:pPr>
    </w:p>
    <w:p>
      <w:pPr>
        <w:spacing w:line="400" w:lineRule="atLeast"/>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1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400" w:lineRule="atLeast"/>
        <w:rPr>
          <w:b/>
          <w:color w:val="000000" w:themeColor="text1"/>
          <w:sz w:val="24"/>
          <w14:textFill>
            <w14:solidFill>
              <w14:schemeClr w14:val="tx1"/>
            </w14:solidFill>
          </w14:textFill>
        </w:rPr>
      </w:pPr>
    </w:p>
    <w:tbl>
      <w:tblPr>
        <w:tblStyle w:val="1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玉环市林权测绘及权属调查项目（一期）</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HQ-YHZFCG-2019-103</w:t>
      </w:r>
      <w:r>
        <w:rPr>
          <w:rFonts w:hint="eastAsia" w:ascii="宋体" w:hAnsi="宋体"/>
          <w:color w:val="000000" w:themeColor="text1"/>
          <w:sz w:val="36"/>
          <w:szCs w:val="36"/>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投标人情况介绍</w:t>
      </w:r>
      <w:r>
        <w:rPr>
          <w:rFonts w:hint="eastAsia" w:ascii="宋体" w:hAnsi="宋体"/>
          <w:color w:val="000000" w:themeColor="text1"/>
          <w:sz w:val="28"/>
          <w:szCs w:val="28"/>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项目组织实施方案(附件6、附件7)</w:t>
      </w:r>
      <w:r>
        <w:rPr>
          <w:rFonts w:ascii="宋体" w:hAnsi="宋体"/>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kern w:val="0"/>
          <w:sz w:val="28"/>
          <w:szCs w:val="28"/>
          <w14:textFill>
            <w14:solidFill>
              <w14:schemeClr w14:val="tx1"/>
            </w14:solidFill>
          </w14:textFill>
        </w:rPr>
        <w:t>技术、服务、安全标准</w:t>
      </w:r>
      <w:r>
        <w:rPr>
          <w:rFonts w:asciiTheme="minorEastAsia" w:hAnsiTheme="minorEastAsia" w:eastAsiaTheme="minorEastAsia"/>
          <w:color w:val="000000" w:themeColor="text1"/>
          <w:kern w:val="0"/>
          <w:sz w:val="28"/>
          <w:szCs w:val="28"/>
          <w14:textFill>
            <w14:solidFill>
              <w14:schemeClr w14:val="tx1"/>
            </w14:solidFill>
          </w14:textFill>
        </w:rPr>
        <w:t>及验收方案</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投标产品描述及相关资料（</w:t>
      </w:r>
      <w:r>
        <w:rPr>
          <w:rFonts w:hint="eastAsia" w:ascii="宋体" w:hAnsi="宋体" w:cs="宋体"/>
          <w:color w:val="000000" w:themeColor="text1"/>
          <w:sz w:val="28"/>
          <w:szCs w:val="28"/>
          <w14:textFill>
            <w14:solidFill>
              <w14:schemeClr w14:val="tx1"/>
            </w14:solidFill>
          </w14:textFill>
        </w:rPr>
        <w:t>附件8、附件9</w:t>
      </w:r>
      <w:r>
        <w:rPr>
          <w:rFonts w:hint="eastAsia" w:ascii="宋体" w:hAnsi="宋体"/>
          <w:color w:val="000000" w:themeColor="text1"/>
          <w:kern w:val="0"/>
          <w:sz w:val="28"/>
          <w:szCs w:val="28"/>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需要说明的其他</w:t>
      </w:r>
      <w:r>
        <w:rPr>
          <w:rFonts w:hint="eastAsia" w:ascii="宋体" w:hAnsi="宋体"/>
          <w:color w:val="000000" w:themeColor="text1"/>
          <w:sz w:val="28"/>
          <w:szCs w:val="28"/>
          <w14:textFill>
            <w14:solidFill>
              <w14:schemeClr w14:val="tx1"/>
            </w14:solidFill>
          </w14:textFill>
        </w:rPr>
        <w:t>内容；（</w:t>
      </w:r>
      <w:r>
        <w:rPr>
          <w:rFonts w:hint="eastAsia" w:ascii="宋体" w:hAnsi="宋体" w:cs="宋体"/>
          <w:color w:val="000000" w:themeColor="text1"/>
          <w:sz w:val="28"/>
          <w:szCs w:val="28"/>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（以上内容具体描述详见“第三部分投标人须知”中“三、投标文件”的组成说明）</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5"/>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25"/>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投标</w:t>
      </w:r>
      <w:r>
        <w:rPr>
          <w:rFonts w:hint="eastAsia"/>
          <w:b/>
          <w:bCs/>
          <w:color w:val="000000" w:themeColor="text1"/>
          <w:spacing w:val="21"/>
          <w:sz w:val="32"/>
          <w:szCs w:val="32"/>
          <w14:textFill>
            <w14:solidFill>
              <w14:schemeClr w14:val="tx1"/>
            </w14:solidFill>
          </w14:textFill>
        </w:rPr>
        <w:t>人基本情况表</w:t>
      </w:r>
    </w:p>
    <w:p>
      <w:pPr>
        <w:pStyle w:val="25"/>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p>
    <w:tbl>
      <w:tblPr>
        <w:tblStyle w:val="1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25"/>
              <w:shd w:val="clear" w:color="auto" w:fill="FFFFFF"/>
              <w:spacing w:line="360" w:lineRule="auto"/>
              <w:rPr>
                <w:bCs/>
                <w:color w:val="000000" w:themeColor="text1"/>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25"/>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25"/>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25"/>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5"/>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5"/>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25"/>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25"/>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5"/>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25"/>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25"/>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5"/>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25"/>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Pr>
          <w:p>
            <w:pPr>
              <w:pStyle w:val="25"/>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Pr>
          <w:p>
            <w:pPr>
              <w:pStyle w:val="25"/>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25"/>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25"/>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25"/>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25"/>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25"/>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25"/>
              <w:shd w:val="clear" w:color="auto" w:fill="FFFFFF"/>
              <w:spacing w:line="360" w:lineRule="auto"/>
              <w:rPr>
                <w:bCs/>
                <w:color w:val="000000" w:themeColor="text1"/>
                <w:spacing w:val="16"/>
                <w14:textFill>
                  <w14:solidFill>
                    <w14:schemeClr w14:val="tx1"/>
                  </w14:solidFill>
                </w14:textFill>
              </w:rPr>
            </w:pPr>
          </w:p>
        </w:tc>
        <w:tc>
          <w:tcPr>
            <w:tcW w:w="1163" w:type="dxa"/>
            <w:tcBorders>
              <w:top w:val="nil"/>
            </w:tcBorders>
          </w:tcPr>
          <w:p>
            <w:pPr>
              <w:pStyle w:val="25"/>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5"/>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25"/>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25"/>
              <w:shd w:val="clear" w:color="auto" w:fill="FFFFFF"/>
              <w:spacing w:line="360" w:lineRule="auto"/>
              <w:ind w:left="107"/>
              <w:rPr>
                <w:bCs/>
                <w:color w:val="000000" w:themeColor="text1"/>
                <w14:textFill>
                  <w14:solidFill>
                    <w14:schemeClr w14:val="tx1"/>
                  </w14:solidFill>
                </w14:textFill>
              </w:rPr>
            </w:pPr>
          </w:p>
        </w:tc>
        <w:tc>
          <w:tcPr>
            <w:tcW w:w="701" w:type="dxa"/>
          </w:tcPr>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25"/>
              <w:shd w:val="clear" w:color="auto" w:fill="FFFFFF"/>
              <w:spacing w:line="360" w:lineRule="auto"/>
              <w:rPr>
                <w:bCs/>
                <w:color w:val="000000" w:themeColor="text1"/>
                <w14:textFill>
                  <w14:solidFill>
                    <w14:schemeClr w14:val="tx1"/>
                  </w14:solidFill>
                </w14:textFill>
              </w:rPr>
            </w:pPr>
          </w:p>
        </w:tc>
        <w:tc>
          <w:tcPr>
            <w:tcW w:w="1163" w:type="dxa"/>
          </w:tcPr>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25"/>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25"/>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25"/>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25"/>
              <w:shd w:val="clear" w:color="auto" w:fill="FFFFFF"/>
              <w:spacing w:line="360" w:lineRule="auto"/>
              <w:ind w:left="107"/>
              <w:rPr>
                <w:bCs/>
                <w:color w:val="000000" w:themeColor="text1"/>
                <w14:textFill>
                  <w14:solidFill>
                    <w14:schemeClr w14:val="tx1"/>
                  </w14:solidFill>
                </w14:textFill>
              </w:rPr>
            </w:pPr>
          </w:p>
        </w:tc>
        <w:tc>
          <w:tcPr>
            <w:tcW w:w="701" w:type="dxa"/>
          </w:tcPr>
          <w:p>
            <w:pPr>
              <w:pStyle w:val="25"/>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25"/>
              <w:shd w:val="clear" w:color="auto" w:fill="FFFFFF"/>
              <w:spacing w:line="360" w:lineRule="auto"/>
              <w:ind w:left="2"/>
              <w:rPr>
                <w:bCs/>
                <w:color w:val="000000" w:themeColor="text1"/>
                <w14:textFill>
                  <w14:solidFill>
                    <w14:schemeClr w14:val="tx1"/>
                  </w14:solidFill>
                </w14:textFill>
              </w:rPr>
            </w:pPr>
          </w:p>
        </w:tc>
        <w:tc>
          <w:tcPr>
            <w:tcW w:w="1163" w:type="dxa"/>
          </w:tcPr>
          <w:p>
            <w:pPr>
              <w:pStyle w:val="25"/>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25"/>
              <w:shd w:val="clear" w:color="auto" w:fill="FFFFFF"/>
              <w:spacing w:line="360" w:lineRule="auto"/>
              <w:ind w:left="107"/>
              <w:rPr>
                <w:bCs/>
                <w:color w:val="000000" w:themeColor="text1"/>
                <w14:textFill>
                  <w14:solidFill>
                    <w14:schemeClr w14:val="tx1"/>
                  </w14:solidFill>
                </w14:textFill>
              </w:rPr>
            </w:pPr>
          </w:p>
        </w:tc>
        <w:tc>
          <w:tcPr>
            <w:tcW w:w="1218" w:type="dxa"/>
          </w:tcPr>
          <w:p>
            <w:pPr>
              <w:pStyle w:val="25"/>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25"/>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25"/>
              <w:shd w:val="clear" w:color="auto" w:fill="FFFFFF"/>
              <w:spacing w:line="360" w:lineRule="auto"/>
              <w:ind w:left="107"/>
              <w:rPr>
                <w:bCs/>
                <w:color w:val="000000" w:themeColor="text1"/>
                <w14:textFill>
                  <w14:solidFill>
                    <w14:schemeClr w14:val="tx1"/>
                  </w14:solidFill>
                </w14:textFill>
              </w:rPr>
            </w:pPr>
          </w:p>
        </w:tc>
        <w:tc>
          <w:tcPr>
            <w:tcW w:w="701" w:type="dxa"/>
          </w:tcPr>
          <w:p>
            <w:pPr>
              <w:pStyle w:val="25"/>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25"/>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25"/>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25"/>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25"/>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25"/>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25"/>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25"/>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25"/>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25"/>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25"/>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25"/>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25"/>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25"/>
              <w:shd w:val="clear" w:color="auto" w:fill="FFFFFF"/>
              <w:spacing w:line="360" w:lineRule="auto"/>
              <w:rPr>
                <w:bCs/>
                <w:color w:val="000000" w:themeColor="text1"/>
                <w14:textFill>
                  <w14:solidFill>
                    <w14:schemeClr w14:val="tx1"/>
                  </w14:solidFill>
                </w14:textFill>
              </w:rPr>
            </w:pPr>
          </w:p>
        </w:tc>
        <w:tc>
          <w:tcPr>
            <w:tcW w:w="1333" w:type="dxa"/>
            <w:gridSpan w:val="3"/>
          </w:tcPr>
          <w:p>
            <w:pPr>
              <w:pStyle w:val="25"/>
              <w:shd w:val="clear" w:color="auto" w:fill="FFFFFF"/>
              <w:spacing w:line="360" w:lineRule="auto"/>
              <w:rPr>
                <w:bCs/>
                <w:color w:val="000000" w:themeColor="text1"/>
                <w14:textFill>
                  <w14:solidFill>
                    <w14:schemeClr w14:val="tx1"/>
                  </w14:solidFill>
                </w14:textFill>
              </w:rPr>
            </w:pPr>
          </w:p>
        </w:tc>
        <w:tc>
          <w:tcPr>
            <w:tcW w:w="1418" w:type="dxa"/>
            <w:gridSpan w:val="2"/>
          </w:tcPr>
          <w:p>
            <w:pPr>
              <w:pStyle w:val="25"/>
              <w:shd w:val="clear" w:color="auto" w:fill="FFFFFF"/>
              <w:spacing w:line="360" w:lineRule="auto"/>
              <w:rPr>
                <w:bCs/>
                <w:color w:val="000000" w:themeColor="text1"/>
                <w14:textFill>
                  <w14:solidFill>
                    <w14:schemeClr w14:val="tx1"/>
                  </w14:solidFill>
                </w14:textFill>
              </w:rPr>
            </w:pPr>
          </w:p>
        </w:tc>
        <w:tc>
          <w:tcPr>
            <w:tcW w:w="1276" w:type="dxa"/>
          </w:tcPr>
          <w:p>
            <w:pPr>
              <w:pStyle w:val="25"/>
              <w:shd w:val="clear" w:color="auto" w:fill="FFFFFF"/>
              <w:spacing w:line="360" w:lineRule="auto"/>
              <w:rPr>
                <w:bCs/>
                <w:color w:val="000000" w:themeColor="text1"/>
                <w14:textFill>
                  <w14:solidFill>
                    <w14:schemeClr w14:val="tx1"/>
                  </w14:solidFill>
                </w14:textFill>
              </w:rPr>
            </w:pPr>
          </w:p>
        </w:tc>
        <w:tc>
          <w:tcPr>
            <w:tcW w:w="2551" w:type="dxa"/>
            <w:gridSpan w:val="3"/>
          </w:tcPr>
          <w:p>
            <w:pPr>
              <w:pStyle w:val="25"/>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25"/>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25"/>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25"/>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25"/>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25"/>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25"/>
              <w:shd w:val="clear" w:color="auto" w:fill="FFFFFF"/>
              <w:spacing w:line="360" w:lineRule="auto"/>
              <w:rPr>
                <w:bCs/>
                <w:color w:val="000000" w:themeColor="text1"/>
                <w:spacing w:val="16"/>
                <w14:textFill>
                  <w14:solidFill>
                    <w14:schemeClr w14:val="tx1"/>
                  </w14:solidFill>
                </w14:textFill>
              </w:rPr>
            </w:pPr>
          </w:p>
        </w:tc>
      </w:tr>
    </w:tbl>
    <w:p>
      <w:pPr>
        <w:pStyle w:val="25"/>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25"/>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25"/>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25"/>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1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0"/>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0"/>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0"/>
              <w:spacing w:line="360" w:lineRule="auto"/>
              <w:ind w:left="5250"/>
              <w:rPr>
                <w:rFonts w:ascii="宋体" w:hAnsi="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要求：</w:t>
      </w:r>
    </w:p>
    <w:p>
      <w:pPr>
        <w:spacing w:line="360" w:lineRule="auto"/>
        <w:ind w:left="437"/>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1.在填写时，如本表格不适合投标单位的实际情况，可根据本表格式自行划表填写。</w:t>
      </w:r>
    </w:p>
    <w:p>
      <w:pPr>
        <w:pStyle w:val="26"/>
        <w:spacing w:line="360" w:lineRule="auto"/>
        <w:ind w:left="424" w:leftChars="202"/>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2.附人员证书复印件；</w:t>
      </w:r>
    </w:p>
    <w:p>
      <w:pPr>
        <w:pStyle w:val="26"/>
        <w:spacing w:line="360" w:lineRule="auto"/>
        <w:ind w:left="-195" w:leftChars="-93" w:firstLine="195" w:firstLineChars="93"/>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3.出具上述人员在本单位服务的外部证明，如：</w:t>
      </w:r>
      <w:r>
        <w:rPr>
          <w:rFonts w:ascii="宋体" w:hAnsi="宋体"/>
          <w:bCs/>
          <w:color w:val="000000" w:themeColor="text1"/>
          <w:szCs w:val="21"/>
          <w14:textFill>
            <w14:solidFill>
              <w14:schemeClr w14:val="tx1"/>
            </w14:solidFill>
          </w14:textFill>
        </w:rPr>
        <w:t>投标截止日之前六个月以内的</w:t>
      </w:r>
      <w:r>
        <w:rPr>
          <w:rFonts w:hint="eastAsia" w:ascii="宋体" w:hAnsi="宋体"/>
          <w:bCs/>
          <w:color w:val="000000" w:themeColor="text1"/>
          <w:szCs w:val="21"/>
          <w14:textFill>
            <w14:solidFill>
              <w14:schemeClr w14:val="tx1"/>
            </w14:solidFill>
          </w14:textFill>
        </w:rPr>
        <w:t>代缴个税税单、参加社会保险的《投保单》或《社会保险参保人员证明》等。</w:t>
      </w:r>
    </w:p>
    <w:p>
      <w:pPr>
        <w:spacing w:line="360" w:lineRule="auto"/>
        <w:ind w:left="420"/>
        <w:rPr>
          <w:rFonts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投标人名称（盖章）：</w:t>
      </w:r>
    </w:p>
    <w:p>
      <w:pPr>
        <w:spacing w:line="360" w:lineRule="auto"/>
        <w:ind w:firstLine="43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投标人代表签字或盖章：</w:t>
      </w:r>
    </w:p>
    <w:p>
      <w:pPr>
        <w:spacing w:line="360" w:lineRule="auto"/>
        <w:ind w:firstLine="43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        务：</w:t>
      </w:r>
    </w:p>
    <w:p>
      <w:pPr>
        <w:spacing w:line="360" w:lineRule="auto"/>
        <w:ind w:firstLine="435"/>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1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p>
    <w:p>
      <w:pPr>
        <w:spacing w:line="360" w:lineRule="auto"/>
        <w:ind w:left="480"/>
        <w:rPr>
          <w:rFonts w:ascii="宋体" w:hAnsi="宋体"/>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p>
      <w:pPr>
        <w:spacing w:line="360" w:lineRule="auto"/>
        <w:ind w:left="420"/>
        <w:rPr>
          <w:rFonts w:ascii="宋体" w:hAnsi="宋体"/>
          <w:color w:val="000000" w:themeColor="text1"/>
          <w:sz w:val="24"/>
          <w14:textFill>
            <w14:solidFill>
              <w14:schemeClr w14:val="tx1"/>
            </w14:solidFill>
          </w14:textFill>
        </w:rPr>
      </w:pPr>
    </w:p>
    <w:tbl>
      <w:tblPr>
        <w:tblStyle w:val="1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p>
    <w:p>
      <w:pPr>
        <w:spacing w:line="360" w:lineRule="auto"/>
        <w:rPr>
          <w:rFonts w:ascii="宋体" w:hAnsi="宋体"/>
          <w:color w:val="000000" w:themeColor="text1"/>
          <w:sz w:val="24"/>
          <w14:textFill>
            <w14:solidFill>
              <w14:schemeClr w14:val="tx1"/>
            </w14:solidFill>
          </w14:textFill>
        </w:rPr>
      </w:pPr>
    </w:p>
    <w:tbl>
      <w:tblPr>
        <w:tblStyle w:val="1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bl>
    <w:p>
      <w:pPr>
        <w:pStyle w:val="27"/>
        <w:tabs>
          <w:tab w:val="left" w:pos="360"/>
        </w:tabs>
        <w:spacing w:line="360" w:lineRule="auto"/>
        <w:ind w:right="84" w:rightChars="40"/>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要求：</w:t>
      </w:r>
    </w:p>
    <w:p>
      <w:pPr>
        <w:pStyle w:val="27"/>
        <w:tabs>
          <w:tab w:val="left" w:pos="360"/>
        </w:tabs>
        <w:spacing w:line="360" w:lineRule="auto"/>
        <w:ind w:right="84" w:rightChars="40"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 本表的名称须与《报价明细表》一致。</w:t>
      </w:r>
    </w:p>
    <w:p>
      <w:pPr>
        <w:pStyle w:val="27"/>
        <w:spacing w:line="360" w:lineRule="auto"/>
        <w:ind w:right="84" w:rightChars="40"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27"/>
        <w:spacing w:line="360" w:lineRule="auto"/>
        <w:ind w:right="84" w:rightChars="40"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28"/>
        <w:spacing w:line="360" w:lineRule="auto"/>
        <w:jc w:val="left"/>
        <w:rPr>
          <w:rFonts w:ascii="宋体" w:hAnsi="宋体"/>
          <w:b/>
          <w:color w:val="000000" w:themeColor="text1"/>
          <w:sz w:val="28"/>
          <w14:textFill>
            <w14:solidFill>
              <w14:schemeClr w14:val="tx1"/>
            </w14:solidFill>
          </w14:textFill>
        </w:rPr>
      </w:pPr>
    </w:p>
    <w:p>
      <w:pPr>
        <w:pStyle w:val="28"/>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29"/>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29"/>
        <w:spacing w:line="360" w:lineRule="auto"/>
        <w:jc w:val="center"/>
        <w:rPr>
          <w:rFonts w:ascii="宋体" w:hAnsi="宋体" w:cs="Arial"/>
          <w:color w:val="000000" w:themeColor="text1"/>
          <w:sz w:val="28"/>
          <w:szCs w:val="28"/>
          <w14:textFill>
            <w14:solidFill>
              <w14:schemeClr w14:val="tx1"/>
            </w14:solidFill>
          </w14:textFill>
        </w:rPr>
      </w:pPr>
    </w:p>
    <w:tbl>
      <w:tblPr>
        <w:tblStyle w:val="1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9"/>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29"/>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29"/>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29"/>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29"/>
              <w:spacing w:line="360" w:lineRule="auto"/>
              <w:jc w:val="center"/>
              <w:rPr>
                <w:rFonts w:ascii="宋体" w:hAnsi="宋体" w:cs="Arial"/>
                <w:color w:val="000000" w:themeColor="text1"/>
                <w:szCs w:val="21"/>
                <w14:textFill>
                  <w14:solidFill>
                    <w14:schemeClr w14:val="tx1"/>
                  </w14:solidFill>
                </w14:textFill>
              </w:rPr>
            </w:pPr>
          </w:p>
        </w:tc>
      </w:tr>
    </w:tbl>
    <w:p>
      <w:pPr>
        <w:pStyle w:val="29"/>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29"/>
        <w:tabs>
          <w:tab w:val="left" w:pos="10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要求：</w:t>
      </w:r>
    </w:p>
    <w:p>
      <w:pPr>
        <w:pStyle w:val="29"/>
        <w:tabs>
          <w:tab w:val="left" w:pos="1050"/>
        </w:tabs>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1.填写投标人获得资质、认证或企业信誉证书；</w:t>
      </w:r>
    </w:p>
    <w:p>
      <w:pPr>
        <w:pStyle w:val="29"/>
        <w:tabs>
          <w:tab w:val="left" w:pos="1050"/>
        </w:tabs>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2.附所列证书复印件或其他证明材料。</w:t>
      </w:r>
    </w:p>
    <w:p>
      <w:pPr>
        <w:pStyle w:val="29"/>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29"/>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29"/>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25"/>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28"/>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p>
      <w:pPr>
        <w:pStyle w:val="28"/>
        <w:spacing w:line="360" w:lineRule="auto"/>
        <w:jc w:val="center"/>
        <w:rPr>
          <w:rFonts w:ascii="仿宋_GB2312" w:eastAsia="仿宋_GB2312"/>
          <w:b/>
          <w:color w:val="000000" w:themeColor="text1"/>
          <w:sz w:val="28"/>
          <w:szCs w:val="28"/>
          <w14:textFill>
            <w14:solidFill>
              <w14:schemeClr w14:val="tx1"/>
            </w14:solidFill>
          </w14:textFill>
        </w:rPr>
      </w:pPr>
    </w:p>
    <w:tbl>
      <w:tblPr>
        <w:tblStyle w:val="1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要求</w:t>
      </w:r>
      <w:r>
        <w:rPr>
          <w:rFonts w:ascii="宋体" w:hAnsi="宋体" w:cs="Arial"/>
          <w:b/>
          <w:color w:val="000000" w:themeColor="text1"/>
          <w:sz w:val="24"/>
          <w14:textFill>
            <w14:solidFill>
              <w14:schemeClr w14:val="tx1"/>
            </w14:solidFill>
          </w14:textFill>
        </w:rPr>
        <w:t>：</w:t>
      </w:r>
    </w:p>
    <w:p>
      <w:pPr>
        <w:autoSpaceDE w:val="0"/>
        <w:autoSpaceDN w:val="0"/>
        <w:adjustRightInd w:val="0"/>
        <w:spacing w:before="156" w:beforeLines="50" w:line="360" w:lineRule="auto"/>
        <w:ind w:firstLine="484" w:firstLineChars="202"/>
        <w:rPr>
          <w:rFonts w:ascii="宋体" w:hAnsi="宋体" w:cs="Arial"/>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业绩证明应提供证明材料（合同</w:t>
      </w:r>
      <w:r>
        <w:rPr>
          <w:rFonts w:hint="eastAsia" w:ascii="宋体" w:hAnsi="宋体" w:cs="Arial"/>
          <w:color w:val="000000" w:themeColor="text1"/>
          <w:sz w:val="24"/>
          <w14:textFill>
            <w14:solidFill>
              <w14:schemeClr w14:val="tx1"/>
            </w14:solidFill>
          </w14:textFill>
        </w:rPr>
        <w:t>复印件可只提供首页、含金额页、盖章页并加盖投标人公章</w:t>
      </w:r>
      <w:r>
        <w:rPr>
          <w:rFonts w:ascii="宋体" w:hAnsi="宋体" w:cs="Arial"/>
          <w:color w:val="000000" w:themeColor="text1"/>
          <w:sz w:val="24"/>
          <w14:textFill>
            <w14:solidFill>
              <w14:schemeClr w14:val="tx1"/>
            </w14:solidFill>
          </w14:textFill>
        </w:rPr>
        <w:t>）；</w:t>
      </w:r>
    </w:p>
    <w:p>
      <w:pPr>
        <w:spacing w:line="360" w:lineRule="auto"/>
        <w:ind w:firstLine="484" w:firstLineChars="202"/>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.报价供应商</w:t>
      </w:r>
      <w:r>
        <w:rPr>
          <w:rFonts w:ascii="宋体" w:hAnsi="宋体" w:cs="Arial"/>
          <w:color w:val="000000" w:themeColor="text1"/>
          <w:sz w:val="24"/>
          <w14:textFill>
            <w14:solidFill>
              <w14:schemeClr w14:val="tx1"/>
            </w14:solidFill>
          </w14:textFill>
        </w:rPr>
        <w:t>可按此表格式复制</w:t>
      </w:r>
      <w:r>
        <w:rPr>
          <w:rFonts w:hint="eastAsia" w:ascii="宋体" w:hAnsi="宋体" w:cs="Arial"/>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29"/>
        <w:tabs>
          <w:tab w:val="left" w:pos="1050"/>
        </w:tabs>
        <w:spacing w:line="360" w:lineRule="auto"/>
        <w:rPr>
          <w:rFonts w:ascii="宋体" w:hAnsi="宋体"/>
          <w:b/>
          <w:color w:val="000000" w:themeColor="text1"/>
          <w:sz w:val="28"/>
          <w14:textFill>
            <w14:solidFill>
              <w14:schemeClr w14:val="tx1"/>
            </w14:solidFill>
          </w14:textFill>
        </w:rPr>
      </w:pPr>
    </w:p>
    <w:p>
      <w:pPr>
        <w:pStyle w:val="29"/>
        <w:tabs>
          <w:tab w:val="left" w:pos="1050"/>
        </w:tabs>
        <w:spacing w:line="360" w:lineRule="auto"/>
        <w:rPr>
          <w:rFonts w:ascii="宋体" w:hAnsi="宋体"/>
          <w:b/>
          <w:color w:val="000000" w:themeColor="text1"/>
          <w:sz w:val="28"/>
          <w14:textFill>
            <w14:solidFill>
              <w14:schemeClr w14:val="tx1"/>
            </w14:solidFill>
          </w14:textFill>
        </w:rPr>
      </w:pPr>
    </w:p>
    <w:p>
      <w:pPr>
        <w:pStyle w:val="29"/>
        <w:tabs>
          <w:tab w:val="left" w:pos="1050"/>
        </w:tabs>
        <w:spacing w:line="360" w:lineRule="auto"/>
        <w:rPr>
          <w:rFonts w:ascii="宋体" w:hAnsi="宋体"/>
          <w:b/>
          <w:color w:val="000000" w:themeColor="text1"/>
          <w:sz w:val="28"/>
          <w14:textFill>
            <w14:solidFill>
              <w14:schemeClr w14:val="tx1"/>
            </w14:solidFill>
          </w14:textFill>
        </w:rPr>
      </w:pPr>
    </w:p>
    <w:p>
      <w:pPr>
        <w:pStyle w:val="29"/>
        <w:tabs>
          <w:tab w:val="left" w:pos="1050"/>
        </w:tabs>
        <w:spacing w:line="360" w:lineRule="auto"/>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1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备品备件及耗材等要求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pStyle w:val="2"/>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0"/>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0"/>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0"/>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vAlign w:val="center"/>
          </w:tcPr>
          <w:p>
            <w:pPr>
              <w:pStyle w:val="30"/>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0"/>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0"/>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30"/>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0"/>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0"/>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0"/>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0"/>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0"/>
              <w:widowControl/>
              <w:spacing w:line="360" w:lineRule="auto"/>
              <w:jc w:val="left"/>
              <w:rPr>
                <w:rFonts w:ascii="宋体" w:hAnsi="宋体" w:cs="Arial"/>
                <w:bCs/>
                <w:color w:val="000000" w:themeColor="text1"/>
                <w:sz w:val="24"/>
                <w14:textFill>
                  <w14:solidFill>
                    <w14:schemeClr w14:val="tx1"/>
                  </w14:solidFill>
                </w14:textFill>
              </w:rPr>
            </w:pPr>
          </w:p>
          <w:p>
            <w:pPr>
              <w:pStyle w:val="30"/>
              <w:widowControl/>
              <w:spacing w:line="360" w:lineRule="auto"/>
              <w:jc w:val="left"/>
              <w:rPr>
                <w:rFonts w:ascii="宋体" w:hAnsi="宋体" w:cs="Arial"/>
                <w:bCs/>
                <w:color w:val="000000" w:themeColor="text1"/>
                <w:sz w:val="24"/>
                <w14:textFill>
                  <w14:solidFill>
                    <w14:schemeClr w14:val="tx1"/>
                  </w14:solidFill>
                </w14:textFill>
              </w:rPr>
            </w:pPr>
          </w:p>
          <w:p>
            <w:pPr>
              <w:pStyle w:val="30"/>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0"/>
              <w:widowControl/>
              <w:spacing w:line="360" w:lineRule="auto"/>
              <w:jc w:val="left"/>
              <w:rPr>
                <w:rFonts w:ascii="宋体" w:hAnsi="宋体" w:cs="Arial"/>
                <w:bCs/>
                <w:color w:val="000000" w:themeColor="text1"/>
                <w:sz w:val="24"/>
                <w14:textFill>
                  <w14:solidFill>
                    <w14:schemeClr w14:val="tx1"/>
                  </w14:solidFill>
                </w14:textFill>
              </w:rPr>
            </w:pPr>
          </w:p>
          <w:p>
            <w:pPr>
              <w:pStyle w:val="30"/>
              <w:widowControl/>
              <w:spacing w:line="360" w:lineRule="auto"/>
              <w:jc w:val="left"/>
              <w:rPr>
                <w:rFonts w:ascii="宋体" w:hAnsi="宋体" w:cs="Arial"/>
                <w:bCs/>
                <w:color w:val="000000" w:themeColor="text1"/>
                <w:sz w:val="24"/>
                <w14:textFill>
                  <w14:solidFill>
                    <w14:schemeClr w14:val="tx1"/>
                  </w14:solidFill>
                </w14:textFill>
              </w:rPr>
            </w:pPr>
          </w:p>
          <w:p>
            <w:pPr>
              <w:pStyle w:val="30"/>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0"/>
              <w:widowControl/>
              <w:spacing w:line="360" w:lineRule="auto"/>
              <w:jc w:val="left"/>
              <w:rPr>
                <w:rFonts w:ascii="宋体" w:hAnsi="宋体" w:cs="Arial"/>
                <w:bCs/>
                <w:i/>
                <w:color w:val="000000" w:themeColor="text1"/>
                <w:sz w:val="24"/>
                <w14:textFill>
                  <w14:solidFill>
                    <w14:schemeClr w14:val="tx1"/>
                  </w14:solidFill>
                </w14:textFill>
              </w:rPr>
            </w:pPr>
          </w:p>
          <w:p>
            <w:pPr>
              <w:pStyle w:val="30"/>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0"/>
              <w:widowControl/>
              <w:spacing w:line="360" w:lineRule="auto"/>
              <w:jc w:val="left"/>
              <w:rPr>
                <w:rFonts w:ascii="宋体" w:hAnsi="宋体" w:cs="Arial"/>
                <w:bCs/>
                <w:i/>
                <w:color w:val="000000" w:themeColor="text1"/>
                <w:sz w:val="24"/>
                <w14:textFill>
                  <w14:solidFill>
                    <w14:schemeClr w14:val="tx1"/>
                  </w14:solidFill>
                </w14:textFill>
              </w:rPr>
            </w:pPr>
          </w:p>
          <w:p>
            <w:pPr>
              <w:pStyle w:val="30"/>
              <w:widowControl/>
              <w:spacing w:line="360" w:lineRule="auto"/>
              <w:jc w:val="left"/>
              <w:rPr>
                <w:rFonts w:ascii="宋体" w:hAnsi="宋体" w:cs="Arial"/>
                <w:bCs/>
                <w:i/>
                <w:color w:val="000000" w:themeColor="text1"/>
                <w:sz w:val="24"/>
                <w14:textFill>
                  <w14:solidFill>
                    <w14:schemeClr w14:val="tx1"/>
                  </w14:solidFill>
                </w14:textFill>
              </w:rPr>
            </w:pPr>
          </w:p>
          <w:p>
            <w:pPr>
              <w:pStyle w:val="30"/>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0"/>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0"/>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0"/>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u w:val="single"/>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color w:val="000000" w:themeColor="text1"/>
          <w:spacing w:val="40"/>
          <w:sz w:val="52"/>
          <w:szCs w:val="52"/>
          <w14:textFill>
            <w14:solidFill>
              <w14:schemeClr w14:val="tx1"/>
            </w14:solidFill>
          </w14:textFill>
        </w:rPr>
      </w:pPr>
      <w:r>
        <w:rPr>
          <w:rFonts w:hint="eastAsia" w:ascii="宋体" w:hAnsi="宋体"/>
          <w:b/>
          <w:color w:val="000000" w:themeColor="text1"/>
          <w:sz w:val="28"/>
          <w14:textFill>
            <w14:solidFill>
              <w14:schemeClr w14:val="tx1"/>
            </w14:solidFill>
          </w14:textFill>
        </w:rPr>
        <w:t>附件14</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玉环市林权测绘及权属调查项目（一期）</w:t>
      </w:r>
    </w:p>
    <w:p>
      <w:pPr>
        <w:spacing w:before="312" w:beforeLines="100" w:line="360" w:lineRule="auto"/>
        <w:ind w:right="-108"/>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HQ-YHZFCG-2019-103</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pStyle w:val="2"/>
        <w:rPr>
          <w:rFonts w:ascii="仿宋_GB2312" w:hAnsi="宋体" w:eastAsia="仿宋_GB2312"/>
          <w:b/>
          <w:color w:val="000000" w:themeColor="text1"/>
          <w:sz w:val="36"/>
          <w:szCs w:val="36"/>
          <w14:textFill>
            <w14:solidFill>
              <w14:schemeClr w14:val="tx1"/>
            </w14:solidFill>
          </w14:textFill>
        </w:rPr>
      </w:pPr>
    </w:p>
    <w:p>
      <w:pPr>
        <w:pStyle w:val="2"/>
        <w:rPr>
          <w:rFonts w:ascii="仿宋_GB2312" w:hAnsi="宋体" w:eastAsia="仿宋_GB2312"/>
          <w:b/>
          <w:color w:val="000000" w:themeColor="text1"/>
          <w:sz w:val="36"/>
          <w:szCs w:val="36"/>
          <w14:textFill>
            <w14:solidFill>
              <w14:schemeClr w14:val="tx1"/>
            </w14:solidFill>
          </w14:textFill>
        </w:rPr>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1、开标一览表（附件15）；</w:t>
      </w:r>
    </w:p>
    <w:p>
      <w:pPr>
        <w:pStyle w:val="10"/>
        <w:snapToGrid w:val="0"/>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2、报价明细表</w:t>
      </w:r>
      <w:r>
        <w:rPr>
          <w:rFonts w:hint="eastAsia" w:ascii="宋体" w:hAnsi="宋体" w:eastAsia="宋体" w:cs="宋体"/>
          <w:color w:val="000000" w:themeColor="text1"/>
          <w:sz w:val="24"/>
          <w14:textFill>
            <w14:solidFill>
              <w14:schemeClr w14:val="tx1"/>
            </w14:solidFill>
          </w14:textFill>
        </w:rPr>
        <w:t>（附件16）</w:t>
      </w:r>
      <w:r>
        <w:rPr>
          <w:rFonts w:hint="eastAsia" w:ascii="宋体" w:hAnsi="宋体" w:eastAsia="宋体" w:cs="宋体"/>
          <w:color w:val="000000" w:themeColor="text1"/>
          <w:sz w:val="24"/>
          <w:szCs w:val="24"/>
          <w14:textFill>
            <w14:solidFill>
              <w14:schemeClr w14:val="tx1"/>
            </w14:solidFill>
          </w14:textFill>
        </w:rPr>
        <w:t>；</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3、针对报价投标人认为其他需要说明的；</w:t>
      </w:r>
    </w:p>
    <w:p>
      <w:pPr>
        <w:pStyle w:val="32"/>
        <w:spacing w:line="360" w:lineRule="auto"/>
        <w:rPr>
          <w:rFonts w:hAnsi="宋体" w:eastAsia="宋体" w:cs="宋体"/>
          <w:color w:val="000000" w:themeColor="text1"/>
          <w:sz w:val="24"/>
          <w14:textFill>
            <w14:solidFill>
              <w14:schemeClr w14:val="tx1"/>
            </w14:solidFill>
          </w14:textFill>
        </w:rPr>
      </w:pPr>
      <w:r>
        <w:rPr>
          <w:rFonts w:hint="eastAsia" w:hAnsi="宋体" w:eastAsia="宋体" w:cs="宋体"/>
          <w:color w:val="000000" w:themeColor="text1"/>
          <w:sz w:val="24"/>
          <w14:textFill>
            <w14:solidFill>
              <w14:schemeClr w14:val="tx1"/>
            </w14:solidFill>
          </w14:textFill>
        </w:rPr>
        <w:t>4、小微企业等声明函（附件17）；</w:t>
      </w:r>
    </w:p>
    <w:p>
      <w:pPr>
        <w:pStyle w:val="33"/>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5、产品适用政府采购政策情况表</w:t>
      </w:r>
      <w:r>
        <w:rPr>
          <w:rFonts w:hint="eastAsia" w:ascii="宋体" w:hAnsi="宋体" w:cs="宋体"/>
          <w:color w:val="000000" w:themeColor="text1"/>
          <w:sz w:val="24"/>
          <w14:textFill>
            <w14:solidFill>
              <w14:schemeClr w14:val="tx1"/>
            </w14:solidFill>
          </w14:textFill>
        </w:rPr>
        <w:t>（附件18）</w:t>
      </w:r>
      <w:r>
        <w:rPr>
          <w:rFonts w:hint="eastAsia" w:ascii="宋体" w:hAnsi="宋体" w:cs="宋体"/>
          <w:color w:val="000000" w:themeColor="text1"/>
          <w:kern w:val="0"/>
          <w:sz w:val="24"/>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pStyle w:val="9"/>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34"/>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1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6"/>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left="-2" w:hanging="2"/>
        <w:jc w:val="center"/>
        <w:rPr>
          <w:rFonts w:ascii="宋体" w:hAnsi="宋体"/>
          <w:b/>
          <w:color w:val="000000" w:themeColor="text1"/>
          <w:sz w:val="32"/>
          <w:szCs w:val="32"/>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51"/>
        <w:gridCol w:w="1515"/>
        <w:gridCol w:w="1323"/>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12"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3351" w:type="dxa"/>
            <w:vAlign w:val="center"/>
          </w:tcPr>
          <w:p>
            <w:pPr>
              <w:widowControl/>
              <w:ind w:right="-288" w:rightChars="-137" w:firstLine="880" w:firstLineChars="400"/>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名   称</w:t>
            </w:r>
          </w:p>
        </w:tc>
        <w:tc>
          <w:tcPr>
            <w:tcW w:w="1515" w:type="dxa"/>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单价</w:t>
            </w:r>
          </w:p>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（元/亩、条）</w:t>
            </w:r>
          </w:p>
        </w:tc>
        <w:tc>
          <w:tcPr>
            <w:tcW w:w="1323" w:type="dxa"/>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预估数量（亩、条）</w:t>
            </w:r>
          </w:p>
        </w:tc>
        <w:tc>
          <w:tcPr>
            <w:tcW w:w="1419" w:type="dxa"/>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2"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35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林权测绘</w:t>
            </w:r>
          </w:p>
        </w:tc>
        <w:tc>
          <w:tcPr>
            <w:tcW w:w="1515"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c>
          <w:tcPr>
            <w:tcW w:w="1323" w:type="dxa"/>
            <w:vAlign w:val="center"/>
          </w:tcPr>
          <w:p>
            <w:pPr>
              <w:spacing w:line="360" w:lineRule="auto"/>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70000</w:t>
            </w:r>
          </w:p>
        </w:tc>
        <w:tc>
          <w:tcPr>
            <w:tcW w:w="1419"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12"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35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权属调查</w:t>
            </w:r>
          </w:p>
        </w:tc>
        <w:tc>
          <w:tcPr>
            <w:tcW w:w="1515"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c>
          <w:tcPr>
            <w:tcW w:w="1323" w:type="dxa"/>
            <w:vAlign w:val="center"/>
          </w:tcPr>
          <w:p>
            <w:pPr>
              <w:spacing w:line="360" w:lineRule="auto"/>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70000</w:t>
            </w:r>
          </w:p>
        </w:tc>
        <w:tc>
          <w:tcPr>
            <w:tcW w:w="1419"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912"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351" w:type="dxa"/>
            <w:vAlign w:val="center"/>
          </w:tcPr>
          <w:p>
            <w:pPr>
              <w:tabs>
                <w:tab w:val="left" w:pos="1430"/>
              </w:tabs>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林权数据建库及检查、收集不动产（林权）登记可申请资料，包括填写登记申请表、收集申请人身份证明及户籍证明、收集已有的权源依据证明、制作宗地图、界址表等，对应建立可调用的资料影像库等工作。</w:t>
            </w:r>
          </w:p>
        </w:tc>
        <w:tc>
          <w:tcPr>
            <w:tcW w:w="1515"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c>
          <w:tcPr>
            <w:tcW w:w="1323" w:type="dxa"/>
            <w:vAlign w:val="center"/>
          </w:tcPr>
          <w:p>
            <w:pPr>
              <w:spacing w:line="360" w:lineRule="auto"/>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70000</w:t>
            </w:r>
          </w:p>
        </w:tc>
        <w:tc>
          <w:tcPr>
            <w:tcW w:w="1419"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12"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351" w:type="dxa"/>
            <w:vAlign w:val="center"/>
          </w:tcPr>
          <w:p>
            <w:pPr>
              <w:tabs>
                <w:tab w:val="left" w:pos="1430"/>
              </w:tabs>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负责与登记系统开发单位技术衔接，整合存量林权不动产登记数据，建立林权登记数据库</w:t>
            </w:r>
          </w:p>
        </w:tc>
        <w:tc>
          <w:tcPr>
            <w:tcW w:w="1515"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c>
          <w:tcPr>
            <w:tcW w:w="1323" w:type="dxa"/>
            <w:vAlign w:val="center"/>
          </w:tcPr>
          <w:p>
            <w:pPr>
              <w:spacing w:line="360" w:lineRule="auto"/>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85408</w:t>
            </w:r>
          </w:p>
        </w:tc>
        <w:tc>
          <w:tcPr>
            <w:tcW w:w="1419" w:type="dxa"/>
            <w:vAlign w:val="center"/>
          </w:tcPr>
          <w:p>
            <w:pPr>
              <w:spacing w:line="360" w:lineRule="auto"/>
              <w:jc w:val="center"/>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12" w:type="dxa"/>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总计 </w:t>
            </w:r>
          </w:p>
        </w:tc>
        <w:tc>
          <w:tcPr>
            <w:tcW w:w="7608" w:type="dxa"/>
            <w:gridSpan w:val="4"/>
            <w:vAlign w:val="center"/>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大写：</w:t>
            </w:r>
          </w:p>
          <w:p>
            <w:pPr>
              <w:pStyle w:val="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r>
    </w:tbl>
    <w:p>
      <w:pPr>
        <w:spacing w:line="340" w:lineRule="exact"/>
        <w:ind w:left="435"/>
        <w:rPr>
          <w:rFonts w:ascii="宋体" w:hAnsi="宋体"/>
          <w:color w:val="000000" w:themeColor="text1"/>
          <w:sz w:val="24"/>
          <w14:textFill>
            <w14:solidFill>
              <w14:schemeClr w14:val="tx1"/>
            </w14:solidFill>
          </w14:textFill>
        </w:rPr>
      </w:pPr>
    </w:p>
    <w:p>
      <w:pPr>
        <w:spacing w:line="340" w:lineRule="exact"/>
        <w:ind w:left="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本表为《开标一览表》的报价明细表，如有缺项、漏项，视为投标报价中已包含相关费用，采购人无需另外支付任何费用。</w:t>
      </w:r>
    </w:p>
    <w:p>
      <w:pPr>
        <w:spacing w:line="340" w:lineRule="exact"/>
        <w:ind w:left="435"/>
        <w:rPr>
          <w:rFonts w:asci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color w:val="000000" w:themeColor="text1"/>
          <w:sz w:val="24"/>
          <w:lang w:val="zh-CN"/>
          <w14:textFill>
            <w14:solidFill>
              <w14:schemeClr w14:val="tx1"/>
            </w14:solidFill>
          </w14:textFill>
        </w:rPr>
        <w:t>“报价明细表”中的报价合计应与“开标一览表”中的投标总报价相一致，不一致时，以开标一览表为准。</w:t>
      </w:r>
    </w:p>
    <w:p>
      <w:pPr>
        <w:spacing w:line="340" w:lineRule="exact"/>
        <w:ind w:left="435"/>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3.</w:t>
      </w:r>
      <w:r>
        <w:rPr>
          <w:rFonts w:hint="eastAsia" w:ascii="宋体"/>
          <w:color w:val="000000" w:themeColor="text1"/>
          <w:sz w:val="24"/>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40" w:lineRule="exact"/>
        <w:ind w:left="435"/>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40" w:lineRule="exact"/>
        <w:ind w:left="420"/>
        <w:rPr>
          <w:rFonts w:ascii="宋体" w:hAnsi="宋体"/>
          <w:color w:val="000000" w:themeColor="text1"/>
          <w:sz w:val="24"/>
          <w14:textFill>
            <w14:solidFill>
              <w14:schemeClr w14:val="tx1"/>
            </w14:solidFill>
          </w14:textFill>
        </w:rPr>
      </w:pPr>
    </w:p>
    <w:p>
      <w:pPr>
        <w:spacing w:line="34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4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4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4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仿宋_GB2312" w:hAnsi="宋体"/>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附件17</w:t>
      </w:r>
    </w:p>
    <w:p>
      <w:pPr>
        <w:spacing w:line="380" w:lineRule="atLeast"/>
        <w:ind w:right="-110"/>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35"/>
        <w:spacing w:line="380" w:lineRule="atLeas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w:t>
      </w:r>
      <w:r>
        <w:rPr>
          <w:rFonts w:ascii="宋体" w:hAnsi="宋体"/>
          <w:color w:val="000000" w:themeColor="text1"/>
          <w:spacing w:val="6"/>
          <w:sz w:val="24"/>
          <w14:textFill>
            <w14:solidFill>
              <w14:schemeClr w14:val="tx1"/>
            </w14:solidFill>
          </w14:textFill>
        </w:rPr>
        <w:t>[2011]181</w:t>
      </w:r>
      <w:r>
        <w:rPr>
          <w:rFonts w:hint="eastAsia" w:ascii="宋体" w:hAnsi="宋体"/>
          <w:color w:val="000000" w:themeColor="text1"/>
          <w:spacing w:val="6"/>
          <w:sz w:val="24"/>
          <w14:textFill>
            <w14:solidFill>
              <w14:schemeClr w14:val="tx1"/>
            </w14:solidFill>
          </w14:textFill>
        </w:rPr>
        <w:t>号）的规定，本公司为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（请填写：小型、微型）企业。即，本公司同时满足以下条件：</w:t>
      </w:r>
    </w:p>
    <w:p>
      <w:pPr>
        <w:pStyle w:val="35"/>
        <w:spacing w:line="380" w:lineRule="atLeast"/>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14:textFill>
            <w14:solidFill>
              <w14:schemeClr w14:val="tx1"/>
            </w14:solidFill>
          </w14:textFill>
        </w:rPr>
        <w:t>[2011]300</w:t>
      </w:r>
      <w:r>
        <w:rPr>
          <w:rFonts w:hint="eastAsia" w:ascii="宋体" w:hAnsi="宋体"/>
          <w:color w:val="000000" w:themeColor="text1"/>
          <w:spacing w:val="6"/>
          <w:sz w:val="24"/>
          <w14:textFill>
            <w14:solidFill>
              <w14:schemeClr w14:val="tx1"/>
            </w14:solidFill>
          </w14:textFill>
        </w:rPr>
        <w:t>号）规定的划分标准：第四条第</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项</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w:t>
      </w:r>
    </w:p>
    <w:p>
      <w:pPr>
        <w:pStyle w:val="35"/>
        <w:spacing w:line="380" w:lineRule="atLeast"/>
        <w:ind w:firstLine="504" w:firstLineChars="200"/>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（请填写：小型、微型）企业制造的货物。本条所称货物不包括使用大型企业注册商标的货物。</w:t>
      </w:r>
    </w:p>
    <w:p>
      <w:pPr>
        <w:pStyle w:val="35"/>
        <w:spacing w:line="380" w:lineRule="atLeas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35"/>
        <w:spacing w:line="380" w:lineRule="atLeast"/>
        <w:ind w:left="4253" w:leftChars="2025"/>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标</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人（单位公章）：</w:t>
      </w:r>
    </w:p>
    <w:p>
      <w:pPr>
        <w:pStyle w:val="35"/>
        <w:spacing w:line="380" w:lineRule="atLeast"/>
        <w:ind w:left="4253" w:leftChars="2025" w:right="360"/>
        <w:jc w:val="right"/>
        <w:rPr>
          <w:rFonts w:asci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35"/>
        <w:spacing w:line="360" w:lineRule="auto"/>
        <w:rPr>
          <w:rFonts w:ascii="宋体"/>
          <w:color w:val="000000" w:themeColor="text1"/>
          <w:sz w:val="24"/>
          <w14:textFill>
            <w14:solidFill>
              <w14:schemeClr w14:val="tx1"/>
            </w14:solidFill>
          </w14:textFill>
        </w:rPr>
      </w:pP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drawing>
          <wp:inline distT="0" distB="0" distL="114300" distR="114300">
            <wp:extent cx="5271770" cy="1976120"/>
            <wp:effectExtent l="0" t="0" r="1143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投标供应商全称（盖章）：</w:t>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日期</w:t>
      </w:r>
    </w:p>
    <w:p>
      <w:pPr>
        <w:pStyle w:val="9"/>
        <w:spacing w:line="360" w:lineRule="auto"/>
        <w:jc w:val="center"/>
        <w:outlineLvl w:val="1"/>
        <w:rPr>
          <w:rFonts w:hAnsi="宋体"/>
          <w:b/>
          <w:color w:val="000000" w:themeColor="text1"/>
          <w:sz w:val="32"/>
          <w:szCs w:val="32"/>
          <w:lang w:val="en-GB"/>
          <w14:textFill>
            <w14:solidFill>
              <w14:schemeClr w14:val="tx1"/>
            </w14:solidFill>
          </w14:textFill>
        </w:rPr>
      </w:pPr>
    </w:p>
    <w:p>
      <w:pPr>
        <w:pStyle w:val="9"/>
        <w:spacing w:line="360" w:lineRule="auto"/>
        <w:jc w:val="center"/>
        <w:outlineLvl w:val="1"/>
        <w:rPr>
          <w:rFonts w:hAnsi="宋体"/>
          <w:b/>
          <w:color w:val="000000" w:themeColor="text1"/>
          <w:sz w:val="32"/>
          <w:szCs w:val="32"/>
          <w:lang w:val="en-GB"/>
          <w14:textFill>
            <w14:solidFill>
              <w14:schemeClr w14:val="tx1"/>
            </w14:solidFill>
          </w14:textFill>
        </w:rPr>
      </w:pPr>
    </w:p>
    <w:p>
      <w:pPr>
        <w:pStyle w:val="9"/>
        <w:spacing w:line="360" w:lineRule="auto"/>
        <w:jc w:val="center"/>
        <w:outlineLvl w:val="1"/>
        <w:rPr>
          <w:rFonts w:hAnsi="宋体"/>
          <w:b/>
          <w:color w:val="000000" w:themeColor="text1"/>
          <w:sz w:val="32"/>
          <w:szCs w:val="32"/>
          <w:lang w:val="en-GB"/>
          <w14:textFill>
            <w14:solidFill>
              <w14:schemeClr w14:val="tx1"/>
            </w14:solidFill>
          </w14:textFill>
        </w:rPr>
      </w:pPr>
    </w:p>
    <w:p>
      <w:pPr>
        <w:pStyle w:val="9"/>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民政部</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中国残疾人联合会关于促进残疾人就业政府采购政策的通知》（财库〔</w:t>
      </w:r>
      <w:r>
        <w:rPr>
          <w:rFonts w:ascii="宋体" w:hAnsi="宋体"/>
          <w:color w:val="000000" w:themeColor="text1"/>
          <w:spacing w:val="6"/>
          <w:sz w:val="24"/>
          <w14:textFill>
            <w14:solidFill>
              <w14:schemeClr w14:val="tx1"/>
            </w14:solidFill>
          </w14:textFill>
        </w:rPr>
        <w:t>2017</w:t>
      </w:r>
      <w:r>
        <w:rPr>
          <w:rFonts w:hint="eastAsia" w:ascii="宋体" w:hAnsi="宋体"/>
          <w:color w:val="000000" w:themeColor="text1"/>
          <w:spacing w:val="6"/>
          <w:sz w:val="24"/>
          <w14:textFill>
            <w14:solidFill>
              <w14:schemeClr w14:val="tx1"/>
            </w14:solidFill>
          </w14:textFill>
        </w:rPr>
        <w:t>〕</w:t>
      </w:r>
      <w:r>
        <w:rPr>
          <w:rFonts w:ascii="宋体" w:hAnsi="宋体"/>
          <w:color w:val="000000" w:themeColor="text1"/>
          <w:spacing w:val="6"/>
          <w:sz w:val="24"/>
          <w14:textFill>
            <w14:solidFill>
              <w14:schemeClr w14:val="tx1"/>
            </w14:solidFill>
          </w14:textFill>
        </w:rPr>
        <w:t xml:space="preserve">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14:textFill>
            <w14:solidFill>
              <w14:schemeClr w14:val="tx1"/>
            </w14:solidFill>
          </w14:textFill>
        </w:rPr>
      </w:pP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日</w:t>
      </w:r>
      <w:r>
        <w:rPr>
          <w:rFonts w:ascii="宋体" w:hAnsi="宋体"/>
          <w:color w:val="000000" w:themeColor="text1"/>
          <w:spacing w:val="6"/>
          <w:sz w:val="24"/>
          <w14:textFill>
            <w14:solidFill>
              <w14:schemeClr w14:val="tx1"/>
            </w14:solidFill>
          </w14:textFill>
        </w:rPr>
        <w:t xml:space="preserve">  </w:t>
      </w:r>
      <w:r>
        <w:rPr>
          <w:rFonts w:hint="eastAsia" w:ascii="宋体" w:hAnsi="宋体"/>
          <w:color w:val="000000" w:themeColor="text1"/>
          <w:spacing w:val="6"/>
          <w:sz w:val="24"/>
          <w14:textFill>
            <w14:solidFill>
              <w14:schemeClr w14:val="tx1"/>
            </w14:solidFill>
          </w14:textFill>
        </w:rPr>
        <w:t>期：</w:t>
      </w:r>
    </w:p>
    <w:p>
      <w:pPr>
        <w:pStyle w:val="25"/>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p>
      <w:pPr>
        <w:pStyle w:val="25"/>
        <w:shd w:val="clear" w:color="auto" w:fill="FFFFFF"/>
        <w:snapToGrid w:val="0"/>
        <w:spacing w:before="156" w:beforeLines="50" w:beforeAutospacing="0" w:after="156" w:afterLines="50" w:afterAutospacing="0"/>
        <w:ind w:firstLine="424" w:firstLineChars="177"/>
        <w:rPr>
          <w:color w:val="000000" w:themeColor="text1"/>
          <w:u w:val="single"/>
          <w14:textFill>
            <w14:solidFill>
              <w14:schemeClr w14:val="tx1"/>
            </w14:solidFill>
          </w14:textFill>
        </w:rPr>
      </w:pPr>
    </w:p>
    <w:p>
      <w:pPr>
        <w:pStyle w:val="35"/>
        <w:spacing w:line="360" w:lineRule="auto"/>
        <w:rPr>
          <w:rFonts w:ascii="宋体" w:hAnsi="宋体"/>
          <w:b/>
          <w:color w:val="000000" w:themeColor="text1"/>
          <w:sz w:val="28"/>
          <w:szCs w:val="28"/>
          <w14:textFill>
            <w14:solidFill>
              <w14:schemeClr w14:val="tx1"/>
            </w14:solidFill>
          </w14:textFill>
        </w:rPr>
      </w:pPr>
    </w:p>
    <w:p>
      <w:pPr>
        <w:pStyle w:val="35"/>
        <w:spacing w:line="360" w:lineRule="auto"/>
        <w:rPr>
          <w:rFonts w:ascii="宋体" w:hAnsi="宋体"/>
          <w:b/>
          <w:color w:val="000000" w:themeColor="text1"/>
          <w:sz w:val="28"/>
          <w:szCs w:val="28"/>
          <w14:textFill>
            <w14:solidFill>
              <w14:schemeClr w14:val="tx1"/>
            </w14:solidFill>
          </w14:textFill>
        </w:rPr>
      </w:pPr>
    </w:p>
    <w:p>
      <w:pPr>
        <w:pStyle w:val="35"/>
        <w:spacing w:line="360" w:lineRule="auto"/>
        <w:rPr>
          <w:rFonts w:ascii="宋体"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黑体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5149739"/>
    <w:multiLevelType w:val="singleLevel"/>
    <w:tmpl w:val="A5149739"/>
    <w:lvl w:ilvl="0" w:tentative="0">
      <w:start w:val="2"/>
      <w:numFmt w:val="decimal"/>
      <w:suff w:val="nothing"/>
      <w:lvlText w:val="%1、"/>
      <w:lvlJc w:val="left"/>
      <w:pPr>
        <w:ind w:left="420" w:firstLine="0"/>
      </w:pPr>
    </w:lvl>
  </w:abstractNum>
  <w:abstractNum w:abstractNumId="2">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D2476C9C"/>
    <w:multiLevelType w:val="singleLevel"/>
    <w:tmpl w:val="D2476C9C"/>
    <w:lvl w:ilvl="0" w:tentative="0">
      <w:start w:val="1"/>
      <w:numFmt w:val="decimal"/>
      <w:suff w:val="nothing"/>
      <w:lvlText w:val="%1、"/>
      <w:lvlJc w:val="left"/>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549D0B97"/>
    <w:multiLevelType w:val="singleLevel"/>
    <w:tmpl w:val="549D0B97"/>
    <w:lvl w:ilvl="0" w:tentative="0">
      <w:start w:val="1"/>
      <w:numFmt w:val="decimal"/>
      <w:suff w:val="nothing"/>
      <w:lvlText w:val="%1、"/>
      <w:lvlJc w:val="left"/>
    </w:lvl>
  </w:abstractNum>
  <w:abstractNum w:abstractNumId="9">
    <w:nsid w:val="76C06C45"/>
    <w:multiLevelType w:val="multilevel"/>
    <w:tmpl w:val="76C06C45"/>
    <w:lvl w:ilvl="0" w:tentative="0">
      <w:start w:val="2"/>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7"/>
  </w:num>
  <w:num w:numId="3">
    <w:abstractNumId w:val="6"/>
  </w:num>
  <w:num w:numId="4">
    <w:abstractNumId w:val="3"/>
  </w:num>
  <w:num w:numId="5">
    <w:abstractNumId w:val="4"/>
  </w:num>
  <w:num w:numId="6">
    <w:abstractNumId w:val="8"/>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243F1"/>
    <w:rsid w:val="002701A5"/>
    <w:rsid w:val="00270F76"/>
    <w:rsid w:val="002A1620"/>
    <w:rsid w:val="002A356A"/>
    <w:rsid w:val="002E2F0E"/>
    <w:rsid w:val="00302FF0"/>
    <w:rsid w:val="003102FB"/>
    <w:rsid w:val="0031368C"/>
    <w:rsid w:val="00326D44"/>
    <w:rsid w:val="00332E30"/>
    <w:rsid w:val="0033650E"/>
    <w:rsid w:val="003C5E00"/>
    <w:rsid w:val="003D660F"/>
    <w:rsid w:val="003F41FB"/>
    <w:rsid w:val="003F595C"/>
    <w:rsid w:val="003F78E0"/>
    <w:rsid w:val="00402DCB"/>
    <w:rsid w:val="00441FAE"/>
    <w:rsid w:val="004468A9"/>
    <w:rsid w:val="00446CEF"/>
    <w:rsid w:val="0045357C"/>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775E2"/>
    <w:rsid w:val="007A2629"/>
    <w:rsid w:val="007C1005"/>
    <w:rsid w:val="007F5E2F"/>
    <w:rsid w:val="00802325"/>
    <w:rsid w:val="00813AC4"/>
    <w:rsid w:val="00817ABE"/>
    <w:rsid w:val="00831D9F"/>
    <w:rsid w:val="00847BE5"/>
    <w:rsid w:val="0088066B"/>
    <w:rsid w:val="00884A8B"/>
    <w:rsid w:val="00912983"/>
    <w:rsid w:val="0093093F"/>
    <w:rsid w:val="00933887"/>
    <w:rsid w:val="00990D80"/>
    <w:rsid w:val="009A482D"/>
    <w:rsid w:val="009B3E22"/>
    <w:rsid w:val="009F3459"/>
    <w:rsid w:val="00A1633F"/>
    <w:rsid w:val="00A30B75"/>
    <w:rsid w:val="00A730CA"/>
    <w:rsid w:val="00A80AB5"/>
    <w:rsid w:val="00A81364"/>
    <w:rsid w:val="00B42F4C"/>
    <w:rsid w:val="00B6757E"/>
    <w:rsid w:val="00BF0AE8"/>
    <w:rsid w:val="00BF4316"/>
    <w:rsid w:val="00BF5473"/>
    <w:rsid w:val="00BF7361"/>
    <w:rsid w:val="00C039E7"/>
    <w:rsid w:val="00C05497"/>
    <w:rsid w:val="00C474A8"/>
    <w:rsid w:val="00C52E14"/>
    <w:rsid w:val="00C71663"/>
    <w:rsid w:val="00C767D4"/>
    <w:rsid w:val="00C97B4B"/>
    <w:rsid w:val="00CB41A8"/>
    <w:rsid w:val="00CC232E"/>
    <w:rsid w:val="00CD1804"/>
    <w:rsid w:val="00D842AF"/>
    <w:rsid w:val="00DC674C"/>
    <w:rsid w:val="00DF0627"/>
    <w:rsid w:val="00E25FD1"/>
    <w:rsid w:val="00E319E7"/>
    <w:rsid w:val="00E9732E"/>
    <w:rsid w:val="00ED7B86"/>
    <w:rsid w:val="00EF1C53"/>
    <w:rsid w:val="00EF2797"/>
    <w:rsid w:val="00F127FF"/>
    <w:rsid w:val="00F145C4"/>
    <w:rsid w:val="00F508A1"/>
    <w:rsid w:val="00F67482"/>
    <w:rsid w:val="00F75D85"/>
    <w:rsid w:val="00F802E1"/>
    <w:rsid w:val="01935887"/>
    <w:rsid w:val="034F5ED7"/>
    <w:rsid w:val="04CC341D"/>
    <w:rsid w:val="05137CD7"/>
    <w:rsid w:val="060B26E0"/>
    <w:rsid w:val="069605EE"/>
    <w:rsid w:val="0A9413BB"/>
    <w:rsid w:val="0C1E2BA0"/>
    <w:rsid w:val="0C765CB2"/>
    <w:rsid w:val="0C8B23DA"/>
    <w:rsid w:val="0D555A8C"/>
    <w:rsid w:val="0E970358"/>
    <w:rsid w:val="0F7915AB"/>
    <w:rsid w:val="10392EAE"/>
    <w:rsid w:val="10706EC2"/>
    <w:rsid w:val="12807280"/>
    <w:rsid w:val="13A74261"/>
    <w:rsid w:val="148463E6"/>
    <w:rsid w:val="14D20D9B"/>
    <w:rsid w:val="15A72BED"/>
    <w:rsid w:val="1621170E"/>
    <w:rsid w:val="17BF281D"/>
    <w:rsid w:val="182B60C7"/>
    <w:rsid w:val="18B91D2B"/>
    <w:rsid w:val="18C40414"/>
    <w:rsid w:val="19107207"/>
    <w:rsid w:val="1A6A6D44"/>
    <w:rsid w:val="1A817123"/>
    <w:rsid w:val="1C093ECB"/>
    <w:rsid w:val="1CE4433A"/>
    <w:rsid w:val="1D3D7BB9"/>
    <w:rsid w:val="1EE84AA8"/>
    <w:rsid w:val="204B1784"/>
    <w:rsid w:val="21BF4DC1"/>
    <w:rsid w:val="228447E5"/>
    <w:rsid w:val="23212420"/>
    <w:rsid w:val="23424F53"/>
    <w:rsid w:val="236E14E2"/>
    <w:rsid w:val="27305942"/>
    <w:rsid w:val="27376D7A"/>
    <w:rsid w:val="28A26B4B"/>
    <w:rsid w:val="299F0951"/>
    <w:rsid w:val="29D148D0"/>
    <w:rsid w:val="29E019D7"/>
    <w:rsid w:val="2A7B693D"/>
    <w:rsid w:val="2AC803DC"/>
    <w:rsid w:val="2B602C29"/>
    <w:rsid w:val="2C732F73"/>
    <w:rsid w:val="2E094BE9"/>
    <w:rsid w:val="30143D85"/>
    <w:rsid w:val="31752B09"/>
    <w:rsid w:val="33D3510B"/>
    <w:rsid w:val="341548E3"/>
    <w:rsid w:val="374B7290"/>
    <w:rsid w:val="37712A39"/>
    <w:rsid w:val="3992672C"/>
    <w:rsid w:val="3AE50133"/>
    <w:rsid w:val="3B345EA5"/>
    <w:rsid w:val="3DB531EC"/>
    <w:rsid w:val="3DBC4D70"/>
    <w:rsid w:val="3FCA700F"/>
    <w:rsid w:val="410E7C27"/>
    <w:rsid w:val="4111238D"/>
    <w:rsid w:val="417802D6"/>
    <w:rsid w:val="42374068"/>
    <w:rsid w:val="43036342"/>
    <w:rsid w:val="437D7970"/>
    <w:rsid w:val="4563730C"/>
    <w:rsid w:val="45953AB9"/>
    <w:rsid w:val="45F04D08"/>
    <w:rsid w:val="47AF47A3"/>
    <w:rsid w:val="48694FA0"/>
    <w:rsid w:val="488E768B"/>
    <w:rsid w:val="491023AE"/>
    <w:rsid w:val="49D7500A"/>
    <w:rsid w:val="49F41D5E"/>
    <w:rsid w:val="4B1E31F7"/>
    <w:rsid w:val="4BCB3573"/>
    <w:rsid w:val="4CE75373"/>
    <w:rsid w:val="4DEB2545"/>
    <w:rsid w:val="51245392"/>
    <w:rsid w:val="52496C52"/>
    <w:rsid w:val="566D4B95"/>
    <w:rsid w:val="572656D4"/>
    <w:rsid w:val="577E2968"/>
    <w:rsid w:val="59AD06A4"/>
    <w:rsid w:val="5A4D586D"/>
    <w:rsid w:val="5A6249B0"/>
    <w:rsid w:val="5AAC7A2F"/>
    <w:rsid w:val="5EE84C68"/>
    <w:rsid w:val="5F2A1866"/>
    <w:rsid w:val="60CD6EE4"/>
    <w:rsid w:val="621D5BA4"/>
    <w:rsid w:val="635B6748"/>
    <w:rsid w:val="63947A95"/>
    <w:rsid w:val="671B6B59"/>
    <w:rsid w:val="67B167D1"/>
    <w:rsid w:val="685F1C50"/>
    <w:rsid w:val="699022E9"/>
    <w:rsid w:val="6A714498"/>
    <w:rsid w:val="6BD4123E"/>
    <w:rsid w:val="6FAC1718"/>
    <w:rsid w:val="72380B24"/>
    <w:rsid w:val="745919C6"/>
    <w:rsid w:val="74702A9A"/>
    <w:rsid w:val="755C7E08"/>
    <w:rsid w:val="761C2BBB"/>
    <w:rsid w:val="76577B88"/>
    <w:rsid w:val="776A1DE8"/>
    <w:rsid w:val="776C5B3F"/>
    <w:rsid w:val="78386ECF"/>
    <w:rsid w:val="785D00CA"/>
    <w:rsid w:val="79257221"/>
    <w:rsid w:val="7A121902"/>
    <w:rsid w:val="7DDD6CEA"/>
    <w:rsid w:val="7E3278DB"/>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37"/>
    <w:qFormat/>
    <w:uiPriority w:val="0"/>
    <w:pPr>
      <w:jc w:val="left"/>
    </w:pPr>
  </w:style>
  <w:style w:type="paragraph" w:styleId="8">
    <w:name w:val="Body Text Indent"/>
    <w:basedOn w:val="1"/>
    <w:link w:val="40"/>
    <w:qFormat/>
    <w:uiPriority w:val="0"/>
    <w:pPr>
      <w:spacing w:after="120"/>
      <w:ind w:left="420" w:leftChars="200"/>
    </w:pPr>
  </w:style>
  <w:style w:type="paragraph" w:styleId="9">
    <w:name w:val="Plain Text"/>
    <w:basedOn w:val="1"/>
    <w:link w:val="44"/>
    <w:qFormat/>
    <w:uiPriority w:val="0"/>
    <w:rPr>
      <w:rFonts w:ascii="宋体" w:hAnsi="Courier New" w:cstheme="minorBidi"/>
    </w:rPr>
  </w:style>
  <w:style w:type="paragraph" w:styleId="10">
    <w:name w:val="Date"/>
    <w:basedOn w:val="1"/>
    <w:next w:val="1"/>
    <w:qFormat/>
    <w:uiPriority w:val="0"/>
    <w:pPr>
      <w:ind w:left="2500" w:leftChars="2500"/>
    </w:pPr>
    <w:rPr>
      <w:rFonts w:eastAsia="楷体_GB2312" w:asciiTheme="minorHAnsi" w:hAnsiTheme="minorHAnsi" w:cstheme="minorBidi"/>
      <w:sz w:val="32"/>
      <w:szCs w:val="22"/>
    </w:rPr>
  </w:style>
  <w:style w:type="paragraph" w:styleId="11">
    <w:name w:val="Balloon Text"/>
    <w:basedOn w:val="1"/>
    <w:link w:val="3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5">
    <w:name w:val="annotation subject"/>
    <w:basedOn w:val="7"/>
    <w:next w:val="7"/>
    <w:link w:val="38"/>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3">
    <w:name w:val="列出段落1"/>
    <w:basedOn w:val="1"/>
    <w:qFormat/>
    <w:uiPriority w:val="0"/>
    <w:pPr>
      <w:ind w:firstLine="420" w:firstLineChars="200"/>
    </w:pPr>
    <w:rPr>
      <w:rFonts w:ascii="Calibri" w:hAnsi="Calibri"/>
      <w:kern w:val="0"/>
      <w:szCs w:val="20"/>
    </w:rPr>
  </w:style>
  <w:style w:type="paragraph" w:customStyle="1" w:styleId="2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4"/>
    <w:qFormat/>
    <w:uiPriority w:val="0"/>
    <w:rPr>
      <w:rFonts w:ascii="Times New Roman" w:hAnsi="Times New Roman" w:eastAsia="宋体" w:cs="Times New Roman"/>
      <w:sz w:val="21"/>
      <w:szCs w:val="22"/>
      <w:lang w:val="en-US" w:eastAsia="zh-CN" w:bidi="ar-SA"/>
    </w:rPr>
  </w:style>
  <w:style w:type="paragraph" w:customStyle="1" w:styleId="2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纯文本_3"/>
    <w:basedOn w:val="30"/>
    <w:qFormat/>
    <w:uiPriority w:val="0"/>
    <w:pPr>
      <w:widowControl/>
      <w:jc w:val="left"/>
    </w:pPr>
    <w:rPr>
      <w:rFonts w:ascii="宋体" w:hAnsi="Courier New" w:eastAsiaTheme="minorEastAsia" w:cstheme="minorBidi"/>
      <w:szCs w:val="21"/>
    </w:rPr>
  </w:style>
  <w:style w:type="paragraph" w:customStyle="1" w:styleId="32">
    <w:name w:val="纯文本_0_1"/>
    <w:basedOn w:val="1"/>
    <w:qFormat/>
    <w:uiPriority w:val="0"/>
    <w:pPr>
      <w:widowControl/>
      <w:jc w:val="left"/>
    </w:pPr>
    <w:rPr>
      <w:rFonts w:ascii="宋体" w:hAnsi="Courier New" w:eastAsiaTheme="minorEastAsia" w:cstheme="minorBidi"/>
      <w:szCs w:val="21"/>
    </w:rPr>
  </w:style>
  <w:style w:type="paragraph" w:customStyle="1" w:styleId="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批注文字 Char"/>
    <w:basedOn w:val="18"/>
    <w:link w:val="7"/>
    <w:qFormat/>
    <w:uiPriority w:val="0"/>
    <w:rPr>
      <w:rFonts w:ascii="Times New Roman" w:hAnsi="Times New Roman" w:eastAsia="宋体" w:cs="Times New Roman"/>
      <w:kern w:val="2"/>
      <w:sz w:val="21"/>
      <w:szCs w:val="24"/>
    </w:rPr>
  </w:style>
  <w:style w:type="character" w:customStyle="1" w:styleId="38">
    <w:name w:val="批注主题 Char"/>
    <w:basedOn w:val="37"/>
    <w:link w:val="15"/>
    <w:qFormat/>
    <w:uiPriority w:val="0"/>
    <w:rPr>
      <w:rFonts w:ascii="Times New Roman" w:hAnsi="Times New Roman" w:eastAsia="宋体" w:cs="Times New Roman"/>
      <w:b/>
      <w:bCs/>
      <w:kern w:val="2"/>
      <w:sz w:val="21"/>
      <w:szCs w:val="24"/>
    </w:rPr>
  </w:style>
  <w:style w:type="character" w:customStyle="1" w:styleId="39">
    <w:name w:val="批注框文本 Char"/>
    <w:basedOn w:val="18"/>
    <w:link w:val="11"/>
    <w:qFormat/>
    <w:uiPriority w:val="0"/>
    <w:rPr>
      <w:rFonts w:ascii="Times New Roman" w:hAnsi="Times New Roman" w:eastAsia="宋体" w:cs="Times New Roman"/>
      <w:kern w:val="2"/>
      <w:sz w:val="18"/>
      <w:szCs w:val="18"/>
    </w:rPr>
  </w:style>
  <w:style w:type="character" w:customStyle="1" w:styleId="40">
    <w:name w:val="正文文本缩进 Char"/>
    <w:basedOn w:val="18"/>
    <w:link w:val="8"/>
    <w:qFormat/>
    <w:uiPriority w:val="0"/>
    <w:rPr>
      <w:kern w:val="2"/>
      <w:sz w:val="21"/>
      <w:szCs w:val="24"/>
    </w:rPr>
  </w:style>
  <w:style w:type="paragraph" w:customStyle="1" w:styleId="41">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2">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3">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4">
    <w:name w:val="纯文本 Char"/>
    <w:link w:val="9"/>
    <w:qFormat/>
    <w:uiPriority w:val="0"/>
    <w:rPr>
      <w:rFonts w:ascii="宋体" w:hAnsi="Courier New" w:cstheme="minorBidi"/>
      <w:kern w:val="2"/>
      <w:sz w:val="21"/>
      <w:szCs w:val="24"/>
    </w:rPr>
  </w:style>
  <w:style w:type="character" w:customStyle="1" w:styleId="45">
    <w:name w:val="fontstyle01"/>
    <w:qFormat/>
    <w:uiPriority w:val="0"/>
    <w:rPr>
      <w:rFonts w:hint="eastAsia" w:ascii="宋体" w:hAnsi="宋体" w:eastAsia="宋体"/>
      <w:sz w:val="22"/>
      <w:szCs w:val="22"/>
    </w:rPr>
  </w:style>
  <w:style w:type="paragraph" w:customStyle="1" w:styleId="46">
    <w:name w:val="标题m"/>
    <w:basedOn w:val="1"/>
    <w:qFormat/>
    <w:uiPriority w:val="0"/>
    <w:rPr>
      <w:rFonts w:ascii="方正黑体简体" w:eastAsia="方正黑体简体"/>
      <w:b/>
      <w:bCs/>
      <w:sz w:val="30"/>
    </w:rPr>
  </w:style>
  <w:style w:type="paragraph" w:customStyle="1" w:styleId="4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331E8-DD03-4690-8BFC-FCE346DDEB2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3913</Words>
  <Characters>22310</Characters>
  <Lines>185</Lines>
  <Paragraphs>52</Paragraphs>
  <TotalTime>40</TotalTime>
  <ScaleCrop>false</ScaleCrop>
  <LinksUpToDate>false</LinksUpToDate>
  <CharactersWithSpaces>26171</CharactersWithSpaces>
  <Application>WPS Office_11.1.0.9204_F1E327BC-269C-435d-A152-05C5408002CA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2019-10-24T09:03:00Z</dcterms:created>
  <dc:creator>S-mile</dc:creator>
  <cp:lastModifiedBy>Le.YonG.</cp:lastModifiedBy>
  <dcterms:modified xsi:type="dcterms:W3CDTF">2019-10-29T07:21:09Z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2052-11.1.0.9204</vt:lpwstr>
  </property>
</Properties>
</file>