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iddenHorzOCR" w:eastAsia="HiddenHorzOCR" w:cs="HiddenHorzOCR"/>
          <w:color w:val="100E11"/>
          <w:kern w:val="0"/>
          <w:sz w:val="38"/>
          <w:szCs w:val="38"/>
        </w:rPr>
      </w:pPr>
      <w:bookmarkStart w:id="0" w:name="_GoBack"/>
      <w:r>
        <w:rPr>
          <w:rFonts w:hint="eastAsia" w:ascii="HiddenHorzOCR" w:cs="HiddenHorzOCR"/>
          <w:color w:val="100E11"/>
          <w:kern w:val="0"/>
          <w:sz w:val="38"/>
          <w:szCs w:val="38"/>
        </w:rPr>
        <w:t>关于</w:t>
      </w:r>
      <w:r>
        <w:rPr>
          <w:rFonts w:hint="eastAsia" w:ascii="HiddenHorzOCR" w:eastAsia="HiddenHorzOCR" w:cs="HiddenHorzOCR"/>
          <w:color w:val="100E11"/>
          <w:kern w:val="0"/>
          <w:sz w:val="38"/>
          <w:szCs w:val="38"/>
        </w:rPr>
        <w:t>做好新型冠状病毒感染的肺炎疫</w:t>
      </w:r>
      <w:r>
        <w:rPr>
          <w:rFonts w:hint="eastAsia" w:ascii="HiddenHorzOCR" w:cs="HiddenHorzOCR"/>
          <w:color w:val="100E11"/>
          <w:kern w:val="0"/>
          <w:sz w:val="38"/>
          <w:szCs w:val="38"/>
        </w:rPr>
        <w:t>情</w:t>
      </w:r>
      <w:r>
        <w:rPr>
          <w:rFonts w:hint="eastAsia" w:ascii="HiddenHorzOCR" w:eastAsia="HiddenHorzOCR" w:cs="HiddenHorzOCR"/>
          <w:color w:val="100E11"/>
          <w:kern w:val="0"/>
          <w:sz w:val="38"/>
          <w:szCs w:val="38"/>
        </w:rPr>
        <w:t>防</w:t>
      </w:r>
      <w:r>
        <w:rPr>
          <w:rFonts w:hint="eastAsia" w:ascii="HiddenHorzOCR" w:cs="HiddenHorzOCR"/>
          <w:color w:val="100E11"/>
          <w:kern w:val="0"/>
          <w:sz w:val="38"/>
          <w:szCs w:val="38"/>
        </w:rPr>
        <w:t>控</w:t>
      </w:r>
      <w:r>
        <w:rPr>
          <w:rFonts w:hint="eastAsia" w:ascii="HiddenHorzOCR" w:eastAsia="HiddenHorzOCR" w:cs="HiddenHorzOCR"/>
          <w:color w:val="100E11"/>
          <w:kern w:val="0"/>
          <w:sz w:val="38"/>
          <w:szCs w:val="38"/>
        </w:rPr>
        <w:t>期</w:t>
      </w:r>
      <w:r>
        <w:rPr>
          <w:rFonts w:hint="eastAsia" w:ascii="宋体" w:hAnsi="宋体" w:eastAsia="宋体" w:cs="宋体"/>
          <w:color w:val="100E11"/>
          <w:kern w:val="0"/>
          <w:sz w:val="38"/>
          <w:szCs w:val="38"/>
        </w:rPr>
        <w:t>间</w:t>
      </w:r>
    </w:p>
    <w:p>
      <w:pPr>
        <w:jc w:val="center"/>
        <w:rPr>
          <w:rFonts w:ascii="HiddenHorzOCR" w:cs="HiddenHorzOCR"/>
          <w:color w:val="100E11"/>
          <w:kern w:val="0"/>
          <w:sz w:val="39"/>
          <w:szCs w:val="39"/>
        </w:rPr>
      </w:pPr>
      <w:r>
        <w:rPr>
          <w:rFonts w:hint="eastAsia" w:ascii="HiddenHorzOCR" w:cs="HiddenHorzOCR"/>
          <w:color w:val="100E11"/>
          <w:kern w:val="0"/>
          <w:sz w:val="39"/>
          <w:szCs w:val="39"/>
        </w:rPr>
        <w:t>公共资源交易</w:t>
      </w:r>
      <w:r>
        <w:rPr>
          <w:rFonts w:hint="eastAsia" w:ascii="MS Mincho" w:hAnsi="MS Mincho" w:eastAsia="MS Mincho" w:cs="MS Mincho"/>
          <w:color w:val="100E11"/>
          <w:kern w:val="0"/>
          <w:sz w:val="39"/>
          <w:szCs w:val="39"/>
        </w:rPr>
        <w:t>工作的通</w:t>
      </w:r>
      <w:r>
        <w:rPr>
          <w:rFonts w:hint="eastAsia" w:ascii="HiddenHorzOCR" w:eastAsia="HiddenHorzOCR" w:cs="HiddenHorzOCR"/>
          <w:color w:val="100E11"/>
          <w:kern w:val="0"/>
          <w:sz w:val="39"/>
          <w:szCs w:val="39"/>
        </w:rPr>
        <w:t>知</w:t>
      </w:r>
    </w:p>
    <w:bookmarkEnd w:id="0"/>
    <w:p>
      <w:pPr>
        <w:rPr>
          <w:rFonts w:ascii="HiddenHorzOCR" w:cs="HiddenHorzOCR"/>
          <w:color w:val="100E11"/>
          <w:kern w:val="0"/>
          <w:sz w:val="39"/>
          <w:szCs w:val="39"/>
        </w:rPr>
      </w:pPr>
    </w:p>
    <w:p>
      <w:pPr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各交易主体、行政监督部门：</w:t>
      </w:r>
    </w:p>
    <w:p>
      <w:pPr>
        <w:ind w:firstLine="780"/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根据省发改委的紧急通知和我市疫情防控工作的部署，决定自2020年2月3日起将暂停所有需到交易场所内进行交易的公共资源项目，待我省疫情应急响应终止日起，即恢复正常公共资源交易活动，不再另行通知。</w:t>
      </w:r>
    </w:p>
    <w:p>
      <w:pPr>
        <w:ind w:firstLine="780"/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咨询中心：</w:t>
      </w:r>
    </w:p>
    <w:p>
      <w:pPr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工程建设：13516763607</w:t>
      </w:r>
    </w:p>
    <w:p>
      <w:pPr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政府采购：18868804967</w:t>
      </w:r>
    </w:p>
    <w:p>
      <w:pPr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产权交易：13867682368</w:t>
      </w:r>
    </w:p>
    <w:p>
      <w:pPr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土地交易：13736525713</w:t>
      </w:r>
    </w:p>
    <w:p>
      <w:pPr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财务室：  15505868868</w:t>
      </w:r>
    </w:p>
    <w:p>
      <w:pPr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（工程）电子交易系统：15157107090</w:t>
      </w:r>
    </w:p>
    <w:p>
      <w:pPr>
        <w:rPr>
          <w:rFonts w:ascii="HiddenHorzOCR" w:cs="HiddenHorzOCR"/>
          <w:color w:val="100E11"/>
          <w:kern w:val="0"/>
          <w:sz w:val="36"/>
          <w:szCs w:val="36"/>
        </w:rPr>
      </w:pPr>
    </w:p>
    <w:p>
      <w:pPr>
        <w:rPr>
          <w:rFonts w:ascii="HiddenHorzOCR" w:cs="HiddenHorzOCR"/>
          <w:color w:val="100E11"/>
          <w:kern w:val="0"/>
          <w:sz w:val="36"/>
          <w:szCs w:val="36"/>
        </w:rPr>
      </w:pPr>
    </w:p>
    <w:p>
      <w:pPr>
        <w:jc w:val="right"/>
        <w:rPr>
          <w:rFonts w:ascii="HiddenHorzOCR" w:cs="HiddenHorzOCR"/>
          <w:color w:val="100E11"/>
          <w:kern w:val="0"/>
          <w:sz w:val="36"/>
          <w:szCs w:val="36"/>
        </w:rPr>
      </w:pPr>
    </w:p>
    <w:p>
      <w:pPr>
        <w:jc w:val="right"/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玉环市公共资源交易中心</w:t>
      </w:r>
    </w:p>
    <w:p>
      <w:pPr>
        <w:jc w:val="right"/>
        <w:rPr>
          <w:rFonts w:ascii="HiddenHorzOCR" w:cs="HiddenHorzOCR"/>
          <w:color w:val="100E11"/>
          <w:kern w:val="0"/>
          <w:sz w:val="36"/>
          <w:szCs w:val="36"/>
        </w:rPr>
      </w:pPr>
      <w:r>
        <w:rPr>
          <w:rFonts w:hint="eastAsia" w:ascii="HiddenHorzOCR" w:cs="HiddenHorzOCR"/>
          <w:color w:val="100E11"/>
          <w:kern w:val="0"/>
          <w:sz w:val="36"/>
          <w:szCs w:val="36"/>
        </w:rPr>
        <w:t>2020年2月3日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F0"/>
    <w:rsid w:val="000E7661"/>
    <w:rsid w:val="001467BC"/>
    <w:rsid w:val="00376E9B"/>
    <w:rsid w:val="003F07C7"/>
    <w:rsid w:val="007B5CD3"/>
    <w:rsid w:val="009F5E05"/>
    <w:rsid w:val="00C35B60"/>
    <w:rsid w:val="00D008C2"/>
    <w:rsid w:val="00F81AF0"/>
    <w:rsid w:val="4460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TotalTime>66</TotalTime>
  <ScaleCrop>false</ScaleCrop>
  <LinksUpToDate>false</LinksUpToDate>
  <CharactersWithSpaces>285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2020-02-03T01:13:00Z</dcterms:created>
  <dc:creator>admin</dc:creator>
  <cp:lastModifiedBy>素心红颜</cp:lastModifiedBy>
  <cp:lastPrinted>2020-02-03T01:52:00Z</cp:lastPrinted>
  <dcterms:modified xsi:type="dcterms:W3CDTF">2020-02-03T02:22:17Z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